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2.xml" ContentType="application/vnd.openxmlformats-officedocument.wordprocessingml.header+xml"/>
  <Override PartName="/word/footer1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6.xml" ContentType="application/vnd.openxmlformats-officedocument.wordprocessingml.header+xml"/>
  <Override PartName="/word/footer16.xml" ContentType="application/vnd.openxmlformats-officedocument.wordprocessingml.footer+xml"/>
  <Override PartName="/word/header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header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9.xml" ContentType="application/vnd.openxmlformats-officedocument.wordprocessingml.header+xml"/>
  <Override PartName="/word/footer29.xml" ContentType="application/vnd.openxmlformats-officedocument.wordprocessingml.footer+xml"/>
  <Override PartName="/word/header10.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12.xml" ContentType="application/vnd.openxmlformats-officedocument.wordprocessingml.header+xml"/>
  <Override PartName="/word/footer35.xml" ContentType="application/vnd.openxmlformats-officedocument.wordprocessingml.footer+xml"/>
  <Override PartName="/word/header13.xml" ContentType="application/vnd.openxmlformats-officedocument.wordprocessingml.header+xml"/>
  <Override PartName="/word/footer36.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4"/>
          <w:szCs w:val="14"/>
        </w:rPr>
      </w:pPr>
    </w:p>
    <w:p>
      <w:pPr>
        <w:spacing w:line="900" w:lineRule="exact"/>
        <w:ind w:left="30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7"/>
          <w:sz w:val="20"/>
          <w:szCs w:val="20"/>
        </w:rPr>
        <w:drawing>
          <wp:inline distT="0" distB="0" distL="0" distR="0">
            <wp:extent cx="2029016" cy="571500"/>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2029016" cy="571500"/>
                    </a:xfrm>
                    <a:prstGeom prst="rect">
                      <a:avLst/>
                    </a:prstGeom>
                  </pic:spPr>
                </pic:pic>
              </a:graphicData>
            </a:graphic>
          </wp:inline>
        </w:drawing>
      </w:r>
      <w:r>
        <w:rPr>
          <w:rFonts w:ascii="Times New Roman" w:hAnsi="Times New Roman" w:cs="Times New Roman" w:eastAsia="Times New Roman" w:hint="default"/>
          <w:position w:val="-17"/>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2"/>
          <w:szCs w:val="22"/>
        </w:rPr>
      </w:pPr>
    </w:p>
    <w:p>
      <w:pPr>
        <w:spacing w:line="620" w:lineRule="exact" w:before="0"/>
        <w:ind w:left="113" w:right="0" w:firstLine="0"/>
        <w:jc w:val="center"/>
        <w:rPr>
          <w:rFonts w:ascii="宋体" w:hAnsi="宋体" w:cs="宋体" w:eastAsia="宋体" w:hint="default"/>
          <w:sz w:val="52"/>
          <w:szCs w:val="52"/>
        </w:rPr>
      </w:pPr>
      <w:r>
        <w:rPr>
          <w:rFonts w:ascii="宋体" w:hAnsi="宋体" w:cs="宋体" w:eastAsia="宋体" w:hint="default"/>
          <w:sz w:val="52"/>
          <w:szCs w:val="52"/>
        </w:rPr>
        <w:t>深圳市惠程电气股份有限公司</w:t>
      </w:r>
    </w:p>
    <w:p>
      <w:pPr>
        <w:spacing w:before="116"/>
        <w:ind w:left="89" w:right="0" w:firstLine="0"/>
        <w:jc w:val="center"/>
        <w:rPr>
          <w:rFonts w:ascii="Times New Roman" w:hAnsi="Times New Roman" w:cs="Times New Roman" w:eastAsia="Times New Roman" w:hint="default"/>
          <w:sz w:val="32"/>
          <w:szCs w:val="32"/>
        </w:rPr>
      </w:pPr>
      <w:r>
        <w:rPr>
          <w:rFonts w:ascii="Times New Roman"/>
          <w:spacing w:val="7"/>
          <w:sz w:val="32"/>
        </w:rPr>
        <w:t>SHENZHEN HIFUTURE ELECTRIC</w:t>
      </w:r>
      <w:r>
        <w:rPr>
          <w:rFonts w:ascii="Times New Roman"/>
          <w:spacing w:val="78"/>
          <w:sz w:val="32"/>
        </w:rPr>
        <w:t> </w:t>
      </w:r>
      <w:r>
        <w:rPr>
          <w:rFonts w:ascii="Times New Roman"/>
          <w:spacing w:val="8"/>
          <w:sz w:val="32"/>
        </w:rPr>
        <w:t>CO.,LTD.</w:t>
      </w:r>
      <w:r>
        <w:rPr>
          <w:rFonts w:ascii="Times New Roman"/>
          <w:sz w:val="32"/>
        </w:rPr>
      </w: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before="237"/>
        <w:ind w:left="112" w:right="0" w:firstLine="0"/>
        <w:jc w:val="center"/>
        <w:rPr>
          <w:rFonts w:ascii="宋体" w:hAnsi="宋体" w:cs="宋体" w:eastAsia="宋体" w:hint="default"/>
          <w:sz w:val="52"/>
          <w:szCs w:val="52"/>
        </w:rPr>
      </w:pPr>
      <w:r>
        <w:rPr>
          <w:rFonts w:ascii="宋体" w:hAnsi="宋体" w:cs="宋体" w:eastAsia="宋体" w:hint="default"/>
          <w:sz w:val="52"/>
          <w:szCs w:val="52"/>
        </w:rPr>
        <w:t>二零一一年度报告</w:t>
      </w:r>
    </w:p>
    <w:p>
      <w:pPr>
        <w:spacing w:line="240" w:lineRule="auto" w:before="0"/>
        <w:rPr>
          <w:rFonts w:ascii="宋体" w:hAnsi="宋体" w:cs="宋体" w:eastAsia="宋体" w:hint="default"/>
          <w:sz w:val="52"/>
          <w:szCs w:val="52"/>
        </w:rPr>
      </w:pPr>
    </w:p>
    <w:p>
      <w:pPr>
        <w:spacing w:line="240" w:lineRule="auto" w:before="0"/>
        <w:rPr>
          <w:rFonts w:ascii="宋体" w:hAnsi="宋体" w:cs="宋体" w:eastAsia="宋体" w:hint="default"/>
          <w:sz w:val="52"/>
          <w:szCs w:val="52"/>
        </w:rPr>
      </w:pPr>
    </w:p>
    <w:p>
      <w:pPr>
        <w:spacing w:line="240" w:lineRule="auto" w:before="0"/>
        <w:rPr>
          <w:rFonts w:ascii="宋体" w:hAnsi="宋体" w:cs="宋体" w:eastAsia="宋体" w:hint="default"/>
          <w:sz w:val="52"/>
          <w:szCs w:val="52"/>
        </w:rPr>
      </w:pPr>
    </w:p>
    <w:p>
      <w:pPr>
        <w:spacing w:line="240" w:lineRule="auto" w:before="0"/>
        <w:rPr>
          <w:rFonts w:ascii="宋体" w:hAnsi="宋体" w:cs="宋体" w:eastAsia="宋体" w:hint="default"/>
          <w:sz w:val="52"/>
          <w:szCs w:val="52"/>
        </w:rPr>
      </w:pPr>
    </w:p>
    <w:p>
      <w:pPr>
        <w:spacing w:line="240" w:lineRule="auto" w:before="0"/>
        <w:rPr>
          <w:rFonts w:ascii="宋体" w:hAnsi="宋体" w:cs="宋体" w:eastAsia="宋体" w:hint="default"/>
          <w:sz w:val="52"/>
          <w:szCs w:val="52"/>
        </w:rPr>
      </w:pPr>
    </w:p>
    <w:p>
      <w:pPr>
        <w:spacing w:line="240" w:lineRule="auto" w:before="0"/>
        <w:rPr>
          <w:rFonts w:ascii="宋体" w:hAnsi="宋体" w:cs="宋体" w:eastAsia="宋体" w:hint="default"/>
          <w:sz w:val="52"/>
          <w:szCs w:val="52"/>
        </w:rPr>
      </w:pPr>
    </w:p>
    <w:p>
      <w:pPr>
        <w:spacing w:line="240" w:lineRule="auto" w:before="0"/>
        <w:rPr>
          <w:rFonts w:ascii="宋体" w:hAnsi="宋体" w:cs="宋体" w:eastAsia="宋体" w:hint="default"/>
          <w:sz w:val="52"/>
          <w:szCs w:val="52"/>
        </w:rPr>
      </w:pPr>
    </w:p>
    <w:p>
      <w:pPr>
        <w:spacing w:line="240" w:lineRule="auto" w:before="4"/>
        <w:rPr>
          <w:rFonts w:ascii="宋体" w:hAnsi="宋体" w:cs="宋体" w:eastAsia="宋体" w:hint="default"/>
          <w:sz w:val="46"/>
          <w:szCs w:val="46"/>
        </w:rPr>
      </w:pPr>
    </w:p>
    <w:p>
      <w:pPr>
        <w:spacing w:before="0"/>
        <w:ind w:left="112" w:right="0" w:firstLine="0"/>
        <w:jc w:val="center"/>
        <w:rPr>
          <w:rFonts w:ascii="宋体" w:hAnsi="宋体" w:cs="宋体" w:eastAsia="宋体" w:hint="default"/>
          <w:sz w:val="32"/>
          <w:szCs w:val="32"/>
        </w:rPr>
      </w:pPr>
      <w:r>
        <w:rPr>
          <w:rFonts w:ascii="宋体" w:hAnsi="宋体" w:cs="宋体" w:eastAsia="宋体" w:hint="default"/>
          <w:sz w:val="32"/>
          <w:szCs w:val="32"/>
        </w:rPr>
        <w:t>二○一二年四月十八日</w:t>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470" w:footer="1266" w:top="900" w:bottom="1460" w:left="1160" w:right="1440"/>
          <w:pgNumType w:start="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7"/>
          <w:szCs w:val="27"/>
        </w:rPr>
      </w:pPr>
    </w:p>
    <w:p>
      <w:pPr>
        <w:spacing w:before="1"/>
        <w:ind w:left="112" w:right="0" w:firstLine="0"/>
        <w:jc w:val="center"/>
        <w:rPr>
          <w:rFonts w:ascii="宋体" w:hAnsi="宋体" w:cs="宋体" w:eastAsia="宋体" w:hint="default"/>
          <w:sz w:val="32"/>
          <w:szCs w:val="32"/>
        </w:rPr>
      </w:pPr>
      <w:r>
        <w:rPr>
          <w:rFonts w:ascii="宋体" w:hAnsi="宋体" w:cs="宋体" w:eastAsia="宋体" w:hint="default"/>
          <w:b/>
          <w:bCs/>
          <w:sz w:val="32"/>
          <w:szCs w:val="32"/>
        </w:rPr>
        <w:t>重要提示</w:t>
      </w:r>
      <w:r>
        <w:rPr>
          <w:rFonts w:ascii="宋体" w:hAnsi="宋体" w:cs="宋体" w:eastAsia="宋体" w:hint="default"/>
          <w:sz w:val="32"/>
          <w:szCs w:val="32"/>
        </w:rPr>
      </w:r>
    </w:p>
    <w:p>
      <w:pPr>
        <w:spacing w:line="240" w:lineRule="auto" w:before="5"/>
        <w:rPr>
          <w:rFonts w:ascii="宋体" w:hAnsi="宋体" w:cs="宋体" w:eastAsia="宋体" w:hint="default"/>
          <w:b/>
          <w:bCs/>
          <w:sz w:val="42"/>
          <w:szCs w:val="42"/>
        </w:rPr>
      </w:pPr>
    </w:p>
    <w:p>
      <w:pPr>
        <w:pStyle w:val="BodyText"/>
        <w:spacing w:line="304" w:lineRule="auto"/>
        <w:ind w:right="165" w:firstLine="480"/>
        <w:jc w:val="both"/>
      </w:pPr>
      <w:r>
        <w:rPr/>
        <w:t>一、本公司董事会、监事会及董事、监事、高级管理人员保证本报告所载资料不 存在任何虚假记载、误导性陈述或者重大遗漏，并对其内容的真实性、准确性和完整 性承担个别及连带责任。</w:t>
      </w:r>
    </w:p>
    <w:p>
      <w:pPr>
        <w:pStyle w:val="BodyText"/>
        <w:spacing w:line="304" w:lineRule="auto" w:before="22"/>
        <w:ind w:right="165" w:firstLine="480"/>
        <w:jc w:val="both"/>
      </w:pPr>
      <w:r>
        <w:rPr/>
        <w:t>二、没有董事、监事、高级管理人员对本报告内容的真实性、准确性、完整性无 法保证或存在异议。</w:t>
      </w:r>
    </w:p>
    <w:p>
      <w:pPr>
        <w:pStyle w:val="BodyText"/>
        <w:spacing w:line="307" w:lineRule="auto" w:before="20"/>
        <w:ind w:right="165" w:firstLine="480"/>
        <w:jc w:val="both"/>
      </w:pPr>
      <w:r>
        <w:rPr/>
        <w:t>三、除独立董事朱天培先生出国在外，委托独立董事潘成东先生表决外，其他所 有董事均已出席审议本次年报的董事会会议。</w:t>
      </w:r>
    </w:p>
    <w:p>
      <w:pPr>
        <w:pStyle w:val="BodyText"/>
        <w:spacing w:line="288" w:lineRule="auto" w:before="18"/>
        <w:ind w:right="172" w:firstLine="480"/>
        <w:jc w:val="both"/>
      </w:pPr>
      <w:r>
        <w:rPr/>
        <w:t>四、立信会计师事务所为本公司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5"/>
        </w:rPr>
        <w:t> </w:t>
      </w:r>
      <w:r>
        <w:rPr/>
        <w:t>年度财务报告出具了标准无保留意见的审 计报告。</w:t>
      </w:r>
    </w:p>
    <w:p>
      <w:pPr>
        <w:pStyle w:val="BodyText"/>
        <w:spacing w:line="304" w:lineRule="auto" w:before="38"/>
        <w:ind w:right="165" w:firstLine="480"/>
        <w:jc w:val="both"/>
      </w:pPr>
      <w:r>
        <w:rPr/>
        <w:t>五、公司董事长吕晓义先生、财务负责人刘心先生、会计机构负责人赵勇敏先生 声明：保证年度报告中财务报告的真实、完整。</w:t>
      </w:r>
    </w:p>
    <w:p>
      <w:pPr>
        <w:spacing w:after="0" w:line="304" w:lineRule="auto"/>
        <w:jc w:val="both"/>
        <w:sectPr>
          <w:pgSz w:w="11910" w:h="16840"/>
          <w:pgMar w:header="470" w:footer="1266" w:top="900" w:bottom="1460" w:left="1160" w:right="14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p>
      <w:pPr>
        <w:tabs>
          <w:tab w:pos="950" w:val="left" w:leader="none"/>
        </w:tabs>
        <w:spacing w:before="13"/>
        <w:ind w:left="111" w:right="0" w:firstLine="0"/>
        <w:jc w:val="center"/>
        <w:rPr>
          <w:rFonts w:ascii="宋体" w:hAnsi="宋体" w:cs="宋体" w:eastAsia="宋体" w:hint="default"/>
          <w:sz w:val="28"/>
          <w:szCs w:val="28"/>
        </w:rPr>
      </w:pPr>
      <w:r>
        <w:rPr>
          <w:rFonts w:ascii="宋体" w:hAnsi="宋体" w:cs="宋体" w:eastAsia="宋体" w:hint="default"/>
          <w:w w:val="95"/>
          <w:sz w:val="28"/>
          <w:szCs w:val="28"/>
        </w:rPr>
        <w:t>目</w:t>
        <w:tab/>
      </w:r>
      <w:r>
        <w:rPr>
          <w:rFonts w:ascii="宋体" w:hAnsi="宋体" w:cs="宋体" w:eastAsia="宋体" w:hint="default"/>
          <w:sz w:val="28"/>
          <w:szCs w:val="28"/>
        </w:rPr>
        <w:t>录</w:t>
      </w:r>
    </w:p>
    <w:sdt>
      <w:sdtPr>
        <w:docPartObj>
          <w:docPartGallery w:val="Table of Contents"/>
          <w:docPartUnique/>
        </w:docPartObj>
      </w:sdtPr>
      <w:sdtEndPr/>
      <w:sdtContent>
        <w:p>
          <w:pPr>
            <w:pStyle w:val="TOC1"/>
            <w:tabs>
              <w:tab w:pos="1819" w:val="left" w:leader="none"/>
              <w:tab w:pos="9149" w:val="right" w:leader="dot"/>
            </w:tabs>
            <w:spacing w:line="240" w:lineRule="auto" w:before="410"/>
            <w:ind w:right="0"/>
            <w:jc w:val="left"/>
            <w:rPr>
              <w:rFonts w:ascii="Times New Roman" w:hAnsi="Times New Roman" w:cs="Times New Roman" w:eastAsia="Times New Roman" w:hint="default"/>
            </w:rPr>
          </w:pPr>
          <w:hyperlink w:history="true" w:anchor="_TOC_250014">
            <w:r>
              <w:rPr/>
              <w:t>第一节</w:t>
              <w:tab/>
              <w:t>公司基本情况</w:t>
            </w:r>
            <w:r>
              <w:rPr>
                <w:rFonts w:ascii="Times New Roman" w:hAnsi="Times New Roman" w:cs="Times New Roman" w:eastAsia="Times New Roman" w:hint="default"/>
              </w:rPr>
              <w:tab/>
              <w:t>4</w:t>
            </w:r>
          </w:hyperlink>
        </w:p>
        <w:p>
          <w:pPr>
            <w:pStyle w:val="TOC1"/>
            <w:tabs>
              <w:tab w:pos="1819" w:val="left" w:leader="none"/>
              <w:tab w:pos="9149" w:val="right" w:leader="dot"/>
            </w:tabs>
            <w:spacing w:line="240" w:lineRule="auto"/>
            <w:ind w:right="0"/>
            <w:jc w:val="left"/>
            <w:rPr>
              <w:rFonts w:ascii="Times New Roman" w:hAnsi="Times New Roman" w:cs="Times New Roman" w:eastAsia="Times New Roman" w:hint="default"/>
            </w:rPr>
          </w:pPr>
          <w:hyperlink w:history="true" w:anchor="_TOC_250013">
            <w:r>
              <w:rPr/>
              <w:t>第二节</w:t>
              <w:tab/>
              <w:t>会计数据和业务数据摘要</w:t>
            </w:r>
            <w:r>
              <w:rPr>
                <w:rFonts w:ascii="Times New Roman" w:hAnsi="Times New Roman" w:cs="Times New Roman" w:eastAsia="Times New Roman" w:hint="default"/>
              </w:rPr>
              <w:tab/>
              <w:t>6</w:t>
            </w:r>
          </w:hyperlink>
        </w:p>
        <w:p>
          <w:pPr>
            <w:pStyle w:val="TOC1"/>
            <w:tabs>
              <w:tab w:pos="1819" w:val="left" w:leader="none"/>
              <w:tab w:pos="9149" w:val="right" w:leader="dot"/>
            </w:tabs>
            <w:spacing w:line="240" w:lineRule="auto" w:before="295"/>
            <w:ind w:right="0"/>
            <w:jc w:val="left"/>
            <w:rPr>
              <w:rFonts w:ascii="Times New Roman" w:hAnsi="Times New Roman" w:cs="Times New Roman" w:eastAsia="Times New Roman" w:hint="default"/>
            </w:rPr>
          </w:pPr>
          <w:hyperlink w:history="true" w:anchor="_TOC_250012">
            <w:r>
              <w:rPr/>
              <w:t>第三节</w:t>
              <w:tab/>
              <w:t>股本变动及股东情况</w:t>
            </w:r>
            <w:r>
              <w:rPr>
                <w:rFonts w:ascii="Times New Roman" w:hAnsi="Times New Roman" w:cs="Times New Roman" w:eastAsia="Times New Roman" w:hint="default"/>
              </w:rPr>
              <w:tab/>
              <w:t>7</w:t>
            </w:r>
          </w:hyperlink>
        </w:p>
        <w:p>
          <w:pPr>
            <w:pStyle w:val="TOC1"/>
            <w:tabs>
              <w:tab w:pos="1819" w:val="left" w:leader="none"/>
              <w:tab w:pos="9149" w:val="right" w:leader="dot"/>
            </w:tabs>
            <w:spacing w:line="240" w:lineRule="auto"/>
            <w:ind w:right="0"/>
            <w:jc w:val="left"/>
            <w:rPr>
              <w:rFonts w:ascii="Times New Roman" w:hAnsi="Times New Roman" w:cs="Times New Roman" w:eastAsia="Times New Roman" w:hint="default"/>
            </w:rPr>
          </w:pPr>
          <w:hyperlink w:history="true" w:anchor="_TOC_250011">
            <w:r>
              <w:rPr/>
              <w:t>第四节</w:t>
              <w:tab/>
              <w:t>董事、监事、高级管理人员和员工情况</w:t>
            </w:r>
            <w:r>
              <w:rPr>
                <w:rFonts w:ascii="Times New Roman" w:hAnsi="Times New Roman" w:cs="Times New Roman" w:eastAsia="Times New Roman" w:hint="default"/>
              </w:rPr>
              <w:tab/>
              <w:t>12</w:t>
            </w:r>
          </w:hyperlink>
        </w:p>
        <w:p>
          <w:pPr>
            <w:pStyle w:val="TOC1"/>
            <w:tabs>
              <w:tab w:pos="1819" w:val="left" w:leader="none"/>
              <w:tab w:pos="9149" w:val="right" w:leader="dot"/>
            </w:tabs>
            <w:spacing w:line="240" w:lineRule="auto"/>
            <w:ind w:right="0"/>
            <w:jc w:val="left"/>
            <w:rPr>
              <w:rFonts w:ascii="Times New Roman" w:hAnsi="Times New Roman" w:cs="Times New Roman" w:eastAsia="Times New Roman" w:hint="default"/>
            </w:rPr>
          </w:pPr>
          <w:hyperlink w:history="true" w:anchor="_TOC_250010">
            <w:r>
              <w:rPr/>
              <w:t>第五节</w:t>
              <w:tab/>
              <w:t>公司治理结构</w:t>
            </w:r>
            <w:r>
              <w:rPr>
                <w:rFonts w:ascii="Times New Roman" w:hAnsi="Times New Roman" w:cs="Times New Roman" w:eastAsia="Times New Roman" w:hint="default"/>
              </w:rPr>
              <w:tab/>
              <w:t>17</w:t>
            </w:r>
          </w:hyperlink>
        </w:p>
        <w:p>
          <w:pPr>
            <w:pStyle w:val="TOC2"/>
            <w:tabs>
              <w:tab w:pos="9149" w:val="right" w:leader="dot"/>
            </w:tabs>
            <w:spacing w:line="240" w:lineRule="auto"/>
            <w:ind w:right="0"/>
            <w:jc w:val="left"/>
            <w:rPr>
              <w:rFonts w:ascii="Times New Roman" w:hAnsi="Times New Roman" w:cs="Times New Roman" w:eastAsia="Times New Roman" w:hint="default"/>
            </w:rPr>
          </w:pPr>
          <w:hyperlink w:history="true" w:anchor="_TOC_250009">
            <w:r>
              <w:rPr/>
              <w:t>一、公司治理情况</w:t>
            </w:r>
            <w:r>
              <w:rPr>
                <w:rFonts w:ascii="Times New Roman" w:hAnsi="Times New Roman" w:cs="Times New Roman" w:eastAsia="Times New Roman" w:hint="default"/>
              </w:rPr>
              <w:tab/>
              <w:t>17</w:t>
            </w:r>
          </w:hyperlink>
        </w:p>
        <w:p>
          <w:pPr>
            <w:pStyle w:val="TOC2"/>
            <w:tabs>
              <w:tab w:pos="9150" w:val="right" w:leader="dot"/>
            </w:tabs>
            <w:spacing w:line="240" w:lineRule="auto" w:before="295"/>
            <w:ind w:right="0"/>
            <w:jc w:val="left"/>
            <w:rPr>
              <w:rFonts w:ascii="Times New Roman" w:hAnsi="Times New Roman" w:cs="Times New Roman" w:eastAsia="Times New Roman" w:hint="default"/>
            </w:rPr>
          </w:pPr>
          <w:hyperlink w:history="true" w:anchor="_TOC_250008">
            <w:r>
              <w:rPr/>
              <w:t>二、公司董事长、独立董事及其他董事履行职责的情况</w:t>
            </w:r>
            <w:r>
              <w:rPr>
                <w:rFonts w:ascii="Times New Roman" w:hAnsi="Times New Roman" w:cs="Times New Roman" w:eastAsia="Times New Roman" w:hint="default"/>
              </w:rPr>
              <w:tab/>
              <w:t>19</w:t>
            </w:r>
          </w:hyperlink>
        </w:p>
        <w:p>
          <w:pPr>
            <w:pStyle w:val="TOC2"/>
            <w:tabs>
              <w:tab w:pos="9150" w:val="right" w:leader="dot"/>
            </w:tabs>
            <w:spacing w:line="240" w:lineRule="auto"/>
            <w:ind w:right="0"/>
            <w:jc w:val="left"/>
            <w:rPr>
              <w:rFonts w:ascii="Times New Roman" w:hAnsi="Times New Roman" w:cs="Times New Roman" w:eastAsia="Times New Roman" w:hint="default"/>
            </w:rPr>
          </w:pPr>
          <w:r>
            <w:rPr/>
            <w:t>三、公司与控股股东在业务、人员、资产、机构、财务等方面的情况</w:t>
          </w:r>
          <w:r>
            <w:rPr>
              <w:rFonts w:ascii="Times New Roman" w:hAnsi="Times New Roman" w:cs="Times New Roman" w:eastAsia="Times New Roman" w:hint="default"/>
            </w:rPr>
            <w:tab/>
            <w:t>20</w:t>
          </w:r>
        </w:p>
        <w:p>
          <w:pPr>
            <w:pStyle w:val="TOC2"/>
            <w:tabs>
              <w:tab w:pos="9149" w:val="right" w:leader="dot"/>
            </w:tabs>
            <w:spacing w:line="240" w:lineRule="auto"/>
            <w:ind w:right="0"/>
            <w:jc w:val="left"/>
            <w:rPr>
              <w:rFonts w:ascii="Times New Roman" w:hAnsi="Times New Roman" w:cs="Times New Roman" w:eastAsia="Times New Roman" w:hint="default"/>
            </w:rPr>
          </w:pPr>
          <w:r>
            <w:rPr/>
            <w:t>四、公司内部控制的建立和健全情况</w:t>
          </w:r>
          <w:r>
            <w:rPr>
              <w:rFonts w:ascii="Times New Roman" w:hAnsi="Times New Roman" w:cs="Times New Roman" w:eastAsia="Times New Roman" w:hint="default"/>
            </w:rPr>
            <w:tab/>
            <w:t>20</w:t>
          </w:r>
        </w:p>
        <w:p>
          <w:pPr>
            <w:pStyle w:val="TOC2"/>
            <w:tabs>
              <w:tab w:pos="9149" w:val="right" w:leader="dot"/>
            </w:tabs>
            <w:spacing w:line="240" w:lineRule="auto"/>
            <w:ind w:right="0"/>
            <w:jc w:val="left"/>
            <w:rPr>
              <w:rFonts w:ascii="Times New Roman" w:hAnsi="Times New Roman" w:cs="Times New Roman" w:eastAsia="Times New Roman" w:hint="default"/>
            </w:rPr>
          </w:pPr>
          <w:hyperlink w:history="true" w:anchor="_TOC_250007">
            <w:r>
              <w:rPr/>
              <w:t>五、公司对高级管理人员的考评及激励机制</w:t>
            </w:r>
            <w:r>
              <w:rPr>
                <w:rFonts w:ascii="Times New Roman" w:hAnsi="Times New Roman" w:cs="Times New Roman" w:eastAsia="Times New Roman" w:hint="default"/>
              </w:rPr>
              <w:tab/>
              <w:t>36</w:t>
            </w:r>
          </w:hyperlink>
        </w:p>
        <w:p>
          <w:pPr>
            <w:pStyle w:val="TOC2"/>
            <w:tabs>
              <w:tab w:pos="9149" w:val="right" w:leader="dot"/>
            </w:tabs>
            <w:spacing w:line="240" w:lineRule="auto" w:before="295"/>
            <w:ind w:right="0"/>
            <w:jc w:val="left"/>
            <w:rPr>
              <w:rFonts w:ascii="Times New Roman" w:hAnsi="Times New Roman" w:cs="Times New Roman" w:eastAsia="Times New Roman" w:hint="default"/>
            </w:rPr>
          </w:pPr>
          <w:hyperlink w:history="true" w:anchor="_TOC_250006">
            <w:r>
              <w:rPr/>
              <w:t>六、公司内部审计制度的建立和执行情况</w:t>
            </w:r>
            <w:r>
              <w:rPr>
                <w:rFonts w:ascii="Times New Roman" w:hAnsi="Times New Roman" w:cs="Times New Roman" w:eastAsia="Times New Roman" w:hint="default"/>
              </w:rPr>
              <w:tab/>
              <w:t>37</w:t>
            </w:r>
          </w:hyperlink>
        </w:p>
        <w:p>
          <w:pPr>
            <w:pStyle w:val="TOC1"/>
            <w:tabs>
              <w:tab w:pos="1819" w:val="left" w:leader="none"/>
              <w:tab w:pos="9149" w:val="right" w:leader="dot"/>
            </w:tabs>
            <w:spacing w:line="240" w:lineRule="auto"/>
            <w:ind w:right="0"/>
            <w:jc w:val="left"/>
            <w:rPr>
              <w:rFonts w:ascii="Times New Roman" w:hAnsi="Times New Roman" w:cs="Times New Roman" w:eastAsia="Times New Roman" w:hint="default"/>
            </w:rPr>
          </w:pPr>
          <w:hyperlink w:history="true" w:anchor="_TOC_250005">
            <w:r>
              <w:rPr/>
              <w:t>第六节</w:t>
              <w:tab/>
              <w:t>股东大会情况简介</w:t>
            </w:r>
            <w:r>
              <w:rPr>
                <w:rFonts w:ascii="Times New Roman" w:hAnsi="Times New Roman" w:cs="Times New Roman" w:eastAsia="Times New Roman" w:hint="default"/>
              </w:rPr>
              <w:tab/>
              <w:t>39</w:t>
            </w:r>
          </w:hyperlink>
        </w:p>
        <w:p>
          <w:pPr>
            <w:pStyle w:val="TOC1"/>
            <w:tabs>
              <w:tab w:pos="1819" w:val="left" w:leader="none"/>
              <w:tab w:pos="9149" w:val="right" w:leader="dot"/>
            </w:tabs>
            <w:spacing w:line="240" w:lineRule="auto"/>
            <w:ind w:right="0"/>
            <w:jc w:val="left"/>
            <w:rPr>
              <w:rFonts w:ascii="Times New Roman" w:hAnsi="Times New Roman" w:cs="Times New Roman" w:eastAsia="Times New Roman" w:hint="default"/>
            </w:rPr>
          </w:pPr>
          <w:hyperlink w:history="true" w:anchor="_TOC_250004">
            <w:r>
              <w:rPr/>
              <w:t>第七节</w:t>
              <w:tab/>
              <w:t>董事会工作报告</w:t>
            </w:r>
            <w:r>
              <w:rPr>
                <w:rFonts w:ascii="Times New Roman" w:hAnsi="Times New Roman" w:cs="Times New Roman" w:eastAsia="Times New Roman" w:hint="default"/>
              </w:rPr>
              <w:tab/>
              <w:t>40</w:t>
            </w:r>
          </w:hyperlink>
        </w:p>
        <w:p>
          <w:pPr>
            <w:pStyle w:val="TOC1"/>
            <w:tabs>
              <w:tab w:pos="1819" w:val="left" w:leader="none"/>
              <w:tab w:pos="9149" w:val="right" w:leader="dot"/>
            </w:tabs>
            <w:spacing w:line="240" w:lineRule="auto"/>
            <w:ind w:right="0"/>
            <w:jc w:val="left"/>
            <w:rPr>
              <w:rFonts w:ascii="Times New Roman" w:hAnsi="Times New Roman" w:cs="Times New Roman" w:eastAsia="Times New Roman" w:hint="default"/>
            </w:rPr>
          </w:pPr>
          <w:hyperlink w:history="true" w:anchor="_TOC_250003">
            <w:r>
              <w:rPr/>
              <w:t>第八节</w:t>
              <w:tab/>
              <w:t>监事会工作报告</w:t>
            </w:r>
            <w:r>
              <w:rPr>
                <w:rFonts w:ascii="Times New Roman" w:hAnsi="Times New Roman" w:cs="Times New Roman" w:eastAsia="Times New Roman" w:hint="default"/>
              </w:rPr>
              <w:tab/>
              <w:t>73</w:t>
            </w:r>
          </w:hyperlink>
        </w:p>
        <w:p>
          <w:pPr>
            <w:pStyle w:val="TOC1"/>
            <w:tabs>
              <w:tab w:pos="1819" w:val="left" w:leader="none"/>
              <w:tab w:pos="9149" w:val="right" w:leader="dot"/>
            </w:tabs>
            <w:spacing w:line="240" w:lineRule="auto" w:before="295"/>
            <w:ind w:right="0"/>
            <w:jc w:val="left"/>
            <w:rPr>
              <w:rFonts w:ascii="Times New Roman" w:hAnsi="Times New Roman" w:cs="Times New Roman" w:eastAsia="Times New Roman" w:hint="default"/>
            </w:rPr>
          </w:pPr>
          <w:hyperlink w:history="true" w:anchor="_TOC_250002">
            <w:r>
              <w:rPr/>
              <w:t>第九节</w:t>
              <w:tab/>
              <w:t>重要事项</w:t>
            </w:r>
            <w:r>
              <w:rPr>
                <w:rFonts w:ascii="Times New Roman" w:hAnsi="Times New Roman" w:cs="Times New Roman" w:eastAsia="Times New Roman" w:hint="default"/>
              </w:rPr>
              <w:tab/>
              <w:t>76</w:t>
            </w:r>
          </w:hyperlink>
        </w:p>
        <w:p>
          <w:pPr>
            <w:pStyle w:val="TOC1"/>
            <w:tabs>
              <w:tab w:pos="1819" w:val="left" w:leader="none"/>
              <w:tab w:pos="9149" w:val="right" w:leader="dot"/>
            </w:tabs>
            <w:spacing w:line="240" w:lineRule="auto"/>
            <w:ind w:right="0"/>
            <w:jc w:val="left"/>
            <w:rPr>
              <w:rFonts w:ascii="Times New Roman" w:hAnsi="Times New Roman" w:cs="Times New Roman" w:eastAsia="Times New Roman" w:hint="default"/>
            </w:rPr>
          </w:pPr>
          <w:hyperlink w:history="true" w:anchor="_TOC_250001">
            <w:r>
              <w:rPr/>
              <w:t>第十节</w:t>
              <w:tab/>
              <w:t>财务报告</w:t>
            </w:r>
            <w:r>
              <w:rPr>
                <w:rFonts w:ascii="Times New Roman" w:hAnsi="Times New Roman" w:cs="Times New Roman" w:eastAsia="Times New Roman" w:hint="default"/>
              </w:rPr>
              <w:tab/>
              <w:t>85</w:t>
            </w:r>
          </w:hyperlink>
        </w:p>
        <w:p>
          <w:pPr>
            <w:pStyle w:val="TOC1"/>
            <w:tabs>
              <w:tab w:pos="2028" w:val="left" w:leader="none"/>
              <w:tab w:pos="9149" w:val="right" w:leader="dot"/>
            </w:tabs>
            <w:spacing w:line="240" w:lineRule="auto"/>
            <w:ind w:right="0"/>
            <w:jc w:val="left"/>
            <w:rPr>
              <w:rFonts w:ascii="Times New Roman" w:hAnsi="Times New Roman" w:cs="Times New Roman" w:eastAsia="Times New Roman" w:hint="default"/>
            </w:rPr>
          </w:pPr>
          <w:hyperlink w:history="true" w:anchor="_TOC_250000">
            <w:r>
              <w:rPr/>
              <w:t>第十一节</w:t>
              <w:tab/>
              <w:t>备查文件目录</w:t>
            </w:r>
            <w:r>
              <w:rPr>
                <w:rFonts w:ascii="Times New Roman" w:hAnsi="Times New Roman" w:cs="Times New Roman" w:eastAsia="Times New Roman" w:hint="default"/>
              </w:rPr>
              <w:tab/>
              <w:t>171</w:t>
            </w:r>
          </w:hyperlink>
        </w:p>
      </w:sdtContent>
    </w:sdt>
    <w:p>
      <w:pPr>
        <w:spacing w:after="0" w:line="240" w:lineRule="auto"/>
        <w:jc w:val="left"/>
        <w:rPr>
          <w:rFonts w:ascii="Times New Roman" w:hAnsi="Times New Roman" w:cs="Times New Roman" w:eastAsia="Times New Roman" w:hint="default"/>
        </w:rPr>
        <w:sectPr>
          <w:pgSz w:w="11910" w:h="16840"/>
          <w:pgMar w:header="470" w:footer="1266" w:top="900" w:bottom="1460" w:left="1160" w:right="1440"/>
        </w:sectPr>
      </w:pPr>
    </w:p>
    <w:p>
      <w:pPr>
        <w:spacing w:line="240" w:lineRule="auto" w:before="0"/>
        <w:rPr>
          <w:rFonts w:ascii="Times New Roman" w:hAnsi="Times New Roman" w:cs="Times New Roman" w:eastAsia="Times New Roman" w:hint="default"/>
          <w:sz w:val="32"/>
          <w:szCs w:val="32"/>
        </w:rPr>
      </w:pPr>
    </w:p>
    <w:p>
      <w:pPr>
        <w:spacing w:line="240" w:lineRule="auto" w:before="10"/>
        <w:rPr>
          <w:rFonts w:ascii="Times New Roman" w:hAnsi="Times New Roman" w:cs="Times New Roman" w:eastAsia="Times New Roman" w:hint="default"/>
          <w:sz w:val="29"/>
          <w:szCs w:val="29"/>
        </w:rPr>
      </w:pPr>
    </w:p>
    <w:p>
      <w:pPr>
        <w:pStyle w:val="Heading1"/>
        <w:tabs>
          <w:tab w:pos="4387" w:val="left" w:leader="none"/>
        </w:tabs>
        <w:spacing w:line="240" w:lineRule="auto" w:before="0"/>
        <w:ind w:right="235"/>
        <w:jc w:val="left"/>
        <w:rPr>
          <w:b w:val="0"/>
          <w:bCs w:val="0"/>
        </w:rPr>
      </w:pPr>
      <w:bookmarkStart w:name="_TOC_250014" w:id="1"/>
      <w:r>
        <w:rPr>
          <w:w w:val="95"/>
        </w:rPr>
        <w:t>第一节</w:t>
        <w:tab/>
      </w:r>
      <w:r>
        <w:rPr/>
        <w:t>公司基本情况</w:t>
      </w:r>
      <w:bookmarkEnd w:id="1"/>
      <w:r>
        <w:rPr>
          <w:b w:val="0"/>
          <w:bCs w:val="0"/>
        </w:rPr>
      </w:r>
    </w:p>
    <w:p>
      <w:pPr>
        <w:spacing w:line="240" w:lineRule="auto" w:before="0"/>
        <w:rPr>
          <w:rFonts w:ascii="宋体" w:hAnsi="宋体" w:cs="宋体" w:eastAsia="宋体" w:hint="default"/>
          <w:b/>
          <w:bCs/>
          <w:sz w:val="32"/>
          <w:szCs w:val="32"/>
        </w:rPr>
      </w:pPr>
    </w:p>
    <w:p>
      <w:pPr>
        <w:pStyle w:val="BodyText"/>
        <w:spacing w:line="304" w:lineRule="auto" w:before="229"/>
        <w:ind w:left="738" w:right="3346" w:hanging="480"/>
        <w:jc w:val="left"/>
      </w:pPr>
      <w:r>
        <w:rPr/>
        <w:t>一、公司法定中文名称：深圳市惠程电气股份有限公司 中文缩写：深圳惠程</w:t>
      </w:r>
    </w:p>
    <w:p>
      <w:pPr>
        <w:pStyle w:val="BodyText"/>
        <w:spacing w:line="240" w:lineRule="auto" w:before="22"/>
        <w:ind w:left="738" w:right="235"/>
        <w:jc w:val="left"/>
        <w:rPr>
          <w:rFonts w:ascii="Times New Roman" w:hAnsi="Times New Roman" w:cs="Times New Roman" w:eastAsia="Times New Roman" w:hint="default"/>
        </w:rPr>
      </w:pPr>
      <w:r>
        <w:rPr/>
        <w:t>公司法定英文名称：</w:t>
      </w:r>
      <w:r>
        <w:rPr>
          <w:rFonts w:ascii="Times New Roman" w:hAnsi="Times New Roman" w:cs="Times New Roman" w:eastAsia="Times New Roman" w:hint="default"/>
        </w:rPr>
        <w:t>SHENZHEN HIFUTURE ELECTRIC</w:t>
      </w:r>
      <w:r>
        <w:rPr>
          <w:rFonts w:ascii="Times New Roman" w:hAnsi="Times New Roman" w:cs="Times New Roman" w:eastAsia="Times New Roman" w:hint="default"/>
          <w:spacing w:val="-19"/>
        </w:rPr>
        <w:t> </w:t>
      </w:r>
      <w:r>
        <w:rPr>
          <w:rFonts w:ascii="Times New Roman" w:hAnsi="Times New Roman" w:cs="Times New Roman" w:eastAsia="Times New Roman" w:hint="default"/>
          <w:spacing w:val="-4"/>
        </w:rPr>
        <w:t>CO.,LTD.</w:t>
      </w:r>
      <w:r>
        <w:rPr>
          <w:rFonts w:ascii="Times New Roman" w:hAnsi="Times New Roman" w:cs="Times New Roman" w:eastAsia="Times New Roman" w:hint="default"/>
        </w:rPr>
      </w:r>
    </w:p>
    <w:p>
      <w:pPr>
        <w:pStyle w:val="BodyText"/>
        <w:spacing w:line="386" w:lineRule="auto" w:before="67"/>
        <w:ind w:right="5986" w:firstLine="480"/>
        <w:jc w:val="left"/>
      </w:pPr>
      <w:r>
        <w:rPr/>
        <w:t>英文缩写：</w:t>
      </w:r>
      <w:r>
        <w:rPr>
          <w:rFonts w:ascii="Times New Roman" w:hAnsi="Times New Roman" w:cs="Times New Roman" w:eastAsia="Times New Roman" w:hint="default"/>
        </w:rPr>
        <w:t>HIFUTURE</w:t>
      </w:r>
      <w:r>
        <w:rPr>
          <w:rFonts w:ascii="Times New Roman" w:hAnsi="Times New Roman" w:cs="Times New Roman" w:eastAsia="Times New Roman" w:hint="default"/>
          <w:spacing w:val="-1"/>
          <w:w w:val="99"/>
        </w:rPr>
        <w:t> </w:t>
      </w:r>
      <w:r>
        <w:rPr/>
        <w:t>二、公司法定代表人：吕晓义 三、公司联系人和联系方式</w:t>
      </w:r>
    </w:p>
    <w:tbl>
      <w:tblPr>
        <w:tblW w:w="0" w:type="auto"/>
        <w:jc w:val="left"/>
        <w:tblInd w:w="145" w:type="dxa"/>
        <w:tblLayout w:type="fixed"/>
        <w:tblCellMar>
          <w:top w:w="0" w:type="dxa"/>
          <w:left w:w="0" w:type="dxa"/>
          <w:bottom w:w="0" w:type="dxa"/>
          <w:right w:w="0" w:type="dxa"/>
        </w:tblCellMar>
        <w:tblLook w:val="01E0"/>
      </w:tblPr>
      <w:tblGrid>
        <w:gridCol w:w="1412"/>
        <w:gridCol w:w="4225"/>
        <w:gridCol w:w="3480"/>
      </w:tblGrid>
      <w:tr>
        <w:trPr>
          <w:trHeight w:val="410" w:hRule="exact"/>
        </w:trPr>
        <w:tc>
          <w:tcPr>
            <w:tcW w:w="1412"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42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right="1"/>
              <w:jc w:val="center"/>
              <w:rPr>
                <w:rFonts w:ascii="宋体" w:hAnsi="宋体" w:cs="宋体" w:eastAsia="宋体" w:hint="default"/>
                <w:sz w:val="24"/>
                <w:szCs w:val="24"/>
              </w:rPr>
            </w:pPr>
            <w:r>
              <w:rPr>
                <w:rFonts w:ascii="宋体" w:hAnsi="宋体" w:cs="宋体" w:eastAsia="宋体" w:hint="default"/>
                <w:sz w:val="24"/>
                <w:szCs w:val="24"/>
              </w:rPr>
              <w:t>董事会秘书兼投资者关系管理负责人</w:t>
            </w:r>
          </w:p>
        </w:tc>
        <w:tc>
          <w:tcPr>
            <w:tcW w:w="34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right="0"/>
              <w:jc w:val="center"/>
              <w:rPr>
                <w:rFonts w:ascii="宋体" w:hAnsi="宋体" w:cs="宋体" w:eastAsia="宋体" w:hint="default"/>
                <w:sz w:val="24"/>
                <w:szCs w:val="24"/>
              </w:rPr>
            </w:pPr>
            <w:r>
              <w:rPr>
                <w:rFonts w:ascii="宋体" w:hAnsi="宋体" w:cs="宋体" w:eastAsia="宋体" w:hint="default"/>
                <w:sz w:val="24"/>
                <w:szCs w:val="24"/>
              </w:rPr>
              <w:t>证券事务代表</w:t>
            </w:r>
          </w:p>
        </w:tc>
      </w:tr>
      <w:tr>
        <w:trPr>
          <w:trHeight w:val="409" w:hRule="exact"/>
        </w:trPr>
        <w:tc>
          <w:tcPr>
            <w:tcW w:w="14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right="1"/>
              <w:jc w:val="center"/>
              <w:rPr>
                <w:rFonts w:ascii="宋体" w:hAnsi="宋体" w:cs="宋体" w:eastAsia="宋体" w:hint="default"/>
                <w:sz w:val="24"/>
                <w:szCs w:val="24"/>
              </w:rPr>
            </w:pPr>
            <w:r>
              <w:rPr>
                <w:rFonts w:ascii="宋体" w:hAnsi="宋体" w:cs="宋体" w:eastAsia="宋体" w:hint="default"/>
                <w:sz w:val="24"/>
                <w:szCs w:val="24"/>
              </w:rPr>
              <w:t>姓名</w:t>
            </w:r>
          </w:p>
        </w:tc>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宋体" w:hAnsi="宋体" w:cs="宋体" w:eastAsia="宋体" w:hint="default"/>
                <w:sz w:val="24"/>
                <w:szCs w:val="24"/>
              </w:rPr>
            </w:pPr>
            <w:r>
              <w:rPr>
                <w:rFonts w:ascii="宋体" w:hAnsi="宋体" w:cs="宋体" w:eastAsia="宋体" w:hint="default"/>
                <w:sz w:val="24"/>
                <w:szCs w:val="24"/>
              </w:rPr>
              <w:t>张国刚</w:t>
            </w:r>
          </w:p>
        </w:tc>
        <w:tc>
          <w:tcPr>
            <w:tcW w:w="3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24"/>
                <w:szCs w:val="24"/>
              </w:rPr>
            </w:pPr>
            <w:r>
              <w:rPr>
                <w:rFonts w:ascii="宋体" w:hAnsi="宋体" w:cs="宋体" w:eastAsia="宋体" w:hint="default"/>
                <w:sz w:val="24"/>
                <w:szCs w:val="24"/>
              </w:rPr>
              <w:t>刘婷</w:t>
            </w:r>
          </w:p>
        </w:tc>
      </w:tr>
      <w:tr>
        <w:trPr>
          <w:trHeight w:val="410" w:hRule="exact"/>
        </w:trPr>
        <w:tc>
          <w:tcPr>
            <w:tcW w:w="14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1"/>
              <w:ind w:right="1"/>
              <w:jc w:val="center"/>
              <w:rPr>
                <w:rFonts w:ascii="宋体" w:hAnsi="宋体" w:cs="宋体" w:eastAsia="宋体" w:hint="default"/>
                <w:sz w:val="24"/>
                <w:szCs w:val="24"/>
              </w:rPr>
            </w:pPr>
            <w:r>
              <w:rPr>
                <w:rFonts w:ascii="宋体" w:hAnsi="宋体" w:cs="宋体" w:eastAsia="宋体" w:hint="default"/>
                <w:sz w:val="24"/>
                <w:szCs w:val="24"/>
              </w:rPr>
              <w:t>联系地址</w:t>
            </w:r>
          </w:p>
        </w:tc>
        <w:tc>
          <w:tcPr>
            <w:tcW w:w="77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365" w:right="0"/>
              <w:jc w:val="left"/>
              <w:rPr>
                <w:rFonts w:ascii="宋体" w:hAnsi="宋体" w:cs="宋体" w:eastAsia="宋体" w:hint="default"/>
                <w:sz w:val="24"/>
                <w:szCs w:val="24"/>
              </w:rPr>
            </w:pPr>
            <w:r>
              <w:rPr>
                <w:rFonts w:ascii="宋体" w:hAnsi="宋体" w:cs="宋体" w:eastAsia="宋体" w:hint="default"/>
                <w:sz w:val="24"/>
                <w:szCs w:val="24"/>
              </w:rPr>
              <w:t>深圳市龙岗区大工业区兰景路以东、锦绣路以南惠程科技工业厂区</w:t>
            </w:r>
          </w:p>
        </w:tc>
      </w:tr>
      <w:tr>
        <w:trPr>
          <w:trHeight w:val="410" w:hRule="exact"/>
        </w:trPr>
        <w:tc>
          <w:tcPr>
            <w:tcW w:w="14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right="1"/>
              <w:jc w:val="center"/>
              <w:rPr>
                <w:rFonts w:ascii="宋体" w:hAnsi="宋体" w:cs="宋体" w:eastAsia="宋体" w:hint="default"/>
                <w:sz w:val="24"/>
                <w:szCs w:val="24"/>
              </w:rPr>
            </w:pPr>
            <w:r>
              <w:rPr>
                <w:rFonts w:ascii="宋体" w:hAnsi="宋体" w:cs="宋体" w:eastAsia="宋体" w:hint="default"/>
                <w:sz w:val="24"/>
                <w:szCs w:val="24"/>
              </w:rPr>
              <w:t>电话</w:t>
            </w:r>
          </w:p>
        </w:tc>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24"/>
                <w:szCs w:val="24"/>
              </w:rPr>
            </w:pPr>
            <w:r>
              <w:rPr>
                <w:rFonts w:ascii="Times New Roman"/>
                <w:sz w:val="24"/>
              </w:rPr>
              <w:t>0755-89921086</w:t>
            </w:r>
          </w:p>
        </w:tc>
        <w:tc>
          <w:tcPr>
            <w:tcW w:w="3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
              <w:jc w:val="center"/>
              <w:rPr>
                <w:rFonts w:ascii="Times New Roman" w:hAnsi="Times New Roman" w:cs="Times New Roman" w:eastAsia="Times New Roman" w:hint="default"/>
                <w:sz w:val="24"/>
                <w:szCs w:val="24"/>
              </w:rPr>
            </w:pPr>
            <w:r>
              <w:rPr>
                <w:rFonts w:ascii="Times New Roman"/>
                <w:sz w:val="24"/>
              </w:rPr>
              <w:t>0755-89921022</w:t>
            </w:r>
          </w:p>
        </w:tc>
      </w:tr>
      <w:tr>
        <w:trPr>
          <w:trHeight w:val="409" w:hRule="exact"/>
        </w:trPr>
        <w:tc>
          <w:tcPr>
            <w:tcW w:w="14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right="1"/>
              <w:jc w:val="center"/>
              <w:rPr>
                <w:rFonts w:ascii="宋体" w:hAnsi="宋体" w:cs="宋体" w:eastAsia="宋体" w:hint="default"/>
                <w:sz w:val="24"/>
                <w:szCs w:val="24"/>
              </w:rPr>
            </w:pPr>
            <w:r>
              <w:rPr>
                <w:rFonts w:ascii="宋体" w:hAnsi="宋体" w:cs="宋体" w:eastAsia="宋体" w:hint="default"/>
                <w:sz w:val="24"/>
                <w:szCs w:val="24"/>
              </w:rPr>
              <w:t>传真</w:t>
            </w:r>
          </w:p>
        </w:tc>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24"/>
                <w:szCs w:val="24"/>
              </w:rPr>
            </w:pPr>
            <w:r>
              <w:rPr>
                <w:rFonts w:ascii="Times New Roman"/>
                <w:sz w:val="24"/>
              </w:rPr>
              <w:t>0755-89921082</w:t>
            </w:r>
          </w:p>
        </w:tc>
        <w:tc>
          <w:tcPr>
            <w:tcW w:w="3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
              <w:jc w:val="center"/>
              <w:rPr>
                <w:rFonts w:ascii="Times New Roman" w:hAnsi="Times New Roman" w:cs="Times New Roman" w:eastAsia="Times New Roman" w:hint="default"/>
                <w:sz w:val="24"/>
                <w:szCs w:val="24"/>
              </w:rPr>
            </w:pPr>
            <w:r>
              <w:rPr>
                <w:rFonts w:ascii="Times New Roman"/>
                <w:sz w:val="24"/>
              </w:rPr>
              <w:t>0755-89921082</w:t>
            </w:r>
          </w:p>
        </w:tc>
      </w:tr>
      <w:tr>
        <w:trPr>
          <w:trHeight w:val="410" w:hRule="exact"/>
        </w:trPr>
        <w:tc>
          <w:tcPr>
            <w:tcW w:w="14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1"/>
              <w:ind w:right="1"/>
              <w:jc w:val="center"/>
              <w:rPr>
                <w:rFonts w:ascii="宋体" w:hAnsi="宋体" w:cs="宋体" w:eastAsia="宋体" w:hint="default"/>
                <w:sz w:val="24"/>
                <w:szCs w:val="24"/>
              </w:rPr>
            </w:pPr>
            <w:r>
              <w:rPr>
                <w:rFonts w:ascii="宋体" w:hAnsi="宋体" w:cs="宋体" w:eastAsia="宋体" w:hint="default"/>
                <w:sz w:val="24"/>
                <w:szCs w:val="24"/>
              </w:rPr>
              <w:t>电子信箱</w:t>
            </w:r>
          </w:p>
        </w:tc>
        <w:tc>
          <w:tcPr>
            <w:tcW w:w="4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Times New Roman" w:hAnsi="Times New Roman" w:cs="Times New Roman" w:eastAsia="Times New Roman" w:hint="default"/>
                <w:sz w:val="24"/>
                <w:szCs w:val="24"/>
              </w:rPr>
            </w:pPr>
            <w:hyperlink r:id="rId8">
              <w:r>
                <w:rPr>
                  <w:rFonts w:ascii="Times New Roman"/>
                  <w:sz w:val="24"/>
                </w:rPr>
                <w:t>zgg@hifuture.com</w:t>
              </w:r>
            </w:hyperlink>
          </w:p>
        </w:tc>
        <w:tc>
          <w:tcPr>
            <w:tcW w:w="3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Times New Roman" w:hAnsi="Times New Roman" w:cs="Times New Roman" w:eastAsia="Times New Roman" w:hint="default"/>
                <w:sz w:val="24"/>
                <w:szCs w:val="24"/>
              </w:rPr>
            </w:pPr>
            <w:hyperlink r:id="rId9">
              <w:r>
                <w:rPr>
                  <w:rFonts w:ascii="Times New Roman"/>
                  <w:sz w:val="24"/>
                </w:rPr>
                <w:t>stella47520@hotmail.com</w:t>
              </w:r>
            </w:hyperlink>
          </w:p>
        </w:tc>
      </w:tr>
    </w:tbl>
    <w:p>
      <w:pPr>
        <w:spacing w:line="240" w:lineRule="auto" w:before="9"/>
        <w:rPr>
          <w:rFonts w:ascii="宋体" w:hAnsi="宋体" w:cs="宋体" w:eastAsia="宋体" w:hint="default"/>
          <w:sz w:val="11"/>
          <w:szCs w:val="11"/>
        </w:rPr>
      </w:pPr>
    </w:p>
    <w:p>
      <w:pPr>
        <w:pStyle w:val="BodyText"/>
        <w:spacing w:line="240" w:lineRule="auto" w:before="26"/>
        <w:ind w:right="235"/>
        <w:jc w:val="left"/>
      </w:pPr>
      <w:r>
        <w:rPr/>
        <w:t>四、公司注册地址：深圳市坪山新区兰景路以东、锦绣路以南惠程科技工业厂区</w:t>
      </w:r>
    </w:p>
    <w:p>
      <w:pPr>
        <w:pStyle w:val="BodyText"/>
        <w:spacing w:line="304" w:lineRule="auto" w:before="206"/>
        <w:ind w:left="738" w:right="1184" w:firstLine="2"/>
        <w:jc w:val="left"/>
        <w:rPr>
          <w:rFonts w:ascii="Times New Roman" w:hAnsi="Times New Roman" w:cs="Times New Roman" w:eastAsia="Times New Roman" w:hint="default"/>
        </w:rPr>
      </w:pPr>
      <w:r>
        <w:rPr/>
        <w:t>办公地址：深圳市坪山新区兰景路以东、锦绣路以南惠程科技工业厂区 邮政编码：</w:t>
      </w:r>
      <w:r>
        <w:rPr>
          <w:rFonts w:ascii="Times New Roman" w:hAnsi="Times New Roman" w:cs="Times New Roman" w:eastAsia="Times New Roman" w:hint="default"/>
        </w:rPr>
        <w:t>518118</w:t>
      </w:r>
    </w:p>
    <w:p>
      <w:pPr>
        <w:pStyle w:val="BodyText"/>
        <w:spacing w:line="316" w:lineRule="auto" w:before="36"/>
        <w:ind w:left="738" w:right="3346"/>
        <w:jc w:val="left"/>
        <w:rPr>
          <w:rFonts w:ascii="Times New Roman" w:hAnsi="Times New Roman" w:cs="Times New Roman" w:eastAsia="Times New Roman" w:hint="default"/>
        </w:rPr>
      </w:pPr>
      <w:r>
        <w:rPr>
          <w:spacing w:val="-2"/>
        </w:rPr>
        <w:t>国际互联网网址：</w:t>
      </w:r>
      <w:hyperlink r:id="rId10">
        <w:r>
          <w:rPr>
            <w:rFonts w:ascii="Times New Roman" w:hAnsi="Times New Roman" w:cs="Times New Roman" w:eastAsia="Times New Roman" w:hint="default"/>
            <w:spacing w:val="-2"/>
          </w:rPr>
          <w:t>www.hifuture.com</w:t>
        </w:r>
      </w:hyperlink>
      <w:r>
        <w:rPr>
          <w:rFonts w:ascii="Times New Roman" w:hAnsi="Times New Roman" w:cs="Times New Roman" w:eastAsia="Times New Roman" w:hint="default"/>
          <w:spacing w:val="-43"/>
        </w:rPr>
        <w:t> </w:t>
      </w:r>
      <w:r>
        <w:rPr>
          <w:rFonts w:ascii="Times New Roman" w:hAnsi="Times New Roman" w:cs="Times New Roman" w:eastAsia="Times New Roman" w:hint="default"/>
          <w:spacing w:val="-43"/>
        </w:rPr>
      </w:r>
      <w:r>
        <w:rPr/>
        <w:t>电子信箱：</w:t>
      </w:r>
      <w:hyperlink r:id="rId8">
        <w:r>
          <w:rPr>
            <w:rFonts w:ascii="Times New Roman" w:hAnsi="Times New Roman" w:cs="Times New Roman" w:eastAsia="Times New Roman" w:hint="default"/>
          </w:rPr>
          <w:t>zgg@hifuture.com</w:t>
        </w:r>
      </w:hyperlink>
    </w:p>
    <w:p>
      <w:pPr>
        <w:pStyle w:val="BodyText"/>
        <w:spacing w:line="240" w:lineRule="auto" w:before="103"/>
        <w:ind w:right="235"/>
        <w:jc w:val="left"/>
      </w:pPr>
      <w:r>
        <w:rPr/>
        <w:t>五、公司选定的信息披露报纸</w:t>
      </w:r>
      <w:r>
        <w:rPr>
          <w:spacing w:val="-120"/>
        </w:rPr>
        <w:t>：</w:t>
      </w:r>
      <w:r>
        <w:rPr/>
        <w:t>《证券时报》</w:t>
      </w:r>
    </w:p>
    <w:p>
      <w:pPr>
        <w:pStyle w:val="BodyText"/>
        <w:spacing w:line="288" w:lineRule="auto" w:before="205"/>
        <w:ind w:left="740" w:right="1904" w:hanging="3"/>
        <w:jc w:val="left"/>
      </w:pPr>
      <w:r>
        <w:rPr>
          <w:spacing w:val="-1"/>
        </w:rPr>
        <w:t>登载年度报告的中国证监会指定网站的网址：</w:t>
      </w:r>
      <w:hyperlink r:id="rId11">
        <w:r>
          <w:rPr>
            <w:rFonts w:ascii="Times New Roman" w:hAnsi="Times New Roman" w:cs="Times New Roman" w:eastAsia="Times New Roman" w:hint="default"/>
            <w:spacing w:val="-1"/>
          </w:rPr>
          <w:t>www.cninfo.com.cn</w:t>
        </w:r>
      </w:hyperlink>
      <w:r>
        <w:rPr>
          <w:rFonts w:ascii="Times New Roman" w:hAnsi="Times New Roman" w:cs="Times New Roman" w:eastAsia="Times New Roman" w:hint="default"/>
          <w:spacing w:val="-43"/>
        </w:rPr>
        <w:t> </w:t>
      </w:r>
      <w:r>
        <w:rPr>
          <w:rFonts w:ascii="Times New Roman" w:hAnsi="Times New Roman" w:cs="Times New Roman" w:eastAsia="Times New Roman" w:hint="default"/>
          <w:spacing w:val="-43"/>
        </w:rPr>
      </w:r>
      <w:r>
        <w:rPr/>
        <w:t>年度报告备置地点：深圳市惠程电气股份有限公司董事会办公室</w:t>
      </w:r>
    </w:p>
    <w:p>
      <w:pPr>
        <w:pStyle w:val="BodyText"/>
        <w:spacing w:line="396" w:lineRule="auto" w:before="158"/>
        <w:ind w:left="738" w:right="4546" w:hanging="480"/>
        <w:jc w:val="left"/>
      </w:pPr>
      <w:r>
        <w:rPr/>
        <w:t>六、公司股票上市交易所：深圳证券交易所 股票简称：深圳惠程</w:t>
      </w:r>
    </w:p>
    <w:p>
      <w:pPr>
        <w:pStyle w:val="BodyText"/>
        <w:spacing w:line="262" w:lineRule="exact"/>
        <w:ind w:left="738" w:right="235"/>
        <w:jc w:val="left"/>
        <w:rPr>
          <w:rFonts w:ascii="Times New Roman" w:hAnsi="Times New Roman" w:cs="Times New Roman" w:eastAsia="Times New Roman" w:hint="default"/>
        </w:rPr>
      </w:pPr>
      <w:r>
        <w:rPr/>
        <w:t>股票代码：</w:t>
      </w:r>
      <w:r>
        <w:rPr>
          <w:rFonts w:ascii="Times New Roman" w:hAnsi="Times New Roman" w:cs="Times New Roman" w:eastAsia="Times New Roman" w:hint="default"/>
        </w:rPr>
        <w:t>002168</w:t>
      </w:r>
    </w:p>
    <w:p>
      <w:pPr>
        <w:pStyle w:val="BodyText"/>
        <w:spacing w:line="240" w:lineRule="auto" w:before="188"/>
        <w:ind w:right="235"/>
        <w:jc w:val="left"/>
      </w:pPr>
      <w:r>
        <w:rPr/>
        <w:t>七、其他有关资料</w:t>
      </w:r>
    </w:p>
    <w:p>
      <w:pPr>
        <w:pStyle w:val="BodyText"/>
        <w:spacing w:line="288" w:lineRule="auto" w:before="205"/>
        <w:ind w:left="738" w:right="235"/>
        <w:jc w:val="left"/>
      </w:pPr>
      <w:r>
        <w:rPr/>
        <w:t>公司首次注册登记日期、地点： </w:t>
      </w:r>
      <w:r>
        <w:rPr>
          <w:rFonts w:ascii="Times New Roman" w:hAnsi="Times New Roman" w:cs="Times New Roman" w:eastAsia="Times New Roman" w:hint="default"/>
        </w:rPr>
        <w:t>1999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w:t>
      </w:r>
      <w:r>
        <w:rPr/>
        <w:t>日在深圳市工商行政管理局 公司最近一次变更注册登记日期、地点：</w:t>
      </w:r>
      <w:r>
        <w:rPr>
          <w:rFonts w:ascii="Times New Roman" w:hAnsi="Times New Roman" w:cs="Times New Roman" w:eastAsia="Times New Roman" w:hint="default"/>
        </w:rPr>
        <w:t>2011  </w:t>
      </w:r>
      <w:r>
        <w:rPr/>
        <w:t>年 </w:t>
      </w:r>
      <w:r>
        <w:rPr>
          <w:rFonts w:ascii="Times New Roman" w:hAnsi="Times New Roman" w:cs="Times New Roman" w:eastAsia="Times New Roman" w:hint="default"/>
        </w:rPr>
        <w:t>6  </w:t>
      </w:r>
      <w:r>
        <w:rPr/>
        <w:t>月 </w:t>
      </w:r>
      <w:r>
        <w:rPr>
          <w:rFonts w:ascii="Times New Roman" w:hAnsi="Times New Roman" w:cs="Times New Roman" w:eastAsia="Times New Roman" w:hint="default"/>
        </w:rPr>
        <w:t>24</w:t>
      </w:r>
      <w:r>
        <w:rPr>
          <w:rFonts w:ascii="Times New Roman" w:hAnsi="Times New Roman" w:cs="Times New Roman" w:eastAsia="Times New Roman" w:hint="default"/>
          <w:spacing w:val="51"/>
        </w:rPr>
        <w:t> </w:t>
      </w:r>
      <w:r>
        <w:rPr/>
        <w:t>日在深圳市工商行政</w:t>
      </w:r>
    </w:p>
    <w:p>
      <w:pPr>
        <w:pStyle w:val="BodyText"/>
        <w:spacing w:line="240" w:lineRule="auto" w:before="15"/>
        <w:ind w:right="235"/>
        <w:jc w:val="left"/>
      </w:pPr>
      <w:r>
        <w:rPr/>
        <w:t>管理局</w:t>
      </w:r>
    </w:p>
    <w:p>
      <w:pPr>
        <w:spacing w:after="0" w:line="240" w:lineRule="auto"/>
        <w:jc w:val="left"/>
        <w:sectPr>
          <w:pgSz w:w="11910" w:h="16840"/>
          <w:pgMar w:header="470" w:footer="1266" w:top="900" w:bottom="1460" w:left="1160" w:right="13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288" w:lineRule="auto" w:before="26"/>
        <w:ind w:left="738" w:right="2373"/>
        <w:jc w:val="left"/>
        <w:rPr>
          <w:rFonts w:ascii="Times New Roman" w:hAnsi="Times New Roman" w:cs="Times New Roman" w:eastAsia="Times New Roman" w:hint="default"/>
        </w:rPr>
      </w:pPr>
      <w:r>
        <w:rPr>
          <w:spacing w:val="-1"/>
        </w:rPr>
        <w:t>企业法人营业执照注册号：</w:t>
      </w:r>
      <w:r>
        <w:rPr>
          <w:rFonts w:ascii="Times New Roman" w:hAnsi="Times New Roman" w:cs="Times New Roman" w:eastAsia="Times New Roman" w:hint="default"/>
          <w:spacing w:val="-1"/>
        </w:rPr>
        <w:t>440301102994546</w:t>
      </w:r>
      <w:r>
        <w:rPr>
          <w:rFonts w:ascii="Times New Roman" w:hAnsi="Times New Roman" w:cs="Times New Roman" w:eastAsia="Times New Roman" w:hint="default"/>
          <w:spacing w:val="-42"/>
        </w:rPr>
        <w:t> </w:t>
      </w:r>
      <w:r>
        <w:rPr>
          <w:rFonts w:ascii="Times New Roman" w:hAnsi="Times New Roman" w:cs="Times New Roman" w:eastAsia="Times New Roman" w:hint="default"/>
          <w:spacing w:val="-42"/>
        </w:rPr>
      </w:r>
      <w:r>
        <w:rPr/>
        <w:t>税务登记号码：</w:t>
      </w:r>
      <w:r>
        <w:rPr>
          <w:spacing w:val="-9"/>
        </w:rPr>
        <w:t> </w:t>
      </w:r>
      <w:r>
        <w:rPr>
          <w:rFonts w:ascii="Times New Roman" w:hAnsi="Times New Roman" w:cs="Times New Roman" w:eastAsia="Times New Roman" w:hint="default"/>
        </w:rPr>
        <w:t>440301715211901</w:t>
      </w:r>
    </w:p>
    <w:p>
      <w:pPr>
        <w:pStyle w:val="BodyText"/>
        <w:spacing w:line="297" w:lineRule="auto" w:before="14"/>
        <w:ind w:left="738" w:right="2373"/>
        <w:jc w:val="left"/>
      </w:pPr>
      <w:r>
        <w:rPr/>
        <w:t>组织机构代码：</w:t>
      </w:r>
      <w:r>
        <w:rPr>
          <w:spacing w:val="-1"/>
        </w:rPr>
        <w:t> </w:t>
      </w:r>
      <w:r>
        <w:rPr>
          <w:rFonts w:ascii="Times New Roman" w:hAnsi="Times New Roman" w:cs="Times New Roman" w:eastAsia="Times New Roman" w:hint="default"/>
        </w:rPr>
        <w:t>71521190-1 </w:t>
      </w:r>
      <w:r>
        <w:rPr/>
        <w:t>公司聘请的会计师事务所名称：立信会计师事务所 办公地址：深圳市福田区香梅路中投国际商务中心</w:t>
      </w:r>
      <w:r>
        <w:rPr>
          <w:rFonts w:ascii="Times New Roman" w:hAnsi="Times New Roman" w:cs="Times New Roman" w:eastAsia="Times New Roman" w:hint="default"/>
        </w:rPr>
        <w:t>A</w:t>
      </w:r>
      <w:r>
        <w:rPr/>
        <w:t>栋</w:t>
      </w:r>
      <w:r>
        <w:rPr>
          <w:rFonts w:ascii="Times New Roman" w:hAnsi="Times New Roman" w:cs="Times New Roman" w:eastAsia="Times New Roman" w:hint="default"/>
        </w:rPr>
        <w:t>16</w:t>
      </w:r>
      <w:r>
        <w:rPr/>
        <w:t>楼</w:t>
      </w:r>
    </w:p>
    <w:p>
      <w:pPr>
        <w:spacing w:after="0" w:line="297" w:lineRule="auto"/>
        <w:jc w:val="left"/>
        <w:sectPr>
          <w:pgSz w:w="11910" w:h="16840"/>
          <w:pgMar w:header="470" w:footer="1266" w:top="900" w:bottom="1460" w:left="1160" w:right="14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1"/>
        <w:tabs>
          <w:tab w:pos="3584" w:val="left" w:leader="none"/>
        </w:tabs>
        <w:spacing w:line="240" w:lineRule="auto"/>
        <w:ind w:left="2299" w:right="1043"/>
        <w:jc w:val="left"/>
        <w:rPr>
          <w:b w:val="0"/>
          <w:bCs w:val="0"/>
        </w:rPr>
      </w:pPr>
      <w:bookmarkStart w:name="_TOC_250013" w:id="2"/>
      <w:r>
        <w:rPr>
          <w:w w:val="95"/>
        </w:rPr>
        <w:t>第二节</w:t>
        <w:tab/>
      </w:r>
      <w:r>
        <w:rPr/>
        <w:t>会计数据和业务数据摘要</w:t>
      </w:r>
      <w:bookmarkEnd w:id="2"/>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7"/>
          <w:szCs w:val="27"/>
        </w:rPr>
      </w:pPr>
    </w:p>
    <w:p>
      <w:pPr>
        <w:spacing w:before="26"/>
        <w:ind w:left="258" w:right="1043"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94"/>
          <w:sz w:val="24"/>
          <w:szCs w:val="24"/>
        </w:rPr>
        <w:t> </w:t>
      </w:r>
      <w:r>
        <w:rPr>
          <w:rFonts w:ascii="宋体" w:hAnsi="宋体" w:cs="宋体" w:eastAsia="宋体" w:hint="default"/>
          <w:b/>
          <w:bCs/>
          <w:sz w:val="24"/>
          <w:szCs w:val="24"/>
        </w:rPr>
        <w:t>本年度主要会计数据及业务数据</w:t>
      </w:r>
      <w:r>
        <w:rPr>
          <w:rFonts w:ascii="宋体" w:hAnsi="宋体" w:cs="宋体" w:eastAsia="宋体" w:hint="default"/>
          <w:sz w:val="24"/>
          <w:szCs w:val="24"/>
        </w:rPr>
      </w:r>
    </w:p>
    <w:p>
      <w:pPr>
        <w:pStyle w:val="BodyText"/>
        <w:spacing w:line="240" w:lineRule="auto" w:before="85"/>
        <w:ind w:left="0" w:right="1042"/>
        <w:jc w:val="right"/>
      </w:pPr>
      <w:r>
        <w:rPr>
          <w:spacing w:val="-10"/>
        </w:rPr>
        <w:t>单位：元</w:t>
      </w:r>
    </w:p>
    <w:p>
      <w:pPr>
        <w:spacing w:line="240" w:lineRule="auto" w:before="7"/>
        <w:rPr>
          <w:rFonts w:ascii="宋体" w:hAnsi="宋体" w:cs="宋体" w:eastAsia="宋体" w:hint="default"/>
          <w:sz w:val="3"/>
          <w:szCs w:val="3"/>
        </w:rPr>
      </w:pPr>
    </w:p>
    <w:tbl>
      <w:tblPr>
        <w:tblW w:w="0" w:type="auto"/>
        <w:jc w:val="left"/>
        <w:tblInd w:w="145" w:type="dxa"/>
        <w:tblLayout w:type="fixed"/>
        <w:tblCellMar>
          <w:top w:w="0" w:type="dxa"/>
          <w:left w:w="0" w:type="dxa"/>
          <w:bottom w:w="0" w:type="dxa"/>
          <w:right w:w="0" w:type="dxa"/>
        </w:tblCellMar>
        <w:tblLook w:val="01E0"/>
      </w:tblPr>
      <w:tblGrid>
        <w:gridCol w:w="5609"/>
        <w:gridCol w:w="4139"/>
      </w:tblGrid>
      <w:tr>
        <w:trPr>
          <w:trHeight w:val="410" w:hRule="exact"/>
        </w:trPr>
        <w:tc>
          <w:tcPr>
            <w:tcW w:w="56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41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right="1"/>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410" w:hRule="exact"/>
        </w:trPr>
        <w:tc>
          <w:tcPr>
            <w:tcW w:w="56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4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Times New Roman" w:hAnsi="Times New Roman" w:cs="Times New Roman" w:eastAsia="Times New Roman" w:hint="default"/>
                <w:sz w:val="21"/>
                <w:szCs w:val="21"/>
              </w:rPr>
            </w:pPr>
            <w:r>
              <w:rPr>
                <w:rFonts w:ascii="Times New Roman"/>
                <w:spacing w:val="-1"/>
                <w:sz w:val="21"/>
              </w:rPr>
              <w:t>370,142,507.50</w:t>
            </w:r>
          </w:p>
        </w:tc>
      </w:tr>
      <w:tr>
        <w:trPr>
          <w:trHeight w:val="410" w:hRule="exact"/>
        </w:trPr>
        <w:tc>
          <w:tcPr>
            <w:tcW w:w="56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left="10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4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Times New Roman" w:hAnsi="Times New Roman" w:cs="Times New Roman" w:eastAsia="Times New Roman" w:hint="default"/>
                <w:sz w:val="21"/>
                <w:szCs w:val="21"/>
              </w:rPr>
            </w:pPr>
            <w:r>
              <w:rPr>
                <w:rFonts w:ascii="Times New Roman"/>
                <w:spacing w:val="-1"/>
                <w:sz w:val="21"/>
              </w:rPr>
              <w:t>81,903,868.31</w:t>
            </w:r>
          </w:p>
        </w:tc>
      </w:tr>
      <w:tr>
        <w:trPr>
          <w:trHeight w:val="410" w:hRule="exact"/>
        </w:trPr>
        <w:tc>
          <w:tcPr>
            <w:tcW w:w="56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4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Times New Roman" w:hAnsi="Times New Roman" w:cs="Times New Roman" w:eastAsia="Times New Roman" w:hint="default"/>
                <w:sz w:val="21"/>
                <w:szCs w:val="21"/>
              </w:rPr>
            </w:pPr>
            <w:r>
              <w:rPr>
                <w:rFonts w:ascii="Times New Roman"/>
                <w:spacing w:val="-1"/>
                <w:sz w:val="21"/>
              </w:rPr>
              <w:t>70,590,817.47</w:t>
            </w:r>
          </w:p>
        </w:tc>
      </w:tr>
      <w:tr>
        <w:trPr>
          <w:trHeight w:val="410" w:hRule="exact"/>
        </w:trPr>
        <w:tc>
          <w:tcPr>
            <w:tcW w:w="56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4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01"/>
              <w:jc w:val="right"/>
              <w:rPr>
                <w:rFonts w:ascii="Times New Roman" w:hAnsi="Times New Roman" w:cs="Times New Roman" w:eastAsia="Times New Roman" w:hint="default"/>
                <w:sz w:val="21"/>
                <w:szCs w:val="21"/>
              </w:rPr>
            </w:pPr>
            <w:r>
              <w:rPr>
                <w:rFonts w:ascii="Times New Roman"/>
                <w:spacing w:val="-1"/>
                <w:sz w:val="21"/>
              </w:rPr>
              <w:t>48,333,021.65</w:t>
            </w:r>
          </w:p>
        </w:tc>
      </w:tr>
      <w:tr>
        <w:trPr>
          <w:trHeight w:val="410" w:hRule="exact"/>
        </w:trPr>
        <w:tc>
          <w:tcPr>
            <w:tcW w:w="56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4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Times New Roman" w:hAnsi="Times New Roman" w:cs="Times New Roman" w:eastAsia="Times New Roman" w:hint="default"/>
                <w:sz w:val="21"/>
                <w:szCs w:val="21"/>
              </w:rPr>
            </w:pPr>
            <w:r>
              <w:rPr>
                <w:rFonts w:ascii="Times New Roman"/>
                <w:spacing w:val="-1"/>
                <w:sz w:val="21"/>
              </w:rPr>
              <w:t>107,808,671.43</w:t>
            </w:r>
          </w:p>
        </w:tc>
      </w:tr>
    </w:tbl>
    <w:p>
      <w:pPr>
        <w:spacing w:after="0" w:line="240" w:lineRule="auto"/>
        <w:jc w:val="right"/>
        <w:rPr>
          <w:rFonts w:ascii="Times New Roman" w:hAnsi="Times New Roman" w:cs="Times New Roman" w:eastAsia="Times New Roman" w:hint="default"/>
          <w:sz w:val="21"/>
          <w:szCs w:val="21"/>
        </w:rPr>
        <w:sectPr>
          <w:pgSz w:w="11910" w:h="16840"/>
          <w:pgMar w:header="470" w:footer="1266" w:top="900" w:bottom="1460" w:left="1160" w:right="540"/>
        </w:sectPr>
      </w:pPr>
    </w:p>
    <w:p>
      <w:pPr>
        <w:pStyle w:val="BodyText"/>
        <w:spacing w:line="240" w:lineRule="auto" w:before="81"/>
        <w:ind w:right="-20"/>
        <w:jc w:val="left"/>
      </w:pPr>
      <w:r>
        <w:rPr/>
        <w:t>扣除的非经常性损益项目及相关金额如下</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5"/>
        <w:rPr>
          <w:rFonts w:ascii="宋体" w:hAnsi="宋体" w:cs="宋体" w:eastAsia="宋体" w:hint="default"/>
          <w:sz w:val="16"/>
          <w:szCs w:val="16"/>
        </w:rPr>
      </w:pPr>
    </w:p>
    <w:p>
      <w:pPr>
        <w:spacing w:before="0"/>
        <w:ind w:left="258"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900" w:bottom="1460" w:left="1160" w:right="540"/>
          <w:cols w:num="2" w:equalWidth="0">
            <w:col w:w="4579" w:space="3603"/>
            <w:col w:w="2028"/>
          </w:cols>
        </w:sectPr>
      </w:pPr>
    </w:p>
    <w:p>
      <w:pPr>
        <w:spacing w:line="240" w:lineRule="auto" w:before="3"/>
        <w:rPr>
          <w:rFonts w:ascii="宋体" w:hAnsi="宋体" w:cs="宋体" w:eastAsia="宋体" w:hint="default"/>
          <w:sz w:val="5"/>
          <w:szCs w:val="5"/>
        </w:rPr>
      </w:pPr>
    </w:p>
    <w:tbl>
      <w:tblPr>
        <w:tblW w:w="0" w:type="auto"/>
        <w:jc w:val="left"/>
        <w:tblInd w:w="111" w:type="dxa"/>
        <w:tblLayout w:type="fixed"/>
        <w:tblCellMar>
          <w:top w:w="0" w:type="dxa"/>
          <w:left w:w="0" w:type="dxa"/>
          <w:bottom w:w="0" w:type="dxa"/>
          <w:right w:w="0" w:type="dxa"/>
        </w:tblCellMar>
        <w:tblLook w:val="01E0"/>
      </w:tblPr>
      <w:tblGrid>
        <w:gridCol w:w="3703"/>
        <w:gridCol w:w="1400"/>
        <w:gridCol w:w="2126"/>
        <w:gridCol w:w="1276"/>
        <w:gridCol w:w="1276"/>
      </w:tblGrid>
      <w:tr>
        <w:trPr>
          <w:trHeight w:val="324" w:hRule="exact"/>
        </w:trPr>
        <w:tc>
          <w:tcPr>
            <w:tcW w:w="37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26" w:right="0"/>
              <w:jc w:val="left"/>
              <w:rPr>
                <w:rFonts w:ascii="宋体" w:hAnsi="宋体" w:cs="宋体" w:eastAsia="宋体" w:hint="default"/>
                <w:sz w:val="18"/>
                <w:szCs w:val="18"/>
              </w:rPr>
            </w:pPr>
            <w:r>
              <w:rPr>
                <w:rFonts w:ascii="宋体" w:hAnsi="宋体" w:cs="宋体" w:eastAsia="宋体" w:hint="default"/>
                <w:sz w:val="18"/>
                <w:szCs w:val="18"/>
              </w:rPr>
              <w:t>非经常性损益项目</w:t>
            </w:r>
          </w:p>
        </w:tc>
        <w:tc>
          <w:tcPr>
            <w:tcW w:w="14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年金额</w:t>
            </w:r>
          </w:p>
        </w:tc>
        <w:tc>
          <w:tcPr>
            <w:tcW w:w="21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427" w:right="0"/>
              <w:jc w:val="left"/>
              <w:rPr>
                <w:rFonts w:ascii="宋体" w:hAnsi="宋体" w:cs="宋体" w:eastAsia="宋体" w:hint="default"/>
                <w:sz w:val="18"/>
                <w:szCs w:val="18"/>
              </w:rPr>
            </w:pPr>
            <w:r>
              <w:rPr>
                <w:rFonts w:ascii="宋体" w:hAnsi="宋体" w:cs="宋体" w:eastAsia="宋体" w:hint="default"/>
                <w:sz w:val="18"/>
                <w:szCs w:val="18"/>
              </w:rPr>
              <w:t>附注（如适用）</w:t>
            </w:r>
          </w:p>
        </w:tc>
        <w:tc>
          <w:tcPr>
            <w:tcW w:w="12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2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5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r>
      <w:tr>
        <w:trPr>
          <w:trHeight w:val="323" w:hRule="exact"/>
        </w:trPr>
        <w:tc>
          <w:tcPr>
            <w:tcW w:w="37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-329,030.18</w:t>
            </w:r>
            <w:r>
              <w:rPr>
                <w:rFonts w:ascii="Times New Roman"/>
                <w:sz w:val="18"/>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主要系出售固定资产损失</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-28,495.25</w:t>
            </w:r>
            <w:r>
              <w:rPr>
                <w:rFonts w:ascii="Times New Roman"/>
                <w:sz w:val="18"/>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1,665,549.32</w:t>
            </w:r>
          </w:p>
        </w:tc>
      </w:tr>
      <w:tr>
        <w:trPr>
          <w:trHeight w:val="791" w:hRule="exact"/>
        </w:trPr>
        <w:tc>
          <w:tcPr>
            <w:tcW w:w="37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left="22" w:right="17"/>
              <w:jc w:val="both"/>
              <w:rPr>
                <w:rFonts w:ascii="宋体" w:hAnsi="宋体" w:cs="宋体" w:eastAsia="宋体" w:hint="default"/>
                <w:sz w:val="18"/>
                <w:szCs w:val="18"/>
              </w:rPr>
            </w:pPr>
            <w:r>
              <w:rPr>
                <w:rFonts w:ascii="宋体" w:hAnsi="宋体" w:cs="宋体" w:eastAsia="宋体" w:hint="default"/>
                <w:spacing w:val="2"/>
                <w:sz w:val="18"/>
                <w:szCs w:val="18"/>
              </w:rPr>
              <w:t>计入当期损益的政府补助，但与公司正常经营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
                <w:sz w:val="18"/>
                <w:szCs w:val="18"/>
              </w:rPr>
              <w:t>业务密切相关，符合国家政策规定、按照一定</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标准定额或定量持续享受的政府补助除外</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25,716,594.98</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112"/>
              <w:jc w:val="left"/>
              <w:rPr>
                <w:rFonts w:ascii="宋体" w:hAnsi="宋体" w:cs="宋体" w:eastAsia="宋体" w:hint="default"/>
                <w:sz w:val="18"/>
                <w:szCs w:val="18"/>
              </w:rPr>
            </w:pPr>
            <w:r>
              <w:rPr>
                <w:rFonts w:ascii="宋体" w:hAnsi="宋体" w:cs="宋体" w:eastAsia="宋体" w:hint="default"/>
                <w:sz w:val="18"/>
                <w:szCs w:val="18"/>
              </w:rPr>
              <w:t>主要系母公司及子公司所 获政府补助计入当期损益</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3,389,885.02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968,977.22</w:t>
            </w:r>
          </w:p>
        </w:tc>
      </w:tr>
      <w:tr>
        <w:trPr>
          <w:trHeight w:val="277" w:hRule="exact"/>
        </w:trPr>
        <w:tc>
          <w:tcPr>
            <w:tcW w:w="3703"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pacing w:val="2"/>
                <w:sz w:val="18"/>
                <w:szCs w:val="18"/>
              </w:rPr>
              <w:t>除同公司正常经营业务相关的有效套期保值业</w:t>
            </w:r>
            <w:r>
              <w:rPr>
                <w:rFonts w:ascii="宋体" w:hAnsi="宋体" w:cs="宋体" w:eastAsia="宋体" w:hint="default"/>
                <w:sz w:val="18"/>
                <w:szCs w:val="18"/>
              </w:rPr>
            </w:r>
          </w:p>
        </w:tc>
        <w:tc>
          <w:tcPr>
            <w:tcW w:w="1400" w:type="dxa"/>
            <w:tcBorders>
              <w:top w:val="single" w:sz="4" w:space="0" w:color="000000"/>
              <w:left w:val="single" w:sz="4" w:space="0" w:color="000000"/>
              <w:bottom w:val="nil" w:sz="6" w:space="0" w:color="auto"/>
              <w:right w:val="single" w:sz="4" w:space="0" w:color="000000"/>
            </w:tcBorders>
          </w:tcPr>
          <w:p>
            <w:pPr/>
          </w:p>
        </w:tc>
        <w:tc>
          <w:tcPr>
            <w:tcW w:w="2126"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370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pacing w:val="2"/>
                <w:sz w:val="18"/>
                <w:szCs w:val="18"/>
              </w:rPr>
              <w:t>务外，持有交易性金融资产、交易性金融负债</w:t>
            </w:r>
            <w:r>
              <w:rPr>
                <w:rFonts w:ascii="宋体" w:hAnsi="宋体" w:cs="宋体" w:eastAsia="宋体" w:hint="default"/>
                <w:sz w:val="18"/>
                <w:szCs w:val="18"/>
              </w:rPr>
            </w:r>
          </w:p>
        </w:tc>
        <w:tc>
          <w:tcPr>
            <w:tcW w:w="1400" w:type="dxa"/>
            <w:tcBorders>
              <w:top w:val="nil" w:sz="6" w:space="0" w:color="auto"/>
              <w:left w:val="single" w:sz="4" w:space="0" w:color="000000"/>
              <w:bottom w:val="nil" w:sz="6" w:space="0" w:color="auto"/>
              <w:right w:val="single" w:sz="4" w:space="0" w:color="000000"/>
            </w:tcBorders>
          </w:tcPr>
          <w:p>
            <w:pPr/>
          </w:p>
        </w:tc>
        <w:tc>
          <w:tcPr>
            <w:tcW w:w="2126"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r>
      <w:tr>
        <w:trPr>
          <w:trHeight w:val="237" w:hRule="exact"/>
        </w:trPr>
        <w:tc>
          <w:tcPr>
            <w:tcW w:w="370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06" w:lineRule="exact"/>
              <w:ind w:left="22" w:right="0"/>
              <w:jc w:val="left"/>
              <w:rPr>
                <w:rFonts w:ascii="宋体" w:hAnsi="宋体" w:cs="宋体" w:eastAsia="宋体" w:hint="default"/>
                <w:sz w:val="18"/>
                <w:szCs w:val="18"/>
              </w:rPr>
            </w:pPr>
            <w:r>
              <w:rPr>
                <w:rFonts w:ascii="宋体" w:hAnsi="宋体" w:cs="宋体" w:eastAsia="宋体" w:hint="default"/>
                <w:spacing w:val="2"/>
                <w:sz w:val="18"/>
                <w:szCs w:val="18"/>
              </w:rPr>
              <w:t>产生的公允价值变动损益，以及处置交易性金</w:t>
            </w:r>
            <w:r>
              <w:rPr>
                <w:rFonts w:ascii="宋体" w:hAnsi="宋体" w:cs="宋体" w:eastAsia="宋体" w:hint="default"/>
                <w:sz w:val="18"/>
                <w:szCs w:val="18"/>
              </w:rPr>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0"/>
              <w:jc w:val="right"/>
              <w:rPr>
                <w:rFonts w:ascii="Times New Roman" w:hAnsi="Times New Roman" w:cs="Times New Roman" w:eastAsia="Times New Roman" w:hint="default"/>
                <w:sz w:val="18"/>
                <w:szCs w:val="18"/>
              </w:rPr>
            </w:pPr>
            <w:r>
              <w:rPr>
                <w:rFonts w:ascii="Times New Roman"/>
                <w:spacing w:val="-1"/>
                <w:sz w:val="18"/>
              </w:rPr>
              <w:t>1,293,630.97</w:t>
            </w: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2" w:right="0"/>
              <w:jc w:val="left"/>
              <w:rPr>
                <w:rFonts w:ascii="宋体" w:hAnsi="宋体" w:cs="宋体" w:eastAsia="宋体" w:hint="default"/>
                <w:sz w:val="18"/>
                <w:szCs w:val="18"/>
              </w:rPr>
            </w:pPr>
            <w:r>
              <w:rPr>
                <w:rFonts w:ascii="宋体" w:hAnsi="宋体" w:cs="宋体" w:eastAsia="宋体" w:hint="default"/>
                <w:sz w:val="18"/>
                <w:szCs w:val="18"/>
              </w:rPr>
              <w:t>购买理财产品获得的收益</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18"/>
                <w:szCs w:val="18"/>
              </w:rPr>
            </w:pPr>
            <w:r>
              <w:rPr>
                <w:rFonts w:ascii="Times New Roman"/>
                <w:spacing w:val="-1"/>
                <w:sz w:val="18"/>
              </w:rPr>
              <w:t>-6,179,757.34</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1"/>
              <w:jc w:val="right"/>
              <w:rPr>
                <w:rFonts w:ascii="Times New Roman" w:hAnsi="Times New Roman" w:cs="Times New Roman" w:eastAsia="Times New Roman" w:hint="default"/>
                <w:sz w:val="18"/>
                <w:szCs w:val="18"/>
              </w:rPr>
            </w:pPr>
            <w:r>
              <w:rPr>
                <w:rFonts w:ascii="Times New Roman"/>
                <w:spacing w:val="-1"/>
                <w:sz w:val="18"/>
              </w:rPr>
              <w:t>12,146,250.48</w:t>
            </w:r>
          </w:p>
        </w:tc>
      </w:tr>
      <w:tr>
        <w:trPr>
          <w:trHeight w:val="230" w:hRule="exact"/>
        </w:trPr>
        <w:tc>
          <w:tcPr>
            <w:tcW w:w="370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03" w:lineRule="exact"/>
              <w:ind w:left="22" w:right="0"/>
              <w:jc w:val="left"/>
              <w:rPr>
                <w:rFonts w:ascii="宋体" w:hAnsi="宋体" w:cs="宋体" w:eastAsia="宋体" w:hint="default"/>
                <w:sz w:val="18"/>
                <w:szCs w:val="18"/>
              </w:rPr>
            </w:pPr>
            <w:r>
              <w:rPr>
                <w:rFonts w:ascii="宋体" w:hAnsi="宋体" w:cs="宋体" w:eastAsia="宋体" w:hint="default"/>
                <w:spacing w:val="2"/>
                <w:sz w:val="18"/>
                <w:szCs w:val="18"/>
              </w:rPr>
              <w:t>融资产、交易性金融负债和可供出售金融资产</w:t>
            </w:r>
            <w:r>
              <w:rPr>
                <w:rFonts w:ascii="宋体" w:hAnsi="宋体" w:cs="宋体" w:eastAsia="宋体" w:hint="default"/>
                <w:sz w:val="18"/>
                <w:szCs w:val="18"/>
              </w:rPr>
            </w:r>
          </w:p>
        </w:tc>
        <w:tc>
          <w:tcPr>
            <w:tcW w:w="1400" w:type="dxa"/>
            <w:tcBorders>
              <w:top w:val="nil" w:sz="6" w:space="0" w:color="auto"/>
              <w:left w:val="single" w:sz="4" w:space="0" w:color="000000"/>
              <w:bottom w:val="nil" w:sz="6" w:space="0" w:color="auto"/>
              <w:right w:val="single" w:sz="4" w:space="0" w:color="000000"/>
            </w:tcBorders>
          </w:tcPr>
          <w:p>
            <w:pPr/>
          </w:p>
        </w:tc>
        <w:tc>
          <w:tcPr>
            <w:tcW w:w="2126"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3703"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06" w:lineRule="exact"/>
              <w:ind w:left="22" w:right="0"/>
              <w:jc w:val="left"/>
              <w:rPr>
                <w:rFonts w:ascii="宋体" w:hAnsi="宋体" w:cs="宋体" w:eastAsia="宋体" w:hint="default"/>
                <w:sz w:val="18"/>
                <w:szCs w:val="18"/>
              </w:rPr>
            </w:pPr>
            <w:r>
              <w:rPr>
                <w:rFonts w:ascii="宋体" w:hAnsi="宋体" w:cs="宋体" w:eastAsia="宋体" w:hint="default"/>
                <w:sz w:val="18"/>
                <w:szCs w:val="18"/>
              </w:rPr>
              <w:t>取得的投资收益</w:t>
            </w:r>
          </w:p>
        </w:tc>
        <w:tc>
          <w:tcPr>
            <w:tcW w:w="1400" w:type="dxa"/>
            <w:tcBorders>
              <w:top w:val="nil" w:sz="6" w:space="0" w:color="auto"/>
              <w:left w:val="single" w:sz="4" w:space="0" w:color="000000"/>
              <w:bottom w:val="single" w:sz="4" w:space="0" w:color="000000"/>
              <w:right w:val="single" w:sz="4" w:space="0" w:color="000000"/>
            </w:tcBorders>
          </w:tcPr>
          <w:p>
            <w:pPr/>
          </w:p>
        </w:tc>
        <w:tc>
          <w:tcPr>
            <w:tcW w:w="2126"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
        </w:tc>
      </w:tr>
      <w:tr>
        <w:trPr>
          <w:trHeight w:val="324" w:hRule="exact"/>
        </w:trPr>
        <w:tc>
          <w:tcPr>
            <w:tcW w:w="37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1,998,058.25</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主要为收到的罚款</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193,750.23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133,824.32</w:t>
            </w:r>
          </w:p>
        </w:tc>
      </w:tr>
      <w:tr>
        <w:trPr>
          <w:trHeight w:val="323" w:hRule="exact"/>
        </w:trPr>
        <w:tc>
          <w:tcPr>
            <w:tcW w:w="37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-4,503,362.21</w:t>
            </w:r>
          </w:p>
        </w:tc>
        <w:tc>
          <w:tcPr>
            <w:tcW w:w="212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170,547.15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-2,094,056.37</w:t>
            </w:r>
          </w:p>
        </w:tc>
      </w:tr>
      <w:tr>
        <w:trPr>
          <w:trHeight w:val="324" w:hRule="exact"/>
        </w:trPr>
        <w:tc>
          <w:tcPr>
            <w:tcW w:w="37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-1,918,095.99</w:t>
            </w:r>
          </w:p>
        </w:tc>
        <w:tc>
          <w:tcPr>
            <w:tcW w:w="212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-765,500.50</w:t>
            </w:r>
            <w:r>
              <w:rPr>
                <w:rFonts w:ascii="Times New Roman"/>
                <w:sz w:val="18"/>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w w:val="95"/>
                <w:sz w:val="18"/>
              </w:rPr>
              <w:t>-425,887.29</w:t>
            </w:r>
            <w:r>
              <w:rPr>
                <w:rFonts w:ascii="Times New Roman"/>
                <w:sz w:val="18"/>
              </w:rPr>
            </w:r>
          </w:p>
        </w:tc>
      </w:tr>
      <w:tr>
        <w:trPr>
          <w:trHeight w:val="324" w:hRule="exact"/>
        </w:trPr>
        <w:tc>
          <w:tcPr>
            <w:tcW w:w="37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22,257,795.82</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-3,219,570.69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12,394,657.68</w:t>
            </w:r>
          </w:p>
        </w:tc>
      </w:tr>
    </w:tbl>
    <w:p>
      <w:pPr>
        <w:spacing w:line="240" w:lineRule="auto" w:before="0"/>
        <w:rPr>
          <w:rFonts w:ascii="宋体" w:hAnsi="宋体" w:cs="宋体" w:eastAsia="宋体" w:hint="default"/>
          <w:sz w:val="20"/>
          <w:szCs w:val="20"/>
        </w:rPr>
      </w:pPr>
    </w:p>
    <w:p>
      <w:pPr>
        <w:spacing w:before="178"/>
        <w:ind w:left="258" w:right="1043" w:firstLine="0"/>
        <w:jc w:val="left"/>
        <w:rPr>
          <w:rFonts w:ascii="宋体" w:hAnsi="宋体" w:cs="宋体" w:eastAsia="宋体" w:hint="default"/>
          <w:sz w:val="24"/>
          <w:szCs w:val="24"/>
        </w:rPr>
      </w:pPr>
      <w:r>
        <w:rPr>
          <w:rFonts w:ascii="宋体" w:hAnsi="宋体" w:cs="宋体" w:eastAsia="宋体" w:hint="default"/>
          <w:b/>
          <w:bCs/>
          <w:sz w:val="24"/>
          <w:szCs w:val="24"/>
        </w:rPr>
        <w:t>二、公司近三年的主要会计数据和财务指标</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after="0" w:line="240" w:lineRule="auto"/>
        <w:rPr>
          <w:rFonts w:ascii="宋体" w:hAnsi="宋体" w:cs="宋体" w:eastAsia="宋体" w:hint="default"/>
          <w:sz w:val="20"/>
          <w:szCs w:val="20"/>
        </w:rPr>
        <w:sectPr>
          <w:type w:val="continuous"/>
          <w:pgSz w:w="11910" w:h="16840"/>
          <w:pgMar w:top="900" w:bottom="1460" w:left="1160" w:right="540"/>
        </w:sectPr>
      </w:pPr>
    </w:p>
    <w:p>
      <w:pPr>
        <w:pStyle w:val="BodyText"/>
        <w:spacing w:line="240" w:lineRule="auto" w:before="186"/>
        <w:ind w:right="-20"/>
        <w:jc w:val="left"/>
      </w:pPr>
      <w:r>
        <w:rPr/>
        <w:t>（一）主要会计数据</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9"/>
        <w:rPr>
          <w:rFonts w:ascii="宋体" w:hAnsi="宋体" w:cs="宋体" w:eastAsia="宋体" w:hint="default"/>
          <w:sz w:val="23"/>
          <w:szCs w:val="23"/>
        </w:rPr>
      </w:pPr>
    </w:p>
    <w:p>
      <w:pPr>
        <w:spacing w:before="0"/>
        <w:ind w:left="258"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900" w:bottom="1460" w:left="1160" w:right="540"/>
          <w:cols w:num="2" w:equalWidth="0">
            <w:col w:w="2419" w:space="5763"/>
            <w:col w:w="2028"/>
          </w:cols>
        </w:sectPr>
      </w:pPr>
    </w:p>
    <w:p>
      <w:pPr>
        <w:spacing w:line="240" w:lineRule="auto" w:before="3"/>
        <w:rPr>
          <w:rFonts w:ascii="宋体" w:hAnsi="宋体" w:cs="宋体" w:eastAsia="宋体" w:hint="default"/>
          <w:sz w:val="5"/>
          <w:szCs w:val="5"/>
        </w:rPr>
      </w:pPr>
    </w:p>
    <w:tbl>
      <w:tblPr>
        <w:tblW w:w="0" w:type="auto"/>
        <w:jc w:val="left"/>
        <w:tblInd w:w="264" w:type="dxa"/>
        <w:tblLayout w:type="fixed"/>
        <w:tblCellMar>
          <w:top w:w="0" w:type="dxa"/>
          <w:left w:w="0" w:type="dxa"/>
          <w:bottom w:w="0" w:type="dxa"/>
          <w:right w:w="0" w:type="dxa"/>
        </w:tblCellMar>
        <w:tblLook w:val="01E0"/>
      </w:tblPr>
      <w:tblGrid>
        <w:gridCol w:w="1693"/>
        <w:gridCol w:w="2040"/>
        <w:gridCol w:w="2028"/>
        <w:gridCol w:w="2028"/>
        <w:gridCol w:w="2028"/>
      </w:tblGrid>
      <w:tr>
        <w:trPr>
          <w:trHeight w:val="323"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0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4"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营业总收入（元）</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370,142,507.50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352,977,268.97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4.86%</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314,340,387.61</w:t>
            </w:r>
          </w:p>
        </w:tc>
      </w:tr>
      <w:tr>
        <w:trPr>
          <w:trHeight w:val="323"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营业利润（元）</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54,518,245.26</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77,112,314.65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-29.30%</w:t>
            </w:r>
            <w:r>
              <w:rPr>
                <w:rFonts w:ascii="Times New Roman"/>
                <w:sz w:val="18"/>
              </w:rPr>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81,490,265.05</w:t>
            </w:r>
          </w:p>
        </w:tc>
      </w:tr>
      <w:tr>
        <w:trPr>
          <w:trHeight w:val="324"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利润总额（元）</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81,903,868.31</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80,667,454.65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1.53%</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84,308,424.32</w:t>
            </w:r>
          </w:p>
        </w:tc>
      </w:tr>
      <w:tr>
        <w:trPr>
          <w:trHeight w:val="557"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5"/>
              <w:jc w:val="left"/>
              <w:rPr>
                <w:rFonts w:ascii="宋体" w:hAnsi="宋体" w:cs="宋体" w:eastAsia="宋体" w:hint="default"/>
                <w:sz w:val="18"/>
                <w:szCs w:val="18"/>
              </w:rPr>
            </w:pPr>
            <w:r>
              <w:rPr>
                <w:rFonts w:ascii="宋体" w:hAnsi="宋体" w:cs="宋体" w:eastAsia="宋体" w:hint="default"/>
                <w:spacing w:val="4"/>
                <w:sz w:val="18"/>
                <w:szCs w:val="18"/>
              </w:rPr>
              <w:t>归属于上市公司股东 </w:t>
            </w:r>
            <w:r>
              <w:rPr>
                <w:rFonts w:ascii="宋体" w:hAnsi="宋体" w:cs="宋体" w:eastAsia="宋体" w:hint="default"/>
                <w:sz w:val="18"/>
                <w:szCs w:val="18"/>
              </w:rPr>
              <w:t>的净利润（元）</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70,590,817.47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70,257,925.69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0.47%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74,949,976.36</w:t>
            </w:r>
          </w:p>
        </w:tc>
      </w:tr>
      <w:tr>
        <w:trPr>
          <w:trHeight w:val="791" w:hRule="exact"/>
        </w:trPr>
        <w:tc>
          <w:tcPr>
            <w:tcW w:w="1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5"/>
              <w:jc w:val="both"/>
              <w:rPr>
                <w:rFonts w:ascii="宋体" w:hAnsi="宋体" w:cs="宋体" w:eastAsia="宋体" w:hint="default"/>
                <w:sz w:val="18"/>
                <w:szCs w:val="18"/>
              </w:rPr>
            </w:pPr>
            <w:r>
              <w:rPr>
                <w:rFonts w:ascii="宋体" w:hAnsi="宋体" w:cs="宋体" w:eastAsia="宋体" w:hint="default"/>
                <w:spacing w:val="4"/>
                <w:sz w:val="18"/>
                <w:szCs w:val="18"/>
              </w:rPr>
              <w:t>归属于上市公司股东 的扣除非经常性损益 </w:t>
            </w:r>
            <w:r>
              <w:rPr>
                <w:rFonts w:ascii="宋体" w:hAnsi="宋体" w:cs="宋体" w:eastAsia="宋体" w:hint="default"/>
                <w:sz w:val="18"/>
                <w:szCs w:val="18"/>
              </w:rPr>
              <w:t>的净利润（元）</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48,333,021.65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73,477,496.38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-34.22%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62,555,318.68</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900" w:bottom="1460" w:left="1160" w:right="5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tbl>
      <w:tblPr>
        <w:tblW w:w="0" w:type="auto"/>
        <w:jc w:val="left"/>
        <w:tblInd w:w="253" w:type="dxa"/>
        <w:tblLayout w:type="fixed"/>
        <w:tblCellMar>
          <w:top w:w="0" w:type="dxa"/>
          <w:left w:w="0" w:type="dxa"/>
          <w:bottom w:w="0" w:type="dxa"/>
          <w:right w:w="0" w:type="dxa"/>
        </w:tblCellMar>
        <w:tblLook w:val="01E0"/>
      </w:tblPr>
      <w:tblGrid>
        <w:gridCol w:w="1704"/>
        <w:gridCol w:w="2040"/>
        <w:gridCol w:w="2028"/>
        <w:gridCol w:w="2016"/>
        <w:gridCol w:w="2040"/>
      </w:tblGrid>
      <w:tr>
        <w:trPr>
          <w:trHeight w:val="557" w:hRule="exact"/>
        </w:trPr>
        <w:tc>
          <w:tcPr>
            <w:tcW w:w="17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2" w:right="5"/>
              <w:jc w:val="left"/>
              <w:rPr>
                <w:rFonts w:ascii="宋体" w:hAnsi="宋体" w:cs="宋体" w:eastAsia="宋体" w:hint="default"/>
                <w:sz w:val="18"/>
                <w:szCs w:val="18"/>
              </w:rPr>
            </w:pPr>
            <w:r>
              <w:rPr>
                <w:rFonts w:ascii="宋体" w:hAnsi="宋体" w:cs="宋体" w:eastAsia="宋体" w:hint="default"/>
                <w:spacing w:val="4"/>
                <w:sz w:val="18"/>
                <w:szCs w:val="18"/>
              </w:rPr>
              <w:t>经营活动产生的现金 </w:t>
            </w:r>
            <w:r>
              <w:rPr>
                <w:rFonts w:ascii="宋体" w:hAnsi="宋体" w:cs="宋体" w:eastAsia="宋体" w:hint="default"/>
                <w:sz w:val="18"/>
                <w:szCs w:val="18"/>
              </w:rPr>
              <w:t>流量净额（元）</w:t>
            </w:r>
          </w:p>
        </w:tc>
        <w:tc>
          <w:tcPr>
            <w:tcW w:w="2040" w:type="dxa"/>
            <w:tcBorders>
              <w:top w:val="single" w:sz="4" w:space="0" w:color="000000"/>
              <w:left w:val="single" w:sz="13" w:space="0" w:color="DCDCDC"/>
              <w:bottom w:val="single" w:sz="47" w:space="0" w:color="DCDCDC"/>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107,808,671.43</w:t>
            </w:r>
          </w:p>
        </w:tc>
        <w:tc>
          <w:tcPr>
            <w:tcW w:w="2028" w:type="dxa"/>
            <w:tcBorders>
              <w:top w:val="single" w:sz="4" w:space="0" w:color="000000"/>
              <w:left w:val="single" w:sz="4" w:space="0" w:color="000000"/>
              <w:bottom w:val="single" w:sz="47" w:space="0" w:color="DCDCDC"/>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50,970,688.55</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pacing w:val="-3"/>
                <w:sz w:val="18"/>
              </w:rPr>
              <w:t>111.51%</w:t>
            </w:r>
          </w:p>
        </w:tc>
        <w:tc>
          <w:tcPr>
            <w:tcW w:w="2040" w:type="dxa"/>
            <w:tcBorders>
              <w:top w:val="single" w:sz="4" w:space="0" w:color="000000"/>
              <w:left w:val="single" w:sz="4" w:space="0" w:color="000000"/>
              <w:bottom w:val="single" w:sz="47" w:space="0" w:color="DCDCDC"/>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45,432,606.08</w:t>
            </w:r>
          </w:p>
        </w:tc>
      </w:tr>
      <w:tr>
        <w:trPr>
          <w:trHeight w:val="124" w:hRule="exact"/>
        </w:trPr>
        <w:tc>
          <w:tcPr>
            <w:tcW w:w="1704" w:type="dxa"/>
            <w:tcBorders>
              <w:top w:val="single" w:sz="4" w:space="0" w:color="000000"/>
              <w:left w:val="single" w:sz="4" w:space="0" w:color="000000"/>
              <w:bottom w:val="single" w:sz="5" w:space="0" w:color="FFFFFF"/>
              <w:right w:val="single" w:sz="4" w:space="0" w:color="000000"/>
            </w:tcBorders>
            <w:shd w:val="clear" w:color="auto" w:fill="DCDCDC"/>
          </w:tcPr>
          <w:p>
            <w:pPr/>
          </w:p>
        </w:tc>
        <w:tc>
          <w:tcPr>
            <w:tcW w:w="2040" w:type="dxa"/>
            <w:tcBorders>
              <w:top w:val="single" w:sz="4" w:space="0" w:color="000000"/>
              <w:left w:val="single" w:sz="4" w:space="0" w:color="000000"/>
              <w:bottom w:val="single" w:sz="5" w:space="0" w:color="FFFFFF"/>
              <w:right w:val="single" w:sz="4" w:space="0" w:color="000000"/>
            </w:tcBorders>
            <w:shd w:val="clear" w:color="auto" w:fill="DCDCDC"/>
          </w:tcPr>
          <w:p>
            <w:pPr/>
          </w:p>
        </w:tc>
        <w:tc>
          <w:tcPr>
            <w:tcW w:w="2028" w:type="dxa"/>
            <w:tcBorders>
              <w:top w:val="single" w:sz="4" w:space="0" w:color="000000"/>
              <w:left w:val="single" w:sz="4" w:space="0" w:color="000000"/>
              <w:bottom w:val="single" w:sz="5" w:space="0" w:color="FFFFFF"/>
              <w:right w:val="single" w:sz="4" w:space="0" w:color="000000"/>
            </w:tcBorders>
            <w:shd w:val="clear" w:color="auto" w:fill="DCDCDC"/>
          </w:tcPr>
          <w:p>
            <w:pPr/>
          </w:p>
        </w:tc>
        <w:tc>
          <w:tcPr>
            <w:tcW w:w="2016" w:type="dxa"/>
            <w:vMerge w:val="restart"/>
            <w:tcBorders>
              <w:top w:val="single" w:sz="4" w:space="0" w:color="000000"/>
              <w:left w:val="single" w:sz="4" w:space="0" w:color="000000"/>
              <w:right w:val="single" w:sz="4" w:space="0" w:color="000000"/>
            </w:tcBorders>
            <w:shd w:val="clear" w:color="auto" w:fill="DCDCDC"/>
          </w:tcPr>
          <w:p>
            <w:pPr>
              <w:pStyle w:val="TableParagraph"/>
              <w:spacing w:line="235" w:lineRule="exact" w:before="9"/>
              <w:ind w:left="9" w:right="0"/>
              <w:jc w:val="center"/>
              <w:rPr>
                <w:rFonts w:ascii="宋体" w:hAnsi="宋体" w:cs="宋体" w:eastAsia="宋体" w:hint="default"/>
                <w:sz w:val="18"/>
                <w:szCs w:val="18"/>
              </w:rPr>
            </w:pPr>
            <w:r>
              <w:rPr>
                <w:rFonts w:ascii="宋体" w:hAnsi="宋体" w:cs="宋体" w:eastAsia="宋体" w:hint="default"/>
                <w:sz w:val="18"/>
                <w:szCs w:val="18"/>
              </w:rPr>
              <w:t>本年末比上年末增减</w:t>
            </w:r>
          </w:p>
          <w:p>
            <w:pPr>
              <w:pStyle w:val="TableParagraph"/>
              <w:spacing w:line="235" w:lineRule="exact"/>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4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432" w:hRule="exact"/>
        </w:trPr>
        <w:tc>
          <w:tcPr>
            <w:tcW w:w="1704" w:type="dxa"/>
            <w:tcBorders>
              <w:top w:val="single" w:sz="5" w:space="0" w:color="FFFFFF"/>
              <w:left w:val="single" w:sz="4" w:space="0" w:color="000000"/>
              <w:bottom w:val="single" w:sz="4" w:space="0" w:color="000000"/>
              <w:right w:val="single" w:sz="4" w:space="0" w:color="000000"/>
            </w:tcBorders>
            <w:shd w:val="clear" w:color="auto" w:fill="DCDCDC"/>
          </w:tcPr>
          <w:p>
            <w:pPr/>
          </w:p>
        </w:tc>
        <w:tc>
          <w:tcPr>
            <w:tcW w:w="2040" w:type="dxa"/>
            <w:tcBorders>
              <w:top w:val="single" w:sz="5" w:space="0" w:color="FFFFFF"/>
              <w:left w:val="single" w:sz="4" w:space="0" w:color="000000"/>
              <w:bottom w:val="single" w:sz="4" w:space="0" w:color="000000"/>
              <w:right w:val="single" w:sz="4" w:space="0" w:color="000000"/>
            </w:tcBorders>
            <w:shd w:val="clear" w:color="auto" w:fill="DCDCDC"/>
          </w:tcPr>
          <w:p>
            <w:pPr>
              <w:pStyle w:val="TableParagraph"/>
              <w:spacing w:line="240" w:lineRule="auto"/>
              <w:ind w:left="6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年末</w:t>
            </w:r>
          </w:p>
        </w:tc>
        <w:tc>
          <w:tcPr>
            <w:tcW w:w="2028" w:type="dxa"/>
            <w:tcBorders>
              <w:top w:val="single" w:sz="5" w:space="0" w:color="FFFFFF"/>
              <w:left w:val="single" w:sz="4" w:space="0" w:color="000000"/>
              <w:bottom w:val="single" w:sz="4" w:space="0" w:color="000000"/>
              <w:right w:val="single" w:sz="4" w:space="0" w:color="000000"/>
            </w:tcBorders>
            <w:shd w:val="clear" w:color="auto" w:fill="DCDCDC"/>
          </w:tcPr>
          <w:p>
            <w:pPr>
              <w:pStyle w:val="TableParagraph"/>
              <w:spacing w:line="240" w:lineRule="auto"/>
              <w:ind w:left="6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016" w:type="dxa"/>
            <w:vMerge/>
            <w:tcBorders>
              <w:left w:val="single" w:sz="4" w:space="0" w:color="000000"/>
              <w:bottom w:val="single" w:sz="4" w:space="0" w:color="000000"/>
              <w:right w:val="single" w:sz="4" w:space="0" w:color="000000"/>
            </w:tcBorders>
            <w:shd w:val="clear" w:color="auto" w:fill="DCDCDC"/>
          </w:tcPr>
          <w:p>
            <w:pPr/>
          </w:p>
        </w:tc>
        <w:tc>
          <w:tcPr>
            <w:tcW w:w="204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7"/>
              <w:ind w:left="63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323" w:hRule="exact"/>
        </w:trPr>
        <w:tc>
          <w:tcPr>
            <w:tcW w:w="17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2040" w:type="dxa"/>
            <w:tcBorders>
              <w:top w:val="single" w:sz="50" w:space="0" w:color="DCDCDC"/>
              <w:left w:val="single" w:sz="13" w:space="0" w:color="DCDCDC"/>
              <w:bottom w:val="single" w:sz="4" w:space="0" w:color="000000"/>
              <w:right w:val="single" w:sz="4" w:space="0" w:color="000000"/>
            </w:tcBorders>
          </w:tcPr>
          <w:p>
            <w:pPr>
              <w:pStyle w:val="TableParagraph"/>
              <w:spacing w:line="198" w:lineRule="exact"/>
              <w:ind w:right="22"/>
              <w:jc w:val="right"/>
              <w:rPr>
                <w:rFonts w:ascii="Times New Roman" w:hAnsi="Times New Roman" w:cs="Times New Roman" w:eastAsia="Times New Roman" w:hint="default"/>
                <w:sz w:val="18"/>
                <w:szCs w:val="18"/>
              </w:rPr>
            </w:pPr>
            <w:r>
              <w:rPr>
                <w:rFonts w:ascii="Times New Roman"/>
                <w:spacing w:val="-1"/>
                <w:sz w:val="18"/>
              </w:rPr>
              <w:t>1,384,069,164.31</w:t>
            </w:r>
          </w:p>
        </w:tc>
        <w:tc>
          <w:tcPr>
            <w:tcW w:w="2028" w:type="dxa"/>
            <w:tcBorders>
              <w:top w:val="single" w:sz="50" w:space="0" w:color="DCDCDC"/>
              <w:left w:val="single" w:sz="4" w:space="0" w:color="000000"/>
              <w:bottom w:val="single" w:sz="4" w:space="0" w:color="000000"/>
              <w:right w:val="single" w:sz="4" w:space="0" w:color="000000"/>
            </w:tcBorders>
          </w:tcPr>
          <w:p>
            <w:pPr>
              <w:pStyle w:val="TableParagraph"/>
              <w:spacing w:line="198" w:lineRule="exact"/>
              <w:ind w:right="22"/>
              <w:jc w:val="right"/>
              <w:rPr>
                <w:rFonts w:ascii="Times New Roman" w:hAnsi="Times New Roman" w:cs="Times New Roman" w:eastAsia="Times New Roman" w:hint="default"/>
                <w:sz w:val="18"/>
                <w:szCs w:val="18"/>
              </w:rPr>
            </w:pPr>
            <w:r>
              <w:rPr>
                <w:rFonts w:ascii="Times New Roman"/>
                <w:spacing w:val="-1"/>
                <w:sz w:val="18"/>
              </w:rPr>
              <w:t>1,360,279,571.07</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Times New Roman" w:hAnsi="Times New Roman" w:cs="Times New Roman" w:eastAsia="Times New Roman" w:hint="default"/>
                <w:sz w:val="18"/>
                <w:szCs w:val="18"/>
              </w:rPr>
            </w:pPr>
            <w:r>
              <w:rPr>
                <w:rFonts w:ascii="Times New Roman"/>
                <w:w w:val="95"/>
                <w:sz w:val="18"/>
              </w:rPr>
              <w:t>1.75%</w:t>
            </w:r>
            <w:r>
              <w:rPr>
                <w:rFonts w:ascii="Times New Roman"/>
                <w:sz w:val="18"/>
              </w:rPr>
            </w:r>
          </w:p>
        </w:tc>
        <w:tc>
          <w:tcPr>
            <w:tcW w:w="2040" w:type="dxa"/>
            <w:tcBorders>
              <w:top w:val="single" w:sz="50" w:space="0" w:color="DCDCDC"/>
              <w:left w:val="single" w:sz="4" w:space="0" w:color="000000"/>
              <w:bottom w:val="single" w:sz="4" w:space="0" w:color="000000"/>
              <w:right w:val="single" w:sz="4" w:space="0" w:color="000000"/>
            </w:tcBorders>
          </w:tcPr>
          <w:p>
            <w:pPr>
              <w:pStyle w:val="TableParagraph"/>
              <w:spacing w:line="198" w:lineRule="exact"/>
              <w:ind w:right="20"/>
              <w:jc w:val="right"/>
              <w:rPr>
                <w:rFonts w:ascii="Times New Roman" w:hAnsi="Times New Roman" w:cs="Times New Roman" w:eastAsia="Times New Roman" w:hint="default"/>
                <w:sz w:val="18"/>
                <w:szCs w:val="18"/>
              </w:rPr>
            </w:pPr>
            <w:r>
              <w:rPr>
                <w:rFonts w:ascii="Times New Roman"/>
                <w:spacing w:val="-1"/>
                <w:sz w:val="18"/>
              </w:rPr>
              <w:t>824,823,165.81</w:t>
            </w:r>
          </w:p>
        </w:tc>
      </w:tr>
      <w:tr>
        <w:trPr>
          <w:trHeight w:val="324" w:hRule="exact"/>
        </w:trPr>
        <w:tc>
          <w:tcPr>
            <w:tcW w:w="17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负债总额（元）</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214,662,216.85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304,964,081.71</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
              <w:jc w:val="right"/>
              <w:rPr>
                <w:rFonts w:ascii="Times New Roman" w:hAnsi="Times New Roman" w:cs="Times New Roman" w:eastAsia="Times New Roman" w:hint="default"/>
                <w:sz w:val="18"/>
                <w:szCs w:val="18"/>
              </w:rPr>
            </w:pPr>
            <w:r>
              <w:rPr>
                <w:rFonts w:ascii="Times New Roman"/>
                <w:sz w:val="18"/>
              </w:rPr>
              <w:t>-29.61%</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235,399,947.70</w:t>
            </w:r>
          </w:p>
        </w:tc>
      </w:tr>
      <w:tr>
        <w:trPr>
          <w:trHeight w:val="557" w:hRule="exact"/>
        </w:trPr>
        <w:tc>
          <w:tcPr>
            <w:tcW w:w="17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2" w:right="5"/>
              <w:jc w:val="left"/>
              <w:rPr>
                <w:rFonts w:ascii="宋体" w:hAnsi="宋体" w:cs="宋体" w:eastAsia="宋体" w:hint="default"/>
                <w:sz w:val="18"/>
                <w:szCs w:val="18"/>
              </w:rPr>
            </w:pPr>
            <w:r>
              <w:rPr>
                <w:rFonts w:ascii="宋体" w:hAnsi="宋体" w:cs="宋体" w:eastAsia="宋体" w:hint="default"/>
                <w:spacing w:val="4"/>
                <w:sz w:val="18"/>
                <w:szCs w:val="18"/>
              </w:rPr>
              <w:t>归属于上市公司股东 </w:t>
            </w:r>
            <w:r>
              <w:rPr>
                <w:rFonts w:ascii="宋体" w:hAnsi="宋体" w:cs="宋体" w:eastAsia="宋体" w:hint="default"/>
                <w:sz w:val="18"/>
                <w:szCs w:val="18"/>
              </w:rPr>
              <w:t>的所有者权益（元）</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1,067,736,211.32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1,003,785,868.55</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w w:val="95"/>
                <w:sz w:val="18"/>
              </w:rPr>
              <w:t>6.37%</w:t>
            </w:r>
            <w:r>
              <w:rPr>
                <w:rFonts w:ascii="Times New Roman"/>
                <w:sz w:val="18"/>
              </w:rPr>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536,657,019.78</w:t>
            </w:r>
          </w:p>
        </w:tc>
      </w:tr>
      <w:tr>
        <w:trPr>
          <w:trHeight w:val="324" w:hRule="exact"/>
        </w:trPr>
        <w:tc>
          <w:tcPr>
            <w:tcW w:w="17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总股本（股）</w:t>
            </w:r>
          </w:p>
        </w:tc>
        <w:tc>
          <w:tcPr>
            <w:tcW w:w="2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630,920,640.00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315,460,320.00</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200,292,480.00</w:t>
            </w:r>
          </w:p>
        </w:tc>
      </w:tr>
    </w:tbl>
    <w:p>
      <w:pPr>
        <w:spacing w:after="0" w:line="240" w:lineRule="auto"/>
        <w:jc w:val="right"/>
        <w:rPr>
          <w:rFonts w:ascii="Times New Roman" w:hAnsi="Times New Roman" w:cs="Times New Roman" w:eastAsia="Times New Roman" w:hint="default"/>
          <w:sz w:val="18"/>
          <w:szCs w:val="18"/>
        </w:rPr>
        <w:sectPr>
          <w:pgSz w:w="11910" w:h="16840"/>
          <w:pgMar w:header="470" w:footer="1266" w:top="900" w:bottom="1460" w:left="1160" w:right="540"/>
        </w:sectPr>
      </w:pPr>
    </w:p>
    <w:p>
      <w:pPr>
        <w:pStyle w:val="BodyText"/>
        <w:spacing w:line="240" w:lineRule="auto" w:before="40"/>
        <w:ind w:right="-20"/>
        <w:jc w:val="left"/>
      </w:pPr>
      <w:r>
        <w:rPr/>
        <w:t>（二）主要财务指标</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5"/>
        <w:rPr>
          <w:rFonts w:ascii="宋体" w:hAnsi="宋体" w:cs="宋体" w:eastAsia="宋体" w:hint="default"/>
          <w:sz w:val="13"/>
          <w:szCs w:val="13"/>
        </w:rPr>
      </w:pPr>
    </w:p>
    <w:p>
      <w:pPr>
        <w:spacing w:before="0"/>
        <w:ind w:left="258"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900" w:bottom="1460" w:left="1160" w:right="540"/>
          <w:cols w:num="2" w:equalWidth="0">
            <w:col w:w="2419" w:space="5763"/>
            <w:col w:w="2028"/>
          </w:cols>
        </w:sectPr>
      </w:pPr>
    </w:p>
    <w:p>
      <w:pPr>
        <w:spacing w:line="240" w:lineRule="auto" w:before="2"/>
        <w:rPr>
          <w:rFonts w:ascii="宋体" w:hAnsi="宋体" w:cs="宋体" w:eastAsia="宋体" w:hint="default"/>
          <w:sz w:val="5"/>
          <w:szCs w:val="5"/>
        </w:rPr>
      </w:pPr>
    </w:p>
    <w:tbl>
      <w:tblPr>
        <w:tblW w:w="0" w:type="auto"/>
        <w:jc w:val="left"/>
        <w:tblInd w:w="264" w:type="dxa"/>
        <w:tblLayout w:type="fixed"/>
        <w:tblCellMar>
          <w:top w:w="0" w:type="dxa"/>
          <w:left w:w="0" w:type="dxa"/>
          <w:bottom w:w="0" w:type="dxa"/>
          <w:right w:w="0" w:type="dxa"/>
        </w:tblCellMar>
        <w:tblLook w:val="01E0"/>
      </w:tblPr>
      <w:tblGrid>
        <w:gridCol w:w="2265"/>
        <w:gridCol w:w="1936"/>
        <w:gridCol w:w="1924"/>
        <w:gridCol w:w="1769"/>
        <w:gridCol w:w="1924"/>
      </w:tblGrid>
      <w:tr>
        <w:trPr>
          <w:trHeight w:val="324"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9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9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9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tabs>
                <w:tab w:pos="664" w:val="left" w:leader="none"/>
              </w:tabs>
              <w:spacing w:line="240" w:lineRule="auto" w:before="11"/>
              <w:ind w:left="-127" w:right="0"/>
              <w:jc w:val="left"/>
              <w:rPr>
                <w:rFonts w:ascii="宋体" w:hAnsi="宋体" w:cs="宋体" w:eastAsia="宋体"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3"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3"/>
                <w:sz w:val="18"/>
              </w:rPr>
              <w:t>0.1119</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3"/>
                <w:sz w:val="18"/>
              </w:rPr>
              <w:t>0.1114</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0.45%</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2"/>
                <w:sz w:val="18"/>
              </w:rPr>
              <w:t>0.1188</w:t>
            </w:r>
          </w:p>
        </w:tc>
      </w:tr>
      <w:tr>
        <w:trPr>
          <w:trHeight w:val="324"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3"/>
                <w:sz w:val="18"/>
              </w:rPr>
              <w:t>0.1119</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3"/>
                <w:sz w:val="18"/>
              </w:rPr>
              <w:t>0.1114</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0.45%</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2"/>
                <w:sz w:val="18"/>
              </w:rPr>
              <w:t>0.1188</w:t>
            </w:r>
          </w:p>
        </w:tc>
      </w:tr>
      <w:tr>
        <w:trPr>
          <w:trHeight w:val="557"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83"/>
              <w:jc w:val="left"/>
              <w:rPr>
                <w:rFonts w:ascii="宋体" w:hAnsi="宋体" w:cs="宋体" w:eastAsia="宋体" w:hint="default"/>
                <w:sz w:val="18"/>
                <w:szCs w:val="18"/>
              </w:rPr>
            </w:pPr>
            <w:r>
              <w:rPr>
                <w:rFonts w:ascii="宋体" w:hAnsi="宋体" w:cs="宋体" w:eastAsia="宋体" w:hint="default"/>
                <w:sz w:val="18"/>
                <w:szCs w:val="18"/>
              </w:rPr>
              <w:t>扣除非经常性损益后的基本 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0.0766</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2"/>
                <w:sz w:val="18"/>
              </w:rPr>
              <w:t>0.1165</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-34.25%</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0.0991</w:t>
            </w:r>
          </w:p>
        </w:tc>
      </w:tr>
      <w:tr>
        <w:trPr>
          <w:trHeight w:val="323"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tabs>
                <w:tab w:pos="1426" w:val="left" w:leader="none"/>
              </w:tabs>
              <w:spacing w:line="240" w:lineRule="auto" w:before="10"/>
              <w:ind w:left="-124" w:right="19"/>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z w:val="18"/>
                <w:szCs w:val="18"/>
              </w:rPr>
              <w:t>6.83%</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12.97%</w:t>
            </w:r>
            <w:r>
              <w:rPr>
                <w:rFonts w:ascii="Times New Roman"/>
                <w:sz w:val="18"/>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-6.14%</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14.79%</w:t>
            </w:r>
            <w:r>
              <w:rPr>
                <w:rFonts w:ascii="Times New Roman"/>
                <w:sz w:val="18"/>
              </w:rPr>
            </w:r>
          </w:p>
        </w:tc>
      </w:tr>
      <w:tr>
        <w:trPr>
          <w:trHeight w:val="558"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83"/>
              <w:jc w:val="left"/>
              <w:rPr>
                <w:rFonts w:ascii="宋体" w:hAnsi="宋体" w:cs="宋体" w:eastAsia="宋体" w:hint="default"/>
                <w:sz w:val="18"/>
                <w:szCs w:val="18"/>
              </w:rPr>
            </w:pPr>
            <w:r>
              <w:rPr>
                <w:rFonts w:ascii="宋体" w:hAnsi="宋体" w:cs="宋体" w:eastAsia="宋体" w:hint="default"/>
                <w:sz w:val="18"/>
                <w:szCs w:val="18"/>
              </w:rPr>
              <w:t>扣除非经常性损益后的加权 平均净资产收益率（％）</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4.68%</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13.56%</w:t>
            </w:r>
            <w:r>
              <w:rPr>
                <w:rFonts w:ascii="Times New Roman"/>
                <w:sz w:val="18"/>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-8.88%</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12.35%</w:t>
            </w:r>
            <w:r>
              <w:rPr>
                <w:rFonts w:ascii="Times New Roman"/>
                <w:sz w:val="18"/>
              </w:rPr>
            </w:r>
          </w:p>
        </w:tc>
      </w:tr>
      <w:tr>
        <w:trPr>
          <w:trHeight w:val="621"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83"/>
              <w:jc w:val="left"/>
              <w:rPr>
                <w:rFonts w:ascii="宋体" w:hAnsi="宋体" w:cs="宋体" w:eastAsia="宋体" w:hint="default"/>
                <w:sz w:val="18"/>
                <w:szCs w:val="18"/>
              </w:rPr>
            </w:pPr>
            <w:r>
              <w:rPr>
                <w:rFonts w:ascii="宋体" w:hAnsi="宋体" w:cs="宋体" w:eastAsia="宋体" w:hint="default"/>
                <w:sz w:val="18"/>
                <w:szCs w:val="18"/>
              </w:rPr>
              <w:t>每股经营活动产生的现金流 量净额（元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36" w:type="dxa"/>
            <w:tcBorders>
              <w:top w:val="single" w:sz="4" w:space="0" w:color="000000"/>
              <w:left w:val="single" w:sz="13" w:space="0" w:color="DCDCDC"/>
              <w:bottom w:val="single" w:sz="47" w:space="0" w:color="DCDCDC"/>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0.17</w:t>
            </w:r>
          </w:p>
        </w:tc>
        <w:tc>
          <w:tcPr>
            <w:tcW w:w="1924" w:type="dxa"/>
            <w:tcBorders>
              <w:top w:val="single" w:sz="4" w:space="0" w:color="000000"/>
              <w:left w:val="single" w:sz="4" w:space="0" w:color="000000"/>
              <w:bottom w:val="single" w:sz="47" w:space="0" w:color="DCDCDC"/>
              <w:right w:val="single" w:sz="9" w:space="0" w:color="DCDCDC"/>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z w:val="18"/>
              </w:rPr>
              <w:t>0.16</w:t>
            </w:r>
          </w:p>
        </w:tc>
        <w:tc>
          <w:tcPr>
            <w:tcW w:w="1769" w:type="dxa"/>
            <w:tcBorders>
              <w:top w:val="single" w:sz="4" w:space="0" w:color="000000"/>
              <w:left w:val="single" w:sz="9" w:space="0" w:color="DCDCDC"/>
              <w:bottom w:val="single" w:sz="4" w:space="0" w:color="000000"/>
              <w:right w:val="single" w:sz="13" w:space="0" w:color="DCDCDC"/>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w w:val="95"/>
                <w:sz w:val="18"/>
              </w:rPr>
              <w:t>6.25%</w:t>
            </w:r>
            <w:r>
              <w:rPr>
                <w:rFonts w:ascii="Times New Roman"/>
                <w:sz w:val="18"/>
              </w:rPr>
            </w:r>
          </w:p>
        </w:tc>
        <w:tc>
          <w:tcPr>
            <w:tcW w:w="1924" w:type="dxa"/>
            <w:tcBorders>
              <w:top w:val="single" w:sz="4" w:space="0" w:color="000000"/>
              <w:left w:val="single" w:sz="13" w:space="0" w:color="DCDCDC"/>
              <w:bottom w:val="single" w:sz="47" w:space="0" w:color="DCDCDC"/>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0.23</w:t>
            </w:r>
          </w:p>
        </w:tc>
      </w:tr>
      <w:tr>
        <w:trPr>
          <w:trHeight w:val="427"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9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2"/>
              <w:ind w:left="58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年末</w:t>
            </w:r>
          </w:p>
        </w:tc>
        <w:tc>
          <w:tcPr>
            <w:tcW w:w="19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2"/>
              <w:ind w:left="5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sz w:val="18"/>
                <w:szCs w:val="18"/>
              </w:rPr>
              <w:t>本年末比上年末增减</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9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2"/>
              <w:ind w:left="5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622"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83"/>
              <w:jc w:val="left"/>
              <w:rPr>
                <w:rFonts w:ascii="宋体" w:hAnsi="宋体" w:cs="宋体" w:eastAsia="宋体" w:hint="default"/>
                <w:sz w:val="18"/>
                <w:szCs w:val="18"/>
              </w:rPr>
            </w:pPr>
            <w:r>
              <w:rPr>
                <w:rFonts w:ascii="宋体" w:hAnsi="宋体" w:cs="宋体" w:eastAsia="宋体" w:hint="default"/>
                <w:sz w:val="18"/>
                <w:szCs w:val="18"/>
              </w:rPr>
              <w:t>归属于上市公司股东的每股 净资产（元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36" w:type="dxa"/>
            <w:tcBorders>
              <w:top w:val="single" w:sz="47" w:space="0" w:color="DCDCDC"/>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1.69</w:t>
            </w:r>
          </w:p>
        </w:tc>
        <w:tc>
          <w:tcPr>
            <w:tcW w:w="1924" w:type="dxa"/>
            <w:tcBorders>
              <w:top w:val="single" w:sz="47" w:space="0" w:color="DCDCDC"/>
              <w:left w:val="single" w:sz="4" w:space="0" w:color="000000"/>
              <w:bottom w:val="single" w:sz="4" w:space="0" w:color="000000"/>
              <w:right w:val="single" w:sz="9" w:space="0" w:color="DCDCDC"/>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z w:val="18"/>
              </w:rPr>
              <w:t>3.18</w:t>
            </w:r>
          </w:p>
        </w:tc>
        <w:tc>
          <w:tcPr>
            <w:tcW w:w="1769" w:type="dxa"/>
            <w:tcBorders>
              <w:top w:val="single" w:sz="4" w:space="0" w:color="000000"/>
              <w:left w:val="single" w:sz="9" w:space="0" w:color="DCDCDC"/>
              <w:bottom w:val="single" w:sz="4" w:space="0" w:color="000000"/>
              <w:right w:val="single" w:sz="13" w:space="0" w:color="DCDCDC"/>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w w:val="95"/>
                <w:sz w:val="18"/>
              </w:rPr>
              <w:t>-46.86%</w:t>
            </w:r>
            <w:r>
              <w:rPr>
                <w:rFonts w:ascii="Times New Roman"/>
                <w:sz w:val="18"/>
              </w:rPr>
            </w:r>
          </w:p>
        </w:tc>
        <w:tc>
          <w:tcPr>
            <w:tcW w:w="1924" w:type="dxa"/>
            <w:tcBorders>
              <w:top w:val="single" w:sz="47" w:space="0" w:color="DCDCDC"/>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2.68</w:t>
            </w:r>
          </w:p>
        </w:tc>
      </w:tr>
      <w:tr>
        <w:trPr>
          <w:trHeight w:val="324" w:hRule="exact"/>
        </w:trPr>
        <w:tc>
          <w:tcPr>
            <w:tcW w:w="2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资产负债率（％）</w:t>
            </w:r>
          </w:p>
        </w:tc>
        <w:tc>
          <w:tcPr>
            <w:tcW w:w="193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15.51%</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22.42%</w:t>
            </w:r>
            <w:r>
              <w:rPr>
                <w:rFonts w:ascii="Times New Roman"/>
                <w:sz w:val="18"/>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-6.91%</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28.54%</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900" w:bottom="1460" w:left="1160" w:right="54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Heading1"/>
        <w:tabs>
          <w:tab w:pos="4466" w:val="left" w:leader="none"/>
        </w:tabs>
        <w:spacing w:line="240" w:lineRule="auto"/>
        <w:ind w:left="3181" w:right="0"/>
        <w:jc w:val="left"/>
        <w:rPr>
          <w:b w:val="0"/>
          <w:bCs w:val="0"/>
        </w:rPr>
      </w:pPr>
      <w:bookmarkStart w:name="_TOC_250012" w:id="3"/>
      <w:r>
        <w:rPr>
          <w:w w:val="95"/>
        </w:rPr>
        <w:t>第三节</w:t>
        <w:tab/>
      </w:r>
      <w:r>
        <w:rPr/>
        <w:t>股本变动及股东情况</w:t>
      </w:r>
      <w:bookmarkEnd w:id="3"/>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7"/>
          <w:szCs w:val="27"/>
        </w:rPr>
      </w:pPr>
    </w:p>
    <w:p>
      <w:pPr>
        <w:spacing w:after="0" w:line="240" w:lineRule="auto"/>
        <w:rPr>
          <w:rFonts w:ascii="宋体" w:hAnsi="宋体" w:cs="宋体" w:eastAsia="宋体" w:hint="default"/>
          <w:sz w:val="27"/>
          <w:szCs w:val="27"/>
        </w:rPr>
        <w:sectPr>
          <w:pgSz w:w="11910" w:h="16840"/>
          <w:pgMar w:header="470" w:footer="1266" w:top="900" w:bottom="1460" w:left="600" w:right="860"/>
        </w:sectPr>
      </w:pPr>
    </w:p>
    <w:p>
      <w:pPr>
        <w:spacing w:before="26"/>
        <w:ind w:left="818" w:right="-16" w:firstLine="0"/>
        <w:jc w:val="left"/>
        <w:rPr>
          <w:rFonts w:ascii="宋体" w:hAnsi="宋体" w:cs="宋体" w:eastAsia="宋体" w:hint="default"/>
          <w:sz w:val="24"/>
          <w:szCs w:val="24"/>
        </w:rPr>
      </w:pPr>
      <w:r>
        <w:rPr>
          <w:rFonts w:ascii="宋体" w:hAnsi="宋体" w:cs="宋体" w:eastAsia="宋体" w:hint="default"/>
          <w:b/>
          <w:bCs/>
          <w:sz w:val="24"/>
          <w:szCs w:val="24"/>
        </w:rPr>
        <w:t>一、股本变动情况（</w:t>
      </w:r>
      <w:r>
        <w:rPr>
          <w:rFonts w:ascii="宋体" w:hAnsi="宋体" w:cs="宋体" w:eastAsia="宋体" w:hint="default"/>
          <w:sz w:val="23"/>
          <w:szCs w:val="23"/>
        </w:rPr>
        <w:t>截至</w:t>
      </w:r>
      <w:r>
        <w:rPr>
          <w:rFonts w:ascii="Times New Roman" w:hAnsi="Times New Roman" w:cs="Times New Roman" w:eastAsia="Times New Roman" w:hint="default"/>
          <w:sz w:val="23"/>
          <w:szCs w:val="23"/>
        </w:rPr>
        <w:t>2011  </w:t>
      </w:r>
      <w:r>
        <w:rPr>
          <w:rFonts w:ascii="宋体" w:hAnsi="宋体" w:cs="宋体" w:eastAsia="宋体" w:hint="default"/>
          <w:sz w:val="23"/>
          <w:szCs w:val="23"/>
        </w:rPr>
        <w:t>年 </w:t>
      </w:r>
      <w:r>
        <w:rPr>
          <w:rFonts w:ascii="Times New Roman" w:hAnsi="Times New Roman" w:cs="Times New Roman" w:eastAsia="Times New Roman" w:hint="default"/>
          <w:sz w:val="23"/>
          <w:szCs w:val="23"/>
        </w:rPr>
        <w:t>12  </w:t>
      </w:r>
      <w:r>
        <w:rPr>
          <w:rFonts w:ascii="宋体" w:hAnsi="宋体" w:cs="宋体" w:eastAsia="宋体" w:hint="default"/>
          <w:sz w:val="23"/>
          <w:szCs w:val="23"/>
        </w:rPr>
        <w:t>月 </w:t>
      </w:r>
      <w:r>
        <w:rPr>
          <w:rFonts w:ascii="Times New Roman" w:hAnsi="Times New Roman" w:cs="Times New Roman" w:eastAsia="Times New Roman" w:hint="default"/>
          <w:sz w:val="23"/>
          <w:szCs w:val="23"/>
        </w:rPr>
        <w:t>30</w:t>
      </w:r>
      <w:r>
        <w:rPr>
          <w:rFonts w:ascii="Times New Roman" w:hAnsi="Times New Roman" w:cs="Times New Roman" w:eastAsia="Times New Roman" w:hint="default"/>
          <w:spacing w:val="44"/>
          <w:sz w:val="23"/>
          <w:szCs w:val="23"/>
        </w:rPr>
        <w:t> </w:t>
      </w:r>
      <w:r>
        <w:rPr>
          <w:rFonts w:ascii="宋体" w:hAnsi="宋体" w:cs="宋体" w:eastAsia="宋体" w:hint="default"/>
          <w:sz w:val="23"/>
          <w:szCs w:val="23"/>
        </w:rPr>
        <w:t>日</w:t>
      </w:r>
      <w:r>
        <w:rPr>
          <w:rFonts w:ascii="宋体" w:hAnsi="宋体" w:cs="宋体" w:eastAsia="宋体" w:hint="default"/>
          <w:b/>
          <w:bCs/>
          <w:sz w:val="24"/>
          <w:szCs w:val="24"/>
        </w:rPr>
        <w:t>）</w:t>
      </w:r>
      <w:r>
        <w:rPr>
          <w:rFonts w:ascii="宋体" w:hAnsi="宋体" w:cs="宋体" w:eastAsia="宋体" w:hint="default"/>
          <w:sz w:val="24"/>
          <w:szCs w:val="24"/>
        </w:rPr>
      </w:r>
    </w:p>
    <w:p>
      <w:pPr>
        <w:spacing w:before="70"/>
        <w:ind w:left="1290" w:right="-16"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、股份变动情况表</w:t>
      </w:r>
      <w:r>
        <w:rPr>
          <w:rFonts w:ascii="宋体" w:hAnsi="宋体" w:cs="宋体" w:eastAsia="宋体" w:hint="default"/>
          <w:sz w:val="24"/>
          <w:szCs w:val="24"/>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24"/>
          <w:szCs w:val="24"/>
        </w:rPr>
      </w:pPr>
    </w:p>
    <w:p>
      <w:pPr>
        <w:spacing w:before="0"/>
        <w:ind w:left="818" w:right="0" w:firstLine="0"/>
        <w:jc w:val="left"/>
        <w:rPr>
          <w:rFonts w:ascii="宋体" w:hAnsi="宋体" w:cs="宋体" w:eastAsia="宋体" w:hint="default"/>
          <w:sz w:val="18"/>
          <w:szCs w:val="18"/>
        </w:rPr>
      </w:pPr>
      <w:r>
        <w:rPr>
          <w:rFonts w:ascii="宋体" w:hAnsi="宋体" w:cs="宋体" w:eastAsia="宋体" w:hint="default"/>
          <w:sz w:val="18"/>
          <w:szCs w:val="18"/>
        </w:rPr>
        <w:t>单位：股</w:t>
      </w:r>
    </w:p>
    <w:p>
      <w:pPr>
        <w:spacing w:after="0"/>
        <w:jc w:val="left"/>
        <w:rPr>
          <w:rFonts w:ascii="宋体" w:hAnsi="宋体" w:cs="宋体" w:eastAsia="宋体" w:hint="default"/>
          <w:sz w:val="18"/>
          <w:szCs w:val="18"/>
        </w:rPr>
        <w:sectPr>
          <w:type w:val="continuous"/>
          <w:pgSz w:w="11910" w:h="16840"/>
          <w:pgMar w:top="900" w:bottom="1460" w:left="600" w:right="860"/>
          <w:cols w:num="2" w:equalWidth="0">
            <w:col w:w="5864" w:space="2318"/>
            <w:col w:w="2268"/>
          </w:cols>
        </w:sectPr>
      </w:pPr>
    </w:p>
    <w:p>
      <w:pPr>
        <w:spacing w:line="240" w:lineRule="auto" w:before="2"/>
        <w:rPr>
          <w:rFonts w:ascii="宋体" w:hAnsi="宋体" w:cs="宋体" w:eastAsia="宋体" w:hint="default"/>
          <w:sz w:val="5"/>
          <w:szCs w:val="5"/>
        </w:rPr>
      </w:pPr>
    </w:p>
    <w:tbl>
      <w:tblPr>
        <w:tblW w:w="0" w:type="auto"/>
        <w:jc w:val="left"/>
        <w:tblInd w:w="115" w:type="dxa"/>
        <w:tblLayout w:type="fixed"/>
        <w:tblCellMar>
          <w:top w:w="0" w:type="dxa"/>
          <w:left w:w="0" w:type="dxa"/>
          <w:bottom w:w="0" w:type="dxa"/>
          <w:right w:w="0" w:type="dxa"/>
        </w:tblCellMar>
        <w:tblLook w:val="01E0"/>
      </w:tblPr>
      <w:tblGrid>
        <w:gridCol w:w="1820"/>
        <w:gridCol w:w="1288"/>
        <w:gridCol w:w="852"/>
        <w:gridCol w:w="991"/>
        <w:gridCol w:w="568"/>
        <w:gridCol w:w="1276"/>
        <w:gridCol w:w="708"/>
        <w:gridCol w:w="994"/>
        <w:gridCol w:w="991"/>
        <w:gridCol w:w="709"/>
      </w:tblGrid>
      <w:tr>
        <w:trPr>
          <w:trHeight w:val="180" w:hRule="exact"/>
        </w:trPr>
        <w:tc>
          <w:tcPr>
            <w:tcW w:w="1820" w:type="dxa"/>
            <w:tcBorders>
              <w:top w:val="single" w:sz="4" w:space="0" w:color="000000"/>
              <w:left w:val="single" w:sz="4" w:space="0" w:color="000000"/>
              <w:bottom w:val="nil" w:sz="6" w:space="0" w:color="auto"/>
              <w:right w:val="single" w:sz="4" w:space="0" w:color="000000"/>
            </w:tcBorders>
            <w:shd w:val="clear" w:color="auto" w:fill="DCDCDC"/>
          </w:tcPr>
          <w:p>
            <w:pPr/>
          </w:p>
        </w:tc>
        <w:tc>
          <w:tcPr>
            <w:tcW w:w="214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1"/>
              <w:ind w:left="620"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536" w:type="dxa"/>
            <w:gridSpan w:val="5"/>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1"/>
              <w:ind w:left="1370"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0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1"/>
              <w:ind w:left="393"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44" w:hRule="exact"/>
        </w:trPr>
        <w:tc>
          <w:tcPr>
            <w:tcW w:w="1820" w:type="dxa"/>
            <w:vMerge w:val="restart"/>
            <w:tcBorders>
              <w:top w:val="nil" w:sz="6" w:space="0" w:color="auto"/>
              <w:left w:val="single" w:sz="4" w:space="0" w:color="000000"/>
              <w:right w:val="single" w:sz="4" w:space="0" w:color="000000"/>
            </w:tcBorders>
            <w:shd w:val="clear" w:color="auto" w:fill="DCDCDC"/>
          </w:tcPr>
          <w:p>
            <w:pPr/>
          </w:p>
        </w:tc>
        <w:tc>
          <w:tcPr>
            <w:tcW w:w="2140" w:type="dxa"/>
            <w:gridSpan w:val="2"/>
            <w:vMerge/>
            <w:tcBorders>
              <w:left w:val="single" w:sz="4" w:space="0" w:color="000000"/>
              <w:bottom w:val="single" w:sz="4" w:space="0" w:color="000000"/>
              <w:right w:val="single" w:sz="4" w:space="0" w:color="000000"/>
            </w:tcBorders>
            <w:shd w:val="clear" w:color="auto" w:fill="DCDCDC"/>
          </w:tcPr>
          <w:p>
            <w:pPr/>
          </w:p>
        </w:tc>
        <w:tc>
          <w:tcPr>
            <w:tcW w:w="4536" w:type="dxa"/>
            <w:gridSpan w:val="5"/>
            <w:vMerge/>
            <w:tcBorders>
              <w:left w:val="single" w:sz="4" w:space="0" w:color="000000"/>
              <w:bottom w:val="single" w:sz="4" w:space="0" w:color="000000"/>
              <w:right w:val="single" w:sz="4" w:space="0" w:color="000000"/>
            </w:tcBorders>
            <w:shd w:val="clear" w:color="auto" w:fill="DCDCDC"/>
          </w:tcPr>
          <w:p>
            <w:pPr/>
          </w:p>
        </w:tc>
        <w:tc>
          <w:tcPr>
            <w:tcW w:w="1700" w:type="dxa"/>
            <w:gridSpan w:val="2"/>
            <w:vMerge/>
            <w:tcBorders>
              <w:left w:val="single" w:sz="4" w:space="0" w:color="000000"/>
              <w:bottom w:val="single" w:sz="4" w:space="0" w:color="000000"/>
              <w:right w:val="single" w:sz="4" w:space="0" w:color="000000"/>
            </w:tcBorders>
            <w:shd w:val="clear" w:color="auto" w:fill="DCDCDC"/>
          </w:tcPr>
          <w:p>
            <w:pPr/>
          </w:p>
        </w:tc>
      </w:tr>
      <w:tr>
        <w:trPr>
          <w:trHeight w:val="144" w:hRule="exact"/>
        </w:trPr>
        <w:tc>
          <w:tcPr>
            <w:tcW w:w="1820" w:type="dxa"/>
            <w:vMerge/>
            <w:tcBorders>
              <w:left w:val="single" w:sz="4" w:space="0" w:color="000000"/>
              <w:bottom w:val="nil" w:sz="6" w:space="0" w:color="auto"/>
              <w:right w:val="single" w:sz="4" w:space="0" w:color="000000"/>
            </w:tcBorders>
            <w:shd w:val="clear" w:color="auto" w:fill="DCDCDC"/>
          </w:tcPr>
          <w:p>
            <w:pPr/>
          </w:p>
        </w:tc>
        <w:tc>
          <w:tcPr>
            <w:tcW w:w="128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85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240"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99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29"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56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127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8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70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6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94"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310"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99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309"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0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69"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179" w:hRule="exact"/>
        </w:trPr>
        <w:tc>
          <w:tcPr>
            <w:tcW w:w="1820" w:type="dxa"/>
            <w:tcBorders>
              <w:top w:val="nil" w:sz="6" w:space="0" w:color="auto"/>
              <w:left w:val="single" w:sz="4" w:space="0" w:color="000000"/>
              <w:bottom w:val="single" w:sz="4" w:space="0" w:color="000000"/>
              <w:right w:val="single" w:sz="4" w:space="0" w:color="000000"/>
            </w:tcBorders>
            <w:shd w:val="clear" w:color="auto" w:fill="DCDCDC"/>
          </w:tcPr>
          <w:p>
            <w:pPr/>
          </w:p>
        </w:tc>
        <w:tc>
          <w:tcPr>
            <w:tcW w:w="1288" w:type="dxa"/>
            <w:vMerge/>
            <w:tcBorders>
              <w:left w:val="single" w:sz="4" w:space="0" w:color="000000"/>
              <w:bottom w:val="single" w:sz="4" w:space="0" w:color="000000"/>
              <w:right w:val="single" w:sz="4" w:space="0" w:color="000000"/>
            </w:tcBorders>
            <w:shd w:val="clear" w:color="auto" w:fill="DCDCDC"/>
          </w:tcPr>
          <w:p>
            <w:pPr/>
          </w:p>
        </w:tc>
        <w:tc>
          <w:tcPr>
            <w:tcW w:w="852" w:type="dxa"/>
            <w:vMerge/>
            <w:tcBorders>
              <w:left w:val="single" w:sz="4" w:space="0" w:color="000000"/>
              <w:bottom w:val="single" w:sz="4" w:space="0" w:color="000000"/>
              <w:right w:val="single" w:sz="4" w:space="0" w:color="000000"/>
            </w:tcBorders>
            <w:shd w:val="clear" w:color="auto" w:fill="DCDCDC"/>
          </w:tcPr>
          <w:p>
            <w:pPr/>
          </w:p>
        </w:tc>
        <w:tc>
          <w:tcPr>
            <w:tcW w:w="991" w:type="dxa"/>
            <w:vMerge/>
            <w:tcBorders>
              <w:left w:val="single" w:sz="4" w:space="0" w:color="000000"/>
              <w:bottom w:val="single" w:sz="4" w:space="0" w:color="000000"/>
              <w:right w:val="single" w:sz="4" w:space="0" w:color="000000"/>
            </w:tcBorders>
            <w:shd w:val="clear" w:color="auto" w:fill="DCDCDC"/>
          </w:tcPr>
          <w:p>
            <w:pPr/>
          </w:p>
        </w:tc>
        <w:tc>
          <w:tcPr>
            <w:tcW w:w="568" w:type="dxa"/>
            <w:vMerge/>
            <w:tcBorders>
              <w:left w:val="single" w:sz="4" w:space="0" w:color="000000"/>
              <w:bottom w:val="single" w:sz="4" w:space="0" w:color="000000"/>
              <w:right w:val="single" w:sz="4" w:space="0" w:color="000000"/>
            </w:tcBorders>
            <w:shd w:val="clear" w:color="auto" w:fill="DCDCDC"/>
          </w:tcPr>
          <w:p>
            <w:pPr/>
          </w:p>
        </w:tc>
        <w:tc>
          <w:tcPr>
            <w:tcW w:w="1276" w:type="dxa"/>
            <w:vMerge/>
            <w:tcBorders>
              <w:left w:val="single" w:sz="4" w:space="0" w:color="000000"/>
              <w:bottom w:val="single" w:sz="4" w:space="0" w:color="000000"/>
              <w:right w:val="single" w:sz="4" w:space="0" w:color="000000"/>
            </w:tcBorders>
            <w:shd w:val="clear" w:color="auto" w:fill="DCDCDC"/>
          </w:tcPr>
          <w:p>
            <w:pPr/>
          </w:p>
        </w:tc>
        <w:tc>
          <w:tcPr>
            <w:tcW w:w="708" w:type="dxa"/>
            <w:vMerge/>
            <w:tcBorders>
              <w:left w:val="single" w:sz="4" w:space="0" w:color="000000"/>
              <w:bottom w:val="single" w:sz="4" w:space="0" w:color="000000"/>
              <w:right w:val="single" w:sz="4" w:space="0" w:color="000000"/>
            </w:tcBorders>
            <w:shd w:val="clear" w:color="auto" w:fill="DCDCDC"/>
          </w:tcPr>
          <w:p>
            <w:pPr/>
          </w:p>
        </w:tc>
        <w:tc>
          <w:tcPr>
            <w:tcW w:w="994" w:type="dxa"/>
            <w:vMerge/>
            <w:tcBorders>
              <w:left w:val="single" w:sz="4" w:space="0" w:color="000000"/>
              <w:bottom w:val="single" w:sz="4" w:space="0" w:color="000000"/>
              <w:right w:val="single" w:sz="4" w:space="0" w:color="000000"/>
            </w:tcBorders>
            <w:shd w:val="clear" w:color="auto" w:fill="DCDCDC"/>
          </w:tcPr>
          <w:p>
            <w:pPr/>
          </w:p>
        </w:tc>
        <w:tc>
          <w:tcPr>
            <w:tcW w:w="991" w:type="dxa"/>
            <w:vMerge/>
            <w:tcBorders>
              <w:left w:val="single" w:sz="4" w:space="0" w:color="000000"/>
              <w:bottom w:val="single" w:sz="4" w:space="0" w:color="000000"/>
              <w:right w:val="single" w:sz="4" w:space="0" w:color="000000"/>
            </w:tcBorders>
            <w:shd w:val="clear" w:color="auto" w:fill="DCDCDC"/>
          </w:tcPr>
          <w:p>
            <w:pPr/>
          </w:p>
        </w:tc>
        <w:tc>
          <w:tcPr>
            <w:tcW w:w="709" w:type="dxa"/>
            <w:vMerge/>
            <w:tcBorders>
              <w:left w:val="single" w:sz="4" w:space="0" w:color="000000"/>
              <w:bottom w:val="single" w:sz="4" w:space="0" w:color="000000"/>
              <w:right w:val="single" w:sz="4" w:space="0" w:color="000000"/>
            </w:tcBorders>
            <w:shd w:val="clear" w:color="auto" w:fill="DCDCDC"/>
          </w:tcPr>
          <w:p>
            <w:pPr/>
          </w:p>
        </w:tc>
      </w:tr>
      <w:tr>
        <w:trPr>
          <w:trHeight w:val="32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2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sz w:val="18"/>
              </w:rPr>
              <w:t>153,372,733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sz w:val="18"/>
              </w:rPr>
              <w:t>48.62%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sz w:val="18"/>
              </w:rPr>
              <w:t>153,372,733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sz w:val="18"/>
              </w:rPr>
              <w:t>153,372,733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sz w:val="18"/>
              </w:rPr>
              <w:t>306,745,465</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sz w:val="18"/>
              </w:rPr>
              <w:t>48.62%</w:t>
            </w:r>
          </w:p>
        </w:tc>
      </w:tr>
      <w:tr>
        <w:trPr>
          <w:trHeight w:val="323"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2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3"/>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0.00%</w:t>
            </w:r>
          </w:p>
        </w:tc>
      </w:tr>
      <w:tr>
        <w:trPr>
          <w:trHeight w:val="32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2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3"/>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sz w:val="18"/>
              </w:rPr>
              <w:t>0.00%</w:t>
            </w:r>
          </w:p>
        </w:tc>
      </w:tr>
      <w:tr>
        <w:trPr>
          <w:trHeight w:val="32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2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15,021,600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w w:val="95"/>
                <w:sz w:val="18"/>
              </w:rPr>
              <w:t>4.76%</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15,021,600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15,021,600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30,043,200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w w:val="95"/>
                <w:sz w:val="18"/>
              </w:rPr>
              <w:t>4.76%</w:t>
            </w:r>
            <w:r>
              <w:rPr>
                <w:rFonts w:ascii="Times New Roman"/>
                <w:sz w:val="18"/>
              </w:rPr>
            </w: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86" w:firstLine="90"/>
              <w:jc w:val="left"/>
              <w:rPr>
                <w:rFonts w:ascii="宋体" w:hAnsi="宋体" w:cs="宋体" w:eastAsia="宋体" w:hint="default"/>
                <w:sz w:val="18"/>
                <w:szCs w:val="18"/>
              </w:rPr>
            </w:pPr>
            <w:r>
              <w:rPr>
                <w:rFonts w:ascii="宋体" w:hAnsi="宋体" w:cs="宋体" w:eastAsia="宋体" w:hint="default"/>
                <w:sz w:val="18"/>
                <w:szCs w:val="18"/>
              </w:rPr>
              <w:t>其中：境内非国有法 人持股</w:t>
            </w:r>
          </w:p>
        </w:tc>
        <w:tc>
          <w:tcPr>
            <w:tcW w:w="12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13,361,100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w w:val="95"/>
                <w:sz w:val="18"/>
              </w:rPr>
              <w:t>4.24%</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13,361,100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13,361,100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26,722,200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w w:val="95"/>
                <w:sz w:val="18"/>
              </w:rPr>
              <w:t>4.24%</w:t>
            </w:r>
            <w:r>
              <w:rPr>
                <w:rFonts w:ascii="Times New Roman"/>
                <w:sz w:val="18"/>
              </w:rPr>
            </w:r>
          </w:p>
        </w:tc>
      </w:tr>
      <w:tr>
        <w:trPr>
          <w:trHeight w:val="323"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86"/>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12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1,660,500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w w:val="95"/>
                <w:sz w:val="18"/>
              </w:rPr>
              <w:t>0.53%</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1,660,500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1,660,500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3,321,000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w w:val="95"/>
                <w:sz w:val="18"/>
              </w:rPr>
              <w:t>0.53%</w:t>
            </w:r>
            <w:r>
              <w:rPr>
                <w:rFonts w:ascii="Times New Roman"/>
                <w:sz w:val="18"/>
              </w:rPr>
            </w:r>
          </w:p>
        </w:tc>
      </w:tr>
      <w:tr>
        <w:trPr>
          <w:trHeight w:val="32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2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3"/>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86"/>
              <w:jc w:val="righ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2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3"/>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0.00%</w:t>
            </w:r>
          </w:p>
        </w:tc>
      </w:tr>
      <w:tr>
        <w:trPr>
          <w:trHeight w:val="32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86"/>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12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3"/>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、高管股份</w:t>
            </w:r>
          </w:p>
        </w:tc>
        <w:tc>
          <w:tcPr>
            <w:tcW w:w="12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138,351,133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43.86%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138,351,133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138,351,133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276,702,265</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43.86%</w:t>
            </w:r>
          </w:p>
        </w:tc>
      </w:tr>
      <w:tr>
        <w:trPr>
          <w:trHeight w:val="32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2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sz w:val="18"/>
              </w:rPr>
              <w:t>162,087,588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sz w:val="18"/>
              </w:rPr>
              <w:t>51.38%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sz w:val="18"/>
              </w:rPr>
              <w:t>162,087,588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sz w:val="18"/>
              </w:rPr>
              <w:t>162,087,588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sz w:val="18"/>
              </w:rPr>
              <w:t>324,175,175</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sz w:val="18"/>
              </w:rPr>
              <w:t>51.38%</w:t>
            </w:r>
          </w:p>
        </w:tc>
      </w:tr>
      <w:tr>
        <w:trPr>
          <w:trHeight w:val="323"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2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162,087,588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51.38%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162,087,588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162,087,588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324,175,175</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51.38%</w:t>
            </w:r>
          </w:p>
        </w:tc>
      </w:tr>
      <w:tr>
        <w:trPr>
          <w:trHeight w:val="32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2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3"/>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2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3"/>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0.00%</w:t>
            </w:r>
          </w:p>
        </w:tc>
      </w:tr>
      <w:tr>
        <w:trPr>
          <w:trHeight w:val="32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2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3"/>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sz w:val="18"/>
              </w:rPr>
              <w:t>0.00%</w:t>
            </w:r>
          </w:p>
        </w:tc>
      </w:tr>
      <w:tr>
        <w:trPr>
          <w:trHeight w:val="32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2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315,460,320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315,460,320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315,460,320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630,920,640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900" w:bottom="1460" w:left="600" w:right="860"/>
        </w:sectPr>
      </w:pPr>
    </w:p>
    <w:p>
      <w:pPr>
        <w:spacing w:before="40"/>
        <w:ind w:left="1290" w:right="0" w:firstLine="0"/>
        <w:jc w:val="left"/>
        <w:rPr>
          <w:rFonts w:ascii="宋体" w:hAnsi="宋体" w:cs="宋体" w:eastAsia="宋体" w:hint="default"/>
          <w:sz w:val="24"/>
          <w:szCs w:val="24"/>
        </w:rPr>
      </w:pPr>
      <w:r>
        <w:rPr>
          <w:rFonts w:ascii="Times New Roman" w:hAnsi="Times New Roman" w:cs="Times New Roman" w:eastAsia="Times New Roman" w:hint="default"/>
          <w:b/>
          <w:bCs/>
          <w:w w:val="95"/>
          <w:sz w:val="24"/>
          <w:szCs w:val="24"/>
        </w:rPr>
        <w:t>2</w:t>
      </w:r>
      <w:r>
        <w:rPr>
          <w:rFonts w:ascii="宋体" w:hAnsi="宋体" w:cs="宋体" w:eastAsia="宋体" w:hint="default"/>
          <w:b/>
          <w:bCs/>
          <w:w w:val="95"/>
          <w:sz w:val="24"/>
          <w:szCs w:val="24"/>
        </w:rPr>
        <w:t>、限售股份变动情况表</w:t>
      </w:r>
      <w:r>
        <w:rPr>
          <w:rFonts w:ascii="宋体" w:hAnsi="宋体" w:cs="宋体" w:eastAsia="宋体" w:hint="default"/>
          <w:sz w:val="24"/>
          <w:szCs w:val="24"/>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4"/>
        <w:rPr>
          <w:rFonts w:ascii="宋体" w:hAnsi="宋体" w:cs="宋体" w:eastAsia="宋体" w:hint="default"/>
          <w:b/>
          <w:bCs/>
          <w:sz w:val="13"/>
          <w:szCs w:val="13"/>
        </w:rPr>
      </w:pPr>
    </w:p>
    <w:p>
      <w:pPr>
        <w:spacing w:before="0"/>
        <w:ind w:left="1290" w:right="0" w:firstLine="0"/>
        <w:jc w:val="left"/>
        <w:rPr>
          <w:rFonts w:ascii="宋体" w:hAnsi="宋体" w:cs="宋体" w:eastAsia="宋体" w:hint="default"/>
          <w:sz w:val="18"/>
          <w:szCs w:val="18"/>
        </w:rPr>
      </w:pPr>
      <w:r>
        <w:rPr>
          <w:rFonts w:ascii="宋体" w:hAnsi="宋体" w:cs="宋体" w:eastAsia="宋体" w:hint="default"/>
          <w:sz w:val="18"/>
          <w:szCs w:val="18"/>
        </w:rPr>
        <w:t>单位：股</w:t>
      </w:r>
    </w:p>
    <w:p>
      <w:pPr>
        <w:spacing w:after="0"/>
        <w:jc w:val="left"/>
        <w:rPr>
          <w:rFonts w:ascii="宋体" w:hAnsi="宋体" w:cs="宋体" w:eastAsia="宋体" w:hint="default"/>
          <w:sz w:val="18"/>
          <w:szCs w:val="18"/>
        </w:rPr>
        <w:sectPr>
          <w:type w:val="continuous"/>
          <w:pgSz w:w="11910" w:h="16840"/>
          <w:pgMar w:top="900" w:bottom="1460" w:left="600" w:right="860"/>
          <w:cols w:num="2" w:equalWidth="0">
            <w:col w:w="3820" w:space="3890"/>
            <w:col w:w="2740"/>
          </w:cols>
        </w:sectPr>
      </w:pPr>
    </w:p>
    <w:p>
      <w:pPr>
        <w:spacing w:line="240" w:lineRule="auto" w:before="2"/>
        <w:rPr>
          <w:rFonts w:ascii="宋体" w:hAnsi="宋体" w:cs="宋体" w:eastAsia="宋体" w:hint="default"/>
          <w:sz w:val="5"/>
          <w:szCs w:val="5"/>
        </w:rPr>
      </w:pPr>
    </w:p>
    <w:tbl>
      <w:tblPr>
        <w:tblW w:w="0" w:type="auto"/>
        <w:jc w:val="left"/>
        <w:tblInd w:w="104" w:type="dxa"/>
        <w:tblLayout w:type="fixed"/>
        <w:tblCellMar>
          <w:top w:w="0" w:type="dxa"/>
          <w:left w:w="0" w:type="dxa"/>
          <w:bottom w:w="0" w:type="dxa"/>
          <w:right w:w="0" w:type="dxa"/>
        </w:tblCellMar>
        <w:tblLook w:val="01E0"/>
      </w:tblPr>
      <w:tblGrid>
        <w:gridCol w:w="2837"/>
        <w:gridCol w:w="1274"/>
        <w:gridCol w:w="851"/>
        <w:gridCol w:w="1134"/>
        <w:gridCol w:w="1134"/>
        <w:gridCol w:w="1277"/>
        <w:gridCol w:w="1700"/>
      </w:tblGrid>
      <w:tr>
        <w:trPr>
          <w:trHeight w:val="557" w:hRule="exact"/>
        </w:trPr>
        <w:tc>
          <w:tcPr>
            <w:tcW w:w="28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27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8"/>
              <w:ind w:right="91"/>
              <w:jc w:val="right"/>
              <w:rPr>
                <w:rFonts w:ascii="宋体" w:hAnsi="宋体" w:cs="宋体" w:eastAsia="宋体" w:hint="default"/>
                <w:sz w:val="18"/>
                <w:szCs w:val="18"/>
              </w:rPr>
            </w:pPr>
            <w:r>
              <w:rPr>
                <w:rFonts w:ascii="宋体" w:hAnsi="宋体" w:cs="宋体" w:eastAsia="宋体" w:hint="default"/>
                <w:sz w:val="18"/>
                <w:szCs w:val="18"/>
              </w:rPr>
              <w:t>年初限售股数</w:t>
            </w:r>
          </w:p>
        </w:tc>
        <w:tc>
          <w:tcPr>
            <w:tcW w:w="8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59" w:right="59"/>
              <w:jc w:val="left"/>
              <w:rPr>
                <w:rFonts w:ascii="宋体" w:hAnsi="宋体" w:cs="宋体" w:eastAsia="宋体" w:hint="default"/>
                <w:sz w:val="18"/>
                <w:szCs w:val="18"/>
              </w:rPr>
            </w:pPr>
            <w:r>
              <w:rPr>
                <w:rFonts w:ascii="宋体" w:hAnsi="宋体" w:cs="宋体" w:eastAsia="宋体" w:hint="default"/>
                <w:sz w:val="18"/>
                <w:szCs w:val="18"/>
              </w:rPr>
              <w:t>本年解除 限售股数</w:t>
            </w:r>
          </w:p>
        </w:tc>
        <w:tc>
          <w:tcPr>
            <w:tcW w:w="11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291" w:right="110" w:hanging="180"/>
              <w:jc w:val="left"/>
              <w:rPr>
                <w:rFonts w:ascii="宋体" w:hAnsi="宋体" w:cs="宋体" w:eastAsia="宋体" w:hint="default"/>
                <w:sz w:val="18"/>
                <w:szCs w:val="18"/>
              </w:rPr>
            </w:pPr>
            <w:r>
              <w:rPr>
                <w:rFonts w:ascii="宋体" w:hAnsi="宋体" w:cs="宋体" w:eastAsia="宋体" w:hint="default"/>
                <w:sz w:val="18"/>
                <w:szCs w:val="18"/>
              </w:rPr>
              <w:t>本年增加限 售股数</w:t>
            </w:r>
          </w:p>
        </w:tc>
        <w:tc>
          <w:tcPr>
            <w:tcW w:w="11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471" w:right="110" w:hanging="360"/>
              <w:jc w:val="left"/>
              <w:rPr>
                <w:rFonts w:ascii="宋体" w:hAnsi="宋体" w:cs="宋体" w:eastAsia="宋体" w:hint="default"/>
                <w:sz w:val="18"/>
                <w:szCs w:val="18"/>
              </w:rPr>
            </w:pPr>
            <w:r>
              <w:rPr>
                <w:rFonts w:ascii="宋体" w:hAnsi="宋体" w:cs="宋体" w:eastAsia="宋体" w:hint="default"/>
                <w:sz w:val="18"/>
                <w:szCs w:val="18"/>
              </w:rPr>
              <w:t>年末限售股 数</w:t>
            </w:r>
          </w:p>
        </w:tc>
        <w:tc>
          <w:tcPr>
            <w:tcW w:w="1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8"/>
              <w:ind w:left="272"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17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8"/>
              <w:ind w:left="303" w:right="0"/>
              <w:jc w:val="left"/>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557"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14"/>
              <w:jc w:val="left"/>
              <w:rPr>
                <w:rFonts w:ascii="宋体" w:hAnsi="宋体" w:cs="宋体" w:eastAsia="宋体" w:hint="default"/>
                <w:sz w:val="18"/>
                <w:szCs w:val="18"/>
              </w:rPr>
            </w:pPr>
            <w:r>
              <w:rPr>
                <w:rFonts w:ascii="宋体" w:hAnsi="宋体" w:cs="宋体" w:eastAsia="宋体" w:hint="default"/>
                <w:spacing w:val="5"/>
                <w:sz w:val="18"/>
                <w:szCs w:val="18"/>
              </w:rPr>
              <w:t>中国建设银行－华商动态阿尔法灵</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活配置混合型证券投资基金</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3"/>
              <w:jc w:val="right"/>
              <w:rPr>
                <w:rFonts w:ascii="宋体" w:hAnsi="宋体" w:cs="宋体" w:eastAsia="宋体" w:hint="default"/>
                <w:sz w:val="18"/>
                <w:szCs w:val="18"/>
              </w:rPr>
            </w:pPr>
            <w:r>
              <w:rPr>
                <w:rFonts w:ascii="宋体" w:hAnsi="宋体" w:cs="宋体" w:eastAsia="宋体" w:hint="default"/>
                <w:sz w:val="18"/>
                <w:szCs w:val="18"/>
              </w:rPr>
              <w:t>定向发行限售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日</w:t>
            </w:r>
          </w:p>
        </w:tc>
      </w:tr>
      <w:tr>
        <w:trPr>
          <w:trHeight w:val="557"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14"/>
              <w:jc w:val="left"/>
              <w:rPr>
                <w:rFonts w:ascii="宋体" w:hAnsi="宋体" w:cs="宋体" w:eastAsia="宋体" w:hint="default"/>
                <w:sz w:val="18"/>
                <w:szCs w:val="18"/>
              </w:rPr>
            </w:pPr>
            <w:r>
              <w:rPr>
                <w:rFonts w:ascii="宋体" w:hAnsi="宋体" w:cs="宋体" w:eastAsia="宋体" w:hint="default"/>
                <w:spacing w:val="5"/>
                <w:sz w:val="18"/>
                <w:szCs w:val="18"/>
              </w:rPr>
              <w:t>中国建设银行－华商产业升级股票</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型证券投资基金</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3"/>
              <w:jc w:val="right"/>
              <w:rPr>
                <w:rFonts w:ascii="宋体" w:hAnsi="宋体" w:cs="宋体" w:eastAsia="宋体" w:hint="default"/>
                <w:sz w:val="18"/>
                <w:szCs w:val="18"/>
              </w:rPr>
            </w:pPr>
            <w:r>
              <w:rPr>
                <w:rFonts w:ascii="宋体" w:hAnsi="宋体" w:cs="宋体" w:eastAsia="宋体" w:hint="default"/>
                <w:sz w:val="18"/>
                <w:szCs w:val="18"/>
              </w:rPr>
              <w:t>定向发行限售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日</w:t>
            </w:r>
          </w:p>
        </w:tc>
      </w:tr>
      <w:tr>
        <w:trPr>
          <w:trHeight w:val="558"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14"/>
              <w:jc w:val="left"/>
              <w:rPr>
                <w:rFonts w:ascii="宋体" w:hAnsi="宋体" w:cs="宋体" w:eastAsia="宋体" w:hint="default"/>
                <w:sz w:val="18"/>
                <w:szCs w:val="18"/>
              </w:rPr>
            </w:pPr>
            <w:r>
              <w:rPr>
                <w:rFonts w:ascii="宋体" w:hAnsi="宋体" w:cs="宋体" w:eastAsia="宋体" w:hint="default"/>
                <w:spacing w:val="5"/>
                <w:sz w:val="18"/>
                <w:szCs w:val="18"/>
              </w:rPr>
              <w:t>中国建设银行－信达澳银领先增长</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股票型证券投资基金</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宋体" w:hAnsi="宋体" w:cs="宋体" w:eastAsia="宋体" w:hint="default"/>
                <w:sz w:val="18"/>
                <w:szCs w:val="18"/>
              </w:rPr>
            </w:pPr>
            <w:r>
              <w:rPr>
                <w:rFonts w:ascii="宋体" w:hAnsi="宋体" w:cs="宋体" w:eastAsia="宋体" w:hint="default"/>
                <w:sz w:val="18"/>
                <w:szCs w:val="18"/>
              </w:rPr>
              <w:t>定向发行限售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日</w:t>
            </w:r>
          </w:p>
        </w:tc>
      </w:tr>
      <w:tr>
        <w:trPr>
          <w:trHeight w:val="557"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32"/>
              <w:ind w:left="22" w:right="462"/>
              <w:jc w:val="left"/>
              <w:rPr>
                <w:rFonts w:ascii="宋体" w:hAnsi="宋体" w:cs="宋体" w:eastAsia="宋体" w:hint="default"/>
                <w:sz w:val="18"/>
                <w:szCs w:val="18"/>
              </w:rPr>
            </w:pPr>
            <w:r>
              <w:rPr>
                <w:rFonts w:ascii="宋体" w:hAnsi="宋体" w:cs="宋体" w:eastAsia="宋体" w:hint="default"/>
                <w:sz w:val="18"/>
                <w:szCs w:val="18"/>
              </w:rPr>
              <w:t>中国建设银行</w:t>
            </w:r>
            <w:r>
              <w:rPr>
                <w:rFonts w:ascii="Times New Roman" w:hAnsi="Times New Roman" w:cs="Times New Roman" w:eastAsia="Times New Roman" w:hint="default"/>
                <w:sz w:val="18"/>
                <w:szCs w:val="18"/>
              </w:rPr>
              <w:t>-</w:t>
            </w:r>
            <w:r>
              <w:rPr>
                <w:rFonts w:ascii="宋体" w:hAnsi="宋体" w:cs="宋体" w:eastAsia="宋体" w:hint="default"/>
                <w:sz w:val="18"/>
                <w:szCs w:val="18"/>
              </w:rPr>
              <w:t>华商 收益增强债券型证券投资基金</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3"/>
              <w:jc w:val="right"/>
              <w:rPr>
                <w:rFonts w:ascii="宋体" w:hAnsi="宋体" w:cs="宋体" w:eastAsia="宋体" w:hint="default"/>
                <w:sz w:val="18"/>
                <w:szCs w:val="18"/>
              </w:rPr>
            </w:pPr>
            <w:r>
              <w:rPr>
                <w:rFonts w:ascii="宋体" w:hAnsi="宋体" w:cs="宋体" w:eastAsia="宋体" w:hint="default"/>
                <w:sz w:val="18"/>
                <w:szCs w:val="18"/>
              </w:rPr>
              <w:t>定向发行限售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日</w:t>
            </w:r>
          </w:p>
        </w:tc>
      </w:tr>
      <w:tr>
        <w:trPr>
          <w:trHeight w:val="557"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4"/>
              <w:jc w:val="left"/>
              <w:rPr>
                <w:rFonts w:ascii="宋体" w:hAnsi="宋体" w:cs="宋体" w:eastAsia="宋体" w:hint="default"/>
                <w:sz w:val="18"/>
                <w:szCs w:val="18"/>
              </w:rPr>
            </w:pPr>
            <w:r>
              <w:rPr>
                <w:rFonts w:ascii="宋体" w:hAnsi="宋体" w:cs="宋体" w:eastAsia="宋体" w:hint="default"/>
                <w:spacing w:val="5"/>
                <w:sz w:val="18"/>
                <w:szCs w:val="18"/>
              </w:rPr>
              <w:t>中国民生银行股份有限公司－华商</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领先企业混合型证券投资基金</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3"/>
              <w:jc w:val="right"/>
              <w:rPr>
                <w:rFonts w:ascii="宋体" w:hAnsi="宋体" w:cs="宋体" w:eastAsia="宋体" w:hint="default"/>
                <w:sz w:val="18"/>
                <w:szCs w:val="18"/>
              </w:rPr>
            </w:pPr>
            <w:r>
              <w:rPr>
                <w:rFonts w:ascii="宋体" w:hAnsi="宋体" w:cs="宋体" w:eastAsia="宋体" w:hint="default"/>
                <w:sz w:val="18"/>
                <w:szCs w:val="18"/>
              </w:rPr>
              <w:t>定向发行限售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日</w:t>
            </w:r>
          </w:p>
        </w:tc>
      </w:tr>
      <w:tr>
        <w:trPr>
          <w:trHeight w:val="557"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4"/>
              <w:jc w:val="left"/>
              <w:rPr>
                <w:rFonts w:ascii="宋体" w:hAnsi="宋体" w:cs="宋体" w:eastAsia="宋体" w:hint="default"/>
                <w:sz w:val="18"/>
                <w:szCs w:val="18"/>
              </w:rPr>
            </w:pPr>
            <w:r>
              <w:rPr>
                <w:rFonts w:ascii="宋体" w:hAnsi="宋体" w:cs="宋体" w:eastAsia="宋体" w:hint="default"/>
                <w:spacing w:val="5"/>
                <w:sz w:val="18"/>
                <w:szCs w:val="18"/>
              </w:rPr>
              <w:t>中国民生银行－华商策略精选灵活</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配置混合型证券投资基金</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2,200,000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2,200,000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4,400,000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2"/>
              <w:jc w:val="right"/>
              <w:rPr>
                <w:rFonts w:ascii="宋体" w:hAnsi="宋体" w:cs="宋体" w:eastAsia="宋体" w:hint="default"/>
                <w:sz w:val="18"/>
                <w:szCs w:val="18"/>
              </w:rPr>
            </w:pPr>
            <w:r>
              <w:rPr>
                <w:rFonts w:ascii="宋体" w:hAnsi="宋体" w:cs="宋体" w:eastAsia="宋体" w:hint="default"/>
                <w:sz w:val="18"/>
                <w:szCs w:val="18"/>
              </w:rPr>
              <w:t>定向发行限售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日</w:t>
            </w:r>
          </w:p>
        </w:tc>
      </w:tr>
      <w:tr>
        <w:trPr>
          <w:trHeight w:val="557"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4"/>
              <w:jc w:val="left"/>
              <w:rPr>
                <w:rFonts w:ascii="宋体" w:hAnsi="宋体" w:cs="宋体" w:eastAsia="宋体" w:hint="default"/>
                <w:sz w:val="18"/>
                <w:szCs w:val="18"/>
              </w:rPr>
            </w:pPr>
            <w:r>
              <w:rPr>
                <w:rFonts w:ascii="宋体" w:hAnsi="宋体" w:cs="宋体" w:eastAsia="宋体" w:hint="default"/>
                <w:spacing w:val="5"/>
                <w:sz w:val="18"/>
                <w:szCs w:val="18"/>
              </w:rPr>
              <w:t>天津硅谷天堂鲲鹏股权投资基金合</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伙企业（有限合伙）</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2"/>
              <w:jc w:val="right"/>
              <w:rPr>
                <w:rFonts w:ascii="宋体" w:hAnsi="宋体" w:cs="宋体" w:eastAsia="宋体" w:hint="default"/>
                <w:sz w:val="18"/>
                <w:szCs w:val="18"/>
              </w:rPr>
            </w:pPr>
            <w:r>
              <w:rPr>
                <w:rFonts w:ascii="宋体" w:hAnsi="宋体" w:cs="宋体" w:eastAsia="宋体" w:hint="default"/>
                <w:sz w:val="18"/>
                <w:szCs w:val="18"/>
              </w:rPr>
              <w:t>定向发行限售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日</w:t>
            </w:r>
          </w:p>
        </w:tc>
      </w:tr>
      <w:tr>
        <w:trPr>
          <w:trHeight w:val="557"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4"/>
              <w:jc w:val="left"/>
              <w:rPr>
                <w:rFonts w:ascii="宋体" w:hAnsi="宋体" w:cs="宋体" w:eastAsia="宋体" w:hint="default"/>
                <w:sz w:val="18"/>
                <w:szCs w:val="18"/>
              </w:rPr>
            </w:pPr>
            <w:r>
              <w:rPr>
                <w:rFonts w:ascii="宋体" w:hAnsi="宋体" w:cs="宋体" w:eastAsia="宋体" w:hint="default"/>
                <w:spacing w:val="5"/>
                <w:sz w:val="18"/>
                <w:szCs w:val="18"/>
              </w:rPr>
              <w:t>天平汽车保险股份有限公司－自有</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资金</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1,361,100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1,361,100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2,722,200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2"/>
              <w:jc w:val="right"/>
              <w:rPr>
                <w:rFonts w:ascii="宋体" w:hAnsi="宋体" w:cs="宋体" w:eastAsia="宋体" w:hint="default"/>
                <w:sz w:val="18"/>
                <w:szCs w:val="18"/>
              </w:rPr>
            </w:pPr>
            <w:r>
              <w:rPr>
                <w:rFonts w:ascii="宋体" w:hAnsi="宋体" w:cs="宋体" w:eastAsia="宋体" w:hint="default"/>
                <w:sz w:val="18"/>
                <w:szCs w:val="18"/>
              </w:rPr>
              <w:t>定向发行限售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日</w:t>
            </w:r>
          </w:p>
        </w:tc>
      </w:tr>
    </w:tbl>
    <w:p>
      <w:pPr>
        <w:spacing w:after="0" w:line="240" w:lineRule="auto"/>
        <w:jc w:val="left"/>
        <w:rPr>
          <w:rFonts w:ascii="宋体" w:hAnsi="宋体" w:cs="宋体" w:eastAsia="宋体" w:hint="default"/>
          <w:sz w:val="18"/>
          <w:szCs w:val="18"/>
        </w:rPr>
        <w:sectPr>
          <w:type w:val="continuous"/>
          <w:pgSz w:w="11910" w:h="16840"/>
          <w:pgMar w:top="900" w:bottom="1460" w:left="600" w:right="8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tbl>
      <w:tblPr>
        <w:tblW w:w="0" w:type="auto"/>
        <w:jc w:val="left"/>
        <w:tblInd w:w="104" w:type="dxa"/>
        <w:tblLayout w:type="fixed"/>
        <w:tblCellMar>
          <w:top w:w="0" w:type="dxa"/>
          <w:left w:w="0" w:type="dxa"/>
          <w:bottom w:w="0" w:type="dxa"/>
          <w:right w:w="0" w:type="dxa"/>
        </w:tblCellMar>
        <w:tblLook w:val="01E0"/>
      </w:tblPr>
      <w:tblGrid>
        <w:gridCol w:w="2837"/>
        <w:gridCol w:w="1274"/>
        <w:gridCol w:w="851"/>
        <w:gridCol w:w="1134"/>
        <w:gridCol w:w="1134"/>
        <w:gridCol w:w="1277"/>
        <w:gridCol w:w="1700"/>
      </w:tblGrid>
      <w:tr>
        <w:trPr>
          <w:trHeight w:val="323"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吕晓义</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1,660,500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1,660,500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3,321,000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hAnsi="宋体" w:cs="宋体" w:eastAsia="宋体" w:hint="default"/>
                <w:sz w:val="18"/>
                <w:szCs w:val="18"/>
              </w:rPr>
              <w:t>定向发行限售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日</w:t>
            </w:r>
          </w:p>
        </w:tc>
      </w:tr>
      <w:tr>
        <w:trPr>
          <w:trHeight w:val="324"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赵玉梅</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4,500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2,250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6,750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3"/>
              <w:jc w:val="right"/>
              <w:rPr>
                <w:rFonts w:ascii="宋体" w:hAnsi="宋体" w:cs="宋体" w:eastAsia="宋体" w:hint="default"/>
                <w:sz w:val="18"/>
                <w:szCs w:val="18"/>
              </w:rPr>
            </w:pPr>
            <w:r>
              <w:rPr>
                <w:rFonts w:ascii="宋体" w:hAnsi="宋体" w:cs="宋体" w:eastAsia="宋体" w:hint="default"/>
                <w:sz w:val="18"/>
                <w:szCs w:val="18"/>
              </w:rPr>
              <w:t>董监高限售股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任期内每年解除</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323"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何峰</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15,188</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15,188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30,376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hAnsi="宋体" w:cs="宋体" w:eastAsia="宋体" w:hint="default"/>
                <w:sz w:val="18"/>
                <w:szCs w:val="18"/>
              </w:rPr>
              <w:t>董监高限售股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任期内每年解除</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324"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任金生</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11,280,832</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11,280,832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22,561,664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2"/>
              <w:jc w:val="right"/>
              <w:rPr>
                <w:rFonts w:ascii="宋体" w:hAnsi="宋体" w:cs="宋体" w:eastAsia="宋体" w:hint="default"/>
                <w:sz w:val="18"/>
                <w:szCs w:val="18"/>
              </w:rPr>
            </w:pPr>
            <w:r>
              <w:rPr>
                <w:rFonts w:ascii="宋体" w:hAnsi="宋体" w:cs="宋体" w:eastAsia="宋体" w:hint="default"/>
                <w:sz w:val="18"/>
                <w:szCs w:val="18"/>
              </w:rPr>
              <w:t>董监高限售股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任期内每年解除</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323"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吕晓义</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61,393,081</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61,393,081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122,786,162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hAnsi="宋体" w:cs="宋体" w:eastAsia="宋体" w:hint="default"/>
                <w:sz w:val="18"/>
                <w:szCs w:val="18"/>
              </w:rPr>
              <w:t>董监高限售股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任期内每年解除</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324"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何平</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36,809,794</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36,809,794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73,619,588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2"/>
              <w:jc w:val="right"/>
              <w:rPr>
                <w:rFonts w:ascii="宋体" w:hAnsi="宋体" w:cs="宋体" w:eastAsia="宋体" w:hint="default"/>
                <w:sz w:val="18"/>
                <w:szCs w:val="18"/>
              </w:rPr>
            </w:pPr>
            <w:r>
              <w:rPr>
                <w:rFonts w:ascii="宋体" w:hAnsi="宋体" w:cs="宋体" w:eastAsia="宋体" w:hint="default"/>
                <w:sz w:val="18"/>
                <w:szCs w:val="18"/>
              </w:rPr>
              <w:t>董监高限售股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任期内每年解除</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323"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张国刚</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225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225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hAnsi="宋体" w:cs="宋体" w:eastAsia="宋体" w:hint="default"/>
                <w:sz w:val="18"/>
                <w:szCs w:val="18"/>
              </w:rPr>
              <w:t>董监高限售股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任期内每年解除</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324"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匡晓明</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28,837,500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28,837,500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57,675,000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2"/>
              <w:jc w:val="right"/>
              <w:rPr>
                <w:rFonts w:ascii="宋体" w:hAnsi="宋体" w:cs="宋体" w:eastAsia="宋体" w:hint="default"/>
                <w:sz w:val="18"/>
                <w:szCs w:val="18"/>
              </w:rPr>
            </w:pPr>
            <w:r>
              <w:rPr>
                <w:rFonts w:ascii="宋体" w:hAnsi="宋体" w:cs="宋体" w:eastAsia="宋体" w:hint="default"/>
                <w:sz w:val="18"/>
                <w:szCs w:val="18"/>
              </w:rPr>
              <w:t>董监高限售股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任期内每年解除</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323"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刘心</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10,500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10,500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21,000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hAnsi="宋体" w:cs="宋体" w:eastAsia="宋体" w:hint="default"/>
                <w:sz w:val="18"/>
                <w:szCs w:val="18"/>
              </w:rPr>
              <w:t>董监高限售股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任期内每年解除</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324"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詹伟哉</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750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750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1,500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3"/>
              <w:jc w:val="right"/>
              <w:rPr>
                <w:rFonts w:ascii="宋体" w:hAnsi="宋体" w:cs="宋体" w:eastAsia="宋体" w:hint="default"/>
                <w:sz w:val="18"/>
                <w:szCs w:val="18"/>
              </w:rPr>
            </w:pPr>
            <w:r>
              <w:rPr>
                <w:rFonts w:ascii="宋体" w:hAnsi="宋体" w:cs="宋体" w:eastAsia="宋体" w:hint="default"/>
                <w:sz w:val="18"/>
                <w:szCs w:val="18"/>
              </w:rPr>
              <w:t>董监高限售股</w:t>
            </w: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8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153,373,745</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153,371,720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sz w:val="18"/>
              </w:rPr>
              <w:t>306,745,465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hAnsi="宋体" w:cs="宋体" w:eastAsia="宋体" w:hint="default"/>
                <w:sz w:val="18"/>
                <w:szCs w:val="18"/>
              </w:rPr>
              <w:t>－</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hAnsi="宋体" w:cs="宋体" w:eastAsia="宋体" w:hint="default"/>
                <w:sz w:val="18"/>
                <w:szCs w:val="18"/>
              </w:rPr>
              <w:t>－</w:t>
            </w:r>
          </w:p>
        </w:tc>
      </w:tr>
    </w:tbl>
    <w:p>
      <w:pPr>
        <w:spacing w:after="0" w:line="240" w:lineRule="auto"/>
        <w:jc w:val="right"/>
        <w:rPr>
          <w:rFonts w:ascii="宋体" w:hAnsi="宋体" w:cs="宋体" w:eastAsia="宋体" w:hint="default"/>
          <w:sz w:val="18"/>
          <w:szCs w:val="18"/>
        </w:rPr>
        <w:sectPr>
          <w:pgSz w:w="11910" w:h="16840"/>
          <w:pgMar w:header="470" w:footer="1266" w:top="900" w:bottom="1460" w:left="600" w:right="840"/>
        </w:sectPr>
      </w:pPr>
    </w:p>
    <w:p>
      <w:pPr>
        <w:spacing w:before="40"/>
        <w:ind w:left="1328" w:right="-5"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、前</w:t>
      </w:r>
      <w:r>
        <w:rPr>
          <w:rFonts w:ascii="Times New Roman" w:hAnsi="Times New Roman" w:cs="Times New Roman" w:eastAsia="Times New Roman" w:hint="default"/>
          <w:b/>
          <w:bCs/>
          <w:sz w:val="24"/>
          <w:szCs w:val="24"/>
        </w:rPr>
        <w:t>10</w:t>
      </w:r>
      <w:r>
        <w:rPr>
          <w:rFonts w:ascii="宋体" w:hAnsi="宋体" w:cs="宋体" w:eastAsia="宋体" w:hint="default"/>
          <w:b/>
          <w:bCs/>
          <w:sz w:val="24"/>
          <w:szCs w:val="24"/>
        </w:rPr>
        <w:t>名股东、前</w:t>
      </w:r>
      <w:r>
        <w:rPr>
          <w:rFonts w:ascii="Times New Roman" w:hAnsi="Times New Roman" w:cs="Times New Roman" w:eastAsia="Times New Roman" w:hint="default"/>
          <w:b/>
          <w:bCs/>
          <w:sz w:val="24"/>
          <w:szCs w:val="24"/>
        </w:rPr>
        <w:t>10</w:t>
      </w:r>
      <w:r>
        <w:rPr>
          <w:rFonts w:ascii="宋体" w:hAnsi="宋体" w:cs="宋体" w:eastAsia="宋体" w:hint="default"/>
          <w:b/>
          <w:bCs/>
          <w:sz w:val="24"/>
          <w:szCs w:val="24"/>
        </w:rPr>
        <w:t>名无限售条件股东持股情况表</w:t>
      </w:r>
      <w:r>
        <w:rPr>
          <w:rFonts w:ascii="宋体" w:hAnsi="宋体" w:cs="宋体" w:eastAsia="宋体" w:hint="default"/>
          <w:sz w:val="24"/>
          <w:szCs w:val="24"/>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4"/>
        <w:rPr>
          <w:rFonts w:ascii="宋体" w:hAnsi="宋体" w:cs="宋体" w:eastAsia="宋体" w:hint="default"/>
          <w:b/>
          <w:bCs/>
          <w:sz w:val="13"/>
          <w:szCs w:val="13"/>
        </w:rPr>
      </w:pPr>
    </w:p>
    <w:p>
      <w:pPr>
        <w:spacing w:before="0"/>
        <w:ind w:left="1328" w:right="0" w:firstLine="0"/>
        <w:jc w:val="left"/>
        <w:rPr>
          <w:rFonts w:ascii="宋体" w:hAnsi="宋体" w:cs="宋体" w:eastAsia="宋体" w:hint="default"/>
          <w:sz w:val="18"/>
          <w:szCs w:val="18"/>
        </w:rPr>
      </w:pPr>
      <w:r>
        <w:rPr>
          <w:rFonts w:ascii="宋体" w:hAnsi="宋体" w:cs="宋体" w:eastAsia="宋体" w:hint="default"/>
          <w:sz w:val="18"/>
          <w:szCs w:val="18"/>
        </w:rPr>
        <w:t>单位：股</w:t>
      </w:r>
    </w:p>
    <w:p>
      <w:pPr>
        <w:spacing w:after="0"/>
        <w:jc w:val="left"/>
        <w:rPr>
          <w:rFonts w:ascii="宋体" w:hAnsi="宋体" w:cs="宋体" w:eastAsia="宋体" w:hint="default"/>
          <w:sz w:val="18"/>
          <w:szCs w:val="18"/>
        </w:rPr>
        <w:sectPr>
          <w:type w:val="continuous"/>
          <w:pgSz w:w="11910" w:h="16840"/>
          <w:pgMar w:top="900" w:bottom="1460" w:left="600" w:right="840"/>
          <w:cols w:num="2" w:equalWidth="0">
            <w:col w:w="6762" w:space="909"/>
            <w:col w:w="2799"/>
          </w:cols>
        </w:sectPr>
      </w:pPr>
    </w:p>
    <w:p>
      <w:pPr>
        <w:spacing w:line="240" w:lineRule="auto" w:before="2"/>
        <w:rPr>
          <w:rFonts w:ascii="宋体" w:hAnsi="宋体" w:cs="宋体" w:eastAsia="宋体" w:hint="default"/>
          <w:sz w:val="5"/>
          <w:szCs w:val="5"/>
        </w:rPr>
      </w:pPr>
    </w:p>
    <w:tbl>
      <w:tblPr>
        <w:tblW w:w="0" w:type="auto"/>
        <w:jc w:val="left"/>
        <w:tblInd w:w="104" w:type="dxa"/>
        <w:tblLayout w:type="fixed"/>
        <w:tblCellMar>
          <w:top w:w="0" w:type="dxa"/>
          <w:left w:w="0" w:type="dxa"/>
          <w:bottom w:w="0" w:type="dxa"/>
          <w:right w:w="0" w:type="dxa"/>
        </w:tblCellMar>
        <w:tblLook w:val="01E0"/>
      </w:tblPr>
      <w:tblGrid>
        <w:gridCol w:w="3049"/>
        <w:gridCol w:w="1300"/>
        <w:gridCol w:w="1052"/>
        <w:gridCol w:w="249"/>
        <w:gridCol w:w="1300"/>
        <w:gridCol w:w="520"/>
        <w:gridCol w:w="886"/>
        <w:gridCol w:w="415"/>
        <w:gridCol w:w="1438"/>
      </w:tblGrid>
      <w:tr>
        <w:trPr>
          <w:trHeight w:val="122" w:hRule="exact"/>
        </w:trPr>
        <w:tc>
          <w:tcPr>
            <w:tcW w:w="3049" w:type="dxa"/>
            <w:tcBorders>
              <w:top w:val="single" w:sz="4" w:space="0" w:color="000000"/>
              <w:left w:val="single" w:sz="4" w:space="0" w:color="000000"/>
              <w:bottom w:val="nil" w:sz="6" w:space="0" w:color="auto"/>
              <w:right w:val="single" w:sz="4" w:space="0" w:color="000000"/>
            </w:tcBorders>
            <w:shd w:val="clear" w:color="auto" w:fill="DCDCDC"/>
          </w:tcPr>
          <w:p>
            <w:pPr/>
          </w:p>
        </w:tc>
        <w:tc>
          <w:tcPr>
            <w:tcW w:w="2351" w:type="dxa"/>
            <w:gridSpan w:val="2"/>
            <w:vMerge w:val="restart"/>
            <w:tcBorders>
              <w:top w:val="single" w:sz="4" w:space="0" w:color="000000"/>
              <w:left w:val="single" w:sz="13" w:space="0" w:color="DCDCDC"/>
              <w:right w:val="single" w:sz="9" w:space="0" w:color="DCDCDC"/>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50,381</w:t>
            </w:r>
          </w:p>
        </w:tc>
        <w:tc>
          <w:tcPr>
            <w:tcW w:w="2954" w:type="dxa"/>
            <w:gridSpan w:val="4"/>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381" w:right="30" w:hanging="1350"/>
              <w:jc w:val="left"/>
              <w:rPr>
                <w:rFonts w:ascii="宋体" w:hAnsi="宋体" w:cs="宋体" w:eastAsia="宋体" w:hint="default"/>
                <w:sz w:val="18"/>
                <w:szCs w:val="18"/>
              </w:rPr>
            </w:pPr>
            <w:r>
              <w:rPr>
                <w:rFonts w:ascii="宋体" w:hAnsi="宋体" w:cs="宋体" w:eastAsia="宋体" w:hint="default"/>
                <w:sz w:val="18"/>
                <w:szCs w:val="18"/>
              </w:rPr>
              <w:t>本年度报告公布日前一个月末股东总 数</w:t>
            </w:r>
          </w:p>
        </w:tc>
        <w:tc>
          <w:tcPr>
            <w:tcW w:w="1853" w:type="dxa"/>
            <w:gridSpan w:val="2"/>
            <w:vMerge w:val="restart"/>
            <w:tcBorders>
              <w:top w:val="single" w:sz="4" w:space="0" w:color="000000"/>
              <w:left w:val="single" w:sz="13" w:space="0" w:color="DCDCDC"/>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52,765</w:t>
            </w:r>
          </w:p>
        </w:tc>
      </w:tr>
      <w:tr>
        <w:trPr>
          <w:trHeight w:val="435" w:hRule="exact"/>
        </w:trPr>
        <w:tc>
          <w:tcPr>
            <w:tcW w:w="3049"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10"/>
              <w:ind w:left="7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年末股东总数</w:t>
            </w:r>
          </w:p>
        </w:tc>
        <w:tc>
          <w:tcPr>
            <w:tcW w:w="2351" w:type="dxa"/>
            <w:gridSpan w:val="2"/>
            <w:vMerge/>
            <w:tcBorders>
              <w:left w:val="single" w:sz="13" w:space="0" w:color="DCDCDC"/>
              <w:bottom w:val="single" w:sz="4" w:space="0" w:color="000000"/>
              <w:right w:val="single" w:sz="9" w:space="0" w:color="DCDCDC"/>
            </w:tcBorders>
          </w:tcPr>
          <w:p>
            <w:pPr/>
          </w:p>
        </w:tc>
        <w:tc>
          <w:tcPr>
            <w:tcW w:w="2954" w:type="dxa"/>
            <w:gridSpan w:val="4"/>
            <w:vMerge/>
            <w:tcBorders>
              <w:left w:val="single" w:sz="4" w:space="0" w:color="000000"/>
              <w:bottom w:val="single" w:sz="4" w:space="0" w:color="000000"/>
              <w:right w:val="single" w:sz="4" w:space="0" w:color="000000"/>
            </w:tcBorders>
            <w:shd w:val="clear" w:color="auto" w:fill="DCDCDC"/>
          </w:tcPr>
          <w:p>
            <w:pPr/>
          </w:p>
        </w:tc>
        <w:tc>
          <w:tcPr>
            <w:tcW w:w="1853" w:type="dxa"/>
            <w:gridSpan w:val="2"/>
            <w:vMerge/>
            <w:tcBorders>
              <w:left w:val="single" w:sz="13" w:space="0" w:color="DCDCDC"/>
              <w:bottom w:val="single" w:sz="4" w:space="0" w:color="000000"/>
              <w:right w:val="single" w:sz="4" w:space="0" w:color="000000"/>
            </w:tcBorders>
          </w:tcPr>
          <w:p>
            <w:pPr/>
          </w:p>
        </w:tc>
      </w:tr>
      <w:tr>
        <w:trPr>
          <w:trHeight w:val="382" w:hRule="exact"/>
        </w:trPr>
        <w:tc>
          <w:tcPr>
            <w:tcW w:w="10207"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9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440" w:hRule="exact"/>
        </w:trPr>
        <w:tc>
          <w:tcPr>
            <w:tcW w:w="30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284"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130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29"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284"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82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86" w:lineRule="exact"/>
              <w:ind w:right="1"/>
              <w:jc w:val="center"/>
              <w:rPr>
                <w:rFonts w:ascii="宋体" w:hAnsi="宋体" w:cs="宋体" w:eastAsia="宋体" w:hint="default"/>
                <w:sz w:val="18"/>
                <w:szCs w:val="18"/>
              </w:rPr>
            </w:pPr>
            <w:r>
              <w:rPr>
                <w:rFonts w:ascii="宋体" w:hAnsi="宋体" w:cs="宋体" w:eastAsia="宋体" w:hint="default"/>
                <w:sz w:val="18"/>
                <w:szCs w:val="18"/>
              </w:rPr>
              <w:t>持有有限售条件股份</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14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86" w:lineRule="exact"/>
              <w:ind w:right="0"/>
              <w:jc w:val="center"/>
              <w:rPr>
                <w:rFonts w:ascii="宋体" w:hAnsi="宋体" w:cs="宋体" w:eastAsia="宋体" w:hint="default"/>
                <w:sz w:val="18"/>
                <w:szCs w:val="18"/>
              </w:rPr>
            </w:pPr>
            <w:r>
              <w:rPr>
                <w:rFonts w:ascii="宋体" w:hAnsi="宋体" w:cs="宋体" w:eastAsia="宋体" w:hint="default"/>
                <w:sz w:val="18"/>
                <w:szCs w:val="18"/>
              </w:rPr>
              <w:t>质押或冻结的股</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份数量</w:t>
            </w:r>
          </w:p>
        </w:tc>
      </w:tr>
      <w:tr>
        <w:trPr>
          <w:trHeight w:val="382" w:hRule="exact"/>
        </w:trPr>
        <w:tc>
          <w:tcPr>
            <w:tcW w:w="3049" w:type="dxa"/>
            <w:tcBorders>
              <w:top w:val="single" w:sz="50" w:space="0" w:color="DCDCDC"/>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吕晓义</w:t>
            </w:r>
          </w:p>
        </w:tc>
        <w:tc>
          <w:tcPr>
            <w:tcW w:w="1300" w:type="dxa"/>
            <w:tcBorders>
              <w:top w:val="single" w:sz="50" w:space="0" w:color="DCDCDC"/>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gridSpan w:val="2"/>
            <w:tcBorders>
              <w:top w:val="single" w:sz="50" w:space="0" w:color="DCDCDC"/>
              <w:left w:val="single" w:sz="4" w:space="0" w:color="000000"/>
              <w:bottom w:val="single" w:sz="4" w:space="0" w:color="000000"/>
              <w:right w:val="single" w:sz="4" w:space="0" w:color="000000"/>
            </w:tcBorders>
          </w:tcPr>
          <w:p>
            <w:pPr>
              <w:pStyle w:val="TableParagraph"/>
              <w:spacing w:line="240" w:lineRule="auto" w:before="49"/>
              <w:ind w:left="712" w:right="0"/>
              <w:jc w:val="left"/>
              <w:rPr>
                <w:rFonts w:ascii="Times New Roman" w:hAnsi="Times New Roman" w:cs="Times New Roman" w:eastAsia="Times New Roman" w:hint="default"/>
                <w:sz w:val="18"/>
                <w:szCs w:val="18"/>
              </w:rPr>
            </w:pPr>
            <w:r>
              <w:rPr>
                <w:rFonts w:ascii="Times New Roman"/>
                <w:sz w:val="18"/>
              </w:rPr>
              <w:t>26.47%</w:t>
            </w:r>
          </w:p>
        </w:tc>
        <w:tc>
          <w:tcPr>
            <w:tcW w:w="1300" w:type="dxa"/>
            <w:tcBorders>
              <w:top w:val="single" w:sz="50" w:space="0" w:color="DCDCDC"/>
              <w:left w:val="single" w:sz="4" w:space="0" w:color="000000"/>
              <w:bottom w:val="single" w:sz="4" w:space="0" w:color="000000"/>
              <w:right w:val="single" w:sz="13" w:space="0" w:color="DCDCDC"/>
            </w:tcBorders>
          </w:tcPr>
          <w:p>
            <w:pPr>
              <w:pStyle w:val="TableParagraph"/>
              <w:spacing w:line="240" w:lineRule="auto" w:before="49"/>
              <w:ind w:right="8"/>
              <w:jc w:val="right"/>
              <w:rPr>
                <w:rFonts w:ascii="Times New Roman" w:hAnsi="Times New Roman" w:cs="Times New Roman" w:eastAsia="Times New Roman" w:hint="default"/>
                <w:sz w:val="18"/>
                <w:szCs w:val="18"/>
              </w:rPr>
            </w:pPr>
            <w:r>
              <w:rPr>
                <w:rFonts w:ascii="Times New Roman"/>
                <w:sz w:val="18"/>
              </w:rPr>
              <w:t>167,035,884</w:t>
            </w:r>
          </w:p>
        </w:tc>
        <w:tc>
          <w:tcPr>
            <w:tcW w:w="1820" w:type="dxa"/>
            <w:gridSpan w:val="3"/>
            <w:tcBorders>
              <w:top w:val="single" w:sz="4" w:space="0" w:color="000000"/>
              <w:left w:val="single" w:sz="13" w:space="0" w:color="DCDCDC"/>
              <w:bottom w:val="single" w:sz="4" w:space="0" w:color="000000"/>
              <w:right w:val="single" w:sz="23" w:space="0" w:color="DCDCDC"/>
            </w:tcBorders>
          </w:tcPr>
          <w:p>
            <w:pPr>
              <w:pStyle w:val="TableParagraph"/>
              <w:spacing w:line="240" w:lineRule="auto" w:before="107"/>
              <w:ind w:left="875" w:right="-1"/>
              <w:jc w:val="left"/>
              <w:rPr>
                <w:rFonts w:ascii="Times New Roman" w:hAnsi="Times New Roman" w:cs="Times New Roman" w:eastAsia="Times New Roman" w:hint="default"/>
                <w:sz w:val="18"/>
                <w:szCs w:val="18"/>
              </w:rPr>
            </w:pPr>
            <w:r>
              <w:rPr>
                <w:rFonts w:ascii="Times New Roman"/>
                <w:sz w:val="18"/>
              </w:rPr>
              <w:t>122,786,162</w:t>
            </w:r>
          </w:p>
        </w:tc>
        <w:tc>
          <w:tcPr>
            <w:tcW w:w="1438" w:type="dxa"/>
            <w:tcBorders>
              <w:top w:val="single" w:sz="4" w:space="0" w:color="000000"/>
              <w:left w:val="single" w:sz="23" w:space="0" w:color="DCDCDC"/>
              <w:bottom w:val="single" w:sz="4" w:space="0" w:color="000000"/>
              <w:right w:val="single" w:sz="13" w:space="0" w:color="DCDCDC"/>
            </w:tcBorders>
          </w:tcPr>
          <w:p>
            <w:pPr/>
          </w:p>
        </w:tc>
      </w:tr>
      <w:tr>
        <w:trPr>
          <w:trHeight w:val="323" w:hRule="exact"/>
        </w:trPr>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何平</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12" w:right="0"/>
              <w:jc w:val="left"/>
              <w:rPr>
                <w:rFonts w:ascii="Times New Roman" w:hAnsi="Times New Roman" w:cs="Times New Roman" w:eastAsia="Times New Roman" w:hint="default"/>
                <w:sz w:val="18"/>
                <w:szCs w:val="18"/>
              </w:rPr>
            </w:pPr>
            <w:r>
              <w:rPr>
                <w:rFonts w:ascii="Times New Roman"/>
                <w:sz w:val="18"/>
              </w:rPr>
              <w:t>15.56%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98,159,452</w:t>
            </w:r>
          </w:p>
        </w:tc>
        <w:tc>
          <w:tcPr>
            <w:tcW w:w="18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76" w:right="0"/>
              <w:jc w:val="left"/>
              <w:rPr>
                <w:rFonts w:ascii="Times New Roman" w:hAnsi="Times New Roman" w:cs="Times New Roman" w:eastAsia="Times New Roman" w:hint="default"/>
                <w:sz w:val="18"/>
                <w:szCs w:val="18"/>
              </w:rPr>
            </w:pPr>
            <w:r>
              <w:rPr>
                <w:rFonts w:ascii="Times New Roman"/>
                <w:sz w:val="18"/>
              </w:rPr>
              <w:t>73,619,588</w:t>
            </w:r>
          </w:p>
        </w:tc>
        <w:tc>
          <w:tcPr>
            <w:tcW w:w="1438"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匡晓明</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12" w:right="0"/>
              <w:jc w:val="left"/>
              <w:rPr>
                <w:rFonts w:ascii="Times New Roman" w:hAnsi="Times New Roman" w:cs="Times New Roman" w:eastAsia="Times New Roman" w:hint="default"/>
                <w:sz w:val="18"/>
                <w:szCs w:val="18"/>
              </w:rPr>
            </w:pPr>
            <w:r>
              <w:rPr>
                <w:rFonts w:ascii="Times New Roman"/>
                <w:sz w:val="18"/>
              </w:rPr>
              <w:t>12.06%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76,080,000</w:t>
            </w:r>
          </w:p>
        </w:tc>
        <w:tc>
          <w:tcPr>
            <w:tcW w:w="18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76" w:right="0"/>
              <w:jc w:val="left"/>
              <w:rPr>
                <w:rFonts w:ascii="Times New Roman" w:hAnsi="Times New Roman" w:cs="Times New Roman" w:eastAsia="Times New Roman" w:hint="default"/>
                <w:sz w:val="18"/>
                <w:szCs w:val="18"/>
              </w:rPr>
            </w:pPr>
            <w:r>
              <w:rPr>
                <w:rFonts w:ascii="Times New Roman"/>
                <w:sz w:val="18"/>
              </w:rPr>
              <w:t>57,675,000</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94" w:right="0"/>
              <w:jc w:val="left"/>
              <w:rPr>
                <w:rFonts w:ascii="Times New Roman" w:hAnsi="Times New Roman" w:cs="Times New Roman" w:eastAsia="Times New Roman" w:hint="default"/>
                <w:sz w:val="18"/>
                <w:szCs w:val="18"/>
              </w:rPr>
            </w:pPr>
            <w:r>
              <w:rPr>
                <w:rFonts w:ascii="Times New Roman"/>
                <w:sz w:val="18"/>
              </w:rPr>
              <w:t>45,000,000</w:t>
            </w:r>
          </w:p>
        </w:tc>
      </w:tr>
      <w:tr>
        <w:trPr>
          <w:trHeight w:val="323" w:hRule="exact"/>
        </w:trPr>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任金生</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02" w:right="0"/>
              <w:jc w:val="left"/>
              <w:rPr>
                <w:rFonts w:ascii="Times New Roman" w:hAnsi="Times New Roman" w:cs="Times New Roman" w:eastAsia="Times New Roman" w:hint="default"/>
                <w:sz w:val="18"/>
                <w:szCs w:val="18"/>
              </w:rPr>
            </w:pPr>
            <w:r>
              <w:rPr>
                <w:rFonts w:ascii="Times New Roman"/>
                <w:sz w:val="18"/>
              </w:rPr>
              <w:t>4.77%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30,082,218</w:t>
            </w:r>
          </w:p>
        </w:tc>
        <w:tc>
          <w:tcPr>
            <w:tcW w:w="18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76" w:right="0"/>
              <w:jc w:val="left"/>
              <w:rPr>
                <w:rFonts w:ascii="Times New Roman" w:hAnsi="Times New Roman" w:cs="Times New Roman" w:eastAsia="Times New Roman" w:hint="default"/>
                <w:sz w:val="18"/>
                <w:szCs w:val="18"/>
              </w:rPr>
            </w:pPr>
            <w:r>
              <w:rPr>
                <w:rFonts w:ascii="Times New Roman"/>
                <w:sz w:val="18"/>
              </w:rPr>
              <w:t>22,561,664</w:t>
            </w:r>
          </w:p>
        </w:tc>
        <w:tc>
          <w:tcPr>
            <w:tcW w:w="143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22"/>
              <w:jc w:val="left"/>
              <w:rPr>
                <w:rFonts w:ascii="宋体" w:hAnsi="宋体" w:cs="宋体" w:eastAsia="宋体" w:hint="default"/>
                <w:sz w:val="18"/>
                <w:szCs w:val="18"/>
              </w:rPr>
            </w:pPr>
            <w:r>
              <w:rPr>
                <w:rFonts w:ascii="宋体" w:hAnsi="宋体" w:cs="宋体" w:eastAsia="宋体" w:hint="default"/>
                <w:spacing w:val="-4"/>
                <w:sz w:val="18"/>
                <w:szCs w:val="18"/>
              </w:rPr>
              <w:t>中国人寿保险（集团）公司－传统－普</w:t>
            </w:r>
            <w:r>
              <w:rPr>
                <w:rFonts w:ascii="宋体" w:hAnsi="宋体" w:cs="宋体" w:eastAsia="宋体" w:hint="default"/>
                <w:sz w:val="18"/>
                <w:szCs w:val="18"/>
              </w:rPr>
              <w:t> 通保险产品</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20"/>
              <w:jc w:val="left"/>
              <w:rPr>
                <w:rFonts w:ascii="宋体" w:hAnsi="宋体" w:cs="宋体" w:eastAsia="宋体" w:hint="default"/>
                <w:sz w:val="18"/>
                <w:szCs w:val="18"/>
              </w:rPr>
            </w:pPr>
            <w:r>
              <w:rPr>
                <w:rFonts w:ascii="宋体" w:hAnsi="宋体" w:cs="宋体" w:eastAsia="宋体" w:hint="default"/>
                <w:spacing w:val="24"/>
                <w:sz w:val="18"/>
                <w:szCs w:val="18"/>
              </w:rPr>
              <w:t>境内非国</w:t>
            </w:r>
            <w:r>
              <w:rPr>
                <w:rFonts w:ascii="宋体" w:hAnsi="宋体" w:cs="宋体" w:eastAsia="宋体" w:hint="default"/>
                <w:spacing w:val="-57"/>
                <w:sz w:val="18"/>
                <w:szCs w:val="18"/>
              </w:rPr>
              <w:t> </w:t>
            </w:r>
            <w:r>
              <w:rPr>
                <w:rFonts w:ascii="宋体" w:hAnsi="宋体" w:cs="宋体" w:eastAsia="宋体" w:hint="default"/>
                <w:sz w:val="18"/>
                <w:szCs w:val="18"/>
              </w:rPr>
              <w:t>有</w:t>
            </w:r>
            <w:r>
              <w:rPr>
                <w:rFonts w:ascii="宋体" w:hAnsi="宋体" w:cs="宋体" w:eastAsia="宋体" w:hint="default"/>
                <w:spacing w:val="-57"/>
                <w:sz w:val="18"/>
                <w:szCs w:val="18"/>
              </w:rPr>
              <w:t> </w:t>
            </w:r>
            <w:r>
              <w:rPr>
                <w:rFonts w:ascii="宋体" w:hAnsi="宋体" w:cs="宋体" w:eastAsia="宋体" w:hint="default"/>
                <w:sz w:val="18"/>
                <w:szCs w:val="18"/>
              </w:rPr>
              <w:t>法</w:t>
            </w:r>
            <w:r>
              <w:rPr>
                <w:rFonts w:ascii="宋体" w:hAnsi="宋体" w:cs="宋体" w:eastAsia="宋体" w:hint="default"/>
                <w:sz w:val="18"/>
                <w:szCs w:val="18"/>
              </w:rPr>
              <w:t> 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02" w:right="0"/>
              <w:jc w:val="left"/>
              <w:rPr>
                <w:rFonts w:ascii="Times New Roman" w:hAnsi="Times New Roman" w:cs="Times New Roman" w:eastAsia="Times New Roman" w:hint="default"/>
                <w:sz w:val="18"/>
                <w:szCs w:val="18"/>
              </w:rPr>
            </w:pPr>
            <w:r>
              <w:rPr>
                <w:rFonts w:ascii="Times New Roman"/>
                <w:sz w:val="18"/>
              </w:rPr>
              <w:t>1.87%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11,818,012</w:t>
            </w:r>
          </w:p>
        </w:tc>
        <w:tc>
          <w:tcPr>
            <w:tcW w:w="1820" w:type="dxa"/>
            <w:gridSpan w:val="3"/>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22" w:right="134"/>
              <w:jc w:val="left"/>
              <w:rPr>
                <w:rFonts w:ascii="宋体" w:hAnsi="宋体" w:cs="宋体" w:eastAsia="宋体" w:hint="default"/>
                <w:sz w:val="18"/>
                <w:szCs w:val="18"/>
              </w:rPr>
            </w:pPr>
            <w:r>
              <w:rPr>
                <w:rFonts w:ascii="宋体" w:hAnsi="宋体" w:cs="宋体" w:eastAsia="宋体" w:hint="default"/>
                <w:sz w:val="18"/>
                <w:szCs w:val="18"/>
              </w:rPr>
              <w:t>天津硅谷天堂鲲鹏股权投资基金合伙 企业（有限合伙）</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22" w:right="20"/>
              <w:jc w:val="left"/>
              <w:rPr>
                <w:rFonts w:ascii="宋体" w:hAnsi="宋体" w:cs="宋体" w:eastAsia="宋体" w:hint="default"/>
                <w:sz w:val="18"/>
                <w:szCs w:val="18"/>
              </w:rPr>
            </w:pPr>
            <w:r>
              <w:rPr>
                <w:rFonts w:ascii="宋体" w:hAnsi="宋体" w:cs="宋体" w:eastAsia="宋体" w:hint="default"/>
                <w:spacing w:val="24"/>
                <w:sz w:val="18"/>
                <w:szCs w:val="18"/>
              </w:rPr>
              <w:t>境内非国</w:t>
            </w:r>
            <w:r>
              <w:rPr>
                <w:rFonts w:ascii="宋体" w:hAnsi="宋体" w:cs="宋体" w:eastAsia="宋体" w:hint="default"/>
                <w:spacing w:val="-57"/>
                <w:sz w:val="18"/>
                <w:szCs w:val="18"/>
              </w:rPr>
              <w:t> </w:t>
            </w:r>
            <w:r>
              <w:rPr>
                <w:rFonts w:ascii="宋体" w:hAnsi="宋体" w:cs="宋体" w:eastAsia="宋体" w:hint="default"/>
                <w:sz w:val="18"/>
                <w:szCs w:val="18"/>
              </w:rPr>
              <w:t>有</w:t>
            </w:r>
            <w:r>
              <w:rPr>
                <w:rFonts w:ascii="宋体" w:hAnsi="宋体" w:cs="宋体" w:eastAsia="宋体" w:hint="default"/>
                <w:spacing w:val="-57"/>
                <w:sz w:val="18"/>
                <w:szCs w:val="18"/>
              </w:rPr>
              <w:t> </w:t>
            </w:r>
            <w:r>
              <w:rPr>
                <w:rFonts w:ascii="宋体" w:hAnsi="宋体" w:cs="宋体" w:eastAsia="宋体" w:hint="default"/>
                <w:sz w:val="18"/>
                <w:szCs w:val="18"/>
              </w:rPr>
              <w:t>法</w:t>
            </w:r>
            <w:r>
              <w:rPr>
                <w:rFonts w:ascii="宋体" w:hAnsi="宋体" w:cs="宋体" w:eastAsia="宋体" w:hint="default"/>
                <w:sz w:val="18"/>
                <w:szCs w:val="18"/>
              </w:rPr>
              <w:t> 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02" w:right="0"/>
              <w:jc w:val="left"/>
              <w:rPr>
                <w:rFonts w:ascii="Times New Roman" w:hAnsi="Times New Roman" w:cs="Times New Roman" w:eastAsia="Times New Roman" w:hint="default"/>
                <w:sz w:val="18"/>
                <w:szCs w:val="18"/>
              </w:rPr>
            </w:pPr>
            <w:r>
              <w:rPr>
                <w:rFonts w:ascii="Times New Roman"/>
                <w:sz w:val="18"/>
              </w:rPr>
              <w:t>1.27%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8,000,000</w:t>
            </w:r>
          </w:p>
        </w:tc>
        <w:tc>
          <w:tcPr>
            <w:tcW w:w="1820" w:type="dxa"/>
            <w:gridSpan w:val="3"/>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22" w:right="134"/>
              <w:jc w:val="left"/>
              <w:rPr>
                <w:rFonts w:ascii="宋体" w:hAnsi="宋体" w:cs="宋体" w:eastAsia="宋体" w:hint="default"/>
                <w:sz w:val="18"/>
                <w:szCs w:val="18"/>
              </w:rPr>
            </w:pPr>
            <w:r>
              <w:rPr>
                <w:rFonts w:ascii="宋体" w:hAnsi="宋体" w:cs="宋体" w:eastAsia="宋体" w:hint="default"/>
                <w:sz w:val="18"/>
                <w:szCs w:val="18"/>
              </w:rPr>
              <w:t>中国建设银行－信达澳银领先增长股 票型证券投资基金</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22" w:right="20"/>
              <w:jc w:val="left"/>
              <w:rPr>
                <w:rFonts w:ascii="宋体" w:hAnsi="宋体" w:cs="宋体" w:eastAsia="宋体" w:hint="default"/>
                <w:sz w:val="18"/>
                <w:szCs w:val="18"/>
              </w:rPr>
            </w:pPr>
            <w:r>
              <w:rPr>
                <w:rFonts w:ascii="宋体" w:hAnsi="宋体" w:cs="宋体" w:eastAsia="宋体" w:hint="default"/>
                <w:spacing w:val="24"/>
                <w:sz w:val="18"/>
                <w:szCs w:val="18"/>
              </w:rPr>
              <w:t>境内非国</w:t>
            </w:r>
            <w:r>
              <w:rPr>
                <w:rFonts w:ascii="宋体" w:hAnsi="宋体" w:cs="宋体" w:eastAsia="宋体" w:hint="default"/>
                <w:spacing w:val="-57"/>
                <w:sz w:val="18"/>
                <w:szCs w:val="18"/>
              </w:rPr>
              <w:t> </w:t>
            </w:r>
            <w:r>
              <w:rPr>
                <w:rFonts w:ascii="宋体" w:hAnsi="宋体" w:cs="宋体" w:eastAsia="宋体" w:hint="default"/>
                <w:sz w:val="18"/>
                <w:szCs w:val="18"/>
              </w:rPr>
              <w:t>有</w:t>
            </w:r>
            <w:r>
              <w:rPr>
                <w:rFonts w:ascii="宋体" w:hAnsi="宋体" w:cs="宋体" w:eastAsia="宋体" w:hint="default"/>
                <w:spacing w:val="-57"/>
                <w:sz w:val="18"/>
                <w:szCs w:val="18"/>
              </w:rPr>
              <w:t> </w:t>
            </w:r>
            <w:r>
              <w:rPr>
                <w:rFonts w:ascii="宋体" w:hAnsi="宋体" w:cs="宋体" w:eastAsia="宋体" w:hint="default"/>
                <w:sz w:val="18"/>
                <w:szCs w:val="18"/>
              </w:rPr>
              <w:t>法</w:t>
            </w:r>
            <w:r>
              <w:rPr>
                <w:rFonts w:ascii="宋体" w:hAnsi="宋体" w:cs="宋体" w:eastAsia="宋体" w:hint="default"/>
                <w:sz w:val="18"/>
                <w:szCs w:val="18"/>
              </w:rPr>
              <w:t> 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02" w:right="0"/>
              <w:jc w:val="left"/>
              <w:rPr>
                <w:rFonts w:ascii="Times New Roman" w:hAnsi="Times New Roman" w:cs="Times New Roman" w:eastAsia="Times New Roman" w:hint="default"/>
                <w:sz w:val="18"/>
                <w:szCs w:val="18"/>
              </w:rPr>
            </w:pPr>
            <w:r>
              <w:rPr>
                <w:rFonts w:ascii="Times New Roman"/>
                <w:sz w:val="18"/>
              </w:rPr>
              <w:t>1.27%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8,000,000</w:t>
            </w:r>
          </w:p>
        </w:tc>
        <w:tc>
          <w:tcPr>
            <w:tcW w:w="1820" w:type="dxa"/>
            <w:gridSpan w:val="3"/>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刘东青</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802" w:right="0"/>
              <w:jc w:val="left"/>
              <w:rPr>
                <w:rFonts w:ascii="Times New Roman" w:hAnsi="Times New Roman" w:cs="Times New Roman" w:eastAsia="Times New Roman" w:hint="default"/>
                <w:sz w:val="18"/>
                <w:szCs w:val="18"/>
              </w:rPr>
            </w:pPr>
            <w:r>
              <w:rPr>
                <w:rFonts w:ascii="Times New Roman"/>
                <w:sz w:val="18"/>
              </w:rPr>
              <w:t>0.84%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5,276,472</w:t>
            </w:r>
          </w:p>
        </w:tc>
        <w:tc>
          <w:tcPr>
            <w:tcW w:w="1820" w:type="dxa"/>
            <w:gridSpan w:val="3"/>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黄胜</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02" w:right="0"/>
              <w:jc w:val="left"/>
              <w:rPr>
                <w:rFonts w:ascii="Times New Roman" w:hAnsi="Times New Roman" w:cs="Times New Roman" w:eastAsia="Times New Roman" w:hint="default"/>
                <w:sz w:val="18"/>
                <w:szCs w:val="18"/>
              </w:rPr>
            </w:pPr>
            <w:r>
              <w:rPr>
                <w:rFonts w:ascii="Times New Roman"/>
                <w:sz w:val="18"/>
              </w:rPr>
              <w:t>0.74%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4,644,662</w:t>
            </w:r>
          </w:p>
        </w:tc>
        <w:tc>
          <w:tcPr>
            <w:tcW w:w="1820" w:type="dxa"/>
            <w:gridSpan w:val="3"/>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134"/>
              <w:jc w:val="left"/>
              <w:rPr>
                <w:rFonts w:ascii="宋体" w:hAnsi="宋体" w:cs="宋体" w:eastAsia="宋体" w:hint="default"/>
                <w:sz w:val="18"/>
                <w:szCs w:val="18"/>
              </w:rPr>
            </w:pPr>
            <w:r>
              <w:rPr>
                <w:rFonts w:ascii="宋体" w:hAnsi="宋体" w:cs="宋体" w:eastAsia="宋体" w:hint="default"/>
                <w:sz w:val="18"/>
                <w:szCs w:val="18"/>
              </w:rPr>
              <w:t>中国民生银行－华商策略精选灵活配 置混合型证券投资基金</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20"/>
              <w:jc w:val="left"/>
              <w:rPr>
                <w:rFonts w:ascii="宋体" w:hAnsi="宋体" w:cs="宋体" w:eastAsia="宋体" w:hint="default"/>
                <w:sz w:val="18"/>
                <w:szCs w:val="18"/>
              </w:rPr>
            </w:pPr>
            <w:r>
              <w:rPr>
                <w:rFonts w:ascii="宋体" w:hAnsi="宋体" w:cs="宋体" w:eastAsia="宋体" w:hint="default"/>
                <w:spacing w:val="24"/>
                <w:sz w:val="18"/>
                <w:szCs w:val="18"/>
              </w:rPr>
              <w:t>境内非国</w:t>
            </w:r>
            <w:r>
              <w:rPr>
                <w:rFonts w:ascii="宋体" w:hAnsi="宋体" w:cs="宋体" w:eastAsia="宋体" w:hint="default"/>
                <w:spacing w:val="-57"/>
                <w:sz w:val="18"/>
                <w:szCs w:val="18"/>
              </w:rPr>
              <w:t> </w:t>
            </w:r>
            <w:r>
              <w:rPr>
                <w:rFonts w:ascii="宋体" w:hAnsi="宋体" w:cs="宋体" w:eastAsia="宋体" w:hint="default"/>
                <w:sz w:val="18"/>
                <w:szCs w:val="18"/>
              </w:rPr>
              <w:t>有</w:t>
            </w:r>
            <w:r>
              <w:rPr>
                <w:rFonts w:ascii="宋体" w:hAnsi="宋体" w:cs="宋体" w:eastAsia="宋体" w:hint="default"/>
                <w:spacing w:val="-57"/>
                <w:sz w:val="18"/>
                <w:szCs w:val="18"/>
              </w:rPr>
              <w:t> </w:t>
            </w:r>
            <w:r>
              <w:rPr>
                <w:rFonts w:ascii="宋体" w:hAnsi="宋体" w:cs="宋体" w:eastAsia="宋体" w:hint="default"/>
                <w:sz w:val="18"/>
                <w:szCs w:val="18"/>
              </w:rPr>
              <w:t>法</w:t>
            </w:r>
            <w:r>
              <w:rPr>
                <w:rFonts w:ascii="宋体" w:hAnsi="宋体" w:cs="宋体" w:eastAsia="宋体" w:hint="default"/>
                <w:sz w:val="18"/>
                <w:szCs w:val="18"/>
              </w:rPr>
              <w:t> 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02" w:right="0"/>
              <w:jc w:val="left"/>
              <w:rPr>
                <w:rFonts w:ascii="Times New Roman" w:hAnsi="Times New Roman" w:cs="Times New Roman" w:eastAsia="Times New Roman" w:hint="default"/>
                <w:sz w:val="18"/>
                <w:szCs w:val="18"/>
              </w:rPr>
            </w:pPr>
            <w:r>
              <w:rPr>
                <w:rFonts w:ascii="Times New Roman"/>
                <w:sz w:val="18"/>
              </w:rPr>
              <w:t>0.70%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4,400,000</w:t>
            </w:r>
          </w:p>
        </w:tc>
        <w:tc>
          <w:tcPr>
            <w:tcW w:w="1820" w:type="dxa"/>
            <w:gridSpan w:val="3"/>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0207"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9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324" w:hRule="exact"/>
        </w:trPr>
        <w:tc>
          <w:tcPr>
            <w:tcW w:w="434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120"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63" w:right="0"/>
              <w:jc w:val="left"/>
              <w:rPr>
                <w:rFonts w:ascii="宋体" w:hAnsi="宋体" w:cs="宋体" w:eastAsia="宋体" w:hint="default"/>
                <w:sz w:val="18"/>
                <w:szCs w:val="18"/>
              </w:rPr>
            </w:pPr>
            <w:r>
              <w:rPr>
                <w:rFonts w:ascii="宋体" w:hAnsi="宋体" w:cs="宋体" w:eastAsia="宋体" w:hint="default"/>
                <w:sz w:val="18"/>
                <w:szCs w:val="18"/>
              </w:rPr>
              <w:t>持有无限售条件股份数量</w:t>
            </w:r>
          </w:p>
        </w:tc>
        <w:tc>
          <w:tcPr>
            <w:tcW w:w="2738"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323" w:hRule="exact"/>
        </w:trPr>
        <w:tc>
          <w:tcPr>
            <w:tcW w:w="4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吕晓义</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167,035,884</w:t>
            </w:r>
          </w:p>
        </w:tc>
        <w:tc>
          <w:tcPr>
            <w:tcW w:w="27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4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何平</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98,159,452</w:t>
            </w:r>
          </w:p>
        </w:tc>
        <w:tc>
          <w:tcPr>
            <w:tcW w:w="27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4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匡晓明</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76,080,000</w:t>
            </w:r>
          </w:p>
        </w:tc>
        <w:tc>
          <w:tcPr>
            <w:tcW w:w="27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4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任金生</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30,082,218</w:t>
            </w:r>
          </w:p>
        </w:tc>
        <w:tc>
          <w:tcPr>
            <w:tcW w:w="27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4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中国人寿保险（集团）公司－传统－普通保险产品</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11,818,012</w:t>
            </w:r>
          </w:p>
        </w:tc>
        <w:tc>
          <w:tcPr>
            <w:tcW w:w="27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4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刘东青</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5,276,472</w:t>
            </w:r>
          </w:p>
        </w:tc>
        <w:tc>
          <w:tcPr>
            <w:tcW w:w="27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4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黄胜</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4,644,662</w:t>
            </w:r>
          </w:p>
        </w:tc>
        <w:tc>
          <w:tcPr>
            <w:tcW w:w="27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557" w:hRule="exact"/>
        </w:trPr>
        <w:tc>
          <w:tcPr>
            <w:tcW w:w="4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34" w:lineRule="exact" w:before="10"/>
              <w:ind w:left="22" w:right="0"/>
              <w:jc w:val="left"/>
              <w:rPr>
                <w:rFonts w:ascii="宋体" w:hAnsi="宋体" w:cs="宋体" w:eastAsia="宋体" w:hint="default"/>
                <w:sz w:val="18"/>
                <w:szCs w:val="18"/>
              </w:rPr>
            </w:pPr>
            <w:r>
              <w:rPr>
                <w:rFonts w:ascii="宋体" w:hAnsi="宋体" w:cs="宋体" w:eastAsia="宋体" w:hint="default"/>
                <w:sz w:val="18"/>
                <w:szCs w:val="18"/>
              </w:rPr>
              <w:t>中国人寿保险股份有限公司－传统－普通保险产品</w:t>
            </w:r>
          </w:p>
          <w:p>
            <w:pPr>
              <w:pStyle w:val="TableParagraph"/>
              <w:spacing w:line="248"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-005L-CT001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深</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3,142,977</w:t>
            </w:r>
          </w:p>
        </w:tc>
        <w:tc>
          <w:tcPr>
            <w:tcW w:w="27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4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2" w:right="0"/>
              <w:jc w:val="left"/>
              <w:rPr>
                <w:rFonts w:ascii="宋体" w:hAnsi="宋体" w:cs="宋体" w:eastAsia="宋体" w:hint="default"/>
                <w:sz w:val="18"/>
                <w:szCs w:val="18"/>
              </w:rPr>
            </w:pPr>
            <w:r>
              <w:rPr>
                <w:rFonts w:ascii="宋体" w:hAnsi="宋体" w:cs="宋体" w:eastAsia="宋体" w:hint="default"/>
                <w:sz w:val="18"/>
                <w:szCs w:val="18"/>
              </w:rPr>
              <w:t>中国人寿保险股份有限公司－分红－个人分红</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2,691,212</w:t>
            </w:r>
          </w:p>
        </w:tc>
        <w:tc>
          <w:tcPr>
            <w:tcW w:w="27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bl>
    <w:p>
      <w:pPr>
        <w:spacing w:after="0" w:line="240" w:lineRule="auto"/>
        <w:jc w:val="left"/>
        <w:rPr>
          <w:rFonts w:ascii="宋体" w:hAnsi="宋体" w:cs="宋体" w:eastAsia="宋体" w:hint="default"/>
          <w:sz w:val="18"/>
          <w:szCs w:val="18"/>
        </w:rPr>
        <w:sectPr>
          <w:type w:val="continuous"/>
          <w:pgSz w:w="11910" w:h="16840"/>
          <w:pgMar w:top="900" w:bottom="1460" w:left="600" w:right="8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tbl>
      <w:tblPr>
        <w:tblW w:w="0" w:type="auto"/>
        <w:jc w:val="left"/>
        <w:tblInd w:w="104" w:type="dxa"/>
        <w:tblLayout w:type="fixed"/>
        <w:tblCellMar>
          <w:top w:w="0" w:type="dxa"/>
          <w:left w:w="0" w:type="dxa"/>
          <w:bottom w:w="0" w:type="dxa"/>
          <w:right w:w="0" w:type="dxa"/>
        </w:tblCellMar>
        <w:tblLook w:val="01E0"/>
      </w:tblPr>
      <w:tblGrid>
        <w:gridCol w:w="3049"/>
        <w:gridCol w:w="1300"/>
        <w:gridCol w:w="3120"/>
        <w:gridCol w:w="2738"/>
      </w:tblGrid>
      <w:tr>
        <w:trPr>
          <w:trHeight w:val="283" w:hRule="exact"/>
        </w:trPr>
        <w:tc>
          <w:tcPr>
            <w:tcW w:w="4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-005L-FH002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深</w:t>
            </w:r>
          </w:p>
        </w:tc>
        <w:tc>
          <w:tcPr>
            <w:tcW w:w="3120" w:type="dxa"/>
            <w:tcBorders>
              <w:top w:val="single" w:sz="4" w:space="0" w:color="000000"/>
              <w:left w:val="single" w:sz="4" w:space="0" w:color="000000"/>
              <w:bottom w:val="single" w:sz="4" w:space="0" w:color="000000"/>
              <w:right w:val="single" w:sz="4" w:space="0" w:color="000000"/>
            </w:tcBorders>
          </w:tcPr>
          <w:p>
            <w:pPr/>
          </w:p>
        </w:tc>
        <w:tc>
          <w:tcPr>
            <w:tcW w:w="273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中国建设银行－中小企业板交易型开放式指数基金</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2,517,316</w:t>
            </w:r>
          </w:p>
        </w:tc>
        <w:tc>
          <w:tcPr>
            <w:tcW w:w="2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558" w:hRule="exact"/>
        </w:trPr>
        <w:tc>
          <w:tcPr>
            <w:tcW w:w="30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8"/>
              <w:ind w:left="79"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715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103"/>
              <w:jc w:val="left"/>
              <w:rPr>
                <w:rFonts w:ascii="宋体" w:hAnsi="宋体" w:cs="宋体" w:eastAsia="宋体" w:hint="default"/>
                <w:sz w:val="18"/>
                <w:szCs w:val="18"/>
              </w:rPr>
            </w:pPr>
            <w:r>
              <w:rPr>
                <w:rFonts w:ascii="宋体" w:hAnsi="宋体" w:cs="宋体" w:eastAsia="宋体" w:hint="default"/>
                <w:sz w:val="18"/>
                <w:szCs w:val="18"/>
              </w:rPr>
              <w:t>公司第二大股东何平女士与第四大股东任金生先生是夫妻关系。两者合计持有公司股份占 公司股本总额的比例为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20.33</w:t>
            </w:r>
            <w:r>
              <w:rPr>
                <w:rFonts w:ascii="宋体" w:hAnsi="宋体" w:cs="宋体" w:eastAsia="宋体" w:hint="default"/>
                <w:sz w:val="18"/>
                <w:szCs w:val="18"/>
              </w:rPr>
              <w:t>％。其他无限售条件股东之间关系不详。</w:t>
            </w:r>
          </w:p>
        </w:tc>
      </w:tr>
    </w:tbl>
    <w:p>
      <w:pPr>
        <w:spacing w:line="276" w:lineRule="auto" w:before="40"/>
        <w:ind w:left="1298" w:right="4806" w:hanging="9"/>
        <w:jc w:val="left"/>
        <w:rPr>
          <w:rFonts w:ascii="宋体" w:hAnsi="宋体" w:cs="宋体" w:eastAsia="宋体" w:hint="default"/>
          <w:sz w:val="24"/>
          <w:szCs w:val="24"/>
        </w:rPr>
      </w:pPr>
      <w:r>
        <w:rPr>
          <w:rFonts w:ascii="宋体" w:hAnsi="宋体" w:cs="宋体" w:eastAsia="宋体" w:hint="default"/>
          <w:b/>
          <w:bCs/>
          <w:sz w:val="24"/>
          <w:szCs w:val="24"/>
        </w:rPr>
        <w:t>二、股票发行与上市情况</w:t>
      </w:r>
      <w:r>
        <w:rPr>
          <w:rFonts w:ascii="宋体" w:hAnsi="宋体" w:cs="宋体" w:eastAsia="宋体" w:hint="default"/>
          <w:b/>
          <w:bCs/>
          <w:w w:val="99"/>
          <w:sz w:val="24"/>
          <w:szCs w:val="24"/>
        </w:rPr>
        <w:t> </w:t>
      </w:r>
      <w:r>
        <w:rPr>
          <w:rFonts w:ascii="宋体" w:hAnsi="宋体" w:cs="宋体" w:eastAsia="宋体" w:hint="default"/>
          <w:sz w:val="24"/>
          <w:szCs w:val="24"/>
        </w:rPr>
        <w:t>截止本报告期末公司历次证券发行情况：</w:t>
      </w:r>
    </w:p>
    <w:p>
      <w:pPr>
        <w:spacing w:line="240" w:lineRule="auto" w:before="1"/>
        <w:rPr>
          <w:rFonts w:ascii="宋体" w:hAnsi="宋体" w:cs="宋体" w:eastAsia="宋体" w:hint="default"/>
          <w:sz w:val="18"/>
          <w:szCs w:val="18"/>
        </w:rPr>
      </w:pPr>
    </w:p>
    <w:p>
      <w:pPr>
        <w:pStyle w:val="BodyText"/>
        <w:spacing w:line="240" w:lineRule="auto"/>
        <w:ind w:left="1298" w:right="0"/>
        <w:jc w:val="left"/>
      </w:pPr>
      <w:r>
        <w:rPr>
          <w:rFonts w:ascii="Times New Roman" w:hAnsi="Times New Roman" w:cs="Times New Roman" w:eastAsia="Times New Roman" w:hint="default"/>
        </w:rPr>
        <w:t>1</w:t>
      </w:r>
      <w:r>
        <w:rPr/>
        <w:t>、经中国证券监督管理委员会证监发行字</w:t>
      </w:r>
      <w:r>
        <w:rPr>
          <w:rFonts w:ascii="Times New Roman" w:hAnsi="Times New Roman" w:cs="Times New Roman" w:eastAsia="Times New Roman" w:hint="default"/>
        </w:rPr>
        <w:t>[2007] 254</w:t>
      </w:r>
      <w:r>
        <w:rPr>
          <w:rFonts w:ascii="Times New Roman" w:hAnsi="Times New Roman" w:cs="Times New Roman" w:eastAsia="Times New Roman" w:hint="default"/>
          <w:spacing w:val="19"/>
        </w:rPr>
        <w:t> </w:t>
      </w:r>
      <w:r>
        <w:rPr>
          <w:spacing w:val="-4"/>
        </w:rPr>
        <w:t>号文核准，本公司首次公开</w:t>
      </w:r>
    </w:p>
    <w:p>
      <w:pPr>
        <w:pStyle w:val="BodyText"/>
        <w:spacing w:line="240" w:lineRule="auto" w:before="67"/>
        <w:ind w:left="818" w:right="0"/>
        <w:jc w:val="left"/>
      </w:pPr>
      <w:r>
        <w:rPr/>
        <w:t>发行人民币普通股 </w:t>
      </w:r>
      <w:r>
        <w:rPr>
          <w:rFonts w:ascii="Times New Roman" w:hAnsi="Times New Roman" w:cs="Times New Roman" w:eastAsia="Times New Roman" w:hint="default"/>
        </w:rPr>
        <w:t>1,300  </w:t>
      </w:r>
      <w:r>
        <w:rPr>
          <w:spacing w:val="-5"/>
        </w:rPr>
        <w:t>万股。经深圳证券交易所同意，本公司发行的 </w:t>
      </w:r>
      <w:r>
        <w:rPr>
          <w:rFonts w:ascii="Times New Roman" w:hAnsi="Times New Roman" w:cs="Times New Roman" w:eastAsia="Times New Roman" w:hint="default"/>
        </w:rPr>
        <w:t>1,300 </w:t>
      </w:r>
      <w:r>
        <w:rPr>
          <w:rFonts w:ascii="Times New Roman" w:hAnsi="Times New Roman" w:cs="Times New Roman" w:eastAsia="Times New Roman" w:hint="default"/>
          <w:spacing w:val="5"/>
        </w:rPr>
        <w:t> </w:t>
      </w:r>
      <w:r>
        <w:rPr/>
        <w:t>万股人</w:t>
      </w:r>
    </w:p>
    <w:p>
      <w:pPr>
        <w:pStyle w:val="BodyText"/>
        <w:spacing w:line="288" w:lineRule="auto" w:before="68"/>
        <w:ind w:left="818" w:right="0"/>
        <w:jc w:val="left"/>
      </w:pPr>
      <w:r>
        <w:rPr/>
        <w:t>民币普通股股票已于 </w:t>
      </w:r>
      <w:r>
        <w:rPr>
          <w:rFonts w:ascii="Times New Roman" w:hAnsi="Times New Roman" w:cs="Times New Roman" w:eastAsia="Times New Roman" w:hint="default"/>
        </w:rPr>
        <w:t>2007 </w:t>
      </w:r>
      <w:r>
        <w:rPr/>
        <w:t>年 </w:t>
      </w:r>
      <w:r>
        <w:rPr>
          <w:rFonts w:ascii="Times New Roman" w:hAnsi="Times New Roman" w:cs="Times New Roman" w:eastAsia="Times New Roman" w:hint="default"/>
        </w:rPr>
        <w:t>9 </w:t>
      </w:r>
      <w:r>
        <w:rPr/>
        <w:t>月 </w:t>
      </w:r>
      <w:r>
        <w:rPr>
          <w:rFonts w:ascii="Times New Roman" w:hAnsi="Times New Roman" w:cs="Times New Roman" w:eastAsia="Times New Roman" w:hint="default"/>
        </w:rPr>
        <w:t>19 </w:t>
      </w:r>
      <w:r>
        <w:rPr>
          <w:spacing w:val="-5"/>
        </w:rPr>
        <w:t>日在深圳证券交易所上市。股票简称“深圳惠</w:t>
      </w:r>
      <w:r>
        <w:rPr/>
        <w:t> </w:t>
      </w:r>
      <w:r>
        <w:rPr>
          <w:spacing w:val="-15"/>
        </w:rPr>
        <w:t>程”，股票代码“</w:t>
      </w:r>
      <w:r>
        <w:rPr>
          <w:rFonts w:ascii="Times New Roman" w:hAnsi="Times New Roman" w:cs="Times New Roman" w:eastAsia="Times New Roman" w:hint="default"/>
          <w:spacing w:val="-15"/>
        </w:rPr>
        <w:t>002168</w:t>
      </w:r>
      <w:r>
        <w:rPr>
          <w:spacing w:val="-15"/>
        </w:rPr>
        <w:t>”。</w:t>
      </w:r>
    </w:p>
    <w:p>
      <w:pPr>
        <w:pStyle w:val="BodyText"/>
        <w:spacing w:line="240" w:lineRule="auto" w:before="14"/>
        <w:ind w:left="1298" w:right="0"/>
        <w:jc w:val="left"/>
      </w:pPr>
      <w:r>
        <w:rPr>
          <w:rFonts w:ascii="Times New Roman" w:hAnsi="Times New Roman" w:cs="Times New Roman" w:eastAsia="Times New Roman" w:hint="default"/>
          <w:spacing w:val="-4"/>
        </w:rPr>
        <w:t>2</w:t>
      </w:r>
      <w:r>
        <w:rPr>
          <w:spacing w:val="-4"/>
        </w:rPr>
        <w:t>、公司于 </w:t>
      </w:r>
      <w:r>
        <w:rPr>
          <w:rFonts w:ascii="Times New Roman" w:hAnsi="Times New Roman" w:cs="Times New Roman" w:eastAsia="Times New Roman" w:hint="default"/>
        </w:rPr>
        <w:t>2010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7  </w:t>
      </w:r>
      <w:r>
        <w:rPr/>
        <w:t>日经中国证监会核准，非公开发行股票 </w:t>
      </w:r>
      <w:r>
        <w:rPr>
          <w:rFonts w:ascii="Times New Roman" w:hAnsi="Times New Roman" w:cs="Times New Roman" w:eastAsia="Times New Roman" w:hint="default"/>
        </w:rPr>
        <w:t>1502.16</w:t>
      </w:r>
      <w:r>
        <w:rPr>
          <w:rFonts w:ascii="Times New Roman" w:hAnsi="Times New Roman" w:cs="Times New Roman" w:eastAsia="Times New Roman" w:hint="default"/>
          <w:spacing w:val="44"/>
        </w:rPr>
        <w:t> </w:t>
      </w:r>
      <w:r>
        <w:rPr/>
        <w:t>万</w:t>
      </w:r>
    </w:p>
    <w:p>
      <w:pPr>
        <w:pStyle w:val="BodyText"/>
        <w:spacing w:line="240" w:lineRule="auto" w:before="68"/>
        <w:ind w:left="818" w:right="0"/>
        <w:jc w:val="left"/>
      </w:pPr>
      <w:r>
        <w:rPr/>
        <w:t>股，于 </w:t>
      </w: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1  </w:t>
      </w:r>
      <w:r>
        <w:rPr/>
        <w:t>月 </w:t>
      </w:r>
      <w:r>
        <w:rPr>
          <w:rFonts w:ascii="Times New Roman" w:hAnsi="Times New Roman" w:cs="Times New Roman" w:eastAsia="Times New Roman" w:hint="default"/>
        </w:rPr>
        <w:t>7 </w:t>
      </w:r>
      <w:r>
        <w:rPr>
          <w:rFonts w:ascii="Times New Roman" w:hAnsi="Times New Roman" w:cs="Times New Roman" w:eastAsia="Times New Roman" w:hint="default"/>
          <w:spacing w:val="9"/>
        </w:rPr>
        <w:t> </w:t>
      </w:r>
      <w:r>
        <w:rPr/>
        <w:t>日在深圳证券交易所上市。</w:t>
      </w:r>
    </w:p>
    <w:p>
      <w:pPr>
        <w:spacing w:line="288" w:lineRule="auto" w:before="67"/>
        <w:ind w:left="818" w:right="6126" w:firstLine="48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、公司不存在内部职工股。 </w:t>
      </w:r>
      <w:r>
        <w:rPr>
          <w:rFonts w:ascii="宋体" w:hAnsi="宋体" w:cs="宋体" w:eastAsia="宋体" w:hint="default"/>
          <w:b/>
          <w:bCs/>
          <w:sz w:val="24"/>
          <w:szCs w:val="24"/>
        </w:rPr>
        <w:t>三、股东和实际控制人情况</w:t>
      </w:r>
      <w:r>
        <w:rPr>
          <w:rFonts w:ascii="宋体" w:hAnsi="宋体" w:cs="宋体" w:eastAsia="宋体" w:hint="default"/>
          <w:sz w:val="24"/>
          <w:szCs w:val="24"/>
        </w:rPr>
      </w:r>
    </w:p>
    <w:p>
      <w:pPr>
        <w:spacing w:before="38"/>
        <w:ind w:left="1405" w:right="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Times New Roman" w:hAnsi="Times New Roman" w:cs="Times New Roman" w:eastAsia="Times New Roman" w:hint="default"/>
          <w:b/>
          <w:bCs/>
          <w:spacing w:val="13"/>
          <w:sz w:val="24"/>
          <w:szCs w:val="24"/>
        </w:rPr>
        <w:t> </w:t>
      </w:r>
      <w:r>
        <w:rPr>
          <w:rFonts w:ascii="宋体" w:hAnsi="宋体" w:cs="宋体" w:eastAsia="宋体" w:hint="default"/>
          <w:b/>
          <w:bCs/>
          <w:sz w:val="24"/>
          <w:szCs w:val="24"/>
        </w:rPr>
        <w:t>控股股东及实际控制人无变更</w:t>
      </w:r>
      <w:r>
        <w:rPr>
          <w:rFonts w:ascii="宋体" w:hAnsi="宋体" w:cs="宋体" w:eastAsia="宋体" w:hint="default"/>
          <w:sz w:val="24"/>
          <w:szCs w:val="24"/>
        </w:rPr>
      </w:r>
    </w:p>
    <w:p>
      <w:pPr>
        <w:spacing w:before="67"/>
        <w:ind w:left="1405" w:right="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Times New Roman" w:hAnsi="Times New Roman" w:cs="Times New Roman" w:eastAsia="Times New Roman" w:hint="default"/>
          <w:b/>
          <w:bCs/>
          <w:spacing w:val="13"/>
          <w:sz w:val="24"/>
          <w:szCs w:val="24"/>
        </w:rPr>
        <w:t> </w:t>
      </w:r>
      <w:r>
        <w:rPr>
          <w:rFonts w:ascii="宋体" w:hAnsi="宋体" w:cs="宋体" w:eastAsia="宋体" w:hint="default"/>
          <w:b/>
          <w:bCs/>
          <w:sz w:val="24"/>
          <w:szCs w:val="24"/>
        </w:rPr>
        <w:t>公司控股股东及实际控制人情况</w:t>
      </w:r>
      <w:r>
        <w:rPr>
          <w:rFonts w:ascii="宋体" w:hAnsi="宋体" w:cs="宋体" w:eastAsia="宋体" w:hint="default"/>
          <w:sz w:val="24"/>
          <w:szCs w:val="24"/>
        </w:rPr>
      </w:r>
    </w:p>
    <w:p>
      <w:pPr>
        <w:pStyle w:val="BodyText"/>
        <w:spacing w:line="288" w:lineRule="auto" w:before="67"/>
        <w:ind w:left="818" w:right="722" w:firstLine="480"/>
        <w:jc w:val="both"/>
      </w:pPr>
      <w:r>
        <w:rPr/>
        <w:t>公司无持有公司股本 </w:t>
      </w:r>
      <w:r>
        <w:rPr>
          <w:rFonts w:ascii="Times New Roman" w:hAnsi="Times New Roman" w:cs="Times New Roman" w:eastAsia="Times New Roman" w:hint="default"/>
        </w:rPr>
        <w:t>50</w:t>
      </w:r>
      <w:r>
        <w:rPr>
          <w:rFonts w:ascii="Times New Roman" w:hAnsi="Times New Roman" w:cs="Times New Roman" w:eastAsia="Times New Roman" w:hint="default"/>
          <w:spacing w:val="4"/>
        </w:rPr>
        <w:t> </w:t>
      </w:r>
      <w:r>
        <w:rPr>
          <w:rFonts w:ascii="Times New Roman" w:hAnsi="Times New Roman" w:cs="Times New Roman" w:eastAsia="Times New Roman" w:hint="default"/>
          <w:spacing w:val="-5"/>
        </w:rPr>
        <w:t>%</w:t>
      </w:r>
      <w:r>
        <w:rPr>
          <w:spacing w:val="-5"/>
        </w:rPr>
        <w:t>以上的股东。公司前四大股东吕晓义、何平、匡晓明和</w:t>
      </w:r>
      <w:r>
        <w:rPr/>
        <w:t> 任金生分别持有公司 </w:t>
      </w:r>
      <w:r>
        <w:rPr>
          <w:rFonts w:ascii="Times New Roman" w:hAnsi="Times New Roman" w:cs="Times New Roman" w:eastAsia="Times New Roman" w:hint="default"/>
        </w:rPr>
        <w:t>26.47 </w:t>
      </w:r>
      <w:r>
        <w:rPr>
          <w:rFonts w:ascii="Times New Roman" w:hAnsi="Times New Roman" w:cs="Times New Roman" w:eastAsia="Times New Roman" w:hint="default"/>
          <w:spacing w:val="-4"/>
        </w:rPr>
        <w:t>%</w:t>
      </w:r>
      <w:r>
        <w:rPr>
          <w:spacing w:val="-4"/>
        </w:rPr>
        <w:t>，</w:t>
      </w:r>
      <w:r>
        <w:rPr>
          <w:rFonts w:ascii="Times New Roman" w:hAnsi="Times New Roman" w:cs="Times New Roman" w:eastAsia="Times New Roman" w:hint="default"/>
          <w:spacing w:val="-4"/>
        </w:rPr>
        <w:t>15.56 %</w:t>
      </w:r>
      <w:r>
        <w:rPr>
          <w:spacing w:val="-4"/>
        </w:rPr>
        <w:t>，</w:t>
      </w:r>
      <w:r>
        <w:rPr>
          <w:rFonts w:ascii="Times New Roman" w:hAnsi="Times New Roman" w:cs="Times New Roman" w:eastAsia="Times New Roman" w:hint="default"/>
          <w:spacing w:val="-4"/>
        </w:rPr>
        <w:t>12.06 </w:t>
      </w:r>
      <w:r>
        <w:rPr>
          <w:rFonts w:ascii="Times New Roman" w:hAnsi="Times New Roman" w:cs="Times New Roman" w:eastAsia="Times New Roman" w:hint="default"/>
        </w:rPr>
        <w:t>%</w:t>
      </w:r>
      <w:r>
        <w:rPr/>
        <w:t>和</w:t>
      </w:r>
      <w:r>
        <w:rPr>
          <w:rFonts w:ascii="Times New Roman" w:hAnsi="Times New Roman" w:cs="Times New Roman" w:eastAsia="Times New Roman" w:hint="default"/>
        </w:rPr>
        <w:t>4.77 </w:t>
      </w:r>
      <w:r>
        <w:rPr>
          <w:rFonts w:ascii="Times New Roman" w:hAnsi="Times New Roman" w:cs="Times New Roman" w:eastAsia="Times New Roman" w:hint="default"/>
          <w:spacing w:val="-3"/>
        </w:rPr>
        <w:t>%</w:t>
      </w:r>
      <w:r>
        <w:rPr>
          <w:spacing w:val="-3"/>
        </w:rPr>
        <w:t>的股权，均小于</w:t>
      </w:r>
      <w:r>
        <w:rPr>
          <w:rFonts w:ascii="Times New Roman" w:hAnsi="Times New Roman" w:cs="Times New Roman" w:eastAsia="Times New Roman" w:hint="default"/>
          <w:spacing w:val="-3"/>
        </w:rPr>
        <w:t>50</w:t>
      </w:r>
      <w:r>
        <w:rPr>
          <w:rFonts w:ascii="Times New Roman" w:hAnsi="Times New Roman" w:cs="Times New Roman" w:eastAsia="Times New Roman" w:hint="default"/>
          <w:spacing w:val="22"/>
        </w:rPr>
        <w:t> </w:t>
      </w:r>
      <w:r>
        <w:rPr>
          <w:rFonts w:ascii="Times New Roman" w:hAnsi="Times New Roman" w:cs="Times New Roman" w:eastAsia="Times New Roman" w:hint="default"/>
          <w:spacing w:val="-5"/>
        </w:rPr>
        <w:t>%</w:t>
      </w:r>
      <w:r>
        <w:rPr>
          <w:spacing w:val="-5"/>
        </w:rPr>
        <w:t>，均对</w:t>
      </w:r>
      <w:r>
        <w:rPr/>
        <w:t> 公司相对控股。</w:t>
      </w:r>
    </w:p>
    <w:p>
      <w:pPr>
        <w:pStyle w:val="BodyText"/>
        <w:spacing w:line="290" w:lineRule="auto" w:before="37"/>
        <w:ind w:left="818" w:right="846" w:firstLine="480"/>
        <w:jc w:val="left"/>
      </w:pPr>
      <w:r>
        <w:rPr/>
        <w:t>公司主要股东全部为自然人。截至</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日，匡晓明先生质押</w:t>
      </w:r>
      <w:r>
        <w:rPr>
          <w:rFonts w:ascii="Times New Roman" w:hAnsi="Times New Roman" w:cs="Times New Roman" w:eastAsia="Times New Roman" w:hint="default"/>
        </w:rPr>
        <w:t>45,000,000 </w:t>
      </w:r>
      <w:r>
        <w:rPr/>
        <w:t>股。其所持有的公司股份无其他冻结或托管等情况。</w:t>
      </w:r>
    </w:p>
    <w:p>
      <w:pPr>
        <w:pStyle w:val="BodyText"/>
        <w:spacing w:line="304" w:lineRule="auto" w:before="35"/>
        <w:ind w:left="1298" w:right="5046"/>
        <w:jc w:val="left"/>
      </w:pPr>
      <w:r>
        <w:rPr/>
        <w:t>报告期内，公司主要股东未发生变化。 公司前四名主要股东情况如下：</w:t>
      </w:r>
    </w:p>
    <w:p>
      <w:pPr>
        <w:pStyle w:val="BodyText"/>
        <w:spacing w:line="302" w:lineRule="auto" w:before="22"/>
        <w:ind w:left="818" w:right="723" w:firstLine="480"/>
        <w:jc w:val="both"/>
      </w:pPr>
      <w:r>
        <w:rPr>
          <w:rFonts w:ascii="Times New Roman" w:hAnsi="Times New Roman" w:cs="Times New Roman" w:eastAsia="Times New Roman" w:hint="default"/>
        </w:rPr>
        <w:t>1</w:t>
      </w:r>
      <w:r>
        <w:rPr/>
        <w:t>、吕晓义先生，中国国籍，公司第一大股东，占公司股本总额的</w:t>
      </w:r>
      <w:r>
        <w:rPr>
          <w:spacing w:val="-31"/>
        </w:rPr>
        <w:t> </w:t>
      </w:r>
      <w:r>
        <w:rPr>
          <w:rFonts w:ascii="Times New Roman" w:hAnsi="Times New Roman" w:cs="Times New Roman" w:eastAsia="Times New Roman" w:hint="default"/>
        </w:rPr>
        <w:t>26.47</w:t>
      </w:r>
      <w:r>
        <w:rPr>
          <w:rFonts w:ascii="Times New Roman" w:hAnsi="Times New Roman" w:cs="Times New Roman" w:eastAsia="Times New Roman" w:hint="default"/>
          <w:spacing w:val="-16"/>
        </w:rPr>
        <w:t> </w:t>
      </w:r>
      <w:r>
        <w:rPr>
          <w:rFonts w:ascii="Times New Roman" w:hAnsi="Times New Roman" w:cs="Times New Roman" w:eastAsia="Times New Roman" w:hint="default"/>
          <w:spacing w:val="-3"/>
        </w:rPr>
        <w:t>%</w:t>
      </w:r>
      <w:r>
        <w:rPr>
          <w:spacing w:val="-3"/>
        </w:rPr>
        <w:t>。中共</w:t>
      </w:r>
      <w:r>
        <w:rPr/>
        <w:t> 党员，硕士学历，研究员，曾任中国科学院长春应用化学研究所第十研究室实习研究 员、助理研究员、吉林省辽源市西安区科技副区长、中国科学院长春应用化学研究所 热缩材料厂厂长、长春热缩材料股份有限公司董事长兼总经理、中国科学院长春应用 化学研究所副所长、研究员，享受国务院颁发的政府特殊津贴，其主持研发的项目曾 获中国科学院科技进步一等奖。现任本公司董事长，控股子公司长春高琦聚酰亚胺材 料有限公司董事长。其在本公司任期自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10  </w:t>
      </w:r>
      <w:r>
        <w:rPr/>
        <w:t>日起三年。</w:t>
      </w:r>
    </w:p>
    <w:p>
      <w:pPr>
        <w:pStyle w:val="BodyText"/>
        <w:spacing w:line="302" w:lineRule="auto"/>
        <w:ind w:left="818" w:right="723" w:firstLine="480"/>
        <w:jc w:val="both"/>
      </w:pPr>
      <w:r>
        <w:rPr>
          <w:rFonts w:ascii="Times New Roman" w:hAnsi="Times New Roman" w:cs="Times New Roman" w:eastAsia="Times New Roman" w:hint="default"/>
        </w:rPr>
        <w:t>2</w:t>
      </w:r>
      <w:r>
        <w:rPr/>
        <w:t>、何平女士，中国国籍，公司第二大股东，占公司股本总额的 </w:t>
      </w:r>
      <w:r>
        <w:rPr>
          <w:rFonts w:ascii="Times New Roman" w:hAnsi="Times New Roman" w:cs="Times New Roman" w:eastAsia="Times New Roman" w:hint="default"/>
        </w:rPr>
        <w:t>15.56</w:t>
      </w:r>
      <w:r>
        <w:rPr>
          <w:rFonts w:ascii="Times New Roman" w:hAnsi="Times New Roman" w:cs="Times New Roman" w:eastAsia="Times New Roman" w:hint="default"/>
          <w:spacing w:val="-43"/>
        </w:rPr>
        <w:t> </w:t>
      </w:r>
      <w:r>
        <w:rPr>
          <w:rFonts w:ascii="Times New Roman" w:hAnsi="Times New Roman" w:cs="Times New Roman" w:eastAsia="Times New Roman" w:hint="default"/>
          <w:spacing w:val="-3"/>
        </w:rPr>
        <w:t>%</w:t>
      </w:r>
      <w:r>
        <w:rPr>
          <w:spacing w:val="-3"/>
        </w:rPr>
        <w:t>。大学学</w:t>
      </w:r>
      <w:r>
        <w:rPr/>
        <w:t> 历，助理研究员，曾任中国科学院长春应用化学研究所超导材料研究组助理研究员、 长春热缩材料股份有限公司副总经理。现任本公司副董事长、总经理，控股子公司长 春高琦聚酰亚胺材料有限公司董事，控股子公司江西先材纳米材料有限公司董事。其 在本公司任期自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10  </w:t>
      </w:r>
      <w:r>
        <w:rPr/>
        <w:t>日起三年。</w:t>
      </w:r>
    </w:p>
    <w:p>
      <w:pPr>
        <w:spacing w:after="0" w:line="302" w:lineRule="auto"/>
        <w:jc w:val="both"/>
        <w:sectPr>
          <w:pgSz w:w="11910" w:h="16840"/>
          <w:pgMar w:header="470" w:footer="1266" w:top="900" w:bottom="1460" w:left="600" w:right="8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302" w:lineRule="auto" w:before="26"/>
        <w:ind w:right="205" w:firstLine="480"/>
        <w:jc w:val="left"/>
      </w:pPr>
      <w:r>
        <w:rPr>
          <w:rFonts w:ascii="Times New Roman" w:hAnsi="Times New Roman" w:cs="Times New Roman" w:eastAsia="Times New Roman" w:hint="default"/>
        </w:rPr>
        <w:t>3</w:t>
      </w:r>
      <w:r>
        <w:rPr/>
        <w:t>、匡晓明先生，中国国籍，公司第三大股东，占公司股本总额的</w:t>
      </w:r>
      <w:r>
        <w:rPr>
          <w:spacing w:val="-31"/>
        </w:rPr>
        <w:t> </w:t>
      </w:r>
      <w:r>
        <w:rPr>
          <w:rFonts w:ascii="Times New Roman" w:hAnsi="Times New Roman" w:cs="Times New Roman" w:eastAsia="Times New Roman" w:hint="default"/>
        </w:rPr>
        <w:t>12.06</w:t>
      </w:r>
      <w:r>
        <w:rPr>
          <w:rFonts w:ascii="Times New Roman" w:hAnsi="Times New Roman" w:cs="Times New Roman" w:eastAsia="Times New Roman" w:hint="default"/>
          <w:spacing w:val="-16"/>
        </w:rPr>
        <w:t> </w:t>
      </w:r>
      <w:r>
        <w:rPr>
          <w:rFonts w:ascii="Times New Roman" w:hAnsi="Times New Roman" w:cs="Times New Roman" w:eastAsia="Times New Roman" w:hint="default"/>
          <w:spacing w:val="-3"/>
        </w:rPr>
        <w:t>%</w:t>
      </w:r>
      <w:r>
        <w:rPr>
          <w:spacing w:val="-3"/>
        </w:rPr>
        <w:t>。中共</w:t>
      </w:r>
      <w:r>
        <w:rPr/>
        <w:t> 党员，硕士学历，经济师，曾任深圳市创新投资集团有限公司高级主管。控股子公司 长春高琦聚酰亚胺材料有限公司董事、总经理，控股子公司北京高航复合材料有限公 司董事长，控股子公司江西先材纳米纤维材料有限公司董事长。其在本公司任期自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10  </w:t>
      </w:r>
      <w:r>
        <w:rPr/>
        <w:t>日起三年。</w:t>
      </w:r>
    </w:p>
    <w:p>
      <w:pPr>
        <w:pStyle w:val="BodyText"/>
        <w:spacing w:line="302" w:lineRule="auto"/>
        <w:ind w:right="94" w:firstLine="480"/>
        <w:jc w:val="left"/>
      </w:pPr>
      <w:r>
        <w:rPr>
          <w:rFonts w:ascii="Times New Roman" w:hAnsi="Times New Roman" w:cs="Times New Roman" w:eastAsia="Times New Roman" w:hint="default"/>
        </w:rPr>
        <w:t>4</w:t>
      </w:r>
      <w:r>
        <w:rPr/>
        <w:t>、任金生先生，中国国籍，公司第四大股东，占公司股本总额的 </w:t>
      </w:r>
      <w:r>
        <w:rPr>
          <w:rFonts w:ascii="Times New Roman" w:hAnsi="Times New Roman" w:cs="Times New Roman" w:eastAsia="Times New Roman" w:hint="default"/>
        </w:rPr>
        <w:t>4.77 %</w:t>
      </w:r>
      <w:r>
        <w:rPr/>
        <w:t>。大学 学历，助理研究员，曾任中国科学院长春应用化学研究所第十一研究室助理研究员、 </w:t>
      </w:r>
      <w:r>
        <w:rPr>
          <w:spacing w:val="-4"/>
        </w:rPr>
        <w:t>中国科学院稀土材料开放实验室固定研究人员、长春热缩材料股份有限公司销售经理。</w:t>
      </w:r>
      <w:r>
        <w:rPr>
          <w:spacing w:val="-84"/>
        </w:rPr>
        <w:t> </w:t>
      </w:r>
      <w:r>
        <w:rPr>
          <w:spacing w:val="-84"/>
        </w:rPr>
      </w:r>
      <w:r>
        <w:rPr/>
        <w:t>现任本公司董事、控股子公司长春高琦聚酰亚胺材料有限公司董事。其在本公司任期</w:t>
      </w:r>
      <w:r>
        <w:rPr/>
        <w:t> 自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10  </w:t>
      </w:r>
      <w:r>
        <w:rPr/>
        <w:t>日起三年。</w:t>
      </w:r>
    </w:p>
    <w:p>
      <w:pPr>
        <w:pStyle w:val="BodyText"/>
        <w:spacing w:line="312" w:lineRule="exact"/>
        <w:ind w:left="738" w:right="235"/>
        <w:jc w:val="left"/>
      </w:pPr>
      <w:r>
        <w:rPr/>
        <w:t>公司与主要股东之间产权关系如下图所示：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spacing w:line="5363" w:lineRule="exact"/>
        <w:ind w:left="1442" w:right="0" w:firstLine="0"/>
        <w:rPr>
          <w:rFonts w:ascii="宋体" w:hAnsi="宋体" w:cs="宋体" w:eastAsia="宋体" w:hint="default"/>
          <w:sz w:val="20"/>
          <w:szCs w:val="20"/>
        </w:rPr>
      </w:pPr>
      <w:r>
        <w:rPr>
          <w:rFonts w:ascii="宋体" w:hAnsi="宋体" w:cs="宋体" w:eastAsia="宋体" w:hint="default"/>
          <w:position w:val="-106"/>
          <w:sz w:val="20"/>
          <w:szCs w:val="20"/>
        </w:rPr>
        <w:drawing>
          <wp:inline distT="0" distB="0" distL="0" distR="0">
            <wp:extent cx="4147979" cy="3405854"/>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2" cstate="print"/>
                    <a:stretch>
                      <a:fillRect/>
                    </a:stretch>
                  </pic:blipFill>
                  <pic:spPr>
                    <a:xfrm>
                      <a:off x="0" y="0"/>
                      <a:ext cx="4147979" cy="3405854"/>
                    </a:xfrm>
                    <a:prstGeom prst="rect">
                      <a:avLst/>
                    </a:prstGeom>
                  </pic:spPr>
                </pic:pic>
              </a:graphicData>
            </a:graphic>
          </wp:inline>
        </w:drawing>
      </w:r>
      <w:r>
        <w:rPr>
          <w:rFonts w:ascii="宋体" w:hAnsi="宋体" w:cs="宋体" w:eastAsia="宋体" w:hint="default"/>
          <w:position w:val="-106"/>
          <w:sz w:val="20"/>
          <w:szCs w:val="20"/>
        </w:rPr>
      </w:r>
    </w:p>
    <w:p>
      <w:pPr>
        <w:spacing w:after="0" w:line="5363" w:lineRule="exact"/>
        <w:rPr>
          <w:rFonts w:ascii="宋体" w:hAnsi="宋体" w:cs="宋体" w:eastAsia="宋体" w:hint="default"/>
          <w:sz w:val="20"/>
          <w:szCs w:val="20"/>
        </w:rPr>
        <w:sectPr>
          <w:pgSz w:w="11910" w:h="16840"/>
          <w:pgMar w:header="470" w:footer="1266" w:top="900" w:bottom="1460" w:left="1160" w:right="136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Heading1"/>
        <w:tabs>
          <w:tab w:pos="2621" w:val="left" w:leader="none"/>
        </w:tabs>
        <w:spacing w:line="240" w:lineRule="auto"/>
        <w:ind w:left="1336" w:right="1043"/>
        <w:jc w:val="left"/>
        <w:rPr>
          <w:b w:val="0"/>
          <w:bCs w:val="0"/>
        </w:rPr>
      </w:pPr>
      <w:bookmarkStart w:name="_TOC_250011" w:id="4"/>
      <w:r>
        <w:rPr>
          <w:w w:val="95"/>
        </w:rPr>
        <w:t>第四节</w:t>
        <w:tab/>
      </w:r>
      <w:r>
        <w:rPr/>
        <w:t>董事、监事、高级管理人员和员工情况</w:t>
      </w:r>
      <w:bookmarkEnd w:id="4"/>
      <w:r>
        <w:rPr>
          <w:b w:val="0"/>
          <w:bCs w:val="0"/>
        </w:rPr>
      </w:r>
    </w:p>
    <w:p>
      <w:pPr>
        <w:spacing w:line="240" w:lineRule="auto" w:before="0"/>
        <w:rPr>
          <w:rFonts w:ascii="宋体" w:hAnsi="宋体" w:cs="宋体" w:eastAsia="宋体" w:hint="default"/>
          <w:b/>
          <w:bCs/>
          <w:sz w:val="32"/>
          <w:szCs w:val="32"/>
        </w:rPr>
      </w:pPr>
    </w:p>
    <w:p>
      <w:pPr>
        <w:spacing w:before="229"/>
        <w:ind w:left="730" w:right="1043"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94"/>
          <w:sz w:val="24"/>
          <w:szCs w:val="24"/>
        </w:rPr>
        <w:t> </w:t>
      </w:r>
      <w:r>
        <w:rPr>
          <w:rFonts w:ascii="宋体" w:hAnsi="宋体" w:cs="宋体" w:eastAsia="宋体" w:hint="default"/>
          <w:b/>
          <w:bCs/>
          <w:sz w:val="24"/>
          <w:szCs w:val="24"/>
        </w:rPr>
        <w:t>董事、监事和高级管理人员情况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before="172"/>
        <w:ind w:left="729" w:right="1043"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100"/>
          <w:sz w:val="24"/>
          <w:szCs w:val="24"/>
        </w:rPr>
        <w:t> </w:t>
      </w:r>
      <w:r>
        <w:rPr>
          <w:rFonts w:ascii="宋体" w:hAnsi="宋体" w:cs="宋体" w:eastAsia="宋体" w:hint="default"/>
          <w:b/>
          <w:bCs/>
          <w:sz w:val="24"/>
          <w:szCs w:val="24"/>
        </w:rPr>
        <w:t>董事、监事和高级管理人员持股变动及报酬情况</w:t>
      </w:r>
      <w:r>
        <w:rPr>
          <w:rFonts w:ascii="宋体" w:hAnsi="宋体" w:cs="宋体" w:eastAsia="宋体" w:hint="default"/>
          <w:sz w:val="24"/>
          <w:szCs w:val="24"/>
        </w:rPr>
      </w:r>
    </w:p>
    <w:p>
      <w:pPr>
        <w:spacing w:line="240" w:lineRule="auto" w:before="7"/>
        <w:rPr>
          <w:rFonts w:ascii="宋体" w:hAnsi="宋体" w:cs="宋体" w:eastAsia="宋体" w:hint="default"/>
          <w:b/>
          <w:bCs/>
          <w:sz w:val="3"/>
          <w:szCs w:val="3"/>
        </w:rPr>
      </w:pPr>
    </w:p>
    <w:tbl>
      <w:tblPr>
        <w:tblW w:w="0" w:type="auto"/>
        <w:jc w:val="left"/>
        <w:tblInd w:w="253" w:type="dxa"/>
        <w:tblLayout w:type="fixed"/>
        <w:tblCellMar>
          <w:top w:w="0" w:type="dxa"/>
          <w:left w:w="0" w:type="dxa"/>
          <w:bottom w:w="0" w:type="dxa"/>
          <w:right w:w="0" w:type="dxa"/>
        </w:tblCellMar>
        <w:tblLook w:val="01E0"/>
      </w:tblPr>
      <w:tblGrid>
        <w:gridCol w:w="780"/>
        <w:gridCol w:w="1040"/>
        <w:gridCol w:w="520"/>
        <w:gridCol w:w="520"/>
        <w:gridCol w:w="1170"/>
        <w:gridCol w:w="1170"/>
        <w:gridCol w:w="911"/>
        <w:gridCol w:w="978"/>
        <w:gridCol w:w="1050"/>
        <w:gridCol w:w="883"/>
        <w:gridCol w:w="806"/>
      </w:tblGrid>
      <w:tr>
        <w:trPr>
          <w:trHeight w:val="1257"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20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0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11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39"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1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39"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32" w:lineRule="exact" w:before="149"/>
              <w:ind w:left="359" w:right="89" w:hanging="270"/>
              <w:jc w:val="left"/>
              <w:rPr>
                <w:rFonts w:ascii="宋体" w:hAnsi="宋体" w:cs="宋体" w:eastAsia="宋体" w:hint="default"/>
                <w:sz w:val="18"/>
                <w:szCs w:val="18"/>
              </w:rPr>
            </w:pPr>
            <w:r>
              <w:rPr>
                <w:rFonts w:ascii="宋体" w:hAnsi="宋体" w:cs="宋体" w:eastAsia="宋体" w:hint="default"/>
                <w:sz w:val="18"/>
                <w:szCs w:val="18"/>
              </w:rPr>
              <w:t>年初持股 数</w:t>
            </w:r>
          </w:p>
        </w:tc>
        <w:tc>
          <w:tcPr>
            <w:tcW w:w="9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年末持股数</w:t>
            </w:r>
          </w:p>
        </w:tc>
        <w:tc>
          <w:tcPr>
            <w:tcW w:w="10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159" w:right="0"/>
              <w:jc w:val="left"/>
              <w:rPr>
                <w:rFonts w:ascii="宋体" w:hAnsi="宋体" w:cs="宋体" w:eastAsia="宋体" w:hint="default"/>
                <w:sz w:val="18"/>
                <w:szCs w:val="18"/>
              </w:rPr>
            </w:pPr>
            <w:r>
              <w:rPr>
                <w:rFonts w:ascii="宋体" w:hAnsi="宋体" w:cs="宋体" w:eastAsia="宋体" w:hint="default"/>
                <w:sz w:val="18"/>
                <w:szCs w:val="18"/>
              </w:rPr>
              <w:t>变动原因</w:t>
            </w:r>
          </w:p>
        </w:tc>
        <w:tc>
          <w:tcPr>
            <w:tcW w:w="8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2"/>
              <w:ind w:left="22" w:right="74" w:firstLine="54"/>
              <w:jc w:val="both"/>
              <w:rPr>
                <w:rFonts w:ascii="宋体" w:hAnsi="宋体" w:cs="宋体" w:eastAsia="宋体" w:hint="default"/>
                <w:sz w:val="18"/>
                <w:szCs w:val="18"/>
              </w:rPr>
            </w:pPr>
            <w:r>
              <w:rPr>
                <w:rFonts w:ascii="宋体" w:hAnsi="宋体" w:cs="宋体" w:eastAsia="宋体" w:hint="default"/>
                <w:sz w:val="18"/>
                <w:szCs w:val="18"/>
              </w:rPr>
              <w:t>报告期内 从公司领 取的报酬 总额（万 </w:t>
            </w:r>
            <w:r>
              <w:rPr>
                <w:rFonts w:ascii="宋体" w:hAnsi="宋体" w:cs="宋体" w:eastAsia="宋体" w:hint="default"/>
                <w:spacing w:val="-33"/>
                <w:sz w:val="18"/>
                <w:szCs w:val="18"/>
              </w:rPr>
              <w:t>元）（税前</w:t>
            </w:r>
          </w:p>
        </w:tc>
        <w:tc>
          <w:tcPr>
            <w:tcW w:w="8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2"/>
              <w:ind w:left="37" w:right="37"/>
              <w:jc w:val="both"/>
              <w:rPr>
                <w:rFonts w:ascii="宋体" w:hAnsi="宋体" w:cs="宋体" w:eastAsia="宋体" w:hint="default"/>
                <w:sz w:val="18"/>
                <w:szCs w:val="18"/>
              </w:rPr>
            </w:pPr>
            <w:r>
              <w:rPr>
                <w:rFonts w:ascii="宋体" w:hAnsi="宋体" w:cs="宋体" w:eastAsia="宋体" w:hint="default"/>
                <w:sz w:val="18"/>
                <w:szCs w:val="18"/>
              </w:rPr>
              <w:t>是否在股 东单位或 其他关联 单位领取</w:t>
            </w:r>
          </w:p>
          <w:p>
            <w:pPr>
              <w:pStyle w:val="TableParagraph"/>
              <w:spacing w:line="233" w:lineRule="exact"/>
              <w:ind w:left="-12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69"/>
                <w:sz w:val="18"/>
                <w:szCs w:val="18"/>
              </w:rPr>
              <w:t> </w:t>
            </w:r>
            <w:r>
              <w:rPr>
                <w:rFonts w:ascii="宋体" w:hAnsi="宋体" w:cs="宋体" w:eastAsia="宋体" w:hint="default"/>
                <w:sz w:val="18"/>
                <w:szCs w:val="18"/>
              </w:rPr>
              <w:t>薪酬</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吕晓义</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83,517,942</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167,035,884</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339" w:right="68" w:hanging="270"/>
              <w:jc w:val="left"/>
              <w:rPr>
                <w:rFonts w:ascii="宋体" w:hAnsi="宋体" w:cs="宋体" w:eastAsia="宋体" w:hint="default"/>
                <w:sz w:val="18"/>
                <w:szCs w:val="18"/>
              </w:rPr>
            </w:pPr>
            <w:r>
              <w:rPr>
                <w:rFonts w:ascii="宋体" w:hAnsi="宋体" w:cs="宋体" w:eastAsia="宋体" w:hint="default"/>
                <w:sz w:val="18"/>
                <w:szCs w:val="18"/>
              </w:rPr>
              <w:t>公积金转增 股本</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sz w:val="18"/>
              </w:rPr>
              <w:t>380,000.00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何平</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51</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49,079,726</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98,159,452</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339" w:right="68" w:hanging="270"/>
              <w:jc w:val="left"/>
              <w:rPr>
                <w:rFonts w:ascii="宋体" w:hAnsi="宋体" w:cs="宋体" w:eastAsia="宋体" w:hint="default"/>
                <w:sz w:val="18"/>
                <w:szCs w:val="18"/>
              </w:rPr>
            </w:pPr>
            <w:r>
              <w:rPr>
                <w:rFonts w:ascii="宋体" w:hAnsi="宋体" w:cs="宋体" w:eastAsia="宋体" w:hint="default"/>
                <w:sz w:val="18"/>
                <w:szCs w:val="18"/>
              </w:rPr>
              <w:t>公积金转增 股本</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sz w:val="18"/>
              </w:rPr>
              <w:t>380,000.00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匡晓明</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38,450,000</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76,080,000</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339" w:right="68" w:hanging="270"/>
              <w:jc w:val="left"/>
              <w:rPr>
                <w:rFonts w:ascii="宋体" w:hAnsi="宋体" w:cs="宋体" w:eastAsia="宋体" w:hint="default"/>
                <w:sz w:val="18"/>
                <w:szCs w:val="18"/>
              </w:rPr>
            </w:pPr>
            <w:r>
              <w:rPr>
                <w:rFonts w:ascii="宋体" w:hAnsi="宋体" w:cs="宋体" w:eastAsia="宋体" w:hint="default"/>
                <w:sz w:val="18"/>
                <w:szCs w:val="18"/>
              </w:rPr>
              <w:t>公积金转增 股本</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31" w:right="0"/>
              <w:jc w:val="center"/>
              <w:rPr>
                <w:rFonts w:ascii="Times New Roman" w:hAnsi="Times New Roman" w:cs="Times New Roman" w:eastAsia="Times New Roman" w:hint="default"/>
                <w:sz w:val="18"/>
                <w:szCs w:val="18"/>
              </w:rPr>
            </w:pPr>
            <w:r>
              <w:rPr>
                <w:rFonts w:ascii="Times New Roman"/>
                <w:sz w:val="18"/>
              </w:rPr>
              <w:t>111,500.00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任金生</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50</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15,041,109</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30,082,218</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339" w:right="68" w:hanging="270"/>
              <w:jc w:val="left"/>
              <w:rPr>
                <w:rFonts w:ascii="宋体" w:hAnsi="宋体" w:cs="宋体" w:eastAsia="宋体" w:hint="default"/>
                <w:sz w:val="18"/>
                <w:szCs w:val="18"/>
              </w:rPr>
            </w:pPr>
            <w:r>
              <w:rPr>
                <w:rFonts w:ascii="宋体" w:hAnsi="宋体" w:cs="宋体" w:eastAsia="宋体" w:hint="default"/>
                <w:sz w:val="18"/>
                <w:szCs w:val="18"/>
              </w:rPr>
              <w:t>公积金转增 股本</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9" w:right="0"/>
              <w:jc w:val="center"/>
              <w:rPr>
                <w:rFonts w:ascii="Times New Roman" w:hAnsi="Times New Roman" w:cs="Times New Roman" w:eastAsia="Times New Roman" w:hint="default"/>
                <w:sz w:val="18"/>
                <w:szCs w:val="18"/>
              </w:rPr>
            </w:pPr>
            <w:r>
              <w:rPr>
                <w:rFonts w:ascii="Times New Roman"/>
                <w:sz w:val="18"/>
              </w:rPr>
              <w:t>60,000.00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朱天培</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9" w:right="0"/>
              <w:jc w:val="center"/>
              <w:rPr>
                <w:rFonts w:ascii="Times New Roman" w:hAnsi="Times New Roman" w:cs="Times New Roman" w:eastAsia="Times New Roman" w:hint="default"/>
                <w:sz w:val="18"/>
                <w:szCs w:val="18"/>
              </w:rPr>
            </w:pPr>
            <w:r>
              <w:rPr>
                <w:rFonts w:ascii="Times New Roman"/>
                <w:sz w:val="18"/>
              </w:rPr>
              <w:t>60,000.00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潘成东</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9" w:right="0"/>
              <w:jc w:val="center"/>
              <w:rPr>
                <w:rFonts w:ascii="Times New Roman" w:hAnsi="Times New Roman" w:cs="Times New Roman" w:eastAsia="Times New Roman" w:hint="default"/>
                <w:sz w:val="18"/>
                <w:szCs w:val="18"/>
              </w:rPr>
            </w:pPr>
            <w:r>
              <w:rPr>
                <w:rFonts w:ascii="Times New Roman"/>
                <w:sz w:val="18"/>
              </w:rPr>
              <w:t>60,000.00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8"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王天广</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49</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9" w:right="0"/>
              <w:jc w:val="center"/>
              <w:rPr>
                <w:rFonts w:ascii="Times New Roman" w:hAnsi="Times New Roman" w:cs="Times New Roman" w:eastAsia="Times New Roman" w:hint="default"/>
                <w:sz w:val="18"/>
                <w:szCs w:val="18"/>
              </w:rPr>
            </w:pPr>
            <w:r>
              <w:rPr>
                <w:rFonts w:ascii="Times New Roman"/>
                <w:sz w:val="18"/>
              </w:rPr>
              <w:t>60,000.00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何芳</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41</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sz w:val="18"/>
              </w:rPr>
              <w:t>244,000.00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安国华</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41</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sz w:val="18"/>
              </w:rPr>
              <w:t>244,000.00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祁锦波</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36</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sz w:val="18"/>
              </w:rPr>
              <w:t>244,000.00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桑玉贵</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39</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sz w:val="18"/>
              </w:rPr>
              <w:t>220,000.00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张国刚</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38</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300</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29" w:right="68" w:hanging="360"/>
              <w:jc w:val="left"/>
              <w:rPr>
                <w:rFonts w:ascii="宋体" w:hAnsi="宋体" w:cs="宋体" w:eastAsia="宋体" w:hint="default"/>
                <w:sz w:val="18"/>
                <w:szCs w:val="18"/>
              </w:rPr>
            </w:pPr>
            <w:r>
              <w:rPr>
                <w:rFonts w:ascii="宋体" w:hAnsi="宋体" w:cs="宋体" w:eastAsia="宋体" w:hint="default"/>
                <w:sz w:val="18"/>
                <w:szCs w:val="18"/>
              </w:rPr>
              <w:t>二级市场增 持</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sz w:val="18"/>
              </w:rPr>
              <w:t>244,000.00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陈明春</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50</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sz w:val="18"/>
              </w:rPr>
              <w:t>244,000.00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刘心</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53</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14,000</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28,000</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339" w:right="68" w:hanging="270"/>
              <w:jc w:val="left"/>
              <w:rPr>
                <w:rFonts w:ascii="宋体" w:hAnsi="宋体" w:cs="宋体" w:eastAsia="宋体" w:hint="default"/>
                <w:sz w:val="18"/>
                <w:szCs w:val="18"/>
              </w:rPr>
            </w:pPr>
            <w:r>
              <w:rPr>
                <w:rFonts w:ascii="宋体" w:hAnsi="宋体" w:cs="宋体" w:eastAsia="宋体" w:hint="default"/>
                <w:sz w:val="18"/>
                <w:szCs w:val="18"/>
              </w:rPr>
              <w:t>公积金转增 股本</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9" w:right="0"/>
              <w:jc w:val="center"/>
              <w:rPr>
                <w:rFonts w:ascii="Times New Roman" w:hAnsi="Times New Roman" w:cs="Times New Roman" w:eastAsia="Times New Roman" w:hint="default"/>
                <w:sz w:val="18"/>
                <w:szCs w:val="18"/>
              </w:rPr>
            </w:pPr>
            <w:r>
              <w:rPr>
                <w:rFonts w:ascii="Times New Roman"/>
                <w:sz w:val="18"/>
              </w:rPr>
              <w:t>91,839.00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印曦</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40</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sz w:val="18"/>
              </w:rPr>
              <w:t>144,000.00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易频</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39</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sz w:val="18"/>
              </w:rPr>
              <w:t>144,000.00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何峰</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40</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15,188</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30,376</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339" w:right="68" w:hanging="270"/>
              <w:jc w:val="left"/>
              <w:rPr>
                <w:rFonts w:ascii="宋体" w:hAnsi="宋体" w:cs="宋体" w:eastAsia="宋体" w:hint="default"/>
                <w:sz w:val="18"/>
                <w:szCs w:val="18"/>
              </w:rPr>
            </w:pPr>
            <w:r>
              <w:rPr>
                <w:rFonts w:ascii="宋体" w:hAnsi="宋体" w:cs="宋体" w:eastAsia="宋体" w:hint="default"/>
                <w:sz w:val="18"/>
                <w:szCs w:val="18"/>
              </w:rPr>
              <w:t>公积金转增 股本</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9" w:right="0"/>
              <w:jc w:val="center"/>
              <w:rPr>
                <w:rFonts w:ascii="Times New Roman" w:hAnsi="Times New Roman" w:cs="Times New Roman" w:eastAsia="Times New Roman" w:hint="default"/>
                <w:sz w:val="18"/>
                <w:szCs w:val="18"/>
              </w:rPr>
            </w:pPr>
            <w:r>
              <w:rPr>
                <w:rFonts w:ascii="Times New Roman"/>
                <w:sz w:val="18"/>
              </w:rPr>
              <w:t>60,000.00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91"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赵玉梅</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7"/>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3,000</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9,000</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2"/>
              <w:ind w:left="69" w:right="68"/>
              <w:jc w:val="both"/>
              <w:rPr>
                <w:rFonts w:ascii="宋体" w:hAnsi="宋体" w:cs="宋体" w:eastAsia="宋体" w:hint="default"/>
                <w:sz w:val="18"/>
                <w:szCs w:val="18"/>
              </w:rPr>
            </w:pPr>
            <w:r>
              <w:rPr>
                <w:rFonts w:ascii="宋体" w:hAnsi="宋体" w:cs="宋体" w:eastAsia="宋体" w:hint="default"/>
                <w:sz w:val="18"/>
                <w:szCs w:val="18"/>
              </w:rPr>
              <w:t>公积金转增 股本及二级 市场增持</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109" w:right="0"/>
              <w:jc w:val="center"/>
              <w:rPr>
                <w:rFonts w:ascii="Times New Roman" w:hAnsi="Times New Roman" w:cs="Times New Roman" w:eastAsia="Times New Roman" w:hint="default"/>
                <w:sz w:val="18"/>
                <w:szCs w:val="18"/>
              </w:rPr>
            </w:pPr>
            <w:r>
              <w:rPr>
                <w:rFonts w:ascii="Times New Roman"/>
                <w:sz w:val="18"/>
              </w:rPr>
              <w:t>72,000.00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470" w:footer="1266" w:top="900" w:bottom="1460" w:left="1160" w:right="54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8"/>
          <w:szCs w:val="18"/>
        </w:rPr>
      </w:pPr>
    </w:p>
    <w:tbl>
      <w:tblPr>
        <w:tblW w:w="0" w:type="auto"/>
        <w:jc w:val="left"/>
        <w:tblInd w:w="253" w:type="dxa"/>
        <w:tblLayout w:type="fixed"/>
        <w:tblCellMar>
          <w:top w:w="0" w:type="dxa"/>
          <w:left w:w="0" w:type="dxa"/>
          <w:bottom w:w="0" w:type="dxa"/>
          <w:right w:w="0" w:type="dxa"/>
        </w:tblCellMar>
        <w:tblLook w:val="01E0"/>
      </w:tblPr>
      <w:tblGrid>
        <w:gridCol w:w="780"/>
        <w:gridCol w:w="1040"/>
        <w:gridCol w:w="520"/>
        <w:gridCol w:w="520"/>
        <w:gridCol w:w="1170"/>
        <w:gridCol w:w="1170"/>
        <w:gridCol w:w="911"/>
        <w:gridCol w:w="978"/>
        <w:gridCol w:w="1050"/>
        <w:gridCol w:w="883"/>
        <w:gridCol w:w="806"/>
      </w:tblGrid>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05"/>
              <w:jc w:val="right"/>
              <w:rPr>
                <w:rFonts w:ascii="宋体" w:hAnsi="宋体" w:cs="宋体" w:eastAsia="宋体" w:hint="default"/>
                <w:sz w:val="18"/>
                <w:szCs w:val="18"/>
              </w:rPr>
            </w:pPr>
            <w:r>
              <w:rPr>
                <w:rFonts w:ascii="宋体" w:hAnsi="宋体" w:cs="宋体" w:eastAsia="宋体" w:hint="default"/>
                <w:sz w:val="18"/>
                <w:szCs w:val="18"/>
              </w:rPr>
              <w:t>鲁小林</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31</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39,282.00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05"/>
              <w:jc w:val="right"/>
              <w:rPr>
                <w:rFonts w:ascii="宋体" w:hAnsi="宋体" w:cs="宋体" w:eastAsia="宋体" w:hint="default"/>
                <w:sz w:val="18"/>
                <w:szCs w:val="18"/>
              </w:rPr>
            </w:pPr>
            <w:r>
              <w:rPr>
                <w:rFonts w:ascii="宋体" w:hAnsi="宋体" w:cs="宋体" w:eastAsia="宋体" w:hint="default"/>
                <w:sz w:val="18"/>
                <w:szCs w:val="18"/>
              </w:rPr>
              <w:t>姜宏华</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40</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67,900.00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204"/>
              <w:jc w:val="right"/>
              <w:rPr>
                <w:rFonts w:ascii="宋体" w:hAnsi="宋体" w:cs="宋体" w:eastAsia="宋体" w:hint="default"/>
                <w:sz w:val="18"/>
                <w:szCs w:val="18"/>
              </w:rPr>
            </w:pPr>
            <w:r>
              <w:rPr>
                <w:rFonts w:ascii="宋体" w:hAnsi="宋体" w:cs="宋体" w:eastAsia="宋体" w:hint="default"/>
                <w:sz w:val="18"/>
                <w:szCs w:val="18"/>
              </w:rPr>
              <w:t>合计</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11"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6" w:right="0"/>
              <w:jc w:val="left"/>
              <w:rPr>
                <w:rFonts w:ascii="Times New Roman" w:hAnsi="Times New Roman" w:cs="Times New Roman" w:eastAsia="Times New Roman" w:hint="default"/>
                <w:sz w:val="18"/>
                <w:szCs w:val="18"/>
              </w:rPr>
            </w:pPr>
            <w:r>
              <w:rPr>
                <w:rFonts w:ascii="Times New Roman"/>
                <w:sz w:val="18"/>
              </w:rPr>
              <w:t>3,170,521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pStyle w:val="BodyText"/>
        <w:spacing w:line="300" w:lineRule="auto" w:before="40"/>
        <w:ind w:right="1043" w:firstLine="480"/>
        <w:jc w:val="both"/>
      </w:pPr>
      <w:r>
        <w:rPr>
          <w:rFonts w:ascii="Times New Roman" w:hAnsi="Times New Roman" w:cs="Times New Roman" w:eastAsia="Times New Roman" w:hint="default"/>
          <w:spacing w:val="-3"/>
        </w:rPr>
        <w:t>1</w:t>
      </w:r>
      <w:r>
        <w:rPr>
          <w:spacing w:val="-3"/>
        </w:rPr>
        <w:t>、公司建立了高管人员的选择、考评、激励和约束机制。公司董事会设有薪酬与</w:t>
      </w:r>
      <w:r>
        <w:rPr/>
        <w:t> 考核委员会，根据年度经营计划目标，以公司高级管理人员及其所负责单位的经营业 绩和管理指标为主要依据和内容，负责组织对高管人员进行考评、激励，使得高级管 理人员的工作绩效与其收入挂钩。</w:t>
      </w:r>
    </w:p>
    <w:p>
      <w:pPr>
        <w:pStyle w:val="BodyText"/>
        <w:spacing w:line="304" w:lineRule="auto" w:before="25"/>
        <w:ind w:right="1065" w:firstLine="480"/>
        <w:jc w:val="both"/>
      </w:pPr>
      <w:r>
        <w:rPr/>
        <w:t>报酬确定依据：董事会薪酬与考核委员会是确定公司高管人员薪酬方案、负责薪 酬管理、考核和监督的专门机构。董事会薪酬与考核委员会拟订公司董事、监事薪酬 方案及独立董事津贴方案经公司股东大会批准后实施。</w:t>
      </w:r>
    </w:p>
    <w:p>
      <w:pPr>
        <w:pStyle w:val="BodyText"/>
        <w:spacing w:line="304" w:lineRule="auto" w:before="20"/>
        <w:ind w:right="1065" w:firstLine="480"/>
        <w:jc w:val="both"/>
      </w:pPr>
      <w:r>
        <w:rPr/>
        <w:t>公司依照《公司独立董事制度》的规定向独立董事发放津贴，按年以现金形式发 放。</w:t>
      </w:r>
    </w:p>
    <w:p>
      <w:pPr>
        <w:pStyle w:val="BodyText"/>
        <w:spacing w:line="288" w:lineRule="auto" w:before="22"/>
        <w:ind w:left="738" w:right="1043"/>
        <w:jc w:val="left"/>
      </w:pPr>
      <w:r>
        <w:rPr>
          <w:rFonts w:ascii="Times New Roman" w:hAnsi="Times New Roman" w:cs="Times New Roman" w:eastAsia="Times New Roman" w:hint="default"/>
        </w:rPr>
        <w:t>2</w:t>
      </w:r>
      <w:r>
        <w:rPr/>
        <w:t>、年度报酬 </w:t>
      </w:r>
      <w:r>
        <w:rPr>
          <w:spacing w:val="-4"/>
        </w:rPr>
        <w:t>报告期内，董事、监事、高级管理人员从公司领取年度报酬总额为人民币 </w:t>
      </w:r>
      <w:r>
        <w:rPr>
          <w:rFonts w:ascii="Times New Roman" w:hAnsi="Times New Roman" w:cs="Times New Roman" w:eastAsia="Times New Roman" w:hint="default"/>
        </w:rPr>
        <w:t>317 </w:t>
      </w:r>
      <w:r>
        <w:rPr>
          <w:rFonts w:ascii="Times New Roman" w:hAnsi="Times New Roman" w:cs="Times New Roman" w:eastAsia="Times New Roman" w:hint="default"/>
          <w:spacing w:val="4"/>
        </w:rPr>
        <w:t> </w:t>
      </w:r>
      <w:r>
        <w:rPr/>
        <w:t>万</w:t>
      </w:r>
    </w:p>
    <w:p>
      <w:pPr>
        <w:pStyle w:val="BodyText"/>
        <w:spacing w:line="240" w:lineRule="auto" w:before="14"/>
        <w:ind w:right="0"/>
        <w:jc w:val="both"/>
      </w:pPr>
      <w:r>
        <w:rPr/>
        <w:t>元。</w:t>
      </w:r>
    </w:p>
    <w:p>
      <w:pPr>
        <w:spacing w:line="240" w:lineRule="auto" w:before="0"/>
        <w:rPr>
          <w:rFonts w:ascii="宋体" w:hAnsi="宋体" w:cs="宋体" w:eastAsia="宋体" w:hint="default"/>
          <w:sz w:val="24"/>
          <w:szCs w:val="24"/>
        </w:rPr>
      </w:pPr>
    </w:p>
    <w:p>
      <w:pPr>
        <w:spacing w:before="172"/>
        <w:ind w:left="730" w:right="1043" w:firstLine="0"/>
        <w:jc w:val="left"/>
        <w:rPr>
          <w:rFonts w:ascii="宋体" w:hAnsi="宋体" w:cs="宋体" w:eastAsia="宋体" w:hint="default"/>
          <w:sz w:val="24"/>
          <w:szCs w:val="24"/>
        </w:rPr>
      </w:pPr>
      <w:r>
        <w:rPr>
          <w:rFonts w:ascii="宋体" w:hAnsi="宋体" w:cs="宋体" w:eastAsia="宋体" w:hint="default"/>
          <w:b/>
          <w:bCs/>
          <w:sz w:val="24"/>
          <w:szCs w:val="24"/>
        </w:rPr>
        <w:t>（二）现任董事、监事、高级管理人员工作经历和任职情况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tabs>
          <w:tab w:pos="8438" w:val="left" w:leader="none"/>
        </w:tabs>
        <w:spacing w:line="288" w:lineRule="auto" w:before="172"/>
        <w:ind w:left="740" w:right="1043" w:hanging="11"/>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）董事工作经历</w:t>
      </w:r>
      <w:r>
        <w:rPr>
          <w:rFonts w:ascii="宋体" w:hAnsi="宋体" w:cs="宋体" w:eastAsia="宋体" w:hint="default"/>
          <w:b/>
          <w:bCs/>
          <w:spacing w:val="1"/>
          <w:w w:val="99"/>
          <w:sz w:val="24"/>
          <w:szCs w:val="24"/>
        </w:rPr>
        <w:t> </w:t>
      </w:r>
      <w:r>
        <w:rPr>
          <w:rFonts w:ascii="宋体" w:hAnsi="宋体" w:cs="宋体" w:eastAsia="宋体" w:hint="default"/>
          <w:b/>
          <w:bCs/>
          <w:w w:val="95"/>
          <w:sz w:val="24"/>
          <w:szCs w:val="24"/>
        </w:rPr>
        <w:t>吕晓义先生、何平女士、匡晓明先生、任金生先生</w:t>
      </w:r>
      <w:r>
        <w:rPr>
          <w:rFonts w:ascii="宋体" w:hAnsi="宋体" w:cs="宋体" w:eastAsia="宋体" w:hint="default"/>
          <w:w w:val="95"/>
          <w:sz w:val="24"/>
          <w:szCs w:val="24"/>
        </w:rPr>
        <w:t>工作经历见“第三节</w:t>
        <w:tab/>
      </w:r>
      <w:r>
        <w:rPr>
          <w:rFonts w:ascii="宋体" w:hAnsi="宋体" w:cs="宋体" w:eastAsia="宋体" w:hint="default"/>
          <w:sz w:val="24"/>
          <w:szCs w:val="24"/>
        </w:rPr>
        <w:t>股本变</w:t>
      </w:r>
    </w:p>
    <w:p>
      <w:pPr>
        <w:pStyle w:val="BodyText"/>
        <w:spacing w:line="307" w:lineRule="auto" w:before="37"/>
        <w:ind w:left="740" w:right="1043" w:hanging="483"/>
        <w:jc w:val="left"/>
        <w:rPr>
          <w:rFonts w:ascii="Times New Roman" w:hAnsi="Times New Roman" w:cs="Times New Roman" w:eastAsia="Times New Roman" w:hint="default"/>
        </w:rPr>
      </w:pPr>
      <w:r>
        <w:rPr>
          <w:spacing w:val="-5"/>
        </w:rPr>
        <w:t>动及股东情况”中“公司控股股东及实际控制人情况”。</w:t>
      </w:r>
      <w:r>
        <w:rPr>
          <w:spacing w:val="-115"/>
        </w:rPr>
        <w:t> </w:t>
      </w:r>
      <w:r>
        <w:rPr>
          <w:spacing w:val="-115"/>
        </w:rPr>
      </w:r>
      <w:r>
        <w:rPr>
          <w:rFonts w:ascii="宋体" w:hAnsi="宋体" w:cs="宋体" w:eastAsia="宋体" w:hint="default"/>
          <w:b/>
          <w:bCs/>
          <w:spacing w:val="-7"/>
        </w:rPr>
        <w:t>王天广先生：</w:t>
      </w:r>
      <w:r>
        <w:rPr>
          <w:spacing w:val="-7"/>
        </w:rPr>
        <w:t>中国籍，汉族，中共党员，大学本科学历，注册会计师、律师。</w:t>
      </w:r>
      <w:r>
        <w:rPr>
          <w:rFonts w:ascii="Times New Roman" w:hAnsi="Times New Roman" w:cs="Times New Roman" w:eastAsia="Times New Roman" w:hint="default"/>
          <w:spacing w:val="-7"/>
        </w:rPr>
        <w:t>1996</w:t>
      </w:r>
    </w:p>
    <w:p>
      <w:pPr>
        <w:pStyle w:val="BodyText"/>
        <w:spacing w:line="288" w:lineRule="auto"/>
        <w:ind w:right="983"/>
        <w:jc w:val="both"/>
      </w:pPr>
      <w:r>
        <w:rPr>
          <w:spacing w:val="2"/>
        </w:rPr>
        <w:t>年</w:t>
      </w:r>
      <w:r>
        <w:rPr>
          <w:rFonts w:ascii="Times New Roman" w:hAnsi="Times New Roman" w:cs="Times New Roman" w:eastAsia="Times New Roman" w:hint="default"/>
          <w:spacing w:val="2"/>
        </w:rPr>
        <w:t>-1997</w:t>
      </w:r>
      <w:r>
        <w:rPr>
          <w:spacing w:val="2"/>
        </w:rPr>
        <w:t>年任深圳万科财务顾问公司职员；</w:t>
      </w:r>
      <w:r>
        <w:rPr>
          <w:rFonts w:ascii="Times New Roman" w:hAnsi="Times New Roman" w:cs="Times New Roman" w:eastAsia="Times New Roman" w:hint="default"/>
          <w:spacing w:val="2"/>
        </w:rPr>
        <w:t>1997</w:t>
      </w:r>
      <w:r>
        <w:rPr>
          <w:spacing w:val="2"/>
        </w:rPr>
        <w:t>年</w:t>
      </w:r>
      <w:r>
        <w:rPr>
          <w:rFonts w:ascii="Times New Roman" w:hAnsi="Times New Roman" w:cs="Times New Roman" w:eastAsia="Times New Roman" w:hint="default"/>
          <w:spacing w:val="2"/>
        </w:rPr>
        <w:t>-1998</w:t>
      </w:r>
      <w:r>
        <w:rPr>
          <w:spacing w:val="2"/>
        </w:rPr>
        <w:t>年借调到中国证监会上市公司</w:t>
      </w:r>
      <w:r>
        <w:rPr>
          <w:spacing w:val="3"/>
        </w:rPr>
        <w:t> </w:t>
      </w:r>
      <w:r>
        <w:rPr/>
        <w:t>监管部；</w:t>
      </w:r>
      <w:r>
        <w:rPr>
          <w:rFonts w:ascii="Times New Roman" w:hAnsi="Times New Roman" w:cs="Times New Roman" w:eastAsia="Times New Roman" w:hint="default"/>
        </w:rPr>
        <w:t>1998</w:t>
      </w:r>
      <w:r>
        <w:rPr/>
        <w:t>年</w:t>
      </w:r>
      <w:r>
        <w:rPr>
          <w:rFonts w:ascii="Times New Roman" w:hAnsi="Times New Roman" w:cs="Times New Roman" w:eastAsia="Times New Roman" w:hint="default"/>
        </w:rPr>
        <w:t>-2007</w:t>
      </w:r>
      <w:r>
        <w:rPr/>
        <w:t>年任深圳证监局上市公司监管处主任科员、稽查一处主任科员、 </w:t>
      </w:r>
      <w:r>
        <w:rPr>
          <w:spacing w:val="-5"/>
        </w:rPr>
        <w:t>上市公司监管处副处长；</w:t>
      </w:r>
      <w:r>
        <w:rPr>
          <w:rFonts w:ascii="Times New Roman" w:hAnsi="Times New Roman" w:cs="Times New Roman" w:eastAsia="Times New Roman" w:hint="default"/>
          <w:spacing w:val="-5"/>
        </w:rPr>
        <w:t>2007</w:t>
      </w:r>
      <w:r>
        <w:rPr>
          <w:spacing w:val="-5"/>
        </w:rPr>
        <w:t>年</w:t>
      </w:r>
      <w:r>
        <w:rPr>
          <w:rFonts w:ascii="Times New Roman" w:hAnsi="Times New Roman" w:cs="Times New Roman" w:eastAsia="Times New Roman" w:hint="default"/>
          <w:spacing w:val="-5"/>
        </w:rPr>
        <w:t>12</w:t>
      </w:r>
      <w:r>
        <w:rPr>
          <w:spacing w:val="-5"/>
        </w:rPr>
        <w:t>月至</w:t>
      </w:r>
      <w:r>
        <w:rPr>
          <w:rFonts w:ascii="Times New Roman" w:hAnsi="Times New Roman" w:cs="Times New Roman" w:eastAsia="Times New Roman" w:hint="default"/>
          <w:spacing w:val="-5"/>
        </w:rPr>
        <w:t>2008</w:t>
      </w:r>
      <w:r>
        <w:rPr>
          <w:spacing w:val="-5"/>
        </w:rPr>
        <w:t>年</w:t>
      </w:r>
      <w:r>
        <w:rPr>
          <w:rFonts w:ascii="Times New Roman" w:hAnsi="Times New Roman" w:cs="Times New Roman" w:eastAsia="Times New Roman" w:hint="default"/>
          <w:spacing w:val="-5"/>
        </w:rPr>
        <w:t>12</w:t>
      </w:r>
      <w:r>
        <w:rPr>
          <w:spacing w:val="-5"/>
        </w:rPr>
        <w:t>月任银河证券深圳投行部总经理、</w:t>
      </w:r>
      <w:r>
        <w:rPr>
          <w:rFonts w:ascii="Times New Roman" w:hAnsi="Times New Roman" w:cs="Times New Roman" w:eastAsia="Times New Roman" w:hint="default"/>
          <w:spacing w:val="-5"/>
        </w:rPr>
        <w:t>2009</w:t>
      </w:r>
      <w:r>
        <w:rPr>
          <w:rFonts w:ascii="Times New Roman" w:hAnsi="Times New Roman" w:cs="Times New Roman" w:eastAsia="Times New Roman" w:hint="default"/>
          <w:spacing w:val="-50"/>
        </w:rPr>
        <w:t> </w:t>
      </w:r>
      <w:r>
        <w:rPr>
          <w:spacing w:val="-3"/>
        </w:rPr>
        <w:t>年</w:t>
      </w:r>
      <w:r>
        <w:rPr>
          <w:rFonts w:ascii="Times New Roman" w:hAnsi="Times New Roman" w:cs="Times New Roman" w:eastAsia="Times New Roman" w:hint="default"/>
          <w:spacing w:val="-3"/>
        </w:rPr>
        <w:t>1</w:t>
      </w:r>
      <w:r>
        <w:rPr>
          <w:spacing w:val="-3"/>
        </w:rPr>
        <w:t>月至今在西南证券股份有限公司任投行部副总经理。本公司独立董事，其任期为自</w:t>
      </w:r>
      <w:r>
        <w:rPr>
          <w:spacing w:val="-106"/>
        </w:rPr>
        <w:t> </w:t>
      </w:r>
      <w:r>
        <w:rPr>
          <w:spacing w:val="-106"/>
        </w:rPr>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8</w:t>
      </w:r>
      <w:r>
        <w:rPr/>
        <w:t>日起到第三届董事会任期结束。</w:t>
      </w:r>
    </w:p>
    <w:p>
      <w:pPr>
        <w:pStyle w:val="BodyText"/>
        <w:spacing w:line="304" w:lineRule="auto" w:before="15"/>
        <w:ind w:right="1041" w:firstLine="482"/>
        <w:jc w:val="both"/>
      </w:pPr>
      <w:r>
        <w:rPr>
          <w:rFonts w:ascii="宋体" w:hAnsi="宋体" w:cs="宋体" w:eastAsia="宋体" w:hint="default"/>
          <w:b/>
          <w:bCs/>
        </w:rPr>
        <w:t>潘成东先生：</w:t>
      </w:r>
      <w:r>
        <w:rPr/>
        <w:t>中国籍，汉族，曾用名潘承东，本科学历，律师，曾在吉林大学法 学院、吉林吉大律师事务所、深圳大和律师事务所、深圳华商律师事务所、吉大律师</w:t>
      </w:r>
      <w:r>
        <w:rPr>
          <w:spacing w:val="-117"/>
        </w:rPr>
        <w:t> </w:t>
      </w:r>
      <w:r>
        <w:rPr>
          <w:spacing w:val="-117"/>
        </w:rPr>
      </w:r>
      <w:r>
        <w:rPr/>
        <w:t>事务所任职。曾任深圳顺络电子股份有限公司独立董事，本公司第三届董事会独立董</w:t>
      </w:r>
      <w:r>
        <w:rPr>
          <w:spacing w:val="-117"/>
        </w:rPr>
        <w:t> </w:t>
      </w:r>
      <w:r>
        <w:rPr>
          <w:spacing w:val="-117"/>
        </w:rPr>
      </w:r>
      <w:r>
        <w:rPr/>
        <w:t>事。现任广东闻天律师事务所合伙人，广东盛润集团股份有限公司独立董事及本公司</w:t>
      </w:r>
      <w:r>
        <w:rPr>
          <w:spacing w:val="-117"/>
        </w:rPr>
        <w:t> </w:t>
      </w:r>
      <w:r>
        <w:rPr>
          <w:spacing w:val="-117"/>
        </w:rPr>
      </w:r>
      <w:r>
        <w:rPr/>
        <w:t>第四届董事会独立董事。</w:t>
      </w:r>
    </w:p>
    <w:p>
      <w:pPr>
        <w:pStyle w:val="BodyText"/>
        <w:spacing w:line="307" w:lineRule="auto" w:before="60"/>
        <w:ind w:right="1041" w:firstLine="482"/>
        <w:jc w:val="both"/>
      </w:pPr>
      <w:r>
        <w:rPr>
          <w:rFonts w:ascii="宋体" w:hAnsi="宋体" w:cs="宋体" w:eastAsia="宋体" w:hint="default"/>
          <w:b/>
          <w:bCs/>
        </w:rPr>
        <w:t>朱天培先生：</w:t>
      </w:r>
      <w:r>
        <w:rPr/>
        <w:t>中国籍，汉族，拥有美国居留权，原深圳市中科融投资顾问公司总 裁、深圳市中衡信资产评估公司高级顾问、深圳市迈思达管理咨询公司高级顾问。近</w:t>
      </w:r>
    </w:p>
    <w:p>
      <w:pPr>
        <w:spacing w:after="0" w:line="307" w:lineRule="auto"/>
        <w:jc w:val="both"/>
        <w:sectPr>
          <w:pgSz w:w="11910" w:h="16840"/>
          <w:pgMar w:header="470" w:footer="1266" w:top="900" w:bottom="1460" w:left="1160" w:right="5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304" w:lineRule="auto" w:before="26"/>
        <w:ind w:right="0"/>
        <w:jc w:val="left"/>
      </w:pPr>
      <w:r>
        <w:rPr/>
        <w:t>年曾任深圳市大族激光科技股份有限公司独立董事、深圳市佳创视讯技术股份有限公</w:t>
      </w:r>
      <w:r>
        <w:rPr>
          <w:spacing w:val="-117"/>
        </w:rPr>
        <w:t> </w:t>
      </w:r>
      <w:r>
        <w:rPr>
          <w:spacing w:val="-117"/>
        </w:rPr>
      </w:r>
      <w:r>
        <w:rPr/>
        <w:t>司独立董事、本公司第三届董事会独立董事。现任本公司第四届董事会独立董事。</w:t>
      </w:r>
    </w:p>
    <w:p>
      <w:pPr>
        <w:pStyle w:val="BodyText"/>
        <w:spacing w:line="300" w:lineRule="auto" w:before="61"/>
        <w:ind w:right="141" w:firstLine="482"/>
        <w:jc w:val="both"/>
      </w:pPr>
      <w:r>
        <w:rPr>
          <w:rFonts w:ascii="宋体" w:hAnsi="宋体" w:cs="宋体" w:eastAsia="宋体" w:hint="default"/>
          <w:b/>
          <w:bCs/>
        </w:rPr>
        <w:t>詹伟哉先生：</w:t>
      </w:r>
      <w:r>
        <w:rPr/>
        <w:t>中国籍，汉族，</w:t>
      </w:r>
      <w:r>
        <w:rPr>
          <w:rFonts w:ascii="Times New Roman" w:hAnsi="Times New Roman" w:cs="Times New Roman" w:eastAsia="Times New Roman" w:hint="default"/>
        </w:rPr>
        <w:t>46</w:t>
      </w:r>
      <w:r>
        <w:rPr/>
        <w:t>岁，中共党员，博士学历，高级会计师，近五年 曾任深圳东辉实业股份有限公司财务部副经理、深圳旅游（集团）公司西丽大酒店总</w:t>
      </w:r>
      <w:r>
        <w:rPr>
          <w:spacing w:val="-117"/>
        </w:rPr>
        <w:t> </w:t>
      </w:r>
      <w:r>
        <w:rPr>
          <w:spacing w:val="-117"/>
        </w:rPr>
      </w:r>
      <w:r>
        <w:rPr/>
        <w:t>经理助理兼财务部长，深圳市旅游（集团）公司审计部部长、华意压缩机股份有限公</w:t>
      </w:r>
      <w:r>
        <w:rPr>
          <w:spacing w:val="-117"/>
        </w:rPr>
        <w:t> </w:t>
      </w:r>
      <w:r>
        <w:rPr>
          <w:spacing w:val="-117"/>
        </w:rPr>
      </w:r>
      <w:r>
        <w:rPr>
          <w:spacing w:val="-3"/>
        </w:rPr>
        <w:t>司独立董事。</w:t>
      </w:r>
      <w:r>
        <w:rPr>
          <w:rFonts w:ascii="Times New Roman" w:hAnsi="Times New Roman" w:cs="Times New Roman" w:eastAsia="Times New Roman" w:hint="default"/>
          <w:spacing w:val="-3"/>
        </w:rPr>
        <w:t>2004</w:t>
      </w:r>
      <w:r>
        <w:rPr>
          <w:spacing w:val="-3"/>
        </w:rPr>
        <w:t>年</w:t>
      </w:r>
      <w:r>
        <w:rPr>
          <w:rFonts w:ascii="Times New Roman" w:hAnsi="Times New Roman" w:cs="Times New Roman" w:eastAsia="Times New Roman" w:hint="default"/>
          <w:spacing w:val="-3"/>
        </w:rPr>
        <w:t>2</w:t>
      </w:r>
      <w:r>
        <w:rPr>
          <w:spacing w:val="-3"/>
        </w:rPr>
        <w:t>月</w:t>
      </w:r>
      <w:r>
        <w:rPr>
          <w:rFonts w:ascii="Times New Roman" w:hAnsi="Times New Roman" w:cs="Times New Roman" w:eastAsia="Times New Roman" w:hint="default"/>
          <w:spacing w:val="-3"/>
        </w:rPr>
        <w:t>15</w:t>
      </w:r>
      <w:r>
        <w:rPr>
          <w:spacing w:val="-3"/>
        </w:rPr>
        <w:t>日补选为本公司第一届董事会独立董事，连任至</w:t>
      </w: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7</w:t>
      </w:r>
      <w:r>
        <w:rPr>
          <w:rFonts w:ascii="Times New Roman" w:hAnsi="Times New Roman" w:cs="Times New Roman" w:eastAsia="Times New Roman" w:hint="default"/>
          <w:spacing w:val="-28"/>
        </w:rPr>
        <w:t> </w:t>
      </w:r>
      <w:r>
        <w:rPr/>
        <w:t>日。现任华安财产保险股份有限公司资产管理中心副总经理，本公司第四届董事会独</w:t>
      </w:r>
      <w:r>
        <w:rPr>
          <w:spacing w:val="-117"/>
        </w:rPr>
        <w:t> </w:t>
      </w:r>
      <w:r>
        <w:rPr>
          <w:spacing w:val="-117"/>
        </w:rPr>
      </w:r>
      <w:r>
        <w:rPr/>
        <w:t>立董事。</w:t>
      </w:r>
    </w:p>
    <w:p>
      <w:pPr>
        <w:spacing w:line="288" w:lineRule="auto" w:before="66"/>
        <w:ind w:left="740" w:right="138"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）监事工作经历</w:t>
      </w:r>
      <w:r>
        <w:rPr>
          <w:rFonts w:ascii="宋体" w:hAnsi="宋体" w:cs="宋体" w:eastAsia="宋体" w:hint="default"/>
          <w:b/>
          <w:bCs/>
          <w:spacing w:val="1"/>
          <w:w w:val="99"/>
          <w:sz w:val="24"/>
          <w:szCs w:val="24"/>
        </w:rPr>
        <w:t> </w:t>
      </w:r>
      <w:r>
        <w:rPr>
          <w:rFonts w:ascii="宋体" w:hAnsi="宋体" w:cs="宋体" w:eastAsia="宋体" w:hint="default"/>
          <w:b/>
          <w:bCs/>
          <w:sz w:val="24"/>
          <w:szCs w:val="24"/>
        </w:rPr>
        <w:t>姜宏华先生：</w:t>
      </w:r>
      <w:r>
        <w:rPr>
          <w:rFonts w:ascii="宋体" w:hAnsi="宋体" w:cs="宋体" w:eastAsia="宋体" w:hint="default"/>
          <w:sz w:val="24"/>
          <w:szCs w:val="24"/>
        </w:rPr>
        <w:t>中国籍，汉族，大学学历，曾任职于中国网通黑龙江省通信公司，</w:t>
      </w:r>
    </w:p>
    <w:p>
      <w:pPr>
        <w:pStyle w:val="BodyText"/>
        <w:spacing w:line="304" w:lineRule="auto" w:before="38"/>
        <w:ind w:right="0"/>
        <w:jc w:val="left"/>
      </w:pPr>
      <w:r>
        <w:rPr/>
        <w:t>现任公司信息部副部长、第三届监事会监事、监事会主席。现任第四届监事会监事、</w:t>
      </w:r>
      <w:r>
        <w:rPr>
          <w:spacing w:val="-117"/>
        </w:rPr>
        <w:t> </w:t>
      </w:r>
      <w:r>
        <w:rPr>
          <w:spacing w:val="-117"/>
        </w:rPr>
      </w:r>
      <w:r>
        <w:rPr/>
        <w:t>监事会主席。最近五年在本公司工作。</w:t>
      </w:r>
    </w:p>
    <w:p>
      <w:pPr>
        <w:pStyle w:val="BodyText"/>
        <w:spacing w:line="313" w:lineRule="exact"/>
        <w:ind w:left="740" w:right="0"/>
        <w:jc w:val="left"/>
      </w:pPr>
      <w:r>
        <w:rPr>
          <w:rFonts w:ascii="宋体" w:hAnsi="宋体" w:cs="宋体" w:eastAsia="宋体" w:hint="default"/>
          <w:b/>
          <w:bCs/>
        </w:rPr>
        <w:t>赵玉梅女士：</w:t>
      </w:r>
      <w:r>
        <w:rPr/>
        <w:t>中国籍，汉族，大专学历，</w:t>
      </w:r>
      <w:r>
        <w:rPr>
          <w:rFonts w:ascii="Times New Roman" w:hAnsi="Times New Roman" w:cs="Times New Roman" w:eastAsia="Times New Roman" w:hint="default"/>
        </w:rPr>
        <w:t>1999</w:t>
      </w:r>
      <w:r>
        <w:rPr/>
        <w:t>年起在本公司工作，曾任公司第三</w:t>
      </w:r>
    </w:p>
    <w:p>
      <w:pPr>
        <w:pStyle w:val="BodyText"/>
        <w:spacing w:line="386" w:lineRule="auto" w:before="135"/>
        <w:ind w:left="738" w:right="0" w:hanging="480"/>
        <w:jc w:val="left"/>
      </w:pPr>
      <w:r>
        <w:rPr/>
        <w:t>届监事会监事。现任地区销售经理、第四届监事会监事。最近五年在本公司工作。 </w:t>
      </w:r>
      <w:r>
        <w:rPr>
          <w:rFonts w:ascii="宋体" w:hAnsi="宋体" w:cs="宋体" w:eastAsia="宋体" w:hint="default"/>
          <w:b/>
          <w:bCs/>
        </w:rPr>
        <w:t>杨耀宇先生：</w:t>
      </w:r>
      <w:r>
        <w:rPr/>
        <w:t>中国籍，汉族，大专学历，工程师。 1993 年至 2011</w:t>
      </w:r>
      <w:r>
        <w:rPr>
          <w:spacing w:val="-32"/>
        </w:rPr>
        <w:t> </w:t>
      </w:r>
      <w:r>
        <w:rPr/>
        <w:t>年任职于大</w:t>
      </w:r>
    </w:p>
    <w:p>
      <w:pPr>
        <w:pStyle w:val="BodyText"/>
        <w:spacing w:line="357" w:lineRule="auto" w:before="6"/>
        <w:ind w:right="146"/>
        <w:jc w:val="left"/>
      </w:pPr>
      <w:r>
        <w:rPr/>
        <w:t>庆联谊石油化工总厂，历任办公室主任、工会主席等职务。 2011 年 11 月起在本公 司任采购部长，第四届监事会监事。</w:t>
      </w:r>
    </w:p>
    <w:p>
      <w:pPr>
        <w:tabs>
          <w:tab w:pos="7718" w:val="left" w:leader="none"/>
        </w:tabs>
        <w:spacing w:line="288" w:lineRule="auto" w:before="155"/>
        <w:ind w:left="740" w:right="142"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）高管的工作经历</w:t>
      </w:r>
      <w:r>
        <w:rPr>
          <w:rFonts w:ascii="宋体" w:hAnsi="宋体" w:cs="宋体" w:eastAsia="宋体" w:hint="default"/>
          <w:b/>
          <w:bCs/>
          <w:spacing w:val="1"/>
          <w:w w:val="99"/>
          <w:sz w:val="24"/>
          <w:szCs w:val="24"/>
        </w:rPr>
        <w:t> </w:t>
      </w:r>
      <w:r>
        <w:rPr>
          <w:rFonts w:ascii="宋体" w:hAnsi="宋体" w:cs="宋体" w:eastAsia="宋体" w:hint="default"/>
          <w:b/>
          <w:bCs/>
          <w:sz w:val="24"/>
          <w:szCs w:val="24"/>
        </w:rPr>
        <w:t>何平女士：</w:t>
      </w:r>
      <w:r>
        <w:rPr>
          <w:rFonts w:ascii="宋体" w:hAnsi="宋体" w:cs="宋体" w:eastAsia="宋体" w:hint="default"/>
          <w:sz w:val="24"/>
          <w:szCs w:val="24"/>
        </w:rPr>
        <w:t>现任公司副董事长、总经理。工作经历详见“第三节</w:t>
        <w:tab/>
        <w:t>股本变动及股</w:t>
      </w:r>
    </w:p>
    <w:p>
      <w:pPr>
        <w:pStyle w:val="BodyText"/>
        <w:spacing w:line="307" w:lineRule="auto" w:before="37"/>
        <w:ind w:left="740" w:right="139" w:hanging="483"/>
        <w:jc w:val="left"/>
      </w:pPr>
      <w:r>
        <w:rPr>
          <w:spacing w:val="-6"/>
        </w:rPr>
        <w:t>东情况”中“公司控股股东及实际控制人情况”。</w:t>
      </w:r>
      <w:r>
        <w:rPr>
          <w:spacing w:val="-108"/>
        </w:rPr>
        <w:t> </w:t>
      </w:r>
      <w:r>
        <w:rPr>
          <w:spacing w:val="-108"/>
        </w:rPr>
      </w:r>
      <w:r>
        <w:rPr>
          <w:rFonts w:ascii="宋体" w:hAnsi="宋体" w:cs="宋体" w:eastAsia="宋体" w:hint="default"/>
          <w:b/>
          <w:bCs/>
        </w:rPr>
        <w:t>何芳女士：</w:t>
      </w:r>
      <w:r>
        <w:rPr/>
        <w:t>现任公司副总经理。中国国籍，汉族，大学学历。曾任公司地区销售</w:t>
      </w:r>
    </w:p>
    <w:p>
      <w:pPr>
        <w:pStyle w:val="BodyText"/>
        <w:spacing w:line="288" w:lineRule="auto" w:before="18"/>
        <w:ind w:right="0"/>
        <w:jc w:val="left"/>
      </w:pPr>
      <w:r>
        <w:rPr>
          <w:spacing w:val="-5"/>
        </w:rPr>
        <w:t>经理、市场部经理、总经理助理。其任期自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10</w:t>
      </w:r>
      <w:r>
        <w:rPr>
          <w:rFonts w:ascii="Times New Roman" w:hAnsi="Times New Roman" w:cs="Times New Roman" w:eastAsia="Times New Roman" w:hint="default"/>
          <w:spacing w:val="25"/>
        </w:rPr>
        <w:t> </w:t>
      </w:r>
      <w:r>
        <w:rPr>
          <w:spacing w:val="-3"/>
        </w:rPr>
        <w:t>日起三年。最近五年在</w:t>
      </w:r>
      <w:r>
        <w:rPr/>
        <w:t> 本公司任职。</w:t>
      </w:r>
    </w:p>
    <w:p>
      <w:pPr>
        <w:pStyle w:val="BodyText"/>
        <w:spacing w:line="297" w:lineRule="auto" w:before="78"/>
        <w:ind w:right="142" w:firstLine="482"/>
        <w:jc w:val="both"/>
      </w:pPr>
      <w:r>
        <w:rPr>
          <w:rFonts w:ascii="宋体" w:hAnsi="宋体" w:cs="宋体" w:eastAsia="宋体" w:hint="default"/>
          <w:b/>
          <w:bCs/>
        </w:rPr>
        <w:t>安国华女士：</w:t>
      </w:r>
      <w:r>
        <w:rPr/>
        <w:t>现任公司副总经理。中国籍，朝鲜族，大学学历，曾任职于哈尔滨 </w:t>
      </w:r>
      <w:r>
        <w:rPr>
          <w:spacing w:val="-5"/>
        </w:rPr>
        <w:t>市社会福利院，历任公司市场部经理、总经理助理。其任期自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10</w:t>
      </w:r>
      <w:r>
        <w:rPr>
          <w:rFonts w:ascii="Times New Roman" w:hAnsi="Times New Roman" w:cs="Times New Roman" w:eastAsia="Times New Roman" w:hint="default"/>
          <w:spacing w:val="17"/>
        </w:rPr>
        <w:t> </w:t>
      </w:r>
      <w:r>
        <w:rPr/>
        <w:t>日起</w:t>
      </w:r>
      <w:r>
        <w:rPr>
          <w:spacing w:val="1"/>
        </w:rPr>
        <w:t> </w:t>
      </w:r>
      <w:r>
        <w:rPr/>
        <w:t>三年。最近五年在本公司任职。</w:t>
      </w:r>
    </w:p>
    <w:p>
      <w:pPr>
        <w:pStyle w:val="BodyText"/>
        <w:spacing w:line="297" w:lineRule="auto" w:before="67"/>
        <w:ind w:right="142" w:firstLine="482"/>
        <w:jc w:val="both"/>
      </w:pPr>
      <w:r>
        <w:rPr>
          <w:rFonts w:ascii="宋体" w:hAnsi="宋体" w:cs="宋体" w:eastAsia="宋体" w:hint="default"/>
          <w:b/>
          <w:bCs/>
        </w:rPr>
        <w:t>祁锦波女士：</w:t>
      </w:r>
      <w:r>
        <w:rPr/>
        <w:t>现任公司副总经理。中国籍，汉族，大学学历，曾任职于北京九五 </w:t>
      </w:r>
      <w:r>
        <w:rPr>
          <w:spacing w:val="-6"/>
        </w:rPr>
        <w:t>资讯产业有限公司法律顾问，北京九五太维资讯有限公司法律顾问兼董事长助理。</w:t>
      </w:r>
      <w:r>
        <w:rPr>
          <w:rFonts w:ascii="Times New Roman" w:hAnsi="Times New Roman" w:cs="Times New Roman" w:eastAsia="Times New Roman" w:hint="default"/>
          <w:spacing w:val="-6"/>
        </w:rPr>
        <w:t>2007</w:t>
      </w:r>
      <w:r>
        <w:rPr>
          <w:rFonts w:ascii="Times New Roman" w:hAnsi="Times New Roman" w:cs="Times New Roman" w:eastAsia="Times New Roman" w:hint="default"/>
          <w:spacing w:val="-40"/>
        </w:rPr>
        <w:t> </w:t>
      </w:r>
      <w:r>
        <w:rPr/>
        <w:t>年</w:t>
      </w:r>
      <w:r>
        <w:rPr>
          <w:rFonts w:ascii="Times New Roman" w:hAnsi="Times New Roman" w:cs="Times New Roman" w:eastAsia="Times New Roman" w:hint="default"/>
        </w:rPr>
        <w:t>2</w:t>
      </w:r>
      <w:r>
        <w:rPr/>
        <w:t>月起加入本公司，曾任总经理助理。其任期自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10  </w:t>
      </w:r>
      <w:r>
        <w:rPr/>
        <w:t>日起三年。</w:t>
      </w:r>
    </w:p>
    <w:p>
      <w:pPr>
        <w:pStyle w:val="BodyText"/>
        <w:spacing w:line="304" w:lineRule="auto" w:before="44"/>
        <w:ind w:right="141" w:firstLine="482"/>
        <w:jc w:val="both"/>
      </w:pPr>
      <w:r>
        <w:rPr>
          <w:rFonts w:ascii="宋体" w:hAnsi="宋体" w:cs="宋体" w:eastAsia="宋体" w:hint="default"/>
          <w:b/>
          <w:bCs/>
        </w:rPr>
        <w:t>张国刚先生：</w:t>
      </w:r>
      <w:r>
        <w:rPr/>
        <w:t>现任公司副总经理、董事会秘书。中国籍，汉族，大学学历，曾任 职于长春热缩材料股份有限公司信息部、深圳长园新材料有限公司海外部。其任期自</w:t>
      </w:r>
      <w:r>
        <w:rPr>
          <w:spacing w:val="-117"/>
        </w:rPr>
        <w:t> </w:t>
      </w:r>
      <w:r>
        <w:rPr>
          <w:spacing w:val="-117"/>
        </w:rPr>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10  </w:t>
      </w:r>
      <w:r>
        <w:rPr/>
        <w:t>日起三年。最近五年在本公司任职。</w:t>
      </w:r>
    </w:p>
    <w:p>
      <w:pPr>
        <w:pStyle w:val="BodyText"/>
        <w:spacing w:line="240" w:lineRule="auto" w:before="36"/>
        <w:ind w:left="740" w:right="0"/>
        <w:jc w:val="left"/>
      </w:pPr>
      <w:r>
        <w:rPr>
          <w:rFonts w:ascii="宋体" w:hAnsi="宋体" w:cs="宋体" w:eastAsia="宋体" w:hint="default"/>
          <w:b/>
          <w:bCs/>
        </w:rPr>
        <w:t>易频先生：</w:t>
      </w:r>
      <w:r>
        <w:rPr/>
        <w:t>报告期内任公司副总经理。中国籍，汉族，大学学历。</w:t>
      </w:r>
      <w:r>
        <w:rPr>
          <w:rFonts w:ascii="Times New Roman" w:hAnsi="Times New Roman" w:cs="Times New Roman" w:eastAsia="Times New Roman" w:hint="default"/>
        </w:rPr>
        <w:t>2001-2006</w:t>
      </w:r>
      <w:r>
        <w:rPr/>
        <w:t>年在</w:t>
      </w:r>
    </w:p>
    <w:p>
      <w:pPr>
        <w:spacing w:after="0" w:line="240" w:lineRule="auto"/>
        <w:jc w:val="left"/>
        <w:sectPr>
          <w:footerReference w:type="default" r:id="rId13"/>
          <w:pgSz w:w="11910" w:h="16840"/>
          <w:pgMar w:footer="1266" w:header="470" w:top="900" w:bottom="1460" w:left="1160" w:right="1440"/>
          <w:pgNumType w:start="14"/>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288" w:lineRule="auto" w:before="26"/>
        <w:ind w:right="0"/>
        <w:jc w:val="left"/>
      </w:pPr>
      <w:r>
        <w:rPr>
          <w:spacing w:val="-2"/>
        </w:rPr>
        <w:t>招商局信息科技有限公司任方案总监。</w:t>
      </w:r>
      <w:r>
        <w:rPr>
          <w:rFonts w:ascii="Times New Roman" w:hAnsi="Times New Roman" w:cs="Times New Roman" w:eastAsia="Times New Roman" w:hint="default"/>
          <w:spacing w:val="-2"/>
        </w:rPr>
        <w:t>2006-2009</w:t>
      </w:r>
      <w:r>
        <w:rPr>
          <w:spacing w:val="-2"/>
        </w:rPr>
        <w:t>年在得逻辑（上海）无线技术有限公</w:t>
      </w:r>
      <w:r>
        <w:rPr>
          <w:spacing w:val="-105"/>
        </w:rPr>
        <w:t> </w:t>
      </w:r>
      <w:r>
        <w:rPr>
          <w:spacing w:val="-105"/>
        </w:rPr>
      </w:r>
      <w:r>
        <w:rPr/>
        <w:t>司任市场总监。其任期为自</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25</w:t>
      </w:r>
      <w:r>
        <w:rPr/>
        <w:t>日至</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w:t>
      </w:r>
    </w:p>
    <w:p>
      <w:pPr>
        <w:pStyle w:val="BodyText"/>
        <w:spacing w:line="288" w:lineRule="auto" w:before="55"/>
        <w:ind w:right="129" w:firstLine="482"/>
        <w:jc w:val="both"/>
      </w:pPr>
      <w:r>
        <w:rPr>
          <w:rFonts w:ascii="宋体" w:hAnsi="宋体" w:cs="宋体" w:eastAsia="宋体" w:hint="default"/>
          <w:b/>
          <w:bCs/>
          <w:spacing w:val="-2"/>
        </w:rPr>
        <w:t>印曦先生：</w:t>
      </w:r>
      <w:r>
        <w:rPr>
          <w:spacing w:val="-2"/>
        </w:rPr>
        <w:t>报告期内任公司副总经理。中国籍，汉族，大学学历。</w:t>
      </w:r>
      <w:r>
        <w:rPr>
          <w:rFonts w:ascii="Times New Roman" w:hAnsi="Times New Roman" w:cs="Times New Roman" w:eastAsia="Times New Roman" w:hint="default"/>
          <w:spacing w:val="-2"/>
        </w:rPr>
        <w:t>1995-2007</w:t>
      </w:r>
      <w:r>
        <w:rPr>
          <w:spacing w:val="-2"/>
        </w:rPr>
        <w:t>年曾</w:t>
      </w:r>
      <w:r>
        <w:rPr/>
        <w:t> </w:t>
      </w:r>
      <w:r>
        <w:rPr>
          <w:spacing w:val="10"/>
        </w:rPr>
        <w:t>任职于佳能珠海有限公司。</w:t>
      </w:r>
      <w:r>
        <w:rPr>
          <w:rFonts w:ascii="Times New Roman" w:hAnsi="Times New Roman" w:cs="Times New Roman" w:eastAsia="Times New Roman" w:hint="default"/>
          <w:spacing w:val="10"/>
        </w:rPr>
        <w:t>2007-2008</w:t>
      </w:r>
      <w:r>
        <w:rPr>
          <w:spacing w:val="10"/>
        </w:rPr>
        <w:t>年在佛山三山建材有有限公司任研发总监。</w:t>
      </w:r>
      <w:r>
        <w:rPr>
          <w:spacing w:val="-103"/>
        </w:rPr>
        <w:t> </w:t>
      </w:r>
      <w:r>
        <w:rPr>
          <w:spacing w:val="-103"/>
        </w:rPr>
      </w:r>
      <w:r>
        <w:rPr>
          <w:rFonts w:ascii="Times New Roman" w:hAnsi="Times New Roman" w:cs="Times New Roman" w:eastAsia="Times New Roman" w:hint="default"/>
        </w:rPr>
        <w:t>2008-2009</w:t>
      </w:r>
      <w:r>
        <w:rPr/>
        <w:t>在东莞正荣塑料电子厂任总经理。其任期为自</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25</w:t>
      </w:r>
      <w:r>
        <w:rPr/>
        <w:t>日至</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p>
    <w:p>
      <w:pPr>
        <w:pStyle w:val="BodyText"/>
        <w:spacing w:line="240" w:lineRule="auto" w:before="15"/>
        <w:ind w:right="0"/>
        <w:jc w:val="left"/>
      </w:pPr>
      <w:r>
        <w:rPr>
          <w:rFonts w:ascii="Times New Roman" w:hAnsi="Times New Roman" w:cs="Times New Roman" w:eastAsia="Times New Roman" w:hint="default"/>
        </w:rPr>
        <w:t>31</w:t>
      </w:r>
      <w:r>
        <w:rPr/>
        <w:t>日。</w:t>
      </w:r>
    </w:p>
    <w:p>
      <w:pPr>
        <w:pStyle w:val="BodyText"/>
        <w:spacing w:line="297" w:lineRule="auto" w:before="107"/>
        <w:ind w:right="141" w:firstLine="482"/>
        <w:jc w:val="both"/>
      </w:pPr>
      <w:r>
        <w:rPr>
          <w:rFonts w:ascii="宋体" w:hAnsi="宋体" w:cs="宋体" w:eastAsia="宋体" w:hint="default"/>
          <w:b/>
          <w:bCs/>
          <w:spacing w:val="-14"/>
        </w:rPr>
        <w:t>陈明春先生：</w:t>
      </w:r>
      <w:r>
        <w:rPr>
          <w:spacing w:val="-14"/>
        </w:rPr>
        <w:t>现任公司副总经理。中国籍，汉族，大学学历，高级工程师。</w:t>
      </w:r>
      <w:r>
        <w:rPr>
          <w:rFonts w:ascii="Times New Roman" w:hAnsi="Times New Roman" w:cs="Times New Roman" w:eastAsia="Times New Roman" w:hint="default"/>
          <w:spacing w:val="-14"/>
        </w:rPr>
        <w:t>1984-2009</w:t>
      </w:r>
      <w:r>
        <w:rPr>
          <w:rFonts w:ascii="Times New Roman" w:hAnsi="Times New Roman" w:cs="Times New Roman" w:eastAsia="Times New Roman" w:hint="default"/>
        </w:rPr>
        <w:t> </w:t>
      </w:r>
      <w:r>
        <w:rPr/>
        <w:t>年曾任职于大庆石化工程有限公司，历任工程师、高级工程师、主任等职务。其任期</w:t>
      </w:r>
      <w:r>
        <w:rPr>
          <w:spacing w:val="-117"/>
        </w:rPr>
        <w:t> </w:t>
      </w:r>
      <w:r>
        <w:rPr>
          <w:spacing w:val="-117"/>
        </w:rPr>
      </w:r>
      <w:r>
        <w:rPr/>
        <w:t>自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10  </w:t>
      </w:r>
      <w:r>
        <w:rPr/>
        <w:t>日起三年。</w:t>
      </w:r>
    </w:p>
    <w:p>
      <w:pPr>
        <w:pStyle w:val="BodyText"/>
        <w:spacing w:line="295" w:lineRule="auto" w:before="3"/>
        <w:ind w:right="140" w:firstLine="482"/>
        <w:jc w:val="both"/>
      </w:pPr>
      <w:r>
        <w:rPr>
          <w:rFonts w:ascii="宋体" w:hAnsi="宋体" w:cs="宋体" w:eastAsia="宋体" w:hint="default"/>
          <w:b/>
          <w:bCs/>
        </w:rPr>
        <w:t>桑玉贵先生：</w:t>
      </w:r>
      <w:r>
        <w:rPr/>
        <w:t>现任公司副总经理。中国籍，汉族，</w:t>
      </w:r>
      <w:r>
        <w:rPr>
          <w:spacing w:val="35"/>
        </w:rPr>
        <w:t> </w:t>
      </w:r>
      <w:r>
        <w:rPr>
          <w:rFonts w:ascii="Times New Roman" w:hAnsi="Times New Roman" w:cs="Times New Roman" w:eastAsia="Times New Roman" w:hint="default"/>
        </w:rPr>
        <w:t>MBA</w:t>
      </w:r>
      <w:r>
        <w:rPr/>
        <w:t>毕业。曾在佳能珠海有</w:t>
      </w:r>
      <w:r>
        <w:rPr>
          <w:spacing w:val="2"/>
        </w:rPr>
        <w:t> </w:t>
      </w:r>
      <w:r>
        <w:rPr/>
        <w:t>限公司工作，历任珠海智迪科技有限公司副总经理，任三威（珠海）塑胶有限公司副</w:t>
      </w:r>
      <w:r>
        <w:rPr>
          <w:spacing w:val="-117"/>
        </w:rPr>
        <w:t> </w:t>
      </w:r>
      <w:r>
        <w:rPr>
          <w:spacing w:val="-117"/>
        </w:rPr>
      </w:r>
      <w:r>
        <w:rPr/>
        <w:t>总经理，珠海一诺为新企业管理咨询公司总经理。</w:t>
      </w:r>
      <w:r>
        <w:rPr>
          <w:rFonts w:ascii="Times New Roman" w:hAnsi="Times New Roman" w:cs="Times New Roman" w:eastAsia="Times New Roman" w:hint="default"/>
        </w:rPr>
        <w:t>2009</w:t>
      </w:r>
      <w:r>
        <w:rPr/>
        <w:t>年至今在公司任职，曾任长春 高琦总经理。深圳惠程副总经理。其任期自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10  </w:t>
      </w:r>
      <w:r>
        <w:rPr/>
        <w:t>日起三年。</w:t>
      </w:r>
    </w:p>
    <w:p>
      <w:pPr>
        <w:pStyle w:val="BodyText"/>
        <w:spacing w:line="288" w:lineRule="auto" w:before="7"/>
        <w:ind w:right="142" w:firstLine="482"/>
        <w:jc w:val="both"/>
      </w:pPr>
      <w:r>
        <w:rPr>
          <w:rFonts w:ascii="宋体" w:hAnsi="宋体" w:cs="宋体" w:eastAsia="宋体" w:hint="default"/>
          <w:b/>
          <w:bCs/>
          <w:spacing w:val="-2"/>
        </w:rPr>
        <w:t>赵勋先生：</w:t>
      </w:r>
      <w:r>
        <w:rPr>
          <w:spacing w:val="-2"/>
        </w:rPr>
        <w:t>现任公司副总经理。中国籍，汉族，大学学历。</w:t>
      </w:r>
      <w:r>
        <w:rPr>
          <w:rFonts w:ascii="Times New Roman" w:hAnsi="Times New Roman" w:cs="Times New Roman" w:eastAsia="Times New Roman" w:hint="default"/>
          <w:spacing w:val="-2"/>
        </w:rPr>
        <w:t>1995-1999</w:t>
      </w:r>
      <w:r>
        <w:rPr>
          <w:spacing w:val="-2"/>
        </w:rPr>
        <w:t>年曾任职于</w:t>
      </w:r>
      <w:r>
        <w:rPr/>
        <w:t> 长春热缩材料股份有限公司。</w:t>
      </w:r>
      <w:r>
        <w:rPr>
          <w:rFonts w:ascii="Times New Roman" w:hAnsi="Times New Roman" w:cs="Times New Roman" w:eastAsia="Times New Roman" w:hint="default"/>
        </w:rPr>
        <w:t>1999</w:t>
      </w:r>
      <w:r>
        <w:rPr/>
        <w:t>年</w:t>
      </w:r>
      <w:r>
        <w:rPr>
          <w:rFonts w:ascii="Times New Roman" w:hAnsi="Times New Roman" w:cs="Times New Roman" w:eastAsia="Times New Roman" w:hint="default"/>
        </w:rPr>
        <w:t>12</w:t>
      </w:r>
      <w:r>
        <w:rPr/>
        <w:t>月起加入本公司，历任信息部部长，国际部部 长，总经理助理。其任期自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10  </w:t>
      </w:r>
      <w:r>
        <w:rPr/>
        <w:t>日起三年。最近五年在本公司任职。</w:t>
      </w:r>
    </w:p>
    <w:p>
      <w:pPr>
        <w:pStyle w:val="BodyText"/>
        <w:spacing w:line="300" w:lineRule="auto" w:before="15"/>
        <w:ind w:right="141" w:firstLine="482"/>
        <w:jc w:val="both"/>
      </w:pPr>
      <w:r>
        <w:rPr>
          <w:rFonts w:ascii="宋体" w:hAnsi="宋体" w:cs="宋体" w:eastAsia="宋体" w:hint="default"/>
          <w:b/>
          <w:bCs/>
        </w:rPr>
        <w:t>冯海元女士：</w:t>
      </w:r>
      <w:r>
        <w:rPr/>
        <w:t>现任公司副总经理。中国籍，汉族，大学学历，曾任职于长春市金 属材料公司，曾任长春热缩材料股份有限公司电子部部长、长春惠程电工器材有限公</w:t>
      </w:r>
      <w:r>
        <w:rPr>
          <w:spacing w:val="-117"/>
        </w:rPr>
        <w:t> </w:t>
      </w:r>
      <w:r>
        <w:rPr>
          <w:spacing w:val="-117"/>
        </w:rPr>
      </w:r>
      <w:r>
        <w:rPr>
          <w:spacing w:val="-4"/>
        </w:rPr>
        <w:t>司副总经理。曾任本公司济南办事处经理。其任期自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10</w:t>
      </w:r>
      <w:r>
        <w:rPr>
          <w:rFonts w:ascii="Times New Roman" w:hAnsi="Times New Roman" w:cs="Times New Roman" w:eastAsia="Times New Roman" w:hint="default"/>
          <w:spacing w:val="11"/>
        </w:rPr>
        <w:t> </w:t>
      </w:r>
      <w:r>
        <w:rPr>
          <w:spacing w:val="-6"/>
        </w:rPr>
        <w:t>日起三年。最</w:t>
      </w:r>
      <w:r>
        <w:rPr/>
        <w:t> 近五年在本公司任职。</w:t>
      </w:r>
    </w:p>
    <w:p>
      <w:pPr>
        <w:pStyle w:val="BodyText"/>
        <w:spacing w:line="304" w:lineRule="auto" w:before="25"/>
        <w:ind w:right="141" w:firstLine="482"/>
        <w:jc w:val="both"/>
      </w:pPr>
      <w:r>
        <w:rPr>
          <w:rFonts w:ascii="宋体" w:hAnsi="宋体" w:cs="宋体" w:eastAsia="宋体" w:hint="default"/>
          <w:b/>
          <w:bCs/>
        </w:rPr>
        <w:t>吕敬民先生：</w:t>
      </w:r>
      <w:r>
        <w:rPr/>
        <w:t>现任公司副总经理。中国籍，汉族，大学学历，曾任职于长春热缩 材料有限公司市场部。历任本公司技术部部长、国际部部长、总经理助理。最近五年</w:t>
      </w:r>
      <w:r>
        <w:rPr>
          <w:spacing w:val="-117"/>
        </w:rPr>
        <w:t> </w:t>
      </w:r>
      <w:r>
        <w:rPr>
          <w:spacing w:val="-117"/>
        </w:rPr>
      </w:r>
      <w:r>
        <w:rPr/>
        <w:t>在本公司任职。其任期自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10  </w:t>
      </w:r>
      <w:r>
        <w:rPr/>
        <w:t>日起三年。</w:t>
      </w:r>
    </w:p>
    <w:p>
      <w:pPr>
        <w:pStyle w:val="BodyText"/>
        <w:spacing w:line="302" w:lineRule="auto"/>
        <w:ind w:right="141" w:firstLine="482"/>
        <w:jc w:val="both"/>
      </w:pPr>
      <w:r>
        <w:rPr>
          <w:rFonts w:ascii="宋体" w:hAnsi="宋体" w:cs="宋体" w:eastAsia="宋体" w:hint="default"/>
          <w:b/>
          <w:bCs/>
        </w:rPr>
        <w:t>刘心先生，</w:t>
      </w:r>
      <w:r>
        <w:rPr/>
        <w:t>现任公司财务负责人。中国籍，汉族，大学学历，经济学学士，经济 师。曾任中国农业银行长春管理干部学院教师、中国农业银行深圳市分行干部、海南</w:t>
      </w:r>
      <w:r>
        <w:rPr>
          <w:spacing w:val="-117"/>
        </w:rPr>
        <w:t> </w:t>
      </w:r>
      <w:r>
        <w:rPr>
          <w:spacing w:val="-117"/>
        </w:rPr>
      </w:r>
      <w:r>
        <w:rPr/>
        <w:t>金汇实业公司副总经理、大连长兴实业股份有限公司副总经理、吉林高琦聚酰亚胺材</w:t>
      </w:r>
      <w:r>
        <w:rPr>
          <w:spacing w:val="-117"/>
        </w:rPr>
        <w:t> </w:t>
      </w:r>
      <w:r>
        <w:rPr>
          <w:spacing w:val="-117"/>
        </w:rPr>
      </w:r>
      <w:r>
        <w:rPr>
          <w:spacing w:val="-8"/>
        </w:rPr>
        <w:t>料有限公司财务总监，2011年6月起任公司财务负责人。其任期自</w:t>
      </w:r>
      <w:r>
        <w:rPr/>
        <w:t>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10</w:t>
      </w:r>
      <w:r>
        <w:rPr>
          <w:rFonts w:ascii="Times New Roman" w:hAnsi="Times New Roman" w:cs="Times New Roman" w:eastAsia="Times New Roman" w:hint="default"/>
          <w:spacing w:val="27"/>
        </w:rPr>
        <w:t> </w:t>
      </w:r>
      <w:r>
        <w:rPr/>
        <w:t>日 起三年。</w:t>
      </w:r>
    </w:p>
    <w:p>
      <w:pPr>
        <w:spacing w:line="304" w:lineRule="auto" w:before="24"/>
        <w:ind w:left="258" w:right="126" w:firstLine="482"/>
        <w:jc w:val="both"/>
        <w:rPr>
          <w:rFonts w:ascii="宋体" w:hAnsi="宋体" w:cs="宋体" w:eastAsia="宋体" w:hint="default"/>
          <w:sz w:val="24"/>
          <w:szCs w:val="24"/>
        </w:rPr>
      </w:pPr>
      <w:r>
        <w:rPr>
          <w:rFonts w:ascii="宋体" w:hAnsi="宋体" w:cs="宋体" w:eastAsia="宋体" w:hint="default"/>
          <w:b/>
          <w:bCs/>
          <w:sz w:val="24"/>
          <w:szCs w:val="24"/>
        </w:rPr>
        <w:t>（三）报告期内被选举或离任的董事和监事、聘任或解聘的高级管理人员姓名，</w:t>
      </w:r>
      <w:r>
        <w:rPr>
          <w:rFonts w:ascii="宋体" w:hAnsi="宋体" w:cs="宋体" w:eastAsia="宋体" w:hint="default"/>
          <w:b/>
          <w:bCs/>
          <w:spacing w:val="1"/>
          <w:w w:val="99"/>
          <w:sz w:val="24"/>
          <w:szCs w:val="24"/>
        </w:rPr>
        <w:t> </w:t>
      </w:r>
      <w:r>
        <w:rPr>
          <w:rFonts w:ascii="宋体" w:hAnsi="宋体" w:cs="宋体" w:eastAsia="宋体" w:hint="default"/>
          <w:b/>
          <w:bCs/>
          <w:sz w:val="24"/>
          <w:szCs w:val="24"/>
        </w:rPr>
        <w:t>及董事、监事离任和高级管理人员解聘原因。</w:t>
      </w:r>
      <w:r>
        <w:rPr>
          <w:rFonts w:ascii="宋体" w:hAnsi="宋体" w:cs="宋体" w:eastAsia="宋体" w:hint="default"/>
          <w:sz w:val="24"/>
          <w:szCs w:val="24"/>
        </w:rPr>
      </w:r>
    </w:p>
    <w:p>
      <w:pPr>
        <w:spacing w:line="240" w:lineRule="auto" w:before="2"/>
        <w:rPr>
          <w:rFonts w:ascii="宋体" w:hAnsi="宋体" w:cs="宋体" w:eastAsia="宋体" w:hint="default"/>
          <w:b/>
          <w:bCs/>
          <w:sz w:val="29"/>
          <w:szCs w:val="29"/>
        </w:rPr>
      </w:pPr>
    </w:p>
    <w:p>
      <w:pPr>
        <w:pStyle w:val="BodyText"/>
        <w:spacing w:line="348" w:lineRule="auto"/>
        <w:ind w:right="143" w:firstLine="480"/>
        <w:jc w:val="both"/>
      </w:pPr>
      <w:r>
        <w:rPr>
          <w:rFonts w:ascii="Times New Roman" w:hAnsi="Times New Roman" w:cs="Times New Roman" w:eastAsia="Times New Roman" w:hint="default"/>
          <w:spacing w:val="-6"/>
        </w:rPr>
        <w:t>1</w:t>
      </w:r>
      <w:r>
        <w:rPr>
          <w:spacing w:val="-6"/>
        </w:rPr>
        <w:t>、</w:t>
      </w:r>
      <w:r>
        <w:rPr>
          <w:rFonts w:ascii="Times New Roman" w:hAnsi="Times New Roman" w:cs="Times New Roman" w:eastAsia="Times New Roman" w:hint="default"/>
          <w:spacing w:val="-6"/>
        </w:rPr>
        <w:t>2011 </w:t>
      </w:r>
      <w:r>
        <w:rPr/>
        <w:t>年 </w:t>
      </w:r>
      <w:r>
        <w:rPr>
          <w:rFonts w:ascii="Times New Roman" w:hAnsi="Times New Roman" w:cs="Times New Roman" w:eastAsia="Times New Roman" w:hint="default"/>
        </w:rPr>
        <w:t>5 </w:t>
      </w:r>
      <w:r>
        <w:rPr/>
        <w:t>月 </w:t>
      </w:r>
      <w:r>
        <w:rPr>
          <w:rFonts w:ascii="Times New Roman" w:hAnsi="Times New Roman" w:cs="Times New Roman" w:eastAsia="Times New Roman" w:hint="default"/>
        </w:rPr>
        <w:t>24</w:t>
      </w:r>
      <w:r>
        <w:rPr>
          <w:rFonts w:ascii="Times New Roman" w:hAnsi="Times New Roman" w:cs="Times New Roman" w:eastAsia="Times New Roman" w:hint="default"/>
          <w:spacing w:val="27"/>
        </w:rPr>
        <w:t> </w:t>
      </w:r>
      <w:r>
        <w:rPr>
          <w:spacing w:val="-4"/>
        </w:rPr>
        <w:t>日，经公司董事会提名委员会和总经理何平女士提名，并经</w:t>
      </w:r>
      <w:r>
        <w:rPr>
          <w:spacing w:val="-1"/>
        </w:rPr>
        <w:t> </w:t>
      </w:r>
      <w:r>
        <w:rPr/>
        <w:t>第三届董事会第二十六次会议审议通过，同意聘任桑玉贵先生为公司副总经理，刘心</w:t>
      </w:r>
      <w:r>
        <w:rPr/>
        <w:t> 先生先生为公司财务负责人，任期为</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25</w:t>
      </w:r>
      <w:r>
        <w:rPr/>
        <w:t>日至</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w:t>
      </w:r>
    </w:p>
    <w:p>
      <w:pPr>
        <w:spacing w:after="0" w:line="348" w:lineRule="auto"/>
        <w:jc w:val="both"/>
        <w:sectPr>
          <w:pgSz w:w="11910" w:h="16840"/>
          <w:pgMar w:header="470" w:footer="1266" w:top="900" w:bottom="1460" w:left="1160" w:right="1440"/>
        </w:sectPr>
      </w:pPr>
    </w:p>
    <w:p>
      <w:pPr>
        <w:spacing w:line="240" w:lineRule="auto" w:before="0"/>
        <w:rPr>
          <w:rFonts w:ascii="宋体" w:hAnsi="宋体" w:cs="宋体" w:eastAsia="宋体" w:hint="default"/>
          <w:sz w:val="20"/>
          <w:szCs w:val="20"/>
        </w:rPr>
      </w:pPr>
    </w:p>
    <w:p>
      <w:pPr>
        <w:pStyle w:val="BodyText"/>
        <w:spacing w:line="352" w:lineRule="auto" w:before="203"/>
        <w:ind w:right="143" w:firstLine="480"/>
        <w:jc w:val="both"/>
      </w:pPr>
      <w:r>
        <w:rPr>
          <w:rFonts w:ascii="Times New Roman" w:hAnsi="Times New Roman" w:cs="Times New Roman" w:eastAsia="Times New Roman" w:hint="default"/>
          <w:spacing w:val="-5"/>
        </w:rPr>
        <w:t>2</w:t>
      </w:r>
      <w:r>
        <w:rPr>
          <w:spacing w:val="-5"/>
        </w:rPr>
        <w:t>、</w:t>
      </w:r>
      <w:r>
        <w:rPr>
          <w:rFonts w:ascii="Times New Roman" w:hAnsi="Times New Roman" w:cs="Times New Roman" w:eastAsia="Times New Roman" w:hint="default"/>
          <w:spacing w:val="-5"/>
        </w:rPr>
        <w:t>2011 </w:t>
      </w:r>
      <w:r>
        <w:rPr/>
        <w:t>年 </w:t>
      </w:r>
      <w:r>
        <w:rPr>
          <w:rFonts w:ascii="Times New Roman" w:hAnsi="Times New Roman" w:cs="Times New Roman" w:eastAsia="Times New Roman" w:hint="default"/>
        </w:rPr>
        <w:t>5 </w:t>
      </w:r>
      <w:r>
        <w:rPr/>
        <w:t>月 </w:t>
      </w:r>
      <w:r>
        <w:rPr>
          <w:rFonts w:ascii="Times New Roman" w:hAnsi="Times New Roman" w:cs="Times New Roman" w:eastAsia="Times New Roman" w:hint="default"/>
        </w:rPr>
        <w:t>24</w:t>
      </w:r>
      <w:r>
        <w:rPr>
          <w:rFonts w:ascii="Times New Roman" w:hAnsi="Times New Roman" w:cs="Times New Roman" w:eastAsia="Times New Roman" w:hint="default"/>
          <w:spacing w:val="13"/>
        </w:rPr>
        <w:t> </w:t>
      </w:r>
      <w:r>
        <w:rPr>
          <w:spacing w:val="-3"/>
        </w:rPr>
        <w:t>日，公司董事会收到公司董事、副总经理、财务负责人匡晓</w:t>
      </w:r>
      <w:r>
        <w:rPr/>
        <w:t> 明先生和副总经理何峰先生的辞职报告。匡晓明先生因受聘担任公司控股子公司长春 高琦聚酰亚胺材料有限公司（以下简称“长春高琦”）总经理，受聘担任长春高琦子 公司江西先材纳米纤维科技有限公司董事长，受聘担任公司控股子公司北京高航先进 轻质材料有限公司（以下简称“北京高航”）董事长的职务，辞去公司副总经理和财 务负责人职务。匡晓明先生辞职后，仍担任公司董事。何峰先生因受聘担任北京高航 总经理，辞去公司副总经理职务。何峰先生辞职后，不在公司担任职务。该两名高管 的辞职请求自辞职报告送达公司董事会之日起生效。</w:t>
      </w:r>
    </w:p>
    <w:p>
      <w:pPr>
        <w:spacing w:before="158"/>
        <w:ind w:left="729" w:right="0" w:firstLine="0"/>
        <w:jc w:val="left"/>
        <w:rPr>
          <w:rFonts w:ascii="宋体" w:hAnsi="宋体" w:cs="宋体" w:eastAsia="宋体" w:hint="default"/>
          <w:sz w:val="24"/>
          <w:szCs w:val="24"/>
        </w:rPr>
      </w:pPr>
      <w:r>
        <w:rPr>
          <w:rFonts w:ascii="宋体" w:hAnsi="宋体" w:cs="宋体" w:eastAsia="宋体" w:hint="default"/>
          <w:b/>
          <w:bCs/>
          <w:sz w:val="24"/>
          <w:szCs w:val="24"/>
        </w:rPr>
        <w:t>二、公司员工情况</w:t>
      </w:r>
      <w:r>
        <w:rPr>
          <w:rFonts w:ascii="宋体" w:hAnsi="宋体" w:cs="宋体" w:eastAsia="宋体" w:hint="default"/>
          <w:sz w:val="24"/>
          <w:szCs w:val="24"/>
        </w:rPr>
      </w:r>
    </w:p>
    <w:p>
      <w:pPr>
        <w:pStyle w:val="BodyText"/>
        <w:spacing w:line="240" w:lineRule="auto" w:before="86"/>
        <w:ind w:left="738" w:right="0"/>
        <w:jc w:val="left"/>
      </w:pPr>
      <w:r>
        <w:rPr/>
        <w:t>截止 </w:t>
      </w: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 </w:t>
      </w:r>
      <w:r>
        <w:rPr>
          <w:rFonts w:ascii="Times New Roman" w:hAnsi="Times New Roman" w:cs="Times New Roman" w:eastAsia="Times New Roman" w:hint="default"/>
          <w:spacing w:val="9"/>
        </w:rPr>
        <w:t> </w:t>
      </w:r>
      <w:r>
        <w:rPr/>
        <w:t>日，公司没有需要承担费用的离退休职工。公司共有在</w:t>
      </w:r>
    </w:p>
    <w:p>
      <w:pPr>
        <w:pStyle w:val="BodyText"/>
        <w:spacing w:line="240" w:lineRule="auto" w:before="67"/>
        <w:ind w:right="0"/>
        <w:jc w:val="left"/>
      </w:pPr>
      <w:r>
        <w:rPr/>
        <w:t>职员工 </w:t>
      </w:r>
      <w:r>
        <w:rPr>
          <w:rFonts w:ascii="Times New Roman" w:hAnsi="Times New Roman" w:cs="Times New Roman" w:eastAsia="Times New Roman" w:hint="default"/>
        </w:rPr>
        <w:t>501  </w:t>
      </w:r>
      <w:r>
        <w:rPr/>
        <w:t>人，人员结构如下：</w:t>
      </w:r>
    </w:p>
    <w:p>
      <w:pPr>
        <w:spacing w:line="240" w:lineRule="auto" w:before="10"/>
        <w:rPr>
          <w:rFonts w:ascii="宋体" w:hAnsi="宋体" w:cs="宋体" w:eastAsia="宋体" w:hint="default"/>
          <w:sz w:val="35"/>
          <w:szCs w:val="35"/>
        </w:rPr>
      </w:pPr>
    </w:p>
    <w:p>
      <w:pPr>
        <w:spacing w:before="0"/>
        <w:ind w:left="729" w:right="0" w:firstLine="0"/>
        <w:jc w:val="left"/>
        <w:rPr>
          <w:rFonts w:ascii="宋体" w:hAnsi="宋体" w:cs="宋体" w:eastAsia="宋体" w:hint="default"/>
          <w:sz w:val="24"/>
          <w:szCs w:val="24"/>
        </w:rPr>
      </w:pPr>
      <w:r>
        <w:rPr>
          <w:rFonts w:ascii="宋体" w:hAnsi="宋体" w:cs="宋体" w:eastAsia="宋体" w:hint="default"/>
          <w:b/>
          <w:bCs/>
          <w:sz w:val="24"/>
          <w:szCs w:val="24"/>
        </w:rPr>
        <w:t>（一）专业构成</w:t>
      </w:r>
      <w:r>
        <w:rPr>
          <w:rFonts w:ascii="宋体" w:hAnsi="宋体" w:cs="宋体" w:eastAsia="宋体" w:hint="default"/>
          <w:sz w:val="24"/>
          <w:szCs w:val="24"/>
        </w:rPr>
      </w:r>
    </w:p>
    <w:p>
      <w:pPr>
        <w:spacing w:line="240" w:lineRule="auto" w:before="6"/>
        <w:rPr>
          <w:rFonts w:ascii="宋体" w:hAnsi="宋体" w:cs="宋体" w:eastAsia="宋体" w:hint="default"/>
          <w:b/>
          <w:bCs/>
          <w:sz w:val="3"/>
          <w:szCs w:val="3"/>
        </w:rPr>
      </w:pPr>
    </w:p>
    <w:tbl>
      <w:tblPr>
        <w:tblW w:w="0" w:type="auto"/>
        <w:jc w:val="left"/>
        <w:tblInd w:w="679" w:type="dxa"/>
        <w:tblLayout w:type="fixed"/>
        <w:tblCellMar>
          <w:top w:w="0" w:type="dxa"/>
          <w:left w:w="0" w:type="dxa"/>
          <w:bottom w:w="0" w:type="dxa"/>
          <w:right w:w="0" w:type="dxa"/>
        </w:tblCellMar>
        <w:tblLook w:val="01E0"/>
      </w:tblPr>
      <w:tblGrid>
        <w:gridCol w:w="2570"/>
        <w:gridCol w:w="2414"/>
        <w:gridCol w:w="2885"/>
      </w:tblGrid>
      <w:tr>
        <w:trPr>
          <w:trHeight w:val="322" w:hRule="exact"/>
        </w:trPr>
        <w:tc>
          <w:tcPr>
            <w:tcW w:w="2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类别</w:t>
            </w:r>
          </w:p>
        </w:tc>
        <w:tc>
          <w:tcPr>
            <w:tcW w:w="24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人数</w:t>
            </w:r>
          </w:p>
        </w:tc>
        <w:tc>
          <w:tcPr>
            <w:tcW w:w="28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3" w:lineRule="exact"/>
              <w:ind w:right="1"/>
              <w:jc w:val="center"/>
              <w:rPr>
                <w:rFonts w:ascii="宋体" w:hAnsi="宋体" w:cs="宋体" w:eastAsia="宋体" w:hint="default"/>
                <w:sz w:val="24"/>
                <w:szCs w:val="24"/>
              </w:rPr>
            </w:pPr>
            <w:r>
              <w:rPr>
                <w:rFonts w:ascii="宋体" w:hAnsi="宋体" w:cs="宋体" w:eastAsia="宋体" w:hint="default"/>
                <w:sz w:val="24"/>
                <w:szCs w:val="24"/>
              </w:rPr>
              <w:t>占员工总数比例（</w:t>
            </w:r>
            <w:r>
              <w:rPr>
                <w:rFonts w:ascii="Times New Roman" w:hAnsi="Times New Roman" w:cs="Times New Roman" w:eastAsia="Times New Roman" w:hint="default"/>
                <w:sz w:val="24"/>
                <w:szCs w:val="24"/>
              </w:rPr>
              <w:t>%</w:t>
            </w:r>
            <w:r>
              <w:rPr>
                <w:rFonts w:ascii="宋体" w:hAnsi="宋体" w:cs="宋体" w:eastAsia="宋体" w:hint="default"/>
                <w:sz w:val="24"/>
                <w:szCs w:val="24"/>
              </w:rPr>
              <w:t>）</w:t>
            </w:r>
          </w:p>
        </w:tc>
      </w:tr>
      <w:tr>
        <w:trPr>
          <w:trHeight w:val="442" w:hRule="exact"/>
        </w:trPr>
        <w:tc>
          <w:tcPr>
            <w:tcW w:w="2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4"/>
                <w:szCs w:val="24"/>
              </w:rPr>
            </w:pPr>
            <w:r>
              <w:rPr>
                <w:rFonts w:ascii="宋体" w:hAnsi="宋体" w:cs="宋体" w:eastAsia="宋体" w:hint="default"/>
                <w:sz w:val="24"/>
                <w:szCs w:val="24"/>
              </w:rPr>
              <w:t>生产人员</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sz w:val="24"/>
              </w:rPr>
              <w:t>272</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sz w:val="24"/>
              </w:rPr>
              <w:t>54%</w:t>
            </w:r>
          </w:p>
        </w:tc>
      </w:tr>
      <w:tr>
        <w:trPr>
          <w:trHeight w:val="440" w:hRule="exact"/>
        </w:trPr>
        <w:tc>
          <w:tcPr>
            <w:tcW w:w="2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4"/>
                <w:szCs w:val="24"/>
              </w:rPr>
            </w:pPr>
            <w:r>
              <w:rPr>
                <w:rFonts w:ascii="宋体" w:hAnsi="宋体" w:cs="宋体" w:eastAsia="宋体" w:hint="default"/>
                <w:sz w:val="24"/>
                <w:szCs w:val="24"/>
              </w:rPr>
              <w:t>销售人员</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sz w:val="24"/>
              </w:rPr>
              <w:t>78</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sz w:val="24"/>
              </w:rPr>
              <w:t>16%</w:t>
            </w:r>
          </w:p>
        </w:tc>
      </w:tr>
      <w:tr>
        <w:trPr>
          <w:trHeight w:val="442" w:hRule="exact"/>
        </w:trPr>
        <w:tc>
          <w:tcPr>
            <w:tcW w:w="2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2"/>
              <w:ind w:left="103" w:right="0"/>
              <w:jc w:val="left"/>
              <w:rPr>
                <w:rFonts w:ascii="宋体" w:hAnsi="宋体" w:cs="宋体" w:eastAsia="宋体" w:hint="default"/>
                <w:sz w:val="24"/>
                <w:szCs w:val="24"/>
              </w:rPr>
            </w:pPr>
            <w:r>
              <w:rPr>
                <w:rFonts w:ascii="宋体" w:hAnsi="宋体" w:cs="宋体" w:eastAsia="宋体" w:hint="default"/>
                <w:sz w:val="24"/>
                <w:szCs w:val="24"/>
              </w:rPr>
              <w:t>工程技术人员</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sz w:val="24"/>
              </w:rPr>
              <w:t>17</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sz w:val="24"/>
              </w:rPr>
              <w:t>3%</w:t>
            </w:r>
          </w:p>
        </w:tc>
      </w:tr>
      <w:tr>
        <w:trPr>
          <w:trHeight w:val="442" w:hRule="exact"/>
        </w:trPr>
        <w:tc>
          <w:tcPr>
            <w:tcW w:w="2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4"/>
                <w:szCs w:val="24"/>
              </w:rPr>
            </w:pPr>
            <w:r>
              <w:rPr>
                <w:rFonts w:ascii="宋体" w:hAnsi="宋体" w:cs="宋体" w:eastAsia="宋体" w:hint="default"/>
                <w:sz w:val="24"/>
                <w:szCs w:val="24"/>
              </w:rPr>
              <w:t>管理人员</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sz w:val="24"/>
              </w:rPr>
              <w:t>134</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sz w:val="24"/>
              </w:rPr>
              <w:t>27%</w:t>
            </w:r>
          </w:p>
        </w:tc>
      </w:tr>
      <w:tr>
        <w:trPr>
          <w:trHeight w:val="442" w:hRule="exact"/>
        </w:trPr>
        <w:tc>
          <w:tcPr>
            <w:tcW w:w="2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583" w:val="left" w:leader="none"/>
              </w:tabs>
              <w:spacing w:line="240" w:lineRule="auto" w:before="21"/>
              <w:ind w:left="103"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sz w:val="24"/>
              </w:rPr>
              <w:t>501</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sz w:val="24"/>
              </w:rPr>
              <w:t>100%</w:t>
            </w:r>
          </w:p>
        </w:tc>
      </w:tr>
    </w:tbl>
    <w:p>
      <w:pPr>
        <w:spacing w:line="240" w:lineRule="auto" w:before="0"/>
        <w:rPr>
          <w:rFonts w:ascii="宋体" w:hAnsi="宋体" w:cs="宋体" w:eastAsia="宋体" w:hint="default"/>
          <w:b/>
          <w:bCs/>
          <w:sz w:val="20"/>
          <w:szCs w:val="20"/>
        </w:rPr>
      </w:pPr>
    </w:p>
    <w:p>
      <w:pPr>
        <w:spacing w:before="178"/>
        <w:ind w:left="730" w:right="0" w:firstLine="0"/>
        <w:jc w:val="left"/>
        <w:rPr>
          <w:rFonts w:ascii="宋体" w:hAnsi="宋体" w:cs="宋体" w:eastAsia="宋体" w:hint="default"/>
          <w:sz w:val="24"/>
          <w:szCs w:val="24"/>
        </w:rPr>
      </w:pPr>
      <w:r>
        <w:rPr>
          <w:rFonts w:ascii="宋体" w:hAnsi="宋体" w:cs="宋体" w:eastAsia="宋体" w:hint="default"/>
          <w:b/>
          <w:bCs/>
          <w:sz w:val="24"/>
          <w:szCs w:val="24"/>
        </w:rPr>
        <w:t>（二）教育程度</w:t>
      </w:r>
      <w:r>
        <w:rPr>
          <w:rFonts w:ascii="宋体" w:hAnsi="宋体" w:cs="宋体" w:eastAsia="宋体" w:hint="default"/>
          <w:sz w:val="24"/>
          <w:szCs w:val="24"/>
        </w:rPr>
      </w:r>
    </w:p>
    <w:p>
      <w:pPr>
        <w:spacing w:line="240" w:lineRule="auto" w:before="7"/>
        <w:rPr>
          <w:rFonts w:ascii="宋体" w:hAnsi="宋体" w:cs="宋体" w:eastAsia="宋体" w:hint="default"/>
          <w:b/>
          <w:bCs/>
          <w:sz w:val="3"/>
          <w:szCs w:val="3"/>
        </w:rPr>
      </w:pPr>
    </w:p>
    <w:tbl>
      <w:tblPr>
        <w:tblW w:w="0" w:type="auto"/>
        <w:jc w:val="left"/>
        <w:tblInd w:w="679" w:type="dxa"/>
        <w:tblLayout w:type="fixed"/>
        <w:tblCellMar>
          <w:top w:w="0" w:type="dxa"/>
          <w:left w:w="0" w:type="dxa"/>
          <w:bottom w:w="0" w:type="dxa"/>
          <w:right w:w="0" w:type="dxa"/>
        </w:tblCellMar>
        <w:tblLook w:val="01E0"/>
      </w:tblPr>
      <w:tblGrid>
        <w:gridCol w:w="2543"/>
        <w:gridCol w:w="2441"/>
        <w:gridCol w:w="2886"/>
      </w:tblGrid>
      <w:tr>
        <w:trPr>
          <w:trHeight w:val="321" w:hRule="exact"/>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6" w:lineRule="exact"/>
              <w:ind w:right="1"/>
              <w:jc w:val="center"/>
              <w:rPr>
                <w:rFonts w:ascii="宋体" w:hAnsi="宋体" w:cs="宋体" w:eastAsia="宋体" w:hint="default"/>
                <w:sz w:val="24"/>
                <w:szCs w:val="24"/>
              </w:rPr>
            </w:pPr>
            <w:r>
              <w:rPr>
                <w:rFonts w:ascii="宋体" w:hAnsi="宋体" w:cs="宋体" w:eastAsia="宋体" w:hint="default"/>
                <w:sz w:val="24"/>
                <w:szCs w:val="24"/>
              </w:rPr>
              <w:t>学历</w:t>
            </w:r>
          </w:p>
        </w:tc>
        <w:tc>
          <w:tcPr>
            <w:tcW w:w="24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人数</w:t>
            </w:r>
          </w:p>
        </w:tc>
        <w:tc>
          <w:tcPr>
            <w:tcW w:w="28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4" w:lineRule="exact"/>
              <w:ind w:right="0"/>
              <w:jc w:val="center"/>
              <w:rPr>
                <w:rFonts w:ascii="宋体" w:hAnsi="宋体" w:cs="宋体" w:eastAsia="宋体" w:hint="default"/>
                <w:sz w:val="24"/>
                <w:szCs w:val="24"/>
              </w:rPr>
            </w:pPr>
            <w:r>
              <w:rPr>
                <w:rFonts w:ascii="宋体" w:hAnsi="宋体" w:cs="宋体" w:eastAsia="宋体" w:hint="default"/>
                <w:sz w:val="24"/>
                <w:szCs w:val="24"/>
              </w:rPr>
              <w:t>占员工总数比例（</w:t>
            </w:r>
            <w:r>
              <w:rPr>
                <w:rFonts w:ascii="Times New Roman" w:hAnsi="Times New Roman" w:cs="Times New Roman" w:eastAsia="Times New Roman" w:hint="default"/>
                <w:sz w:val="24"/>
                <w:szCs w:val="24"/>
              </w:rPr>
              <w:t>%</w:t>
            </w:r>
            <w:r>
              <w:rPr>
                <w:rFonts w:ascii="宋体" w:hAnsi="宋体" w:cs="宋体" w:eastAsia="宋体" w:hint="default"/>
                <w:sz w:val="24"/>
                <w:szCs w:val="24"/>
              </w:rPr>
              <w:t>）</w:t>
            </w:r>
          </w:p>
        </w:tc>
      </w:tr>
      <w:tr>
        <w:trPr>
          <w:trHeight w:val="442" w:hRule="exact"/>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博士</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sz w:val="24"/>
              </w:rPr>
              <w:t>1</w:t>
            </w:r>
          </w:p>
        </w:tc>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宋体" w:hAnsi="宋体" w:cs="宋体" w:eastAsia="宋体" w:hint="default"/>
                <w:sz w:val="24"/>
                <w:szCs w:val="24"/>
              </w:rPr>
            </w:pPr>
            <w:r>
              <w:rPr>
                <w:rFonts w:ascii="宋体"/>
                <w:sz w:val="24"/>
              </w:rPr>
              <w:t>-</w:t>
            </w:r>
          </w:p>
        </w:tc>
      </w:tr>
      <w:tr>
        <w:trPr>
          <w:trHeight w:val="442" w:hRule="exact"/>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硕士</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sz w:val="24"/>
              </w:rPr>
              <w:t>1</w:t>
            </w:r>
          </w:p>
        </w:tc>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宋体" w:hAnsi="宋体" w:cs="宋体" w:eastAsia="宋体" w:hint="default"/>
                <w:sz w:val="24"/>
                <w:szCs w:val="24"/>
              </w:rPr>
            </w:pPr>
            <w:r>
              <w:rPr>
                <w:rFonts w:ascii="宋体"/>
                <w:sz w:val="24"/>
              </w:rPr>
              <w:t>-</w:t>
            </w:r>
          </w:p>
        </w:tc>
      </w:tr>
      <w:tr>
        <w:trPr>
          <w:trHeight w:val="440" w:hRule="exact"/>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本科</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sz w:val="24"/>
              </w:rPr>
              <w:t>70</w:t>
            </w:r>
          </w:p>
        </w:tc>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宋体" w:hAnsi="宋体" w:cs="宋体" w:eastAsia="宋体" w:hint="default"/>
                <w:sz w:val="24"/>
                <w:szCs w:val="24"/>
              </w:rPr>
            </w:pPr>
            <w:r>
              <w:rPr>
                <w:rFonts w:ascii="宋体"/>
                <w:sz w:val="24"/>
              </w:rPr>
              <w:t>14%</w:t>
            </w:r>
          </w:p>
        </w:tc>
      </w:tr>
      <w:tr>
        <w:trPr>
          <w:trHeight w:val="442" w:hRule="exact"/>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大专</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sz w:val="24"/>
              </w:rPr>
              <w:t>100</w:t>
            </w:r>
          </w:p>
        </w:tc>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center"/>
              <w:rPr>
                <w:rFonts w:ascii="宋体" w:hAnsi="宋体" w:cs="宋体" w:eastAsia="宋体" w:hint="default"/>
                <w:sz w:val="24"/>
                <w:szCs w:val="24"/>
              </w:rPr>
            </w:pPr>
            <w:r>
              <w:rPr>
                <w:rFonts w:ascii="宋体"/>
                <w:sz w:val="24"/>
              </w:rPr>
              <w:t>20%</w:t>
            </w:r>
          </w:p>
        </w:tc>
      </w:tr>
      <w:tr>
        <w:trPr>
          <w:trHeight w:val="442" w:hRule="exact"/>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大专以下</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sz w:val="24"/>
              </w:rPr>
              <w:t>329</w:t>
            </w:r>
          </w:p>
        </w:tc>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宋体" w:hAnsi="宋体" w:cs="宋体" w:eastAsia="宋体" w:hint="default"/>
                <w:sz w:val="24"/>
                <w:szCs w:val="24"/>
              </w:rPr>
            </w:pPr>
            <w:r>
              <w:rPr>
                <w:rFonts w:ascii="宋体"/>
                <w:sz w:val="24"/>
              </w:rPr>
              <w:t>66%</w:t>
            </w:r>
          </w:p>
        </w:tc>
      </w:tr>
      <w:tr>
        <w:trPr>
          <w:trHeight w:val="442" w:hRule="exact"/>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583" w:val="left" w:leader="none"/>
              </w:tabs>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sz w:val="24"/>
              </w:rPr>
              <w:t>501</w:t>
            </w:r>
          </w:p>
        </w:tc>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宋体" w:hAnsi="宋体" w:cs="宋体" w:eastAsia="宋体" w:hint="default"/>
                <w:sz w:val="24"/>
                <w:szCs w:val="24"/>
              </w:rPr>
            </w:pPr>
            <w:r>
              <w:rPr>
                <w:rFonts w:ascii="宋体"/>
                <w:sz w:val="24"/>
              </w:rPr>
              <w:t>100%</w:t>
            </w:r>
          </w:p>
        </w:tc>
      </w:tr>
    </w:tbl>
    <w:p>
      <w:pPr>
        <w:spacing w:after="0" w:line="275" w:lineRule="exact"/>
        <w:jc w:val="center"/>
        <w:rPr>
          <w:rFonts w:ascii="宋体" w:hAnsi="宋体" w:cs="宋体" w:eastAsia="宋体" w:hint="default"/>
          <w:sz w:val="24"/>
          <w:szCs w:val="24"/>
        </w:rPr>
        <w:sectPr>
          <w:pgSz w:w="11910" w:h="16840"/>
          <w:pgMar w:header="470" w:footer="1266" w:top="900" w:bottom="1460" w:left="1160" w:right="1440"/>
        </w:sect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4"/>
          <w:szCs w:val="14"/>
        </w:rPr>
      </w:pPr>
    </w:p>
    <w:p>
      <w:pPr>
        <w:pStyle w:val="Heading1"/>
        <w:tabs>
          <w:tab w:pos="4387" w:val="left" w:leader="none"/>
        </w:tabs>
        <w:spacing w:line="240" w:lineRule="auto"/>
        <w:ind w:right="235"/>
        <w:jc w:val="left"/>
        <w:rPr>
          <w:b w:val="0"/>
          <w:bCs w:val="0"/>
        </w:rPr>
      </w:pPr>
      <w:bookmarkStart w:name="_TOC_250010" w:id="5"/>
      <w:r>
        <w:rPr>
          <w:w w:val="95"/>
        </w:rPr>
        <w:t>第五节</w:t>
        <w:tab/>
      </w:r>
      <w:r>
        <w:rPr/>
        <w:t>公司治理结构</w:t>
      </w:r>
      <w:bookmarkEnd w:id="5"/>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7"/>
          <w:szCs w:val="27"/>
        </w:rPr>
      </w:pPr>
    </w:p>
    <w:p>
      <w:pPr>
        <w:pStyle w:val="Heading2"/>
        <w:spacing w:line="240" w:lineRule="auto" w:before="26"/>
        <w:ind w:left="730" w:right="235"/>
        <w:jc w:val="left"/>
        <w:rPr>
          <w:b w:val="0"/>
          <w:bCs w:val="0"/>
        </w:rPr>
      </w:pPr>
      <w:bookmarkStart w:name="_TOC_250009" w:id="6"/>
      <w:r>
        <w:rPr/>
        <w:t>一、公司治理情况</w:t>
      </w:r>
      <w:bookmarkEnd w:id="6"/>
      <w:r>
        <w:rPr>
          <w:b w:val="0"/>
          <w:bCs w:val="0"/>
        </w:rPr>
      </w:r>
    </w:p>
    <w:p>
      <w:pPr>
        <w:spacing w:line="240" w:lineRule="auto" w:before="9"/>
        <w:rPr>
          <w:rFonts w:ascii="宋体" w:hAnsi="宋体" w:cs="宋体" w:eastAsia="宋体" w:hint="default"/>
          <w:b/>
          <w:bCs/>
          <w:sz w:val="16"/>
          <w:szCs w:val="16"/>
        </w:rPr>
      </w:pPr>
    </w:p>
    <w:p>
      <w:pPr>
        <w:spacing w:line="319" w:lineRule="auto" w:before="0"/>
        <w:ind w:left="258" w:right="221" w:firstLine="451"/>
        <w:jc w:val="both"/>
        <w:rPr>
          <w:rFonts w:ascii="宋体" w:hAnsi="宋体" w:cs="宋体" w:eastAsia="宋体" w:hint="default"/>
          <w:sz w:val="23"/>
          <w:szCs w:val="23"/>
        </w:rPr>
      </w:pPr>
      <w:r>
        <w:rPr>
          <w:rFonts w:ascii="宋体" w:hAnsi="宋体" w:cs="宋体" w:eastAsia="宋体" w:hint="default"/>
          <w:spacing w:val="-3"/>
          <w:sz w:val="23"/>
          <w:szCs w:val="23"/>
        </w:rPr>
        <w:t>按照中国证券监督管理委员会、深圳证券交易所、深圳证监局的要求，报告期内公司</w:t>
      </w:r>
      <w:r>
        <w:rPr>
          <w:rFonts w:ascii="宋体" w:hAnsi="宋体" w:cs="宋体" w:eastAsia="宋体" w:hint="default"/>
          <w:w w:val="100"/>
          <w:sz w:val="23"/>
          <w:szCs w:val="23"/>
        </w:rPr>
        <w:t> </w:t>
      </w:r>
      <w:r>
        <w:rPr>
          <w:rFonts w:ascii="宋体" w:hAnsi="宋体" w:cs="宋体" w:eastAsia="宋体" w:hint="default"/>
          <w:spacing w:val="-3"/>
          <w:sz w:val="23"/>
          <w:szCs w:val="23"/>
        </w:rPr>
        <w:t>及时修改了公司《章程》，进行了内部控制规则落实情况自查并完成了相应的整改，组织</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公司董事、监事、高管及相关内幕信息知情人进行了内幕交易防控及相关制度培训。公司</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3"/>
          <w:sz w:val="23"/>
          <w:szCs w:val="23"/>
        </w:rPr>
        <w:t>严格按照《公司法》、《证券法》、《上市公司治理准则》、《深圳证券交易所股票上市</w:t>
      </w:r>
      <w:r>
        <w:rPr>
          <w:rFonts w:ascii="宋体" w:hAnsi="宋体" w:cs="宋体" w:eastAsia="宋体" w:hint="default"/>
          <w:spacing w:val="-76"/>
          <w:sz w:val="23"/>
          <w:szCs w:val="23"/>
        </w:rPr>
        <w:t> </w:t>
      </w:r>
      <w:r>
        <w:rPr>
          <w:rFonts w:ascii="宋体" w:hAnsi="宋体" w:cs="宋体" w:eastAsia="宋体" w:hint="default"/>
          <w:spacing w:val="-76"/>
          <w:sz w:val="23"/>
          <w:szCs w:val="23"/>
        </w:rPr>
      </w:r>
      <w:r>
        <w:rPr>
          <w:rFonts w:ascii="宋体" w:hAnsi="宋体" w:cs="宋体" w:eastAsia="宋体" w:hint="default"/>
          <w:spacing w:val="-3"/>
          <w:sz w:val="23"/>
          <w:szCs w:val="23"/>
        </w:rPr>
        <w:t>规则》和其他有关法律、法规及规定的要求，不断完善法人治理结构，建立现代企业制度</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z w:val="23"/>
          <w:szCs w:val="23"/>
        </w:rPr>
        <w:t>和规范公司运作，公司法人治理结构已符合《上市公司治理准则》的要求。</w:t>
      </w:r>
    </w:p>
    <w:p>
      <w:pPr>
        <w:spacing w:line="319" w:lineRule="auto" w:before="24"/>
        <w:ind w:left="258" w:right="94" w:firstLine="451"/>
        <w:jc w:val="left"/>
        <w:rPr>
          <w:rFonts w:ascii="宋体" w:hAnsi="宋体" w:cs="宋体" w:eastAsia="宋体" w:hint="default"/>
          <w:sz w:val="23"/>
          <w:szCs w:val="23"/>
        </w:rPr>
      </w:pPr>
      <w:r>
        <w:rPr>
          <w:rFonts w:ascii="宋体" w:hAnsi="宋体" w:cs="宋体" w:eastAsia="宋体" w:hint="default"/>
          <w:sz w:val="23"/>
          <w:szCs w:val="23"/>
        </w:rPr>
        <w:t>1、股东大会：本公司自上市以来召开的股东大会均由董事会召集召开，并按照《公</w:t>
      </w:r>
      <w:r>
        <w:rPr>
          <w:rFonts w:ascii="宋体" w:hAnsi="宋体" w:cs="宋体" w:eastAsia="宋体" w:hint="default"/>
          <w:w w:val="100"/>
          <w:sz w:val="23"/>
          <w:szCs w:val="23"/>
        </w:rPr>
        <w:t> </w:t>
      </w:r>
      <w:r>
        <w:rPr>
          <w:rFonts w:ascii="宋体" w:hAnsi="宋体" w:cs="宋体" w:eastAsia="宋体" w:hint="default"/>
          <w:spacing w:val="-6"/>
          <w:w w:val="100"/>
          <w:sz w:val="23"/>
          <w:szCs w:val="23"/>
        </w:rPr>
        <w:t>司章程》规定由董事长或董事长委托副董事长主持，股东大会均请见证律师进行现场见证。</w:t>
      </w:r>
      <w:r>
        <w:rPr>
          <w:rFonts w:ascii="宋体" w:hAnsi="宋体" w:cs="宋体" w:eastAsia="宋体" w:hint="default"/>
          <w:spacing w:val="-86"/>
          <w:w w:val="100"/>
          <w:sz w:val="23"/>
          <w:szCs w:val="23"/>
        </w:rPr>
        <w:t> </w:t>
      </w:r>
      <w:r>
        <w:rPr>
          <w:rFonts w:ascii="宋体" w:hAnsi="宋体" w:cs="宋体" w:eastAsia="宋体" w:hint="default"/>
          <w:spacing w:val="-86"/>
          <w:w w:val="100"/>
          <w:sz w:val="23"/>
          <w:szCs w:val="23"/>
        </w:rPr>
      </w:r>
      <w:r>
        <w:rPr>
          <w:rFonts w:ascii="宋体" w:hAnsi="宋体" w:cs="宋体" w:eastAsia="宋体" w:hint="default"/>
          <w:spacing w:val="-3"/>
          <w:sz w:val="23"/>
          <w:szCs w:val="23"/>
        </w:rPr>
        <w:t>股东大会的召集、召开程序符合《公司法》、《上市公司股东大会规则》和深交所中小企</w:t>
      </w:r>
      <w:r>
        <w:rPr>
          <w:rFonts w:ascii="宋体" w:hAnsi="宋体" w:cs="宋体" w:eastAsia="宋体" w:hint="default"/>
          <w:spacing w:val="-73"/>
          <w:sz w:val="23"/>
          <w:szCs w:val="23"/>
        </w:rPr>
        <w:t> </w:t>
      </w:r>
      <w:r>
        <w:rPr>
          <w:rFonts w:ascii="宋体" w:hAnsi="宋体" w:cs="宋体" w:eastAsia="宋体" w:hint="default"/>
          <w:spacing w:val="-73"/>
          <w:sz w:val="23"/>
          <w:szCs w:val="23"/>
        </w:rPr>
      </w:r>
      <w:r>
        <w:rPr>
          <w:rFonts w:ascii="宋体" w:hAnsi="宋体" w:cs="宋体" w:eastAsia="宋体" w:hint="default"/>
          <w:spacing w:val="-3"/>
          <w:sz w:val="23"/>
          <w:szCs w:val="23"/>
        </w:rPr>
        <w:t>业板相关要求以及《公司章程》规定。自本公司成立以来未发生单独或合并持有本公司有</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z w:val="23"/>
          <w:szCs w:val="23"/>
        </w:rPr>
        <w:t>表决权股份总数10%以上的股东请求召开临时股东大会的情形，也无应监事会提议召开的</w:t>
      </w:r>
      <w:r>
        <w:rPr>
          <w:rFonts w:ascii="宋体" w:hAnsi="宋体" w:cs="宋体" w:eastAsia="宋体" w:hint="default"/>
          <w:w w:val="100"/>
          <w:sz w:val="23"/>
          <w:szCs w:val="23"/>
        </w:rPr>
        <w:t> </w:t>
      </w:r>
      <w:r>
        <w:rPr>
          <w:rFonts w:ascii="宋体" w:hAnsi="宋体" w:cs="宋体" w:eastAsia="宋体" w:hint="default"/>
          <w:spacing w:val="-3"/>
          <w:sz w:val="23"/>
          <w:szCs w:val="23"/>
        </w:rPr>
        <w:t>股东大会。按照《公司法》、《公司章程》的规定应由股东大会审议的重大事项，本公司</w:t>
      </w:r>
      <w:r>
        <w:rPr>
          <w:rFonts w:ascii="宋体" w:hAnsi="宋体" w:cs="宋体" w:eastAsia="宋体" w:hint="default"/>
          <w:spacing w:val="-79"/>
          <w:sz w:val="23"/>
          <w:szCs w:val="23"/>
        </w:rPr>
        <w:t> </w:t>
      </w:r>
      <w:r>
        <w:rPr>
          <w:rFonts w:ascii="宋体" w:hAnsi="宋体" w:cs="宋体" w:eastAsia="宋体" w:hint="default"/>
          <w:spacing w:val="-79"/>
          <w:sz w:val="23"/>
          <w:szCs w:val="23"/>
        </w:rPr>
      </w:r>
      <w:r>
        <w:rPr>
          <w:rFonts w:ascii="宋体" w:hAnsi="宋体" w:cs="宋体" w:eastAsia="宋体" w:hint="default"/>
          <w:spacing w:val="-3"/>
          <w:sz w:val="23"/>
          <w:szCs w:val="23"/>
        </w:rPr>
        <w:t>均通过股东大会审议，不存在绕过股东大会的情况，也不存在先实施后审议的情况。本公</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3"/>
          <w:sz w:val="23"/>
          <w:szCs w:val="23"/>
        </w:rPr>
        <w:t>司召开的股东大会亦不存在违反《上市公司股东大会规则》的其他情形，能够平等对待所</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有股东，保障中小股东享有平等地位，上市后多次股东大会采用现场会议与网络投票相结</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z w:val="23"/>
          <w:szCs w:val="23"/>
        </w:rPr>
        <w:t>合的方式，确保所有股东特别是中小股东能够充分行使自己的权利。</w:t>
      </w:r>
    </w:p>
    <w:p>
      <w:pPr>
        <w:spacing w:line="319" w:lineRule="auto" w:before="22"/>
        <w:ind w:left="258" w:right="153" w:firstLine="451"/>
        <w:jc w:val="both"/>
        <w:rPr>
          <w:rFonts w:ascii="宋体" w:hAnsi="宋体" w:cs="宋体" w:eastAsia="宋体" w:hint="default"/>
          <w:sz w:val="23"/>
          <w:szCs w:val="23"/>
        </w:rPr>
      </w:pPr>
      <w:r>
        <w:rPr>
          <w:rFonts w:ascii="宋体" w:hAnsi="宋体" w:cs="宋体" w:eastAsia="宋体" w:hint="default"/>
          <w:spacing w:val="-7"/>
          <w:sz w:val="23"/>
          <w:szCs w:val="23"/>
        </w:rPr>
        <w:t>2、董事会：公司董事会由 </w:t>
      </w:r>
      <w:r>
        <w:rPr>
          <w:rFonts w:ascii="宋体" w:hAnsi="宋体" w:cs="宋体" w:eastAsia="宋体" w:hint="default"/>
          <w:sz w:val="23"/>
          <w:szCs w:val="23"/>
        </w:rPr>
        <w:t>7 </w:t>
      </w:r>
      <w:r>
        <w:rPr>
          <w:rFonts w:ascii="宋体" w:hAnsi="宋体" w:cs="宋体" w:eastAsia="宋体" w:hint="default"/>
          <w:spacing w:val="-4"/>
          <w:sz w:val="23"/>
          <w:szCs w:val="23"/>
        </w:rPr>
        <w:t>名董事组成，其中独立董事 </w:t>
      </w:r>
      <w:r>
        <w:rPr>
          <w:rFonts w:ascii="宋体" w:hAnsi="宋体" w:cs="宋体" w:eastAsia="宋体" w:hint="default"/>
          <w:sz w:val="23"/>
          <w:szCs w:val="23"/>
        </w:rPr>
        <w:t>3</w:t>
      </w:r>
      <w:r>
        <w:rPr>
          <w:rFonts w:ascii="宋体" w:hAnsi="宋体" w:cs="宋体" w:eastAsia="宋体" w:hint="default"/>
          <w:spacing w:val="31"/>
          <w:sz w:val="23"/>
          <w:szCs w:val="23"/>
        </w:rPr>
        <w:t> </w:t>
      </w:r>
      <w:r>
        <w:rPr>
          <w:rFonts w:ascii="宋体" w:hAnsi="宋体" w:cs="宋体" w:eastAsia="宋体" w:hint="default"/>
          <w:spacing w:val="-7"/>
          <w:sz w:val="23"/>
          <w:szCs w:val="23"/>
        </w:rPr>
        <w:t>名。公司能严格按照《公</w:t>
      </w:r>
      <w:r>
        <w:rPr>
          <w:rFonts w:ascii="宋体" w:hAnsi="宋体" w:cs="宋体" w:eastAsia="宋体" w:hint="default"/>
          <w:w w:val="100"/>
          <w:sz w:val="23"/>
          <w:szCs w:val="23"/>
        </w:rPr>
        <w:t> </w:t>
      </w:r>
      <w:r>
        <w:rPr>
          <w:rFonts w:ascii="宋体" w:hAnsi="宋体" w:cs="宋体" w:eastAsia="宋体" w:hint="default"/>
          <w:spacing w:val="-3"/>
          <w:sz w:val="23"/>
          <w:szCs w:val="23"/>
        </w:rPr>
        <w:t>司法》、《公司章程》的规定和程序选聘董事，并根据《关于在上市公司建立独立董事制</w:t>
      </w:r>
      <w:r>
        <w:rPr>
          <w:rFonts w:ascii="宋体" w:hAnsi="宋体" w:cs="宋体" w:eastAsia="宋体" w:hint="default"/>
          <w:spacing w:val="-75"/>
          <w:sz w:val="23"/>
          <w:szCs w:val="23"/>
        </w:rPr>
        <w:t> </w:t>
      </w:r>
      <w:r>
        <w:rPr>
          <w:rFonts w:ascii="宋体" w:hAnsi="宋体" w:cs="宋体" w:eastAsia="宋体" w:hint="default"/>
          <w:spacing w:val="-75"/>
          <w:sz w:val="23"/>
          <w:szCs w:val="23"/>
        </w:rPr>
      </w:r>
      <w:r>
        <w:rPr>
          <w:rFonts w:ascii="宋体" w:hAnsi="宋体" w:cs="宋体" w:eastAsia="宋体" w:hint="default"/>
          <w:spacing w:val="-3"/>
          <w:sz w:val="23"/>
          <w:szCs w:val="23"/>
        </w:rPr>
        <w:t>度的指导意见》引入独立董事，建立了《独立董事工作制度》，董事会的人数和人员构成</w:t>
      </w:r>
      <w:r>
        <w:rPr>
          <w:rFonts w:ascii="宋体" w:hAnsi="宋体" w:cs="宋体" w:eastAsia="宋体" w:hint="default"/>
          <w:spacing w:val="-80"/>
          <w:sz w:val="23"/>
          <w:szCs w:val="23"/>
        </w:rPr>
        <w:t> </w:t>
      </w:r>
      <w:r>
        <w:rPr>
          <w:rFonts w:ascii="宋体" w:hAnsi="宋体" w:cs="宋体" w:eastAsia="宋体" w:hint="default"/>
          <w:spacing w:val="-80"/>
          <w:sz w:val="23"/>
          <w:szCs w:val="23"/>
        </w:rPr>
      </w:r>
      <w:r>
        <w:rPr>
          <w:rFonts w:ascii="宋体" w:hAnsi="宋体" w:cs="宋体" w:eastAsia="宋体" w:hint="default"/>
          <w:spacing w:val="-3"/>
          <w:sz w:val="23"/>
          <w:szCs w:val="23"/>
        </w:rPr>
        <w:t>符合法律法规的要求。公司董事会会议的召集、召开程序符合《深圳证券交易所股票上市</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规则》、《公司章程》及《董事会议事规则》的相关规定。公司在董事会下设置审计、提</w:t>
      </w:r>
      <w:r>
        <w:rPr>
          <w:rFonts w:ascii="宋体" w:hAnsi="宋体" w:cs="宋体" w:eastAsia="宋体" w:hint="default"/>
          <w:spacing w:val="-79"/>
          <w:sz w:val="23"/>
          <w:szCs w:val="23"/>
        </w:rPr>
        <w:t> </w:t>
      </w:r>
      <w:r>
        <w:rPr>
          <w:rFonts w:ascii="宋体" w:hAnsi="宋体" w:cs="宋体" w:eastAsia="宋体" w:hint="default"/>
          <w:spacing w:val="-79"/>
          <w:sz w:val="23"/>
          <w:szCs w:val="23"/>
        </w:rPr>
      </w:r>
      <w:r>
        <w:rPr>
          <w:rFonts w:ascii="宋体" w:hAnsi="宋体" w:cs="宋体" w:eastAsia="宋体" w:hint="default"/>
          <w:spacing w:val="-9"/>
          <w:sz w:val="23"/>
          <w:szCs w:val="23"/>
        </w:rPr>
        <w:t>名、薪酬与考核、战略等四个专门委员会，董事会建设合理；公司全体董事能严格按照《公</w:t>
      </w:r>
      <w:r>
        <w:rPr>
          <w:rFonts w:ascii="宋体" w:hAnsi="宋体" w:cs="宋体" w:eastAsia="宋体" w:hint="default"/>
          <w:spacing w:val="-65"/>
          <w:sz w:val="23"/>
          <w:szCs w:val="23"/>
        </w:rPr>
        <w:t> </w:t>
      </w:r>
      <w:r>
        <w:rPr>
          <w:rFonts w:ascii="宋体" w:hAnsi="宋体" w:cs="宋体" w:eastAsia="宋体" w:hint="default"/>
          <w:spacing w:val="-65"/>
          <w:sz w:val="23"/>
          <w:szCs w:val="23"/>
        </w:rPr>
      </w:r>
      <w:r>
        <w:rPr>
          <w:rFonts w:ascii="宋体" w:hAnsi="宋体" w:cs="宋体" w:eastAsia="宋体" w:hint="default"/>
          <w:spacing w:val="-3"/>
          <w:sz w:val="23"/>
          <w:szCs w:val="23"/>
        </w:rPr>
        <w:t>司法》、《深圳证券交易所中小企业板块上市公司董事行为指引》及《公司章程》的规定</w:t>
      </w:r>
      <w:r>
        <w:rPr>
          <w:rFonts w:ascii="宋体" w:hAnsi="宋体" w:cs="宋体" w:eastAsia="宋体" w:hint="default"/>
          <w:spacing w:val="-75"/>
          <w:sz w:val="23"/>
          <w:szCs w:val="23"/>
        </w:rPr>
        <w:t> </w:t>
      </w:r>
      <w:r>
        <w:rPr>
          <w:rFonts w:ascii="宋体" w:hAnsi="宋体" w:cs="宋体" w:eastAsia="宋体" w:hint="default"/>
          <w:spacing w:val="-75"/>
          <w:sz w:val="23"/>
          <w:szCs w:val="23"/>
        </w:rPr>
      </w:r>
      <w:r>
        <w:rPr>
          <w:rFonts w:ascii="宋体" w:hAnsi="宋体" w:cs="宋体" w:eastAsia="宋体" w:hint="default"/>
          <w:spacing w:val="-3"/>
          <w:sz w:val="23"/>
          <w:szCs w:val="23"/>
        </w:rPr>
        <w:t>和要求，履行董事职责，遵守董事行为规范，积极参加中国证监会深圳监管局组织的上市</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公司董事、监事、高级管理人员培训学习，提高规范运作水平。现任董事能够忠实和勤勉</w:t>
      </w:r>
      <w:r>
        <w:rPr>
          <w:rFonts w:ascii="宋体" w:hAnsi="宋体" w:cs="宋体" w:eastAsia="宋体" w:hint="default"/>
          <w:spacing w:val="-76"/>
          <w:sz w:val="23"/>
          <w:szCs w:val="23"/>
        </w:rPr>
        <w:t> </w:t>
      </w:r>
      <w:r>
        <w:rPr>
          <w:rFonts w:ascii="宋体" w:hAnsi="宋体" w:cs="宋体" w:eastAsia="宋体" w:hint="default"/>
          <w:spacing w:val="-76"/>
          <w:sz w:val="23"/>
          <w:szCs w:val="23"/>
        </w:rPr>
      </w:r>
      <w:r>
        <w:rPr>
          <w:rFonts w:ascii="宋体" w:hAnsi="宋体" w:cs="宋体" w:eastAsia="宋体" w:hint="default"/>
          <w:sz w:val="23"/>
          <w:szCs w:val="23"/>
        </w:rPr>
        <w:t>地履行职务，具备任职资格，不存在违反《公司法》第147条、第148条、第149条规定的</w:t>
      </w:r>
      <w:r>
        <w:rPr>
          <w:rFonts w:ascii="宋体" w:hAnsi="宋体" w:cs="宋体" w:eastAsia="宋体" w:hint="default"/>
          <w:w w:val="100"/>
          <w:sz w:val="23"/>
          <w:szCs w:val="23"/>
        </w:rPr>
        <w:t> </w:t>
      </w:r>
      <w:r>
        <w:rPr>
          <w:rFonts w:ascii="宋体" w:hAnsi="宋体" w:cs="宋体" w:eastAsia="宋体" w:hint="default"/>
          <w:spacing w:val="-7"/>
          <w:sz w:val="23"/>
          <w:szCs w:val="23"/>
        </w:rPr>
        <w:t>行为，且最近 </w:t>
      </w:r>
      <w:r>
        <w:rPr>
          <w:rFonts w:ascii="宋体" w:hAnsi="宋体" w:cs="宋体" w:eastAsia="宋体" w:hint="default"/>
          <w:sz w:val="23"/>
          <w:szCs w:val="23"/>
        </w:rPr>
        <w:t>36</w:t>
      </w:r>
      <w:r>
        <w:rPr>
          <w:rFonts w:ascii="宋体" w:hAnsi="宋体" w:cs="宋体" w:eastAsia="宋体" w:hint="default"/>
          <w:spacing w:val="-20"/>
          <w:sz w:val="23"/>
          <w:szCs w:val="23"/>
        </w:rPr>
        <w:t> </w:t>
      </w:r>
      <w:r>
        <w:rPr>
          <w:rFonts w:ascii="宋体" w:hAnsi="宋体" w:cs="宋体" w:eastAsia="宋体" w:hint="default"/>
          <w:sz w:val="23"/>
          <w:szCs w:val="23"/>
        </w:rPr>
        <w:t>个月内未受到过中国证监会的行政处罚，最近12个月内未受到过证券交</w:t>
      </w:r>
      <w:r>
        <w:rPr>
          <w:rFonts w:ascii="宋体" w:hAnsi="宋体" w:cs="宋体" w:eastAsia="宋体" w:hint="default"/>
          <w:w w:val="100"/>
          <w:sz w:val="23"/>
          <w:szCs w:val="23"/>
        </w:rPr>
        <w:t> </w:t>
      </w:r>
      <w:r>
        <w:rPr>
          <w:rFonts w:ascii="宋体" w:hAnsi="宋体" w:cs="宋体" w:eastAsia="宋体" w:hint="default"/>
          <w:spacing w:val="-1"/>
          <w:sz w:val="23"/>
          <w:szCs w:val="23"/>
        </w:rPr>
        <w:t>易所的公开谴责。公司董事会各成员都能勤勉尽责，认真履行《公司章程》赋予的职权，</w:t>
      </w:r>
      <w:r>
        <w:rPr>
          <w:rFonts w:ascii="宋体" w:hAnsi="宋体" w:cs="宋体" w:eastAsia="宋体" w:hint="default"/>
          <w:spacing w:val="-88"/>
          <w:sz w:val="23"/>
          <w:szCs w:val="23"/>
        </w:rPr>
        <w:t> </w:t>
      </w:r>
      <w:r>
        <w:rPr>
          <w:rFonts w:ascii="宋体" w:hAnsi="宋体" w:cs="宋体" w:eastAsia="宋体" w:hint="default"/>
          <w:spacing w:val="-88"/>
          <w:sz w:val="23"/>
          <w:szCs w:val="23"/>
        </w:rPr>
      </w:r>
      <w:r>
        <w:rPr>
          <w:rFonts w:ascii="宋体" w:hAnsi="宋体" w:cs="宋体" w:eastAsia="宋体" w:hint="default"/>
          <w:spacing w:val="-3"/>
          <w:sz w:val="23"/>
          <w:szCs w:val="23"/>
        </w:rPr>
        <w:t>并积极参加公司历次董事会，对公司董事会的科学决策、促进公司的良性发展起到了积极</w:t>
      </w:r>
      <w:r>
        <w:rPr>
          <w:rFonts w:ascii="宋体" w:hAnsi="宋体" w:cs="宋体" w:eastAsia="宋体" w:hint="default"/>
          <w:spacing w:val="-76"/>
          <w:sz w:val="23"/>
          <w:szCs w:val="23"/>
        </w:rPr>
        <w:t> </w:t>
      </w:r>
      <w:r>
        <w:rPr>
          <w:rFonts w:ascii="宋体" w:hAnsi="宋体" w:cs="宋体" w:eastAsia="宋体" w:hint="default"/>
          <w:spacing w:val="-76"/>
          <w:sz w:val="23"/>
          <w:szCs w:val="23"/>
        </w:rPr>
      </w:r>
      <w:r>
        <w:rPr>
          <w:rFonts w:ascii="宋体" w:hAnsi="宋体" w:cs="宋体" w:eastAsia="宋体" w:hint="default"/>
          <w:spacing w:val="-3"/>
          <w:sz w:val="23"/>
          <w:szCs w:val="23"/>
        </w:rPr>
        <w:t>的作用，在董事会会议投票表决重大事项或其他对公司有重大影响的事项时，严格遵循公</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z w:val="23"/>
          <w:szCs w:val="23"/>
        </w:rPr>
        <w:t>司董事会议事规则的有关审议规定，审慎决策，切实维护了中小股东的利益。</w:t>
      </w:r>
    </w:p>
    <w:p>
      <w:pPr>
        <w:spacing w:after="0" w:line="319" w:lineRule="auto"/>
        <w:jc w:val="both"/>
        <w:rPr>
          <w:rFonts w:ascii="宋体" w:hAnsi="宋体" w:cs="宋体" w:eastAsia="宋体" w:hint="default"/>
          <w:sz w:val="23"/>
          <w:szCs w:val="23"/>
        </w:rPr>
        <w:sectPr>
          <w:pgSz w:w="11910" w:h="16840"/>
          <w:pgMar w:header="470" w:footer="1266" w:top="900" w:bottom="1460" w:left="1160" w:right="136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spacing w:line="319" w:lineRule="auto" w:before="29"/>
        <w:ind w:left="258" w:right="222" w:firstLine="451"/>
        <w:jc w:val="both"/>
        <w:rPr>
          <w:rFonts w:ascii="宋体" w:hAnsi="宋体" w:cs="宋体" w:eastAsia="宋体" w:hint="default"/>
          <w:sz w:val="23"/>
          <w:szCs w:val="23"/>
        </w:rPr>
      </w:pPr>
      <w:r>
        <w:rPr>
          <w:rFonts w:ascii="宋体" w:hAnsi="宋体" w:cs="宋体" w:eastAsia="宋体" w:hint="default"/>
          <w:sz w:val="23"/>
          <w:szCs w:val="23"/>
        </w:rPr>
        <w:t>3、监事会：公司监事会由3名监事组成，其中职工监事1名。公司能严格按照《公司</w:t>
      </w:r>
      <w:r>
        <w:rPr>
          <w:rFonts w:ascii="宋体" w:hAnsi="宋体" w:cs="宋体" w:eastAsia="宋体" w:hint="default"/>
          <w:w w:val="100"/>
          <w:sz w:val="23"/>
          <w:szCs w:val="23"/>
        </w:rPr>
        <w:t> </w:t>
      </w:r>
      <w:r>
        <w:rPr>
          <w:rFonts w:ascii="宋体" w:hAnsi="宋体" w:cs="宋体" w:eastAsia="宋体" w:hint="default"/>
          <w:spacing w:val="-3"/>
          <w:sz w:val="23"/>
          <w:szCs w:val="23"/>
        </w:rPr>
        <w:t>法》、《公司章程》、《监事会议事规则》等法律法规的规定选聘监事，监事会的人数和</w:t>
      </w:r>
      <w:r>
        <w:rPr>
          <w:rFonts w:ascii="宋体" w:hAnsi="宋体" w:cs="宋体" w:eastAsia="宋体" w:hint="default"/>
          <w:spacing w:val="-79"/>
          <w:sz w:val="23"/>
          <w:szCs w:val="23"/>
        </w:rPr>
        <w:t> </w:t>
      </w:r>
      <w:r>
        <w:rPr>
          <w:rFonts w:ascii="宋体" w:hAnsi="宋体" w:cs="宋体" w:eastAsia="宋体" w:hint="default"/>
          <w:spacing w:val="-79"/>
          <w:sz w:val="23"/>
          <w:szCs w:val="23"/>
        </w:rPr>
      </w:r>
      <w:r>
        <w:rPr>
          <w:rFonts w:ascii="宋体" w:hAnsi="宋体" w:cs="宋体" w:eastAsia="宋体" w:hint="default"/>
          <w:spacing w:val="-3"/>
          <w:sz w:val="23"/>
          <w:szCs w:val="23"/>
        </w:rPr>
        <w:t>人员构成符合法律法规的要求。公司监事会会议的召集、召开程序符合《深圳证券交易所</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股票上市规则》、《公司章程》、 </w:t>
      </w:r>
      <w:r>
        <w:rPr>
          <w:rFonts w:ascii="宋体" w:hAnsi="宋体" w:cs="宋体" w:eastAsia="宋体" w:hint="default"/>
          <w:sz w:val="23"/>
          <w:szCs w:val="23"/>
        </w:rPr>
        <w:t>《监事会议事规则》的有关规定。</w:t>
      </w:r>
      <w:r>
        <w:rPr>
          <w:rFonts w:ascii="宋体" w:hAnsi="宋体" w:cs="宋体" w:eastAsia="宋体" w:hint="default"/>
          <w:spacing w:val="-32"/>
          <w:sz w:val="23"/>
          <w:szCs w:val="23"/>
        </w:rPr>
        <w:t> </w:t>
      </w:r>
      <w:r>
        <w:rPr>
          <w:rFonts w:ascii="宋体" w:hAnsi="宋体" w:cs="宋体" w:eastAsia="宋体" w:hint="default"/>
          <w:sz w:val="23"/>
          <w:szCs w:val="23"/>
        </w:rPr>
        <w:t>公司监事能够依据</w:t>
      </w:r>
    </w:p>
    <w:p>
      <w:pPr>
        <w:spacing w:line="319" w:lineRule="auto" w:before="22"/>
        <w:ind w:left="258" w:right="222" w:firstLine="0"/>
        <w:jc w:val="both"/>
        <w:rPr>
          <w:rFonts w:ascii="宋体" w:hAnsi="宋体" w:cs="宋体" w:eastAsia="宋体" w:hint="default"/>
          <w:sz w:val="23"/>
          <w:szCs w:val="23"/>
        </w:rPr>
      </w:pPr>
      <w:r>
        <w:rPr>
          <w:rFonts w:ascii="宋体" w:hAnsi="宋体" w:cs="宋体" w:eastAsia="宋体" w:hint="default"/>
          <w:spacing w:val="-3"/>
          <w:sz w:val="23"/>
          <w:szCs w:val="23"/>
        </w:rPr>
        <w:t>《监事会议事规则》等制度，认真履行自己的职责，能够本着对股东负责的精神，认真审</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3"/>
          <w:sz w:val="23"/>
          <w:szCs w:val="23"/>
        </w:rPr>
        <w:t>核公司季度、半年度、年度财务报表、利润分配方案等事项，对公司董事、总经理、副总</w:t>
      </w:r>
      <w:r>
        <w:rPr>
          <w:rFonts w:ascii="宋体" w:hAnsi="宋体" w:cs="宋体" w:eastAsia="宋体" w:hint="default"/>
          <w:spacing w:val="-75"/>
          <w:sz w:val="23"/>
          <w:szCs w:val="23"/>
        </w:rPr>
        <w:t> </w:t>
      </w:r>
      <w:r>
        <w:rPr>
          <w:rFonts w:ascii="宋体" w:hAnsi="宋体" w:cs="宋体" w:eastAsia="宋体" w:hint="default"/>
          <w:spacing w:val="-75"/>
          <w:sz w:val="23"/>
          <w:szCs w:val="23"/>
        </w:rPr>
      </w:r>
      <w:r>
        <w:rPr>
          <w:rFonts w:ascii="宋体" w:hAnsi="宋体" w:cs="宋体" w:eastAsia="宋体" w:hint="default"/>
          <w:spacing w:val="-3"/>
          <w:sz w:val="23"/>
          <w:szCs w:val="23"/>
        </w:rPr>
        <w:t>经理、财务负责人和董事会秘书等高级管理人员履行职责的合法合规性进行监督，对公司</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重大投资、重大财务决策事项进行监督，对公司财务状况和经营成果、收购、出售资产情</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3"/>
          <w:sz w:val="23"/>
          <w:szCs w:val="23"/>
        </w:rPr>
        <w:t>况、关联交易以及公司董事的选举、高级管理人员的聘任履行程序、职责的合法、合规性</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z w:val="23"/>
          <w:szCs w:val="23"/>
        </w:rPr>
        <w:t>进行监督，并多次发表意见，维护公司及股东的合法权益。</w:t>
      </w:r>
    </w:p>
    <w:p>
      <w:pPr>
        <w:spacing w:line="314" w:lineRule="auto" w:before="22"/>
        <w:ind w:left="258" w:right="108" w:firstLine="451"/>
        <w:jc w:val="both"/>
        <w:rPr>
          <w:rFonts w:ascii="宋体" w:hAnsi="宋体" w:cs="宋体" w:eastAsia="宋体" w:hint="default"/>
          <w:sz w:val="23"/>
          <w:szCs w:val="23"/>
        </w:rPr>
      </w:pPr>
      <w:r>
        <w:rPr>
          <w:rFonts w:ascii="宋体" w:hAnsi="宋体" w:cs="宋体" w:eastAsia="宋体" w:hint="default"/>
          <w:sz w:val="23"/>
          <w:szCs w:val="23"/>
        </w:rPr>
        <w:t>4、经理层：公司按照《总经理工作细则》的要求，按时按需召开总经理办公会，参</w:t>
      </w:r>
      <w:r>
        <w:rPr>
          <w:rFonts w:ascii="宋体" w:hAnsi="宋体" w:cs="宋体" w:eastAsia="宋体" w:hint="default"/>
          <w:w w:val="100"/>
          <w:sz w:val="23"/>
          <w:szCs w:val="23"/>
        </w:rPr>
        <w:t> </w:t>
      </w:r>
      <w:r>
        <w:rPr>
          <w:rFonts w:ascii="宋体" w:hAnsi="宋体" w:cs="宋体" w:eastAsia="宋体" w:hint="default"/>
          <w:spacing w:val="-3"/>
          <w:sz w:val="23"/>
          <w:szCs w:val="23"/>
        </w:rPr>
        <w:t>会人员认真讨论相关应由经理层决定的事项。公司经理层严格按照《公司章程》的规定履</w:t>
      </w:r>
      <w:r>
        <w:rPr>
          <w:rFonts w:ascii="宋体" w:hAnsi="宋体" w:cs="宋体" w:eastAsia="宋体" w:hint="default"/>
          <w:spacing w:val="-76"/>
          <w:sz w:val="23"/>
          <w:szCs w:val="23"/>
        </w:rPr>
        <w:t> </w:t>
      </w:r>
      <w:r>
        <w:rPr>
          <w:rFonts w:ascii="宋体" w:hAnsi="宋体" w:cs="宋体" w:eastAsia="宋体" w:hint="default"/>
          <w:spacing w:val="-76"/>
          <w:sz w:val="23"/>
          <w:szCs w:val="23"/>
        </w:rPr>
      </w:r>
      <w:r>
        <w:rPr>
          <w:rFonts w:ascii="宋体" w:hAnsi="宋体" w:cs="宋体" w:eastAsia="宋体" w:hint="default"/>
          <w:spacing w:val="-3"/>
          <w:sz w:val="23"/>
          <w:szCs w:val="23"/>
        </w:rPr>
        <w:t>行职责，严格执行董事会决议，不存在越权行使职权的行为。超越经营层权限的事项，公</w:t>
      </w:r>
      <w:r>
        <w:rPr>
          <w:rFonts w:ascii="宋体" w:hAnsi="宋体" w:cs="宋体" w:eastAsia="宋体" w:hint="default"/>
          <w:spacing w:val="-79"/>
          <w:sz w:val="23"/>
          <w:szCs w:val="23"/>
        </w:rPr>
        <w:t> </w:t>
      </w:r>
      <w:r>
        <w:rPr>
          <w:rFonts w:ascii="宋体" w:hAnsi="宋体" w:cs="宋体" w:eastAsia="宋体" w:hint="default"/>
          <w:spacing w:val="-79"/>
          <w:sz w:val="23"/>
          <w:szCs w:val="23"/>
        </w:rPr>
      </w:r>
      <w:r>
        <w:rPr>
          <w:rFonts w:ascii="宋体" w:hAnsi="宋体" w:cs="宋体" w:eastAsia="宋体" w:hint="default"/>
          <w:sz w:val="23"/>
          <w:szCs w:val="23"/>
        </w:rPr>
        <w:t>司一律提交董事会审议，不存在</w:t>
      </w:r>
      <w:r>
        <w:rPr>
          <w:rFonts w:ascii="Times New Roman" w:hAnsi="Times New Roman" w:cs="Times New Roman" w:eastAsia="Times New Roman" w:hint="default"/>
          <w:sz w:val="23"/>
          <w:szCs w:val="23"/>
        </w:rPr>
        <w:t>“</w:t>
      </w:r>
      <w:r>
        <w:rPr>
          <w:rFonts w:ascii="宋体" w:hAnsi="宋体" w:cs="宋体" w:eastAsia="宋体" w:hint="default"/>
          <w:sz w:val="23"/>
          <w:szCs w:val="23"/>
        </w:rPr>
        <w:t>内部人控制</w:t>
      </w:r>
      <w:r>
        <w:rPr>
          <w:rFonts w:ascii="Times New Roman" w:hAnsi="Times New Roman" w:cs="Times New Roman" w:eastAsia="Times New Roman" w:hint="default"/>
          <w:sz w:val="23"/>
          <w:szCs w:val="23"/>
        </w:rPr>
        <w:t>”</w:t>
      </w:r>
      <w:r>
        <w:rPr>
          <w:rFonts w:ascii="宋体" w:hAnsi="宋体" w:cs="宋体" w:eastAsia="宋体" w:hint="default"/>
          <w:sz w:val="23"/>
          <w:szCs w:val="23"/>
        </w:rPr>
        <w:t>的情况。公司经理层勤免尽责，在日常经营</w:t>
      </w:r>
      <w:r>
        <w:rPr>
          <w:rFonts w:ascii="宋体" w:hAnsi="宋体" w:cs="宋体" w:eastAsia="宋体" w:hint="default"/>
          <w:w w:val="100"/>
          <w:sz w:val="23"/>
          <w:szCs w:val="23"/>
        </w:rPr>
        <w:t> </w:t>
      </w:r>
      <w:r>
        <w:rPr>
          <w:rFonts w:ascii="宋体" w:hAnsi="宋体" w:cs="宋体" w:eastAsia="宋体" w:hint="default"/>
          <w:spacing w:val="-6"/>
          <w:sz w:val="23"/>
          <w:szCs w:val="23"/>
        </w:rPr>
        <w:t>过程中，加强规范运作，诚实守信经营，不存在未能忠实履行职务、违背诚信义务的情形。</w:t>
      </w:r>
    </w:p>
    <w:p>
      <w:pPr>
        <w:spacing w:line="319" w:lineRule="auto" w:before="28"/>
        <w:ind w:left="258" w:right="222" w:firstLine="451"/>
        <w:jc w:val="both"/>
        <w:rPr>
          <w:rFonts w:ascii="宋体" w:hAnsi="宋体" w:cs="宋体" w:eastAsia="宋体" w:hint="default"/>
          <w:sz w:val="23"/>
          <w:szCs w:val="23"/>
        </w:rPr>
      </w:pPr>
      <w:r>
        <w:rPr>
          <w:rFonts w:ascii="宋体" w:hAnsi="宋体" w:cs="宋体" w:eastAsia="宋体" w:hint="default"/>
          <w:sz w:val="23"/>
          <w:szCs w:val="23"/>
        </w:rPr>
        <w:t>5、独立性方面：公司拥有独立的生产、研发、销售所需的场所设备、技术及配套设</w:t>
      </w:r>
      <w:r>
        <w:rPr>
          <w:rFonts w:ascii="宋体" w:hAnsi="宋体" w:cs="宋体" w:eastAsia="宋体" w:hint="default"/>
          <w:w w:val="100"/>
          <w:sz w:val="23"/>
          <w:szCs w:val="23"/>
        </w:rPr>
        <w:t> </w:t>
      </w:r>
      <w:r>
        <w:rPr>
          <w:rFonts w:ascii="宋体" w:hAnsi="宋体" w:cs="宋体" w:eastAsia="宋体" w:hint="default"/>
          <w:spacing w:val="-3"/>
          <w:sz w:val="23"/>
          <w:szCs w:val="23"/>
        </w:rPr>
        <w:t>施，并拥有完整的法人财产权，能够独立支配和使用公司财产，顺利组织和实施生产经营</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活动；公司内部各项决策均由公司管理层集体决策，不存在控股股东控制公司的情况；公</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3"/>
          <w:sz w:val="23"/>
          <w:szCs w:val="23"/>
        </w:rPr>
        <w:t>司在生产经营管理、财务核算、采购、销售等方面都保持了良好的独立性。公司募集资金</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能按照承诺和法律、法规的规定执行，公司和中小股东的利益能够得到保障。公司与控股</w:t>
      </w:r>
      <w:r>
        <w:rPr>
          <w:rFonts w:ascii="宋体" w:hAnsi="宋体" w:cs="宋体" w:eastAsia="宋体" w:hint="default"/>
          <w:spacing w:val="-79"/>
          <w:sz w:val="23"/>
          <w:szCs w:val="23"/>
        </w:rPr>
        <w:t> </w:t>
      </w:r>
      <w:r>
        <w:rPr>
          <w:rFonts w:ascii="宋体" w:hAnsi="宋体" w:cs="宋体" w:eastAsia="宋体" w:hint="default"/>
          <w:spacing w:val="-79"/>
          <w:sz w:val="23"/>
          <w:szCs w:val="23"/>
        </w:rPr>
      </w:r>
      <w:r>
        <w:rPr>
          <w:rFonts w:ascii="宋体" w:hAnsi="宋体" w:cs="宋体" w:eastAsia="宋体" w:hint="default"/>
          <w:spacing w:val="-3"/>
          <w:sz w:val="23"/>
          <w:szCs w:val="23"/>
        </w:rPr>
        <w:t>股东在业务、资产、人员、机构、财务等方面完全分开，产权明确，生产经营完全独立于</w:t>
      </w:r>
      <w:r>
        <w:rPr>
          <w:rFonts w:ascii="宋体" w:hAnsi="宋体" w:cs="宋体" w:eastAsia="宋体" w:hint="default"/>
          <w:spacing w:val="-75"/>
          <w:sz w:val="23"/>
          <w:szCs w:val="23"/>
        </w:rPr>
        <w:t> </w:t>
      </w:r>
      <w:r>
        <w:rPr>
          <w:rFonts w:ascii="宋体" w:hAnsi="宋体" w:cs="宋体" w:eastAsia="宋体" w:hint="default"/>
          <w:spacing w:val="-75"/>
          <w:sz w:val="23"/>
          <w:szCs w:val="23"/>
        </w:rPr>
      </w:r>
      <w:r>
        <w:rPr>
          <w:rFonts w:ascii="宋体" w:hAnsi="宋体" w:cs="宋体" w:eastAsia="宋体" w:hint="default"/>
          <w:spacing w:val="-3"/>
          <w:sz w:val="23"/>
          <w:szCs w:val="23"/>
        </w:rPr>
        <w:t>控股股东，与控股股东或其控股的其他关联单位不存在同业竞争；发生的关联交易价格由</w:t>
      </w:r>
      <w:r>
        <w:rPr>
          <w:rFonts w:ascii="宋体" w:hAnsi="宋体" w:cs="宋体" w:eastAsia="宋体" w:hint="default"/>
          <w:spacing w:val="-76"/>
          <w:sz w:val="23"/>
          <w:szCs w:val="23"/>
        </w:rPr>
        <w:t> </w:t>
      </w:r>
      <w:r>
        <w:rPr>
          <w:rFonts w:ascii="宋体" w:hAnsi="宋体" w:cs="宋体" w:eastAsia="宋体" w:hint="default"/>
          <w:spacing w:val="-76"/>
          <w:sz w:val="23"/>
          <w:szCs w:val="23"/>
        </w:rPr>
      </w:r>
      <w:r>
        <w:rPr>
          <w:rFonts w:ascii="宋体" w:hAnsi="宋体" w:cs="宋体" w:eastAsia="宋体" w:hint="default"/>
          <w:sz w:val="23"/>
          <w:szCs w:val="23"/>
        </w:rPr>
        <w:t>第三方评估机构定价，公平、公允。</w:t>
      </w:r>
    </w:p>
    <w:p>
      <w:pPr>
        <w:spacing w:line="319" w:lineRule="auto" w:before="22"/>
        <w:ind w:left="258" w:right="222" w:firstLine="451"/>
        <w:jc w:val="both"/>
        <w:rPr>
          <w:rFonts w:ascii="宋体" w:hAnsi="宋体" w:cs="宋体" w:eastAsia="宋体" w:hint="default"/>
          <w:sz w:val="23"/>
          <w:szCs w:val="23"/>
        </w:rPr>
      </w:pPr>
      <w:r>
        <w:rPr>
          <w:rFonts w:ascii="宋体" w:hAnsi="宋体" w:cs="宋体" w:eastAsia="宋体" w:hint="default"/>
          <w:sz w:val="23"/>
          <w:szCs w:val="23"/>
        </w:rPr>
        <w:t>6、公司建立并不断健全内部控制制度，财务管理制度、重大投资决策制度、子公司</w:t>
      </w:r>
      <w:r>
        <w:rPr>
          <w:rFonts w:ascii="宋体" w:hAnsi="宋体" w:cs="宋体" w:eastAsia="宋体" w:hint="default"/>
          <w:w w:val="100"/>
          <w:sz w:val="23"/>
          <w:szCs w:val="23"/>
        </w:rPr>
        <w:t> </w:t>
      </w:r>
      <w:r>
        <w:rPr>
          <w:rFonts w:ascii="宋体" w:hAnsi="宋体" w:cs="宋体" w:eastAsia="宋体" w:hint="default"/>
          <w:spacing w:val="-3"/>
          <w:sz w:val="23"/>
          <w:szCs w:val="23"/>
        </w:rPr>
        <w:t>控制制度和其他内部管理控制制度严格、规范，并得到了有效的贯彻执行。公司目前尚未</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z w:val="23"/>
          <w:szCs w:val="23"/>
        </w:rPr>
        <w:t>完善绩效评价体系，尚未启动股权激励。</w:t>
      </w:r>
    </w:p>
    <w:p>
      <w:pPr>
        <w:spacing w:line="319" w:lineRule="auto" w:before="22"/>
        <w:ind w:left="258" w:right="222" w:firstLine="451"/>
        <w:jc w:val="both"/>
        <w:rPr>
          <w:rFonts w:ascii="宋体" w:hAnsi="宋体" w:cs="宋体" w:eastAsia="宋体" w:hint="default"/>
          <w:sz w:val="23"/>
          <w:szCs w:val="23"/>
        </w:rPr>
      </w:pPr>
      <w:r>
        <w:rPr>
          <w:rFonts w:ascii="宋体" w:hAnsi="宋体" w:cs="宋体" w:eastAsia="宋体" w:hint="default"/>
          <w:sz w:val="23"/>
          <w:szCs w:val="23"/>
        </w:rPr>
        <w:t>7、信息披露方面：公司高度重视信息披露与投资者关系管理工作，公司按照《上市</w:t>
      </w:r>
      <w:r>
        <w:rPr>
          <w:rFonts w:ascii="宋体" w:hAnsi="宋体" w:cs="宋体" w:eastAsia="宋体" w:hint="default"/>
          <w:w w:val="100"/>
          <w:sz w:val="23"/>
          <w:szCs w:val="23"/>
        </w:rPr>
        <w:t> </w:t>
      </w:r>
      <w:r>
        <w:rPr>
          <w:rFonts w:ascii="宋体" w:hAnsi="宋体" w:cs="宋体" w:eastAsia="宋体" w:hint="default"/>
          <w:spacing w:val="-3"/>
          <w:sz w:val="23"/>
          <w:szCs w:val="23"/>
        </w:rPr>
        <w:t>公司信息披露管理办法》制定并严格执行《信息披露事务管理制度》，规定了信息披露的</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3"/>
          <w:sz w:val="23"/>
          <w:szCs w:val="23"/>
        </w:rPr>
        <w:t>基本原则、信息披露义务人和职责、信息披露的内容、信息的提供与收集、信息披露的程</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3"/>
          <w:sz w:val="23"/>
          <w:szCs w:val="23"/>
        </w:rPr>
        <w:t>序、信息披露方式及保密措施等，建立了投资关系互动平台，由专人负责与投资者进行交</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流和沟通。同时，明确信息披露以及投资者关系管理的责任人，公平对待所有投资者，真</w:t>
      </w:r>
      <w:r>
        <w:rPr>
          <w:rFonts w:ascii="宋体" w:hAnsi="宋体" w:cs="宋体" w:eastAsia="宋体" w:hint="default"/>
          <w:spacing w:val="-76"/>
          <w:sz w:val="23"/>
          <w:szCs w:val="23"/>
        </w:rPr>
        <w:t> </w:t>
      </w:r>
      <w:r>
        <w:rPr>
          <w:rFonts w:ascii="宋体" w:hAnsi="宋体" w:cs="宋体" w:eastAsia="宋体" w:hint="default"/>
          <w:spacing w:val="-76"/>
          <w:sz w:val="23"/>
          <w:szCs w:val="23"/>
        </w:rPr>
      </w:r>
      <w:r>
        <w:rPr>
          <w:rFonts w:ascii="宋体" w:hAnsi="宋体" w:cs="宋体" w:eastAsia="宋体" w:hint="default"/>
          <w:sz w:val="23"/>
          <w:szCs w:val="23"/>
        </w:rPr>
        <w:t>实、准确、完整、及时地进行信息披露，提高公司透明度，保障全体股东的合法权益。</w:t>
      </w:r>
    </w:p>
    <w:p>
      <w:pPr>
        <w:spacing w:line="319" w:lineRule="auto" w:before="22"/>
        <w:ind w:left="258" w:right="222" w:firstLine="451"/>
        <w:jc w:val="both"/>
        <w:rPr>
          <w:rFonts w:ascii="宋体" w:hAnsi="宋体" w:cs="宋体" w:eastAsia="宋体" w:hint="default"/>
          <w:sz w:val="23"/>
          <w:szCs w:val="23"/>
        </w:rPr>
      </w:pPr>
      <w:r>
        <w:rPr>
          <w:rFonts w:ascii="宋体" w:hAnsi="宋体" w:cs="宋体" w:eastAsia="宋体" w:hint="default"/>
          <w:sz w:val="23"/>
          <w:szCs w:val="23"/>
        </w:rPr>
        <w:t>8、关于绩效评价与激励约束机制。公司按照人事考核制度对高级管理人员的业绩和</w:t>
      </w:r>
      <w:r>
        <w:rPr>
          <w:rFonts w:ascii="宋体" w:hAnsi="宋体" w:cs="宋体" w:eastAsia="宋体" w:hint="default"/>
          <w:w w:val="100"/>
          <w:sz w:val="23"/>
          <w:szCs w:val="23"/>
        </w:rPr>
        <w:t> </w:t>
      </w:r>
      <w:r>
        <w:rPr>
          <w:rFonts w:ascii="宋体" w:hAnsi="宋体" w:cs="宋体" w:eastAsia="宋体" w:hint="default"/>
          <w:spacing w:val="-3"/>
          <w:sz w:val="23"/>
          <w:szCs w:val="23"/>
        </w:rPr>
        <w:t>绩效进行考评和奖励。经严格考评，2011年度公司全体中高层管理人员均认真履行了工作</w:t>
      </w:r>
    </w:p>
    <w:p>
      <w:pPr>
        <w:spacing w:after="0" w:line="319" w:lineRule="auto"/>
        <w:jc w:val="both"/>
        <w:rPr>
          <w:rFonts w:ascii="宋体" w:hAnsi="宋体" w:cs="宋体" w:eastAsia="宋体" w:hint="default"/>
          <w:sz w:val="23"/>
          <w:szCs w:val="23"/>
        </w:rPr>
        <w:sectPr>
          <w:pgSz w:w="11910" w:h="16840"/>
          <w:pgMar w:header="470" w:footer="1266" w:top="900" w:bottom="1460" w:left="1160" w:right="136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spacing w:line="319" w:lineRule="auto" w:before="29"/>
        <w:ind w:left="258" w:right="0" w:firstLine="0"/>
        <w:jc w:val="left"/>
        <w:rPr>
          <w:rFonts w:ascii="宋体" w:hAnsi="宋体" w:cs="宋体" w:eastAsia="宋体" w:hint="default"/>
          <w:sz w:val="23"/>
          <w:szCs w:val="23"/>
        </w:rPr>
      </w:pPr>
      <w:r>
        <w:rPr>
          <w:rFonts w:ascii="宋体" w:hAnsi="宋体" w:cs="宋体" w:eastAsia="宋体" w:hint="default"/>
          <w:spacing w:val="-6"/>
          <w:sz w:val="23"/>
          <w:szCs w:val="23"/>
        </w:rPr>
        <w:t>职责，主要业绩指标良好。随着公司的发展，公司将进一步健全、完善公正、透明的董事、</w:t>
      </w:r>
      <w:r>
        <w:rPr>
          <w:rFonts w:ascii="宋体" w:hAnsi="宋体" w:cs="宋体" w:eastAsia="宋体" w:hint="default"/>
          <w:spacing w:val="-68"/>
          <w:sz w:val="23"/>
          <w:szCs w:val="23"/>
        </w:rPr>
        <w:t> </w:t>
      </w:r>
      <w:r>
        <w:rPr>
          <w:rFonts w:ascii="宋体" w:hAnsi="宋体" w:cs="宋体" w:eastAsia="宋体" w:hint="default"/>
          <w:spacing w:val="-68"/>
          <w:sz w:val="23"/>
          <w:szCs w:val="23"/>
        </w:rPr>
      </w:r>
      <w:r>
        <w:rPr>
          <w:rFonts w:ascii="宋体" w:hAnsi="宋体" w:cs="宋体" w:eastAsia="宋体" w:hint="default"/>
          <w:spacing w:val="-3"/>
          <w:sz w:val="23"/>
          <w:szCs w:val="23"/>
        </w:rPr>
        <w:t>监事及高级管理人员绩效评价体系和激励约束机制，使公司逐渐形成一支高效率的工作团</w:t>
      </w:r>
      <w:r>
        <w:rPr>
          <w:rFonts w:ascii="宋体" w:hAnsi="宋体" w:cs="宋体" w:eastAsia="宋体" w:hint="default"/>
          <w:spacing w:val="-79"/>
          <w:sz w:val="23"/>
          <w:szCs w:val="23"/>
        </w:rPr>
        <w:t> </w:t>
      </w:r>
      <w:r>
        <w:rPr>
          <w:rFonts w:ascii="宋体" w:hAnsi="宋体" w:cs="宋体" w:eastAsia="宋体" w:hint="default"/>
          <w:spacing w:val="-79"/>
          <w:sz w:val="23"/>
          <w:szCs w:val="23"/>
        </w:rPr>
      </w:r>
      <w:r>
        <w:rPr>
          <w:rFonts w:ascii="宋体" w:hAnsi="宋体" w:cs="宋体" w:eastAsia="宋体" w:hint="default"/>
          <w:sz w:val="23"/>
          <w:szCs w:val="23"/>
        </w:rPr>
        <w:t>队，最大程度的激发员工的积极性和创造性，提升了公司的核心竞争力。</w:t>
      </w:r>
    </w:p>
    <w:p>
      <w:pPr>
        <w:spacing w:line="319" w:lineRule="auto" w:before="24"/>
        <w:ind w:left="258" w:right="0" w:firstLine="451"/>
        <w:jc w:val="left"/>
        <w:rPr>
          <w:rFonts w:ascii="宋体" w:hAnsi="宋体" w:cs="宋体" w:eastAsia="宋体" w:hint="default"/>
          <w:sz w:val="23"/>
          <w:szCs w:val="23"/>
        </w:rPr>
      </w:pPr>
      <w:r>
        <w:rPr>
          <w:rFonts w:ascii="宋体" w:hAnsi="宋体" w:cs="宋体" w:eastAsia="宋体" w:hint="default"/>
          <w:spacing w:val="-3"/>
          <w:sz w:val="23"/>
          <w:szCs w:val="23"/>
        </w:rPr>
        <w:t>9、关于相关利益者：公司充分尊重和维护相关利益者的合法权益，实现股东、员工、</w:t>
      </w:r>
      <w:r>
        <w:rPr>
          <w:rFonts w:ascii="宋体" w:hAnsi="宋体" w:cs="宋体" w:eastAsia="宋体" w:hint="default"/>
          <w:w w:val="100"/>
          <w:sz w:val="23"/>
          <w:szCs w:val="23"/>
        </w:rPr>
        <w:t> </w:t>
      </w:r>
      <w:r>
        <w:rPr>
          <w:rFonts w:ascii="宋体" w:hAnsi="宋体" w:cs="宋体" w:eastAsia="宋体" w:hint="default"/>
          <w:sz w:val="23"/>
          <w:szCs w:val="23"/>
        </w:rPr>
        <w:t>社会等各方利益的协调平衡，共同推动公司持续、健康的发展。</w:t>
      </w:r>
    </w:p>
    <w:p>
      <w:pPr>
        <w:spacing w:line="314" w:lineRule="auto" w:before="22"/>
        <w:ind w:left="258" w:right="1042" w:firstLine="451"/>
        <w:jc w:val="both"/>
        <w:rPr>
          <w:rFonts w:ascii="宋体" w:hAnsi="宋体" w:cs="宋体" w:eastAsia="宋体" w:hint="default"/>
          <w:sz w:val="23"/>
          <w:szCs w:val="23"/>
        </w:rPr>
      </w:pPr>
      <w:r>
        <w:rPr>
          <w:rFonts w:ascii="宋体" w:hAnsi="宋体" w:cs="宋体" w:eastAsia="宋体" w:hint="default"/>
          <w:spacing w:val="-3"/>
          <w:sz w:val="23"/>
          <w:szCs w:val="23"/>
        </w:rPr>
        <w:t>10、关于控股股东与上市公司的关系。公司控股股东行为规范，对公司依法通过股东</w:t>
      </w:r>
      <w:r>
        <w:rPr>
          <w:rFonts w:ascii="宋体" w:hAnsi="宋体" w:cs="宋体" w:eastAsia="宋体" w:hint="default"/>
          <w:w w:val="100"/>
          <w:sz w:val="23"/>
          <w:szCs w:val="23"/>
        </w:rPr>
        <w:t> </w:t>
      </w:r>
      <w:r>
        <w:rPr>
          <w:rFonts w:ascii="宋体" w:hAnsi="宋体" w:cs="宋体" w:eastAsia="宋体" w:hint="default"/>
          <w:spacing w:val="-3"/>
          <w:sz w:val="23"/>
          <w:szCs w:val="23"/>
        </w:rPr>
        <w:t>大会行使股东的权利，没有超越股东大会直接或间接干预公司的决策和经营活动；公司与</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2"/>
          <w:sz w:val="23"/>
          <w:szCs w:val="23"/>
        </w:rPr>
        <w:t>控股股东在人员、资产、财务、机构和业务方面做到</w:t>
      </w:r>
      <w:r>
        <w:rPr>
          <w:rFonts w:ascii="Times New Roman" w:hAnsi="Times New Roman" w:cs="Times New Roman" w:eastAsia="Times New Roman" w:hint="default"/>
          <w:spacing w:val="-2"/>
          <w:sz w:val="23"/>
          <w:szCs w:val="23"/>
        </w:rPr>
        <w:t>“</w:t>
      </w:r>
      <w:r>
        <w:rPr>
          <w:rFonts w:ascii="宋体" w:hAnsi="宋体" w:cs="宋体" w:eastAsia="宋体" w:hint="default"/>
          <w:spacing w:val="-2"/>
          <w:sz w:val="23"/>
          <w:szCs w:val="23"/>
        </w:rPr>
        <w:t>五独立</w:t>
      </w:r>
      <w:r>
        <w:rPr>
          <w:rFonts w:ascii="Times New Roman" w:hAnsi="Times New Roman" w:cs="Times New Roman" w:eastAsia="Times New Roman" w:hint="default"/>
          <w:spacing w:val="-2"/>
          <w:sz w:val="23"/>
          <w:szCs w:val="23"/>
        </w:rPr>
        <w:t>”</w:t>
      </w:r>
      <w:r>
        <w:rPr>
          <w:rFonts w:ascii="宋体" w:hAnsi="宋体" w:cs="宋体" w:eastAsia="宋体" w:hint="default"/>
          <w:spacing w:val="-2"/>
          <w:sz w:val="23"/>
          <w:szCs w:val="23"/>
        </w:rPr>
        <w:t>，公司董事会、监事会和内</w:t>
      </w:r>
      <w:r>
        <w:rPr>
          <w:rFonts w:ascii="宋体" w:hAnsi="宋体" w:cs="宋体" w:eastAsia="宋体" w:hint="default"/>
          <w:spacing w:val="-92"/>
          <w:sz w:val="23"/>
          <w:szCs w:val="23"/>
        </w:rPr>
        <w:t> </w:t>
      </w:r>
      <w:r>
        <w:rPr>
          <w:rFonts w:ascii="宋体" w:hAnsi="宋体" w:cs="宋体" w:eastAsia="宋体" w:hint="default"/>
          <w:spacing w:val="-92"/>
          <w:sz w:val="23"/>
          <w:szCs w:val="23"/>
        </w:rPr>
      </w:r>
      <w:r>
        <w:rPr>
          <w:rFonts w:ascii="宋体" w:hAnsi="宋体" w:cs="宋体" w:eastAsia="宋体" w:hint="default"/>
          <w:spacing w:val="-3"/>
          <w:sz w:val="23"/>
          <w:szCs w:val="23"/>
        </w:rPr>
        <w:t>部经营机构能够独立运作。公司与股东之间的关联交易公平合理，决策程序符合规定，不</w:t>
      </w:r>
      <w:r>
        <w:rPr>
          <w:rFonts w:ascii="宋体" w:hAnsi="宋体" w:cs="宋体" w:eastAsia="宋体" w:hint="default"/>
          <w:spacing w:val="-79"/>
          <w:sz w:val="23"/>
          <w:szCs w:val="23"/>
        </w:rPr>
        <w:t> </w:t>
      </w:r>
      <w:r>
        <w:rPr>
          <w:rFonts w:ascii="宋体" w:hAnsi="宋体" w:cs="宋体" w:eastAsia="宋体" w:hint="default"/>
          <w:spacing w:val="-79"/>
          <w:sz w:val="23"/>
          <w:szCs w:val="23"/>
        </w:rPr>
      </w:r>
      <w:r>
        <w:rPr>
          <w:rFonts w:ascii="宋体" w:hAnsi="宋体" w:cs="宋体" w:eastAsia="宋体" w:hint="default"/>
          <w:sz w:val="23"/>
          <w:szCs w:val="23"/>
        </w:rPr>
        <w:t>存在控股股东占用公司资金的现象，公司也无为控股股东及其子公司提供担保的情形。</w:t>
      </w:r>
    </w:p>
    <w:p>
      <w:pPr>
        <w:pStyle w:val="Heading2"/>
        <w:spacing w:line="240" w:lineRule="auto" w:before="135"/>
        <w:ind w:left="730" w:right="1043"/>
        <w:jc w:val="left"/>
        <w:rPr>
          <w:b w:val="0"/>
          <w:bCs w:val="0"/>
        </w:rPr>
      </w:pPr>
      <w:bookmarkStart w:name="_TOC_250008" w:id="7"/>
      <w:r>
        <w:rPr/>
        <w:t>二、公司董事长、独立董事及其他董事履行职责的情况</w:t>
      </w:r>
      <w:bookmarkEnd w:id="7"/>
      <w:r>
        <w:rPr>
          <w:b w:val="0"/>
          <w:bCs w:val="0"/>
        </w:rPr>
      </w:r>
    </w:p>
    <w:p>
      <w:pPr>
        <w:spacing w:line="240" w:lineRule="auto" w:before="8"/>
        <w:rPr>
          <w:rFonts w:ascii="宋体" w:hAnsi="宋体" w:cs="宋体" w:eastAsia="宋体" w:hint="default"/>
          <w:b/>
          <w:bCs/>
          <w:sz w:val="16"/>
          <w:szCs w:val="16"/>
        </w:rPr>
      </w:pPr>
    </w:p>
    <w:p>
      <w:pPr>
        <w:spacing w:line="319" w:lineRule="auto" w:before="0"/>
        <w:ind w:left="258" w:right="0" w:firstLine="451"/>
        <w:jc w:val="left"/>
        <w:rPr>
          <w:rFonts w:ascii="宋体" w:hAnsi="宋体" w:cs="宋体" w:eastAsia="宋体" w:hint="default"/>
          <w:sz w:val="23"/>
          <w:szCs w:val="23"/>
        </w:rPr>
      </w:pPr>
      <w:r>
        <w:rPr>
          <w:rFonts w:ascii="宋体" w:hAnsi="宋体" w:cs="宋体" w:eastAsia="宋体" w:hint="default"/>
          <w:sz w:val="23"/>
          <w:szCs w:val="23"/>
        </w:rPr>
        <w:t>报告期内，公司全体董事严格按照《中小企业板块上市公司董事行为指引》的要求，</w:t>
      </w:r>
      <w:r>
        <w:rPr>
          <w:rFonts w:ascii="宋体" w:hAnsi="宋体" w:cs="宋体" w:eastAsia="宋体" w:hint="default"/>
          <w:w w:val="100"/>
          <w:sz w:val="23"/>
          <w:szCs w:val="23"/>
        </w:rPr>
        <w:t> </w:t>
      </w:r>
      <w:r>
        <w:rPr>
          <w:rFonts w:ascii="宋体" w:hAnsi="宋体" w:cs="宋体" w:eastAsia="宋体" w:hint="default"/>
          <w:sz w:val="23"/>
          <w:szCs w:val="23"/>
        </w:rPr>
        <w:t>诚实守信、勤勉、独立的履行职责，积极出席公司董事会议，认真审议各项董事会议案，</w:t>
      </w:r>
      <w:r>
        <w:rPr>
          <w:rFonts w:ascii="宋体" w:hAnsi="宋体" w:cs="宋体" w:eastAsia="宋体" w:hint="default"/>
          <w:w w:val="100"/>
          <w:sz w:val="23"/>
          <w:szCs w:val="23"/>
        </w:rPr>
        <w:t> </w:t>
      </w:r>
      <w:r>
        <w:rPr>
          <w:rFonts w:ascii="宋体" w:hAnsi="宋体" w:cs="宋体" w:eastAsia="宋体" w:hint="default"/>
          <w:spacing w:val="-3"/>
          <w:sz w:val="23"/>
          <w:szCs w:val="23"/>
        </w:rPr>
        <w:t>忠诚于公司和股东的利益，保护中小股东的合法权益不受侵害。公司董事长积极推动公司</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3"/>
          <w:sz w:val="23"/>
          <w:szCs w:val="23"/>
        </w:rPr>
        <w:t>内部各项制度的制订和完善，加强董事会建设，依法召集、主持董事会会议，保证了报告</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期内的历次董事会会议能够正常、依法召开，并积极督促公司执行董事会决议；同时，公</w:t>
      </w:r>
      <w:r>
        <w:rPr>
          <w:rFonts w:ascii="宋体" w:hAnsi="宋体" w:cs="宋体" w:eastAsia="宋体" w:hint="default"/>
          <w:spacing w:val="-76"/>
          <w:sz w:val="23"/>
          <w:szCs w:val="23"/>
        </w:rPr>
        <w:t> </w:t>
      </w:r>
      <w:r>
        <w:rPr>
          <w:rFonts w:ascii="宋体" w:hAnsi="宋体" w:cs="宋体" w:eastAsia="宋体" w:hint="default"/>
          <w:spacing w:val="-76"/>
          <w:sz w:val="23"/>
          <w:szCs w:val="23"/>
        </w:rPr>
      </w:r>
      <w:r>
        <w:rPr>
          <w:rFonts w:ascii="宋体" w:hAnsi="宋体" w:cs="宋体" w:eastAsia="宋体" w:hint="default"/>
          <w:spacing w:val="-3"/>
          <w:sz w:val="23"/>
          <w:szCs w:val="23"/>
        </w:rPr>
        <w:t>司董事长为各董事履行职责创造了良好的工作条件，充分保证了各董事的知情权。独立董</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事本着对公司和全体股东诚信和勤勉的态度，严格按照有关法律、法规和《公司章程》的</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6"/>
          <w:sz w:val="23"/>
          <w:szCs w:val="23"/>
        </w:rPr>
        <w:t>规定，恪尽职守、勤勉尽责，按时参加报告期内的董事会会议，对各项议案进行认真审议，</w:t>
      </w:r>
      <w:r>
        <w:rPr>
          <w:rFonts w:ascii="宋体" w:hAnsi="宋体" w:cs="宋体" w:eastAsia="宋体" w:hint="default"/>
          <w:spacing w:val="-67"/>
          <w:sz w:val="23"/>
          <w:szCs w:val="23"/>
        </w:rPr>
        <w:t> </w:t>
      </w:r>
      <w:r>
        <w:rPr>
          <w:rFonts w:ascii="宋体" w:hAnsi="宋体" w:cs="宋体" w:eastAsia="宋体" w:hint="default"/>
          <w:spacing w:val="-67"/>
          <w:sz w:val="23"/>
          <w:szCs w:val="23"/>
        </w:rPr>
      </w:r>
      <w:r>
        <w:rPr>
          <w:rFonts w:ascii="宋体" w:hAnsi="宋体" w:cs="宋体" w:eastAsia="宋体" w:hint="default"/>
          <w:spacing w:val="-3"/>
          <w:sz w:val="23"/>
          <w:szCs w:val="23"/>
        </w:rPr>
        <w:t>对报告期内公司的有关事项均发表了独立、客观、公正的意见，对董事会决策的科学性和</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z w:val="23"/>
          <w:szCs w:val="23"/>
        </w:rPr>
        <w:t>客观性及公司的持续、健康、稳定发展起到了积极的作用。</w:t>
      </w:r>
    </w:p>
    <w:p>
      <w:pPr>
        <w:pStyle w:val="BodyText"/>
        <w:spacing w:line="304" w:lineRule="auto" w:before="12"/>
        <w:ind w:right="0" w:firstLine="480"/>
        <w:jc w:val="left"/>
      </w:pPr>
      <w:r>
        <w:rPr>
          <w:spacing w:val="-4"/>
        </w:rPr>
        <w:t>报告期内，公司其他董事均能按时出席董事会会议，客观、公正地审议会议事项，</w:t>
      </w:r>
      <w:r>
        <w:rPr>
          <w:spacing w:val="-1"/>
        </w:rPr>
        <w:t> </w:t>
      </w:r>
      <w:r>
        <w:rPr/>
        <w:t>恪尽职守、廉洁自律、忠实勤勉的履行职责，公平对待所有股东，认真地执行董事会</w:t>
      </w:r>
      <w:r>
        <w:rPr/>
        <w:t> 和股东大会决议。</w:t>
      </w:r>
    </w:p>
    <w:p>
      <w:pPr>
        <w:pStyle w:val="BodyText"/>
        <w:spacing w:line="240" w:lineRule="auto" w:before="22"/>
        <w:ind w:left="738" w:right="0"/>
        <w:jc w:val="left"/>
      </w:pPr>
      <w:r>
        <w:rPr>
          <w:rFonts w:ascii="Times New Roman" w:hAnsi="Times New Roman" w:cs="Times New Roman" w:eastAsia="Times New Roman" w:hint="default"/>
        </w:rPr>
        <w:t>2011</w:t>
      </w:r>
      <w:r>
        <w:rPr/>
        <w:t>年公司召开公司董事会会议 </w:t>
      </w:r>
      <w:r>
        <w:rPr>
          <w:rFonts w:ascii="Times New Roman" w:hAnsi="Times New Roman" w:cs="Times New Roman" w:eastAsia="Times New Roman" w:hint="default"/>
        </w:rPr>
        <w:t>8  </w:t>
      </w:r>
      <w:r>
        <w:rPr/>
        <w:t>次，其中，现场会议 </w:t>
      </w:r>
      <w:r>
        <w:rPr>
          <w:rFonts w:ascii="Times New Roman" w:hAnsi="Times New Roman" w:cs="Times New Roman" w:eastAsia="Times New Roman" w:hint="default"/>
        </w:rPr>
        <w:t>2</w:t>
      </w:r>
      <w:r>
        <w:rPr>
          <w:rFonts w:ascii="Times New Roman" w:hAnsi="Times New Roman" w:cs="Times New Roman" w:eastAsia="Times New Roman" w:hint="default"/>
          <w:spacing w:val="51"/>
        </w:rPr>
        <w:t> </w:t>
      </w:r>
      <w:r>
        <w:rPr/>
        <w:t>次，通讯方式召开会</w:t>
      </w:r>
    </w:p>
    <w:p>
      <w:pPr>
        <w:pStyle w:val="BodyText"/>
        <w:spacing w:line="319" w:lineRule="auto" w:before="67"/>
        <w:ind w:left="738" w:right="2226" w:hanging="480"/>
        <w:jc w:val="left"/>
      </w:pPr>
      <w:r>
        <w:rPr/>
        <w:t>议 </w:t>
      </w:r>
      <w:r>
        <w:rPr>
          <w:rFonts w:ascii="Times New Roman" w:hAnsi="Times New Roman" w:cs="Times New Roman" w:eastAsia="Times New Roman" w:hint="default"/>
        </w:rPr>
        <w:t>2</w:t>
      </w:r>
      <w:r>
        <w:rPr/>
        <w:t>次，现场结合通讯方式召开会议 </w:t>
      </w:r>
      <w:r>
        <w:rPr>
          <w:rFonts w:ascii="Times New Roman" w:hAnsi="Times New Roman" w:cs="Times New Roman" w:eastAsia="Times New Roman" w:hint="default"/>
        </w:rPr>
        <w:t>4 </w:t>
      </w:r>
      <w:r>
        <w:rPr/>
        <w:t>次。 各董事出席公司董事会情况：</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253" w:type="dxa"/>
        <w:tblLayout w:type="fixed"/>
        <w:tblCellMar>
          <w:top w:w="0" w:type="dxa"/>
          <w:left w:w="0" w:type="dxa"/>
          <w:bottom w:w="0" w:type="dxa"/>
          <w:right w:w="0" w:type="dxa"/>
        </w:tblCellMar>
        <w:tblLook w:val="01E0"/>
      </w:tblPr>
      <w:tblGrid>
        <w:gridCol w:w="1469"/>
        <w:gridCol w:w="1522"/>
        <w:gridCol w:w="1117"/>
        <w:gridCol w:w="1118"/>
        <w:gridCol w:w="1118"/>
        <w:gridCol w:w="1117"/>
        <w:gridCol w:w="1118"/>
        <w:gridCol w:w="1248"/>
      </w:tblGrid>
      <w:tr>
        <w:trPr>
          <w:trHeight w:val="791" w:hRule="exact"/>
        </w:trPr>
        <w:tc>
          <w:tcPr>
            <w:tcW w:w="14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董事姓名</w:t>
            </w:r>
          </w:p>
        </w:tc>
        <w:tc>
          <w:tcPr>
            <w:tcW w:w="15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94" w:right="0"/>
              <w:jc w:val="left"/>
              <w:rPr>
                <w:rFonts w:ascii="宋体" w:hAnsi="宋体" w:cs="宋体" w:eastAsia="宋体" w:hint="default"/>
                <w:sz w:val="18"/>
                <w:szCs w:val="18"/>
              </w:rPr>
            </w:pPr>
            <w:r>
              <w:rPr>
                <w:rFonts w:ascii="宋体" w:hAnsi="宋体" w:cs="宋体" w:eastAsia="宋体" w:hint="default"/>
                <w:sz w:val="18"/>
                <w:szCs w:val="18"/>
              </w:rPr>
              <w:t>具体职务</w:t>
            </w:r>
          </w:p>
        </w:tc>
        <w:tc>
          <w:tcPr>
            <w:tcW w:w="11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应出席次数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151"/>
              <w:ind w:left="463" w:right="103" w:hanging="360"/>
              <w:jc w:val="left"/>
              <w:rPr>
                <w:rFonts w:ascii="宋体" w:hAnsi="宋体" w:cs="宋体" w:eastAsia="宋体" w:hint="default"/>
                <w:sz w:val="18"/>
                <w:szCs w:val="18"/>
              </w:rPr>
            </w:pPr>
            <w:r>
              <w:rPr>
                <w:rFonts w:ascii="宋体" w:hAnsi="宋体" w:cs="宋体" w:eastAsia="宋体" w:hint="default"/>
                <w:sz w:val="18"/>
                <w:szCs w:val="18"/>
              </w:rPr>
              <w:t>现场出席次 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03" w:right="103"/>
              <w:jc w:val="center"/>
              <w:rPr>
                <w:rFonts w:ascii="宋体" w:hAnsi="宋体" w:cs="宋体" w:eastAsia="宋体" w:hint="default"/>
                <w:sz w:val="18"/>
                <w:szCs w:val="18"/>
              </w:rPr>
            </w:pPr>
            <w:r>
              <w:rPr>
                <w:rFonts w:ascii="宋体" w:hAnsi="宋体" w:cs="宋体" w:eastAsia="宋体" w:hint="default"/>
                <w:sz w:val="18"/>
                <w:szCs w:val="18"/>
              </w:rPr>
              <w:t>以通讯方式 参加会议次 数</w:t>
            </w:r>
          </w:p>
        </w:tc>
        <w:tc>
          <w:tcPr>
            <w:tcW w:w="11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151"/>
              <w:ind w:left="463" w:right="102" w:hanging="360"/>
              <w:jc w:val="left"/>
              <w:rPr>
                <w:rFonts w:ascii="宋体" w:hAnsi="宋体" w:cs="宋体" w:eastAsia="宋体" w:hint="default"/>
                <w:sz w:val="18"/>
                <w:szCs w:val="18"/>
              </w:rPr>
            </w:pPr>
            <w:r>
              <w:rPr>
                <w:rFonts w:ascii="宋体" w:hAnsi="宋体" w:cs="宋体" w:eastAsia="宋体" w:hint="default"/>
                <w:sz w:val="18"/>
                <w:szCs w:val="18"/>
              </w:rPr>
              <w:t>委托出席次 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93" w:right="0"/>
              <w:jc w:val="left"/>
              <w:rPr>
                <w:rFonts w:ascii="宋体" w:hAnsi="宋体" w:cs="宋体" w:eastAsia="宋体" w:hint="default"/>
                <w:sz w:val="18"/>
                <w:szCs w:val="18"/>
              </w:rPr>
            </w:pPr>
            <w:r>
              <w:rPr>
                <w:rFonts w:ascii="宋体" w:hAnsi="宋体" w:cs="宋体" w:eastAsia="宋体" w:hint="default"/>
                <w:sz w:val="18"/>
                <w:szCs w:val="18"/>
              </w:rPr>
              <w:t>缺席次数</w:t>
            </w:r>
          </w:p>
        </w:tc>
        <w:tc>
          <w:tcPr>
            <w:tcW w:w="12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77" w:right="78"/>
              <w:jc w:val="center"/>
              <w:rPr>
                <w:rFonts w:ascii="宋体" w:hAnsi="宋体" w:cs="宋体" w:eastAsia="宋体" w:hint="default"/>
                <w:sz w:val="18"/>
                <w:szCs w:val="18"/>
              </w:rPr>
            </w:pPr>
            <w:r>
              <w:rPr>
                <w:rFonts w:ascii="宋体" w:hAnsi="宋体" w:cs="宋体" w:eastAsia="宋体" w:hint="default"/>
                <w:sz w:val="18"/>
                <w:szCs w:val="18"/>
              </w:rPr>
              <w:t>是否连续两次 未亲自出席会 议</w:t>
            </w:r>
          </w:p>
        </w:tc>
      </w:tr>
      <w:tr>
        <w:trPr>
          <w:trHeight w:val="349"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18"/>
                <w:szCs w:val="18"/>
              </w:rPr>
            </w:pPr>
            <w:r>
              <w:rPr>
                <w:rFonts w:ascii="宋体" w:hAnsi="宋体" w:cs="宋体" w:eastAsia="宋体" w:hint="default"/>
                <w:sz w:val="18"/>
                <w:szCs w:val="18"/>
              </w:rPr>
              <w:t>吕晓义</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20"/>
                <w:szCs w:val="20"/>
              </w:rPr>
            </w:pPr>
            <w:r>
              <w:rPr>
                <w:rFonts w:ascii="Times New Roman"/>
                <w:w w:val="100"/>
                <w:sz w:val="20"/>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20"/>
                <w:szCs w:val="20"/>
              </w:rPr>
            </w:pPr>
            <w:r>
              <w:rPr>
                <w:rFonts w:ascii="Times New Roman"/>
                <w:w w:val="100"/>
                <w:sz w:val="20"/>
              </w:rPr>
              <w:t>5</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20"/>
                <w:szCs w:val="20"/>
              </w:rPr>
            </w:pPr>
            <w:r>
              <w:rPr>
                <w:rFonts w:ascii="Times New Roman"/>
                <w:w w:val="100"/>
                <w:sz w:val="20"/>
              </w:rPr>
              <w:t>3</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20"/>
                <w:szCs w:val="20"/>
              </w:rPr>
            </w:pPr>
            <w:r>
              <w:rPr>
                <w:rFonts w:ascii="Times New Roman"/>
                <w:w w:val="100"/>
                <w:sz w:val="20"/>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20"/>
                <w:szCs w:val="20"/>
              </w:rPr>
            </w:pPr>
            <w:r>
              <w:rPr>
                <w:rFonts w:ascii="Times New Roman"/>
                <w:w w:val="100"/>
                <w:sz w:val="20"/>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2" w:right="0"/>
              <w:jc w:val="lef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49"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18"/>
                <w:szCs w:val="18"/>
              </w:rPr>
            </w:pPr>
            <w:r>
              <w:rPr>
                <w:rFonts w:ascii="宋体" w:hAnsi="宋体" w:cs="宋体" w:eastAsia="宋体" w:hint="default"/>
                <w:sz w:val="18"/>
                <w:szCs w:val="18"/>
              </w:rPr>
              <w:t>何平</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20"/>
                <w:szCs w:val="20"/>
              </w:rPr>
            </w:pPr>
            <w:r>
              <w:rPr>
                <w:rFonts w:ascii="Times New Roman"/>
                <w:w w:val="100"/>
                <w:sz w:val="20"/>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20"/>
                <w:szCs w:val="20"/>
              </w:rPr>
            </w:pPr>
            <w:r>
              <w:rPr>
                <w:rFonts w:ascii="Times New Roman"/>
                <w:w w:val="100"/>
                <w:sz w:val="20"/>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20"/>
                <w:szCs w:val="20"/>
              </w:rPr>
            </w:pPr>
            <w:r>
              <w:rPr>
                <w:rFonts w:ascii="Times New Roman"/>
                <w:w w:val="100"/>
                <w:sz w:val="20"/>
              </w:rPr>
              <w:t>2</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20"/>
                <w:szCs w:val="20"/>
              </w:rPr>
            </w:pPr>
            <w:r>
              <w:rPr>
                <w:rFonts w:ascii="Times New Roman"/>
                <w:w w:val="100"/>
                <w:sz w:val="20"/>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20"/>
                <w:szCs w:val="20"/>
              </w:rPr>
            </w:pPr>
            <w:r>
              <w:rPr>
                <w:rFonts w:ascii="Times New Roman"/>
                <w:w w:val="100"/>
                <w:sz w:val="20"/>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2" w:right="0"/>
              <w:jc w:val="lef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49"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18"/>
                <w:szCs w:val="18"/>
              </w:rPr>
            </w:pPr>
            <w:r>
              <w:rPr>
                <w:rFonts w:ascii="宋体" w:hAnsi="宋体" w:cs="宋体" w:eastAsia="宋体" w:hint="default"/>
                <w:sz w:val="18"/>
                <w:szCs w:val="18"/>
              </w:rPr>
              <w:t>匡晓明</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20"/>
                <w:szCs w:val="20"/>
              </w:rPr>
            </w:pPr>
            <w:r>
              <w:rPr>
                <w:rFonts w:ascii="Times New Roman"/>
                <w:w w:val="100"/>
                <w:sz w:val="20"/>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20"/>
                <w:szCs w:val="20"/>
              </w:rPr>
            </w:pPr>
            <w:r>
              <w:rPr>
                <w:rFonts w:ascii="Times New Roman"/>
                <w:w w:val="100"/>
                <w:sz w:val="20"/>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20"/>
                <w:szCs w:val="20"/>
              </w:rPr>
            </w:pPr>
            <w:r>
              <w:rPr>
                <w:rFonts w:ascii="Times New Roman"/>
                <w:w w:val="100"/>
                <w:sz w:val="20"/>
              </w:rPr>
              <w:t>2</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20"/>
                <w:szCs w:val="20"/>
              </w:rPr>
            </w:pPr>
            <w:r>
              <w:rPr>
                <w:rFonts w:ascii="Times New Roman"/>
                <w:w w:val="100"/>
                <w:sz w:val="20"/>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20"/>
                <w:szCs w:val="20"/>
              </w:rPr>
            </w:pPr>
            <w:r>
              <w:rPr>
                <w:rFonts w:ascii="Times New Roman"/>
                <w:w w:val="100"/>
                <w:sz w:val="20"/>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2" w:right="0"/>
              <w:jc w:val="lef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18"/>
                <w:szCs w:val="18"/>
              </w:rPr>
            </w:pPr>
            <w:r>
              <w:rPr>
                <w:rFonts w:ascii="宋体" w:hAnsi="宋体" w:cs="宋体" w:eastAsia="宋体" w:hint="default"/>
                <w:sz w:val="18"/>
                <w:szCs w:val="18"/>
              </w:rPr>
              <w:t>任金生</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0"/>
                <w:szCs w:val="20"/>
              </w:rPr>
            </w:pPr>
            <w:r>
              <w:rPr>
                <w:rFonts w:ascii="Times New Roman"/>
                <w:w w:val="100"/>
                <w:sz w:val="20"/>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0"/>
                <w:szCs w:val="20"/>
              </w:rPr>
            </w:pPr>
            <w:r>
              <w:rPr>
                <w:rFonts w:ascii="Times New Roman"/>
                <w:w w:val="100"/>
                <w:sz w:val="20"/>
              </w:rPr>
              <w:t>5</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0"/>
                <w:szCs w:val="20"/>
              </w:rPr>
            </w:pPr>
            <w:r>
              <w:rPr>
                <w:rFonts w:ascii="Times New Roman"/>
                <w:w w:val="100"/>
                <w:sz w:val="20"/>
              </w:rPr>
              <w:t>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0"/>
                <w:szCs w:val="20"/>
              </w:rPr>
            </w:pPr>
            <w:r>
              <w:rPr>
                <w:rFonts w:ascii="Times New Roman"/>
                <w:w w:val="100"/>
                <w:sz w:val="20"/>
              </w:rPr>
              <w:t>1</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0"/>
                <w:szCs w:val="20"/>
              </w:rPr>
            </w:pPr>
            <w:r>
              <w:rPr>
                <w:rFonts w:ascii="Times New Roman"/>
                <w:w w:val="100"/>
                <w:sz w:val="20"/>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2" w:right="0"/>
              <w:jc w:val="left"/>
              <w:rPr>
                <w:rFonts w:ascii="宋体" w:hAnsi="宋体" w:cs="宋体" w:eastAsia="宋体" w:hint="default"/>
                <w:sz w:val="20"/>
                <w:szCs w:val="20"/>
              </w:rPr>
            </w:pPr>
            <w:r>
              <w:rPr>
                <w:rFonts w:ascii="宋体" w:hAnsi="宋体" w:cs="宋体" w:eastAsia="宋体" w:hint="default"/>
                <w:w w:val="100"/>
                <w:sz w:val="20"/>
                <w:szCs w:val="20"/>
              </w:rPr>
              <w:t>否</w:t>
            </w:r>
          </w:p>
        </w:tc>
      </w:tr>
    </w:tbl>
    <w:p>
      <w:pPr>
        <w:spacing w:after="0" w:line="240" w:lineRule="auto"/>
        <w:jc w:val="left"/>
        <w:rPr>
          <w:rFonts w:ascii="宋体" w:hAnsi="宋体" w:cs="宋体" w:eastAsia="宋体" w:hint="default"/>
          <w:sz w:val="20"/>
          <w:szCs w:val="20"/>
        </w:rPr>
        <w:sectPr>
          <w:pgSz w:w="11910" w:h="16840"/>
          <w:pgMar w:header="470" w:footer="1266" w:top="900" w:bottom="1460" w:left="1160" w:right="5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tbl>
      <w:tblPr>
        <w:tblW w:w="0" w:type="auto"/>
        <w:jc w:val="left"/>
        <w:tblInd w:w="253" w:type="dxa"/>
        <w:tblLayout w:type="fixed"/>
        <w:tblCellMar>
          <w:top w:w="0" w:type="dxa"/>
          <w:left w:w="0" w:type="dxa"/>
          <w:bottom w:w="0" w:type="dxa"/>
          <w:right w:w="0" w:type="dxa"/>
        </w:tblCellMar>
        <w:tblLook w:val="01E0"/>
      </w:tblPr>
      <w:tblGrid>
        <w:gridCol w:w="1469"/>
        <w:gridCol w:w="1522"/>
        <w:gridCol w:w="1117"/>
        <w:gridCol w:w="1118"/>
        <w:gridCol w:w="1118"/>
        <w:gridCol w:w="1117"/>
        <w:gridCol w:w="1118"/>
        <w:gridCol w:w="1248"/>
      </w:tblGrid>
      <w:tr>
        <w:trPr>
          <w:trHeight w:val="349"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18"/>
                <w:szCs w:val="18"/>
              </w:rPr>
            </w:pPr>
            <w:r>
              <w:rPr>
                <w:rFonts w:ascii="宋体" w:hAnsi="宋体" w:cs="宋体" w:eastAsia="宋体" w:hint="default"/>
                <w:sz w:val="18"/>
                <w:szCs w:val="18"/>
              </w:rPr>
              <w:t>朱天培</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20"/>
                <w:szCs w:val="20"/>
              </w:rPr>
            </w:pPr>
            <w:r>
              <w:rPr>
                <w:rFonts w:ascii="Times New Roman"/>
                <w:w w:val="100"/>
                <w:sz w:val="20"/>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20"/>
                <w:szCs w:val="20"/>
              </w:rPr>
            </w:pPr>
            <w:r>
              <w:rPr>
                <w:rFonts w:ascii="Times New Roman"/>
                <w:w w:val="100"/>
                <w:sz w:val="20"/>
              </w:rPr>
              <w:t>4</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20"/>
                <w:szCs w:val="20"/>
              </w:rPr>
            </w:pPr>
            <w:r>
              <w:rPr>
                <w:rFonts w:ascii="Times New Roman"/>
                <w:w w:val="100"/>
                <w:sz w:val="20"/>
              </w:rPr>
              <w:t>4</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20"/>
                <w:szCs w:val="20"/>
              </w:rPr>
            </w:pPr>
            <w:r>
              <w:rPr>
                <w:rFonts w:ascii="Times New Roman"/>
                <w:w w:val="100"/>
                <w:sz w:val="20"/>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20"/>
                <w:szCs w:val="20"/>
              </w:rPr>
            </w:pPr>
            <w:r>
              <w:rPr>
                <w:rFonts w:ascii="Times New Roman"/>
                <w:w w:val="100"/>
                <w:sz w:val="20"/>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2" w:right="0"/>
              <w:jc w:val="lef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49"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18"/>
                <w:szCs w:val="18"/>
              </w:rPr>
            </w:pPr>
            <w:r>
              <w:rPr>
                <w:rFonts w:ascii="宋体" w:hAnsi="宋体" w:cs="宋体" w:eastAsia="宋体" w:hint="default"/>
                <w:sz w:val="18"/>
                <w:szCs w:val="18"/>
              </w:rPr>
              <w:t>潘成东</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20"/>
                <w:szCs w:val="20"/>
              </w:rPr>
            </w:pPr>
            <w:r>
              <w:rPr>
                <w:rFonts w:ascii="Times New Roman"/>
                <w:w w:val="100"/>
                <w:sz w:val="20"/>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20"/>
                <w:szCs w:val="20"/>
              </w:rPr>
            </w:pPr>
            <w:r>
              <w:rPr>
                <w:rFonts w:ascii="Times New Roman"/>
                <w:w w:val="100"/>
                <w:sz w:val="20"/>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20"/>
                <w:szCs w:val="20"/>
              </w:rPr>
            </w:pPr>
            <w:r>
              <w:rPr>
                <w:rFonts w:ascii="Times New Roman"/>
                <w:w w:val="100"/>
                <w:sz w:val="20"/>
              </w:rPr>
              <w:t>2</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20"/>
                <w:szCs w:val="20"/>
              </w:rPr>
            </w:pPr>
            <w:r>
              <w:rPr>
                <w:rFonts w:ascii="Times New Roman"/>
                <w:w w:val="100"/>
                <w:sz w:val="20"/>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20"/>
                <w:szCs w:val="20"/>
              </w:rPr>
            </w:pPr>
            <w:r>
              <w:rPr>
                <w:rFonts w:ascii="Times New Roman"/>
                <w:w w:val="100"/>
                <w:sz w:val="20"/>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2" w:right="0"/>
              <w:jc w:val="lef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49"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18"/>
                <w:szCs w:val="18"/>
              </w:rPr>
            </w:pPr>
            <w:r>
              <w:rPr>
                <w:rFonts w:ascii="宋体" w:hAnsi="宋体" w:cs="宋体" w:eastAsia="宋体" w:hint="default"/>
                <w:sz w:val="18"/>
                <w:szCs w:val="18"/>
              </w:rPr>
              <w:t>王天广</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0"/>
                <w:szCs w:val="20"/>
              </w:rPr>
            </w:pPr>
            <w:r>
              <w:rPr>
                <w:rFonts w:ascii="Times New Roman"/>
                <w:w w:val="100"/>
                <w:sz w:val="20"/>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0"/>
                <w:szCs w:val="20"/>
              </w:rPr>
            </w:pPr>
            <w:r>
              <w:rPr>
                <w:rFonts w:ascii="Times New Roman"/>
                <w:w w:val="100"/>
                <w:sz w:val="20"/>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0"/>
                <w:szCs w:val="20"/>
              </w:rPr>
            </w:pPr>
            <w:r>
              <w:rPr>
                <w:rFonts w:ascii="Times New Roman"/>
                <w:w w:val="100"/>
                <w:sz w:val="20"/>
              </w:rPr>
              <w:t>2</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0"/>
                <w:szCs w:val="20"/>
              </w:rPr>
            </w:pPr>
            <w:r>
              <w:rPr>
                <w:rFonts w:ascii="Times New Roman"/>
                <w:w w:val="100"/>
                <w:sz w:val="20"/>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0"/>
                <w:szCs w:val="20"/>
              </w:rPr>
            </w:pPr>
            <w:r>
              <w:rPr>
                <w:rFonts w:ascii="Times New Roman"/>
                <w:w w:val="100"/>
                <w:sz w:val="20"/>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2" w:right="0"/>
              <w:jc w:val="left"/>
              <w:rPr>
                <w:rFonts w:ascii="宋体" w:hAnsi="宋体" w:cs="宋体" w:eastAsia="宋体" w:hint="default"/>
                <w:sz w:val="20"/>
                <w:szCs w:val="20"/>
              </w:rPr>
            </w:pPr>
            <w:r>
              <w:rPr>
                <w:rFonts w:ascii="宋体" w:hAnsi="宋体" w:cs="宋体" w:eastAsia="宋体" w:hint="default"/>
                <w:w w:val="100"/>
                <w:sz w:val="20"/>
                <w:szCs w:val="20"/>
              </w:rPr>
              <w:t>否</w:t>
            </w:r>
          </w:p>
        </w:tc>
      </w:tr>
    </w:tbl>
    <w:p>
      <w:pPr>
        <w:spacing w:before="10"/>
        <w:ind w:left="618" w:right="1043" w:firstLine="0"/>
        <w:jc w:val="left"/>
        <w:rPr>
          <w:rFonts w:ascii="宋体" w:hAnsi="宋体" w:cs="宋体" w:eastAsia="宋体" w:hint="default"/>
          <w:sz w:val="18"/>
          <w:szCs w:val="18"/>
        </w:rPr>
      </w:pPr>
      <w:r>
        <w:rPr>
          <w:rFonts w:ascii="宋体" w:hAnsi="宋体" w:cs="宋体" w:eastAsia="宋体" w:hint="default"/>
          <w:sz w:val="18"/>
          <w:szCs w:val="18"/>
        </w:rPr>
        <w:t>报告期内，公司独立董事未对公司本年度的董事会各项议案及其他非董事会议案事项提出异议。</w:t>
      </w:r>
    </w:p>
    <w:p>
      <w:pPr>
        <w:spacing w:line="240" w:lineRule="auto" w:before="6"/>
        <w:rPr>
          <w:rFonts w:ascii="宋体" w:hAnsi="宋体" w:cs="宋体" w:eastAsia="宋体" w:hint="default"/>
          <w:sz w:val="14"/>
          <w:szCs w:val="14"/>
        </w:rPr>
      </w:pPr>
    </w:p>
    <w:p>
      <w:pPr>
        <w:spacing w:line="396" w:lineRule="auto" w:before="0"/>
        <w:ind w:left="738" w:right="1046" w:hanging="9"/>
        <w:jc w:val="left"/>
        <w:rPr>
          <w:rFonts w:ascii="宋体" w:hAnsi="宋体" w:cs="宋体" w:eastAsia="宋体" w:hint="default"/>
          <w:sz w:val="24"/>
          <w:szCs w:val="24"/>
        </w:rPr>
      </w:pPr>
      <w:r>
        <w:rPr>
          <w:rFonts w:ascii="宋体" w:hAnsi="宋体" w:cs="宋体" w:eastAsia="宋体" w:hint="default"/>
          <w:b/>
          <w:bCs/>
          <w:sz w:val="24"/>
          <w:szCs w:val="24"/>
        </w:rPr>
        <w:t>三、公司与控股股东在业务、人员、资产、机构、财务等方面的情况</w:t>
      </w:r>
      <w:r>
        <w:rPr>
          <w:rFonts w:ascii="宋体" w:hAnsi="宋体" w:cs="宋体" w:eastAsia="宋体" w:hint="default"/>
          <w:b/>
          <w:bCs/>
          <w:spacing w:val="1"/>
          <w:w w:val="99"/>
          <w:sz w:val="24"/>
          <w:szCs w:val="24"/>
        </w:rPr>
        <w:t> </w:t>
      </w:r>
      <w:r>
        <w:rPr>
          <w:rFonts w:ascii="宋体" w:hAnsi="宋体" w:cs="宋体" w:eastAsia="宋体" w:hint="default"/>
          <w:sz w:val="24"/>
          <w:szCs w:val="24"/>
        </w:rPr>
        <w:t>公司成立以来，严格按照《公司法》和《公司章程》规范运作，逐步建立健全了</w:t>
      </w:r>
    </w:p>
    <w:p>
      <w:pPr>
        <w:pStyle w:val="BodyText"/>
        <w:spacing w:line="262" w:lineRule="exact"/>
        <w:ind w:right="1043"/>
        <w:jc w:val="left"/>
      </w:pPr>
      <w:r>
        <w:rPr/>
        <w:t>公司法人治理结构。公司无持有公司股本总额 </w:t>
      </w:r>
      <w:r>
        <w:rPr>
          <w:rFonts w:ascii="Times New Roman" w:hAnsi="Times New Roman" w:cs="Times New Roman" w:eastAsia="Times New Roman" w:hint="default"/>
        </w:rPr>
        <w:t>50 %</w:t>
      </w:r>
      <w:r>
        <w:rPr/>
        <w:t>以上的股东</w:t>
      </w:r>
      <w:r>
        <w:rPr>
          <w:rFonts w:ascii="Times New Roman" w:hAnsi="Times New Roman" w:cs="Times New Roman" w:eastAsia="Times New Roman" w:hint="default"/>
        </w:rPr>
        <w:t>,</w:t>
      </w:r>
      <w:r>
        <w:rPr/>
        <w:t>公司前三大股东吕晓</w:t>
      </w:r>
    </w:p>
    <w:p>
      <w:pPr>
        <w:pStyle w:val="BodyText"/>
        <w:spacing w:line="290" w:lineRule="auto" w:before="67"/>
        <w:ind w:right="1026"/>
        <w:jc w:val="left"/>
      </w:pPr>
      <w:r>
        <w:rPr/>
        <w:t>义、何平、匡晓明分别持有公司</w:t>
      </w:r>
      <w:r>
        <w:rPr>
          <w:rFonts w:ascii="Times New Roman" w:hAnsi="Times New Roman" w:cs="Times New Roman" w:eastAsia="Times New Roman" w:hint="default"/>
        </w:rPr>
        <w:t>26.47%</w:t>
      </w:r>
      <w:r>
        <w:rPr/>
        <w:t>，</w:t>
      </w:r>
      <w:r>
        <w:rPr>
          <w:rFonts w:ascii="Times New Roman" w:hAnsi="Times New Roman" w:cs="Times New Roman" w:eastAsia="Times New Roman" w:hint="default"/>
        </w:rPr>
        <w:t>15.56%</w:t>
      </w:r>
      <w:r>
        <w:rPr/>
        <w:t>，</w:t>
      </w:r>
      <w:r>
        <w:rPr>
          <w:rFonts w:ascii="Times New Roman" w:hAnsi="Times New Roman" w:cs="Times New Roman" w:eastAsia="Times New Roman" w:hint="default"/>
        </w:rPr>
        <w:t>12.06%</w:t>
      </w:r>
      <w:r>
        <w:rPr/>
        <w:t>的股权，均小于</w:t>
      </w:r>
      <w:r>
        <w:rPr>
          <w:rFonts w:ascii="Times New Roman" w:hAnsi="Times New Roman" w:cs="Times New Roman" w:eastAsia="Times New Roman" w:hint="default"/>
        </w:rPr>
        <w:t>50%</w:t>
      </w:r>
      <w:r>
        <w:rPr/>
        <w:t>，不能 单独对股东大会产生重大影响。</w:t>
      </w:r>
    </w:p>
    <w:p>
      <w:pPr>
        <w:pStyle w:val="BodyText"/>
        <w:spacing w:line="304" w:lineRule="auto" w:before="35"/>
        <w:ind w:right="1065" w:firstLine="480"/>
        <w:jc w:val="both"/>
      </w:pPr>
      <w:r>
        <w:rPr/>
        <w:t>公司主要股东能严格规范自己的行为，没有超越公司股东大会直接或间接干预公 司的决策和经营活动的行为。公司拥有独立的业务和经营自主能力，在业务、人员、 资产、机构、财务等方面与主要股东（自然人）相互独立，公司具有独立完整的业务 及自主经营能力。</w:t>
      </w:r>
    </w:p>
    <w:p>
      <w:pPr>
        <w:pStyle w:val="BodyText"/>
        <w:spacing w:line="290" w:lineRule="auto" w:before="20"/>
        <w:ind w:right="1043" w:firstLine="480"/>
        <w:jc w:val="both"/>
      </w:pPr>
      <w:r>
        <w:rPr>
          <w:rFonts w:ascii="Times New Roman" w:hAnsi="Times New Roman" w:cs="Times New Roman" w:eastAsia="Times New Roman" w:hint="default"/>
          <w:spacing w:val="-4"/>
        </w:rPr>
        <w:t>1</w:t>
      </w:r>
      <w:r>
        <w:rPr>
          <w:spacing w:val="-4"/>
        </w:rPr>
        <w:t>、业务：公司业务独立于主要股东，拥有独立完整的供应、生产和销售系统，独</w:t>
      </w:r>
      <w:r>
        <w:rPr/>
        <w:t> 立开展业务，不依赖于股东或其它任何关联方。</w:t>
      </w:r>
    </w:p>
    <w:p>
      <w:pPr>
        <w:pStyle w:val="BodyText"/>
        <w:spacing w:line="297" w:lineRule="auto" w:before="35"/>
        <w:ind w:right="923" w:firstLine="480"/>
        <w:jc w:val="both"/>
      </w:pPr>
      <w:r>
        <w:rPr>
          <w:rFonts w:ascii="Times New Roman" w:hAnsi="Times New Roman" w:cs="Times New Roman" w:eastAsia="Times New Roman" w:hint="default"/>
          <w:spacing w:val="-3"/>
        </w:rPr>
        <w:t>2</w:t>
      </w:r>
      <w:r>
        <w:rPr>
          <w:spacing w:val="-3"/>
        </w:rPr>
        <w:t>、人员：公司总经理、副总经理、董事会秘书等高级管理人员和财务人员均专职</w:t>
      </w:r>
      <w:r>
        <w:rPr/>
        <w:t> 在本公司工作并在本公司领取薪酬，未在其他企业中领取薪酬。公司严格执行有关的 </w:t>
      </w:r>
      <w:r>
        <w:rPr>
          <w:spacing w:val="-10"/>
        </w:rPr>
        <w:t>工资制度，独立发放员工工资。公司的董事、监事、高级管理人员严格按照《公司法》、</w:t>
      </w:r>
    </w:p>
    <w:p>
      <w:pPr>
        <w:pStyle w:val="BodyText"/>
        <w:spacing w:line="240" w:lineRule="auto" w:before="28"/>
        <w:ind w:right="1043"/>
        <w:jc w:val="left"/>
      </w:pPr>
      <w:r>
        <w:rPr/>
        <w:t>《公司章程》等有关规定产生。</w:t>
      </w:r>
    </w:p>
    <w:p>
      <w:pPr>
        <w:pStyle w:val="BodyText"/>
        <w:spacing w:line="302" w:lineRule="auto" w:before="85"/>
        <w:ind w:right="1043" w:firstLine="480"/>
        <w:jc w:val="both"/>
      </w:pPr>
      <w:r>
        <w:rPr>
          <w:rFonts w:ascii="Times New Roman" w:hAnsi="Times New Roman" w:cs="Times New Roman" w:eastAsia="Times New Roman" w:hint="default"/>
          <w:spacing w:val="-4"/>
        </w:rPr>
        <w:t>3</w:t>
      </w:r>
      <w:r>
        <w:rPr>
          <w:spacing w:val="-4"/>
        </w:rPr>
        <w:t>、资产：本公司系由有限责任公司整体变更而来，原有限责任公司的资产和人员</w:t>
      </w:r>
      <w:r>
        <w:rPr>
          <w:spacing w:val="-1"/>
        </w:rPr>
        <w:t> </w:t>
      </w:r>
      <w:r>
        <w:rPr/>
        <w:t>全部进入股份公司，拥有独立完整的经营资产。整体变更后，公司依法办理了相关资</w:t>
      </w:r>
      <w:r>
        <w:rPr/>
        <w:t> 产和产权的变更登记，公司具备与生产经营有关的生产系统、辅助生产系统和配套设 施，合法拥有与生产经营有关的土地、厂房、机器设备以及商标、专利、非专利技术 的所有权或使用权，具有独立的原料采购和产品销售系统。主要股东不存在占用公司 的资金、资产和其他资源的情况。</w:t>
      </w:r>
    </w:p>
    <w:p>
      <w:pPr>
        <w:pStyle w:val="BodyText"/>
        <w:spacing w:line="290" w:lineRule="auto" w:before="23"/>
        <w:ind w:right="1043" w:firstLine="480"/>
        <w:jc w:val="both"/>
      </w:pPr>
      <w:r>
        <w:rPr>
          <w:rFonts w:ascii="Times New Roman" w:hAnsi="Times New Roman" w:cs="Times New Roman" w:eastAsia="Times New Roman" w:hint="default"/>
          <w:spacing w:val="-3"/>
        </w:rPr>
        <w:t>4</w:t>
      </w:r>
      <w:r>
        <w:rPr>
          <w:spacing w:val="-3"/>
        </w:rPr>
        <w:t>、机构：公司根据经营发展的需要，建立了符合公司实际情况的独立、健全的内</w:t>
      </w:r>
      <w:r>
        <w:rPr/>
        <w:t> 部经营管理机构，独立行使经营管理职权，未与主要股东合署办公。</w:t>
      </w:r>
    </w:p>
    <w:p>
      <w:pPr>
        <w:pStyle w:val="BodyText"/>
        <w:spacing w:line="288" w:lineRule="auto" w:before="35"/>
        <w:ind w:right="1043" w:firstLine="480"/>
        <w:jc w:val="both"/>
      </w:pPr>
      <w:r>
        <w:rPr>
          <w:rFonts w:ascii="Times New Roman" w:hAnsi="Times New Roman" w:cs="Times New Roman" w:eastAsia="Times New Roman" w:hint="default"/>
          <w:spacing w:val="-4"/>
        </w:rPr>
        <w:t>5</w:t>
      </w:r>
      <w:r>
        <w:rPr>
          <w:spacing w:val="-4"/>
        </w:rPr>
        <w:t>、财务：公司有独立的财务会计部门，建立了独立的会计核算体系和财务管理制</w:t>
      </w:r>
      <w:r>
        <w:rPr>
          <w:spacing w:val="-1"/>
        </w:rPr>
        <w:t> </w:t>
      </w:r>
      <w:r>
        <w:rPr/>
        <w:t>度，独立进行财务决策。公司独立开设银行账户，独立纳税。</w:t>
      </w:r>
    </w:p>
    <w:p>
      <w:pPr>
        <w:spacing w:line="396" w:lineRule="auto" w:before="158"/>
        <w:ind w:left="738" w:right="0" w:hanging="9"/>
        <w:jc w:val="left"/>
        <w:rPr>
          <w:rFonts w:ascii="宋体" w:hAnsi="宋体" w:cs="宋体" w:eastAsia="宋体" w:hint="default"/>
          <w:sz w:val="24"/>
          <w:szCs w:val="24"/>
        </w:rPr>
      </w:pPr>
      <w:r>
        <w:rPr>
          <w:rFonts w:ascii="宋体" w:hAnsi="宋体" w:cs="宋体" w:eastAsia="宋体" w:hint="default"/>
          <w:b/>
          <w:bCs/>
          <w:sz w:val="24"/>
          <w:szCs w:val="24"/>
        </w:rPr>
        <w:t>四、公司内部控制的建立和健全情况</w:t>
      </w:r>
      <w:r>
        <w:rPr>
          <w:rFonts w:ascii="宋体" w:hAnsi="宋体" w:cs="宋体" w:eastAsia="宋体" w:hint="default"/>
          <w:b/>
          <w:bCs/>
          <w:w w:val="99"/>
          <w:sz w:val="24"/>
          <w:szCs w:val="24"/>
        </w:rPr>
        <w:t> </w:t>
      </w:r>
      <w:r>
        <w:rPr>
          <w:rFonts w:ascii="宋体" w:hAnsi="宋体" w:cs="宋体" w:eastAsia="宋体" w:hint="default"/>
          <w:spacing w:val="-4"/>
          <w:sz w:val="24"/>
          <w:szCs w:val="24"/>
        </w:rPr>
        <w:t>公司目前已基本建立较为健全的内部控制制度，整套内部控制制度包括法人治理、</w:t>
      </w:r>
      <w:r>
        <w:rPr>
          <w:rFonts w:ascii="宋体" w:hAnsi="宋体" w:cs="宋体" w:eastAsia="宋体" w:hint="default"/>
          <w:sz w:val="24"/>
          <w:szCs w:val="24"/>
        </w:rPr>
      </w:r>
    </w:p>
    <w:p>
      <w:pPr>
        <w:pStyle w:val="BodyText"/>
        <w:spacing w:line="244" w:lineRule="exact"/>
        <w:ind w:right="0"/>
        <w:jc w:val="left"/>
      </w:pPr>
      <w:r>
        <w:rPr/>
        <w:t>财务管理、生产经营、科研开发、行政及人力资源管理、信息披露等方面。在此基础</w:t>
      </w:r>
    </w:p>
    <w:p>
      <w:pPr>
        <w:pStyle w:val="BodyText"/>
        <w:spacing w:line="304" w:lineRule="auto" w:before="86"/>
        <w:ind w:right="0"/>
        <w:jc w:val="left"/>
      </w:pPr>
      <w:r>
        <w:rPr/>
        <w:t>上，依据相关法律法规，形成了一套相对完善的内部控制体系，该体系涵盖了融资、 </w:t>
      </w:r>
      <w:r>
        <w:rPr>
          <w:spacing w:val="-4"/>
        </w:rPr>
        <w:t>销售及收款、采购及付款、固定资产管理、货币资金管理、行政人事管理、会计控制、</w:t>
      </w:r>
    </w:p>
    <w:p>
      <w:pPr>
        <w:spacing w:after="0" w:line="304" w:lineRule="auto"/>
        <w:jc w:val="left"/>
        <w:sectPr>
          <w:pgSz w:w="11910" w:h="16840"/>
          <w:pgMar w:header="470" w:footer="1266" w:top="900" w:bottom="1460" w:left="1160" w:right="5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304" w:lineRule="auto" w:before="26"/>
        <w:ind w:right="245"/>
        <w:jc w:val="both"/>
      </w:pPr>
      <w:r>
        <w:rPr/>
        <w:t>财务管理、信息披露管理等诸多业务经营活动环节，包括授权、职责划分、业务流程 与操作规程、业务记录、规章制度、控制标准等，基本涵盖公司经营管理的各层面和 各主要业务环节。公司内部控制制度建立健全具体情况如下：</w:t>
      </w:r>
    </w:p>
    <w:p>
      <w:pPr>
        <w:pStyle w:val="BodyText"/>
        <w:spacing w:line="540" w:lineRule="atLeast" w:before="116"/>
        <w:ind w:left="738" w:right="94"/>
        <w:jc w:val="left"/>
      </w:pPr>
      <w:r>
        <w:rPr/>
        <w:t>一）内部环境 </w:t>
      </w:r>
      <w:r>
        <w:rPr>
          <w:spacing w:val="-3"/>
        </w:rPr>
        <w:t>内部环境是企业实施内部控制的基础，一般包括治理结构、机构设置及权责分配、</w:t>
      </w:r>
    </w:p>
    <w:p>
      <w:pPr>
        <w:pStyle w:val="BodyText"/>
        <w:spacing w:line="304" w:lineRule="auto" w:before="85"/>
        <w:ind w:right="245"/>
        <w:jc w:val="both"/>
      </w:pPr>
      <w:r>
        <w:rPr/>
        <w:t>内部审计、人力资源政策、企业文化等。内部环境的好坏直接决定着企业其他控制能 否实施以及实施的效果。本公司作为上市公司，本着规范运作的基本思想，积极地创 造良好的内部环境，主要表现在以下几个方面：</w:t>
      </w:r>
    </w:p>
    <w:p>
      <w:pPr>
        <w:pStyle w:val="BodyText"/>
        <w:spacing w:line="240" w:lineRule="auto" w:before="20"/>
        <w:ind w:left="738" w:right="235"/>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rFonts w:ascii="Times New Roman" w:hAnsi="Times New Roman" w:cs="Times New Roman" w:eastAsia="Times New Roman" w:hint="default"/>
          <w:spacing w:val="45"/>
        </w:rPr>
        <w:t> </w:t>
      </w:r>
      <w:r>
        <w:rPr/>
        <w:t>治理结构、机构设置及权责分配</w:t>
      </w:r>
    </w:p>
    <w:p>
      <w:pPr>
        <w:pStyle w:val="BodyText"/>
        <w:spacing w:line="240" w:lineRule="auto" w:before="68"/>
        <w:ind w:left="738" w:right="235"/>
        <w:jc w:val="left"/>
      </w:pPr>
      <w:r>
        <w:rPr>
          <w:rFonts w:ascii="Times New Roman" w:hAnsi="Times New Roman" w:cs="Times New Roman" w:eastAsia="Times New Roman" w:hint="default"/>
        </w:rPr>
        <w:t>1.</w:t>
      </w:r>
      <w:r>
        <w:rPr/>
        <w:t>公司治理结构及组织结构框架</w:t>
      </w:r>
    </w:p>
    <w:p>
      <w:pPr>
        <w:pStyle w:val="BodyText"/>
        <w:spacing w:line="288" w:lineRule="auto" w:before="67"/>
        <w:ind w:left="738" w:right="228"/>
        <w:jc w:val="left"/>
      </w:pPr>
      <w:r>
        <w:rPr/>
        <w:t>（</w:t>
      </w:r>
      <w:r>
        <w:rPr>
          <w:rFonts w:ascii="Times New Roman" w:hAnsi="Times New Roman" w:cs="Times New Roman" w:eastAsia="Times New Roman" w:hint="default"/>
        </w:rPr>
        <w:t>1</w:t>
      </w:r>
      <w:r>
        <w:rPr/>
        <w:t>）公司治理结构 </w:t>
      </w:r>
      <w:r>
        <w:rPr>
          <w:spacing w:val="-19"/>
        </w:rPr>
        <w:t>本公司严格按照《公司法》、《证券法》、《上市公司治理准则》、《深圳证券交易所</w:t>
      </w:r>
    </w:p>
    <w:p>
      <w:pPr>
        <w:pStyle w:val="BodyText"/>
        <w:spacing w:line="304" w:lineRule="auto" w:before="38"/>
        <w:ind w:right="245"/>
        <w:jc w:val="both"/>
      </w:pPr>
      <w:r>
        <w:rPr/>
        <w:t>股票上市规则》和其他有关法律、法规及规定的要求，不断完善法人治理结构，建立 现代企业制度和规范公司运作，公司法人治理结构已符合《上市公司治理准则》的要 求。</w:t>
      </w:r>
    </w:p>
    <w:p>
      <w:pPr>
        <w:pStyle w:val="BodyText"/>
        <w:spacing w:line="304" w:lineRule="auto" w:before="22"/>
        <w:ind w:right="100" w:firstLine="480"/>
        <w:jc w:val="left"/>
      </w:pPr>
      <w:r>
        <w:rPr/>
        <w:t>股东大会：本公司自上市以来召开的股东大会均由董事会召集召开，并按照《公 </w:t>
      </w:r>
      <w:r>
        <w:rPr>
          <w:spacing w:val="-3"/>
        </w:rPr>
        <w:t>司章程》规定由董事长主持，股东大会均请见证律师进行现场见证。股东大会的召集、</w:t>
      </w:r>
      <w:r>
        <w:rPr>
          <w:spacing w:val="-107"/>
        </w:rPr>
        <w:t> </w:t>
      </w:r>
      <w:r>
        <w:rPr>
          <w:spacing w:val="-107"/>
        </w:rPr>
      </w:r>
      <w:r>
        <w:rPr>
          <w:spacing w:val="-7"/>
        </w:rPr>
        <w:t>召开程序符合《公司法》、《上市公司股东大会规则》和深交所中小企业板相关要求以</w:t>
      </w:r>
      <w:r>
        <w:rPr>
          <w:spacing w:val="-94"/>
        </w:rPr>
        <w:t> </w:t>
      </w:r>
      <w:r>
        <w:rPr>
          <w:spacing w:val="-94"/>
        </w:rPr>
      </w:r>
      <w:r>
        <w:rPr/>
        <w:t>及《公司章程》规定。自本公司成立以来未发生单独或合并持有本公司有表决权股份 总数</w:t>
      </w:r>
      <w:r>
        <w:rPr>
          <w:rFonts w:ascii="Times New Roman" w:hAnsi="Times New Roman" w:cs="Times New Roman" w:eastAsia="Times New Roman" w:hint="default"/>
        </w:rPr>
        <w:t>10%</w:t>
      </w:r>
      <w:r>
        <w:rPr/>
        <w:t>以上的股东请求召开临时股东大会的情形，也无应监事会提议召开的股东大 </w:t>
      </w:r>
      <w:r>
        <w:rPr>
          <w:spacing w:val="-7"/>
        </w:rPr>
        <w:t>会。按照《公司法》、《公司章程》的规定应由股东大会审议的重大事项，本公司均通</w:t>
      </w:r>
      <w:r>
        <w:rPr>
          <w:spacing w:val="-94"/>
        </w:rPr>
        <w:t> </w:t>
      </w:r>
      <w:r>
        <w:rPr>
          <w:spacing w:val="-94"/>
        </w:rPr>
      </w:r>
      <w:r>
        <w:rPr/>
        <w:t>过股东大会审议，不存在绕过股东大会的情况，也不存在先实施后审议的情况。本公 司召开的股东大会亦不存在违反《上市公司股东大会规则》的其他情形，能够平等对 待所有股东，保障中小股东享有平等地位，上市后多次股东大会采用现场会议与网络 投票相结合的方式，确保所有股东特别是中小股东能够充分行使自己的权利。</w:t>
      </w:r>
    </w:p>
    <w:p>
      <w:pPr>
        <w:pStyle w:val="BodyText"/>
        <w:spacing w:line="302" w:lineRule="auto" w:before="20"/>
        <w:ind w:right="223" w:firstLine="480"/>
        <w:jc w:val="both"/>
      </w:pPr>
      <w:r>
        <w:rPr/>
        <w:t>董事会：公司董事会由 </w:t>
      </w:r>
      <w:r>
        <w:rPr>
          <w:rFonts w:ascii="Times New Roman" w:hAnsi="Times New Roman" w:cs="Times New Roman" w:eastAsia="Times New Roman" w:hint="default"/>
        </w:rPr>
        <w:t>7 </w:t>
      </w:r>
      <w:r>
        <w:rPr/>
        <w:t>名董事组成，其中独立董事</w:t>
      </w:r>
      <w:r>
        <w:rPr>
          <w:rFonts w:ascii="Times New Roman" w:hAnsi="Times New Roman" w:cs="Times New Roman" w:eastAsia="Times New Roman" w:hint="default"/>
        </w:rPr>
        <w:t>3</w:t>
      </w:r>
      <w:r>
        <w:rPr/>
        <w:t>名。公司能严格按照《公 </w:t>
      </w:r>
      <w:r>
        <w:rPr>
          <w:spacing w:val="-7"/>
        </w:rPr>
        <w:t>司法》、《公司章程》的规定和程序选聘董事，并根据《关于在上市公司建立独立董事</w:t>
      </w:r>
      <w:r>
        <w:rPr>
          <w:spacing w:val="-94"/>
        </w:rPr>
        <w:t> </w:t>
      </w:r>
      <w:r>
        <w:rPr>
          <w:spacing w:val="-94"/>
        </w:rPr>
      </w:r>
      <w:r>
        <w:rPr>
          <w:spacing w:val="-6"/>
        </w:rPr>
        <w:t>制度的指导意见》引入独立董事，建立了《独立董事工作制度》，董事会的人数和人员</w:t>
      </w:r>
      <w:r>
        <w:rPr>
          <w:spacing w:val="-116"/>
        </w:rPr>
        <w:t> </w:t>
      </w:r>
      <w:r>
        <w:rPr>
          <w:spacing w:val="-116"/>
        </w:rPr>
      </w:r>
      <w:r>
        <w:rPr/>
        <w:t>构成符合法律法规的要求。公司董事会会议的召集、召开程序符合《深圳证券交易所 </w:t>
      </w:r>
      <w:r>
        <w:rPr>
          <w:spacing w:val="-7"/>
        </w:rPr>
        <w:t>股票上市规则》、《公司章程》及《董事会议事规则》的相关规定。公司在董事会下设</w:t>
      </w:r>
      <w:r>
        <w:rPr>
          <w:spacing w:val="-94"/>
        </w:rPr>
        <w:t> </w:t>
      </w:r>
      <w:r>
        <w:rPr>
          <w:spacing w:val="-94"/>
        </w:rPr>
      </w:r>
      <w:r>
        <w:rPr/>
        <w:t>置审计、提名、薪酬与考核、战略等四个专门委员会，董事会建设合理；公司全体董 </w:t>
      </w:r>
      <w:r>
        <w:rPr>
          <w:spacing w:val="-7"/>
        </w:rPr>
        <w:t>事能严格按照《公司法》、《深圳证券交易所中小企业板块上市公司董事行为指引》及</w:t>
      </w:r>
    </w:p>
    <w:p>
      <w:pPr>
        <w:pStyle w:val="BodyText"/>
        <w:spacing w:line="240" w:lineRule="auto" w:before="23"/>
        <w:ind w:right="0"/>
        <w:jc w:val="both"/>
      </w:pPr>
      <w:r>
        <w:rPr/>
        <w:t>《公司章程》的规定和要求，履行董事职责，遵守董事行为规范，积极参加中国证监</w:t>
      </w:r>
    </w:p>
    <w:p>
      <w:pPr>
        <w:spacing w:after="0" w:line="240" w:lineRule="auto"/>
        <w:jc w:val="both"/>
        <w:sectPr>
          <w:footerReference w:type="default" r:id="rId14"/>
          <w:pgSz w:w="11910" w:h="16840"/>
          <w:pgMar w:footer="1266" w:header="470" w:top="900" w:bottom="1460" w:left="1160" w:right="1360"/>
          <w:pgNumType w:start="21"/>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304" w:lineRule="auto" w:before="26"/>
        <w:ind w:left="498" w:right="305"/>
        <w:jc w:val="both"/>
      </w:pPr>
      <w:r>
        <w:rPr/>
        <w:t>会深圳监管局组织的上市公司董事、监事、高级管理人员培训学习，提高规范运作水 平。公司董事会各成员都能勤勉尽责，认真履行《公司章程》赋予的职权，并积极参 加公司历次董事会，对公司董事会的科学决策、促进公司的良性发展起到了积极的作 用，在董事会会议投票表决重大事项或其他对公司有重大影响的事项时，严格遵循公 司董事会议事规则的有关审议规定，审慎决策，切实维护了中小股东的利益。</w:t>
      </w:r>
    </w:p>
    <w:p>
      <w:pPr>
        <w:pStyle w:val="BodyText"/>
        <w:spacing w:line="304" w:lineRule="auto" w:before="20"/>
        <w:ind w:left="498" w:right="160" w:firstLine="480"/>
        <w:jc w:val="left"/>
      </w:pPr>
      <w:r>
        <w:rPr/>
        <w:t>监事会：公司监事会由</w:t>
      </w:r>
      <w:r>
        <w:rPr>
          <w:rFonts w:ascii="Times New Roman" w:hAnsi="Times New Roman" w:cs="Times New Roman" w:eastAsia="Times New Roman" w:hint="default"/>
        </w:rPr>
        <w:t>3</w:t>
      </w:r>
      <w:r>
        <w:rPr/>
        <w:t>名监事组成，其中职工监事</w:t>
      </w:r>
      <w:r>
        <w:rPr>
          <w:rFonts w:ascii="Times New Roman" w:hAnsi="Times New Roman" w:cs="Times New Roman" w:eastAsia="Times New Roman" w:hint="default"/>
        </w:rPr>
        <w:t>1</w:t>
      </w:r>
      <w:r>
        <w:rPr/>
        <w:t>名。公司能严格按照《公司 </w:t>
      </w:r>
      <w:r>
        <w:rPr>
          <w:spacing w:val="-13"/>
        </w:rPr>
        <w:t>法》、《公司章程》、《监事会议事规则》等法律法规的规定选聘监事，监事会的人数和</w:t>
      </w:r>
      <w:r>
        <w:rPr>
          <w:spacing w:val="-93"/>
        </w:rPr>
        <w:t> </w:t>
      </w:r>
      <w:r>
        <w:rPr>
          <w:spacing w:val="-93"/>
        </w:rPr>
      </w:r>
      <w:r>
        <w:rPr/>
        <w:t>人员构成符合法律法规的要求。公司监事会会议的召集、召开程序符合《深圳证券交 </w:t>
      </w:r>
      <w:r>
        <w:rPr>
          <w:spacing w:val="-23"/>
        </w:rPr>
        <w:t>易所股票上市规则》、《公司章程》、</w:t>
      </w:r>
      <w:r>
        <w:rPr>
          <w:spacing w:val="-35"/>
        </w:rPr>
        <w:t> </w:t>
      </w:r>
      <w:r>
        <w:rPr>
          <w:spacing w:val="-3"/>
        </w:rPr>
        <w:t>《监事会议事规则》的有关规定。</w:t>
      </w:r>
      <w:r>
        <w:rPr>
          <w:spacing w:val="-15"/>
        </w:rPr>
        <w:t> </w:t>
      </w:r>
      <w:r>
        <w:rPr/>
        <w:t>公司监事能够</w:t>
      </w:r>
      <w:r>
        <w:rPr>
          <w:spacing w:val="-113"/>
        </w:rPr>
        <w:t> </w:t>
      </w:r>
      <w:r>
        <w:rPr>
          <w:spacing w:val="-113"/>
        </w:rPr>
      </w:r>
      <w:r>
        <w:rPr>
          <w:spacing w:val="-3"/>
        </w:rPr>
        <w:t>依据《监事会议事规则》等制度，认真履行自己的职责，能够本着对股东负责的精神，</w:t>
      </w:r>
      <w:r>
        <w:rPr>
          <w:spacing w:val="-108"/>
        </w:rPr>
        <w:t> </w:t>
      </w:r>
      <w:r>
        <w:rPr>
          <w:spacing w:val="-108"/>
        </w:rPr>
      </w:r>
      <w:r>
        <w:rPr/>
        <w:t>认真审核公司季度、半年度、年度财务报表、利润分配方案等事项，对公司董事、总 经理、副总经理、财务负责人和董事会秘书等高级管理人员履行职责的合法合规性进 </w:t>
      </w:r>
      <w:r>
        <w:rPr>
          <w:spacing w:val="-3"/>
        </w:rPr>
        <w:t>行监督，对公司重大投资、重大财务决策事项进行监督，对公司财务状况和经营成果、</w:t>
      </w:r>
      <w:r>
        <w:rPr>
          <w:spacing w:val="-107"/>
        </w:rPr>
        <w:t> </w:t>
      </w:r>
      <w:r>
        <w:rPr>
          <w:spacing w:val="-107"/>
        </w:rPr>
      </w:r>
      <w:r>
        <w:rPr>
          <w:spacing w:val="-3"/>
        </w:rPr>
        <w:t>收购、出售资产情况、关联交易以及公司董事的选举、高级管理人员的聘任履行程序、</w:t>
      </w:r>
      <w:r>
        <w:rPr>
          <w:spacing w:val="-107"/>
        </w:rPr>
        <w:t> </w:t>
      </w:r>
      <w:r>
        <w:rPr>
          <w:spacing w:val="-107"/>
        </w:rPr>
      </w:r>
      <w:r>
        <w:rPr/>
        <w:t>职责的合法、合规性进行监督，并多次发表意见，维护公司及股东的合法权益。</w:t>
      </w:r>
    </w:p>
    <w:p>
      <w:pPr>
        <w:pStyle w:val="BodyText"/>
        <w:spacing w:line="304" w:lineRule="auto" w:before="22"/>
        <w:ind w:left="498" w:right="160" w:firstLine="480"/>
        <w:jc w:val="left"/>
      </w:pPr>
      <w:r>
        <w:rPr/>
        <w:t>本公司总经理负责主持公司的生产经营管理工作，公司实行总经理负责制，重大 </w:t>
      </w:r>
      <w:r>
        <w:rPr>
          <w:spacing w:val="-4"/>
        </w:rPr>
        <w:t>问题由总经理提交总经理办公会议讨论。本公司总经理严格执行《总经理工作细则》，</w:t>
      </w:r>
      <w:r>
        <w:rPr>
          <w:spacing w:val="-88"/>
        </w:rPr>
        <w:t> </w:t>
      </w:r>
      <w:r>
        <w:rPr>
          <w:spacing w:val="-88"/>
        </w:rPr>
      </w:r>
      <w:r>
        <w:rPr/>
        <w:t>公司高级管理人员依法执行其权利及义务，股东权益、公司利益和职工的合法权益得 到保障。</w:t>
      </w:r>
    </w:p>
    <w:p>
      <w:pPr>
        <w:pStyle w:val="BodyText"/>
        <w:spacing w:line="240" w:lineRule="auto" w:before="20"/>
        <w:ind w:left="978" w:right="160"/>
        <w:jc w:val="left"/>
      </w:pPr>
      <w:r>
        <w:rPr/>
        <w:t>（</w:t>
      </w:r>
      <w:r>
        <w:rPr>
          <w:rFonts w:ascii="Times New Roman" w:hAnsi="Times New Roman" w:cs="Times New Roman" w:eastAsia="Times New Roman" w:hint="default"/>
        </w:rPr>
        <w:t>2</w:t>
      </w:r>
      <w:r>
        <w:rPr/>
        <w:t>）组织机构图</w:t>
      </w:r>
    </w:p>
    <w:p>
      <w:pPr>
        <w:spacing w:line="240" w:lineRule="auto" w:before="2"/>
        <w:rPr>
          <w:rFonts w:ascii="宋体" w:hAnsi="宋体" w:cs="宋体" w:eastAsia="宋体" w:hint="default"/>
          <w:sz w:val="7"/>
          <w:szCs w:val="7"/>
        </w:rPr>
      </w:pPr>
    </w:p>
    <w:p>
      <w:pPr>
        <w:spacing w:line="5362" w:lineRule="exact"/>
        <w:ind w:left="101" w:right="0" w:firstLine="0"/>
        <w:rPr>
          <w:rFonts w:ascii="宋体" w:hAnsi="宋体" w:cs="宋体" w:eastAsia="宋体" w:hint="default"/>
          <w:sz w:val="20"/>
          <w:szCs w:val="20"/>
        </w:rPr>
      </w:pPr>
      <w:r>
        <w:rPr>
          <w:rFonts w:ascii="宋体" w:hAnsi="宋体" w:cs="宋体" w:eastAsia="宋体" w:hint="default"/>
          <w:position w:val="-106"/>
          <w:sz w:val="20"/>
          <w:szCs w:val="20"/>
        </w:rPr>
        <w:drawing>
          <wp:inline distT="0" distB="0" distL="0" distR="0">
            <wp:extent cx="5927743" cy="3405187"/>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15" cstate="print"/>
                    <a:stretch>
                      <a:fillRect/>
                    </a:stretch>
                  </pic:blipFill>
                  <pic:spPr>
                    <a:xfrm>
                      <a:off x="0" y="0"/>
                      <a:ext cx="5927743" cy="3405187"/>
                    </a:xfrm>
                    <a:prstGeom prst="rect">
                      <a:avLst/>
                    </a:prstGeom>
                  </pic:spPr>
                </pic:pic>
              </a:graphicData>
            </a:graphic>
          </wp:inline>
        </w:drawing>
      </w:r>
      <w:r>
        <w:rPr>
          <w:rFonts w:ascii="宋体" w:hAnsi="宋体" w:cs="宋体" w:eastAsia="宋体" w:hint="default"/>
          <w:position w:val="-106"/>
          <w:sz w:val="20"/>
          <w:szCs w:val="20"/>
        </w:rPr>
      </w:r>
    </w:p>
    <w:p>
      <w:pPr>
        <w:spacing w:after="0" w:line="5362" w:lineRule="exact"/>
        <w:rPr>
          <w:rFonts w:ascii="宋体" w:hAnsi="宋体" w:cs="宋体" w:eastAsia="宋体" w:hint="default"/>
          <w:sz w:val="20"/>
          <w:szCs w:val="20"/>
        </w:rPr>
        <w:sectPr>
          <w:pgSz w:w="11910" w:h="16840"/>
          <w:pgMar w:header="470" w:footer="1266" w:top="900" w:bottom="1460" w:left="920" w:right="130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288" w:lineRule="auto" w:before="26"/>
        <w:ind w:left="738" w:right="226"/>
        <w:jc w:val="left"/>
      </w:pPr>
      <w:r>
        <w:rPr/>
        <w:t>（</w:t>
      </w:r>
      <w:r>
        <w:rPr>
          <w:rFonts w:ascii="Times New Roman" w:hAnsi="Times New Roman" w:cs="Times New Roman" w:eastAsia="Times New Roman" w:hint="default"/>
        </w:rPr>
        <w:t>3</w:t>
      </w:r>
      <w:r>
        <w:rPr/>
        <w:t>）公司职能部门设置及职责分配 本公司根据经营业务及管理的需要设置的部门有：市场部、采购部、计划部、各</w:t>
      </w:r>
    </w:p>
    <w:p>
      <w:pPr>
        <w:pStyle w:val="BodyText"/>
        <w:spacing w:line="304" w:lineRule="auto" w:before="37"/>
        <w:ind w:right="245"/>
        <w:jc w:val="both"/>
      </w:pPr>
      <w:r>
        <w:rPr/>
        <w:t>生产车间、技术部、人力资源部、财务部、行政部、证券部、审计室等职能部门并制 定了相应的岗位职责。各职能部门分工明确、各负其责，相互协作、相互牵制、相互 监督。</w:t>
      </w:r>
    </w:p>
    <w:p>
      <w:pPr>
        <w:pStyle w:val="BodyText"/>
        <w:spacing w:line="307" w:lineRule="auto" w:before="20"/>
        <w:ind w:right="245" w:firstLine="480"/>
        <w:jc w:val="both"/>
      </w:pPr>
      <w:r>
        <w:rPr/>
        <w:t>本公司部门职责文件规定了各部门工作职责及工作程序，上述主要部门的职责、 工作程序及运行情况概述如下：</w:t>
      </w:r>
    </w:p>
    <w:p>
      <w:pPr>
        <w:pStyle w:val="BodyText"/>
        <w:spacing w:line="304" w:lineRule="auto" w:before="18"/>
        <w:ind w:right="238" w:firstLine="482"/>
        <w:jc w:val="both"/>
      </w:pPr>
      <w:r>
        <w:rPr>
          <w:rFonts w:ascii="宋体" w:hAnsi="宋体" w:cs="宋体" w:eastAsia="宋体" w:hint="default"/>
          <w:b/>
          <w:bCs/>
          <w:spacing w:val="-1"/>
        </w:rPr>
        <w:t>证券部：</w:t>
      </w:r>
      <w:r>
        <w:rPr>
          <w:spacing w:val="-1"/>
        </w:rPr>
        <w:t>负责证券市场的政策研究、资本市场分析、证券信息收集等工作；负责 </w:t>
      </w:r>
      <w:r>
        <w:rPr/>
        <w:t>股权管理、信息披露、证券投资业务等工作。</w:t>
      </w:r>
    </w:p>
    <w:p>
      <w:pPr>
        <w:pStyle w:val="BodyText"/>
        <w:spacing w:line="304" w:lineRule="auto" w:before="22"/>
        <w:ind w:right="235" w:firstLine="482"/>
        <w:jc w:val="both"/>
      </w:pPr>
      <w:r>
        <w:rPr>
          <w:rFonts w:ascii="宋体" w:hAnsi="宋体" w:cs="宋体" w:eastAsia="宋体" w:hint="default"/>
          <w:b/>
          <w:bCs/>
        </w:rPr>
        <w:t>人力资源部：</w:t>
      </w:r>
      <w:r>
        <w:rPr/>
        <w:t>负责拟订和修改公司组织架构、编制公司的部门职责和岗位职责、 员工的招聘、试用、调配、辞职及辞退的管理、制定和实施企业薪酬制度，编制员工 工资表、建立和规范公司的绩效管理体系，组织进行员工考核，不断改善员工绩效。</w:t>
      </w:r>
    </w:p>
    <w:p>
      <w:pPr>
        <w:pStyle w:val="BodyText"/>
        <w:spacing w:line="304" w:lineRule="auto" w:before="22"/>
        <w:ind w:left="740" w:right="235"/>
        <w:jc w:val="left"/>
      </w:pPr>
      <w:r>
        <w:rPr>
          <w:rFonts w:ascii="宋体" w:hAnsi="宋体" w:cs="宋体" w:eastAsia="宋体" w:hint="default"/>
          <w:b/>
          <w:bCs/>
        </w:rPr>
        <w:t>行政部：</w:t>
      </w:r>
      <w:r>
        <w:rPr/>
        <w:t>负责公司日常行政事务及后勤管理等相关工作。</w:t>
      </w:r>
      <w:r>
        <w:rPr>
          <w:spacing w:val="-1"/>
        </w:rPr>
        <w:t> </w:t>
      </w:r>
      <w:r>
        <w:rPr>
          <w:rFonts w:ascii="宋体" w:hAnsi="宋体" w:cs="宋体" w:eastAsia="宋体" w:hint="default"/>
          <w:b/>
          <w:bCs/>
          <w:spacing w:val="-1"/>
        </w:rPr>
        <w:t>财务部：</w:t>
      </w:r>
      <w:r>
        <w:rPr>
          <w:spacing w:val="-1"/>
        </w:rPr>
        <w:t>负责拟定本公司财务管理制度、财务收支计划；负责资金管理；编制公</w:t>
      </w:r>
      <w:r>
        <w:rPr/>
      </w:r>
    </w:p>
    <w:p>
      <w:pPr>
        <w:pStyle w:val="BodyText"/>
        <w:spacing w:line="307" w:lineRule="auto" w:before="20"/>
        <w:ind w:left="740" w:right="235" w:hanging="483"/>
        <w:jc w:val="left"/>
      </w:pPr>
      <w:r>
        <w:rPr/>
        <w:t>司会计报表；提供会计信息。 </w:t>
      </w:r>
      <w:r>
        <w:rPr>
          <w:rFonts w:ascii="宋体" w:hAnsi="宋体" w:cs="宋体" w:eastAsia="宋体" w:hint="default"/>
          <w:b/>
          <w:bCs/>
          <w:spacing w:val="-1"/>
        </w:rPr>
        <w:t>市场部：</w:t>
      </w:r>
      <w:r>
        <w:rPr>
          <w:spacing w:val="-1"/>
        </w:rPr>
        <w:t>负责市场的管理及开发、市场决策及市场方案的确定；公司市场战略、</w:t>
      </w:r>
      <w:r>
        <w:rPr/>
      </w:r>
    </w:p>
    <w:p>
      <w:pPr>
        <w:pStyle w:val="BodyText"/>
        <w:spacing w:line="304" w:lineRule="auto" w:before="18"/>
        <w:ind w:left="740" w:right="235" w:hanging="483"/>
        <w:jc w:val="left"/>
      </w:pPr>
      <w:r>
        <w:rPr/>
        <w:t>品牌推广、产品营销及订单交付组织管理工作。 </w:t>
      </w:r>
      <w:r>
        <w:rPr>
          <w:rFonts w:ascii="宋体" w:hAnsi="宋体" w:cs="宋体" w:eastAsia="宋体" w:hint="default"/>
          <w:b/>
          <w:bCs/>
          <w:spacing w:val="-1"/>
        </w:rPr>
        <w:t>国际部：</w:t>
      </w:r>
      <w:r>
        <w:rPr>
          <w:spacing w:val="-1"/>
        </w:rPr>
        <w:t>主要负责进口原材料、设备的采购、商务洽谈及公司产品出口方面的工</w:t>
      </w:r>
      <w:r>
        <w:rPr/>
      </w:r>
    </w:p>
    <w:p>
      <w:pPr>
        <w:pStyle w:val="BodyText"/>
        <w:spacing w:line="240" w:lineRule="auto" w:before="22"/>
        <w:ind w:right="235"/>
        <w:jc w:val="left"/>
      </w:pPr>
      <w:r>
        <w:rPr/>
        <w:t>作。</w:t>
      </w:r>
    </w:p>
    <w:p>
      <w:pPr>
        <w:pStyle w:val="BodyText"/>
        <w:spacing w:line="240" w:lineRule="auto" w:before="85"/>
        <w:ind w:left="740" w:right="94"/>
        <w:jc w:val="left"/>
      </w:pPr>
      <w:r>
        <w:rPr>
          <w:rFonts w:ascii="宋体" w:hAnsi="宋体" w:cs="宋体" w:eastAsia="宋体" w:hint="default"/>
          <w:b/>
          <w:bCs/>
        </w:rPr>
        <w:t>采购部：</w:t>
      </w:r>
      <w:r>
        <w:rPr/>
        <w:t>负责对所有生产所需的原材料、配套料、生产辅料（包括低值易耗品）</w:t>
      </w:r>
    </w:p>
    <w:p>
      <w:pPr>
        <w:pStyle w:val="BodyText"/>
        <w:spacing w:line="307" w:lineRule="auto" w:before="85"/>
        <w:ind w:left="740" w:right="94" w:hanging="483"/>
        <w:jc w:val="left"/>
      </w:pPr>
      <w:r>
        <w:rPr/>
        <w:t>的采购和需要外发加工部件的外部联系工作以及对账、货款申请相关的工作。 </w:t>
      </w:r>
      <w:r>
        <w:rPr>
          <w:rFonts w:ascii="宋体" w:hAnsi="宋体" w:cs="宋体" w:eastAsia="宋体" w:hint="default"/>
          <w:b/>
          <w:bCs/>
          <w:spacing w:val="-4"/>
        </w:rPr>
        <w:t>质保部：</w:t>
      </w:r>
      <w:r>
        <w:rPr>
          <w:spacing w:val="-4"/>
        </w:rPr>
        <w:t>主要负责公司原材料入厂检验、产品过程控制及成品的出厂检验等工作，</w:t>
      </w:r>
      <w:r>
        <w:rPr/>
      </w:r>
    </w:p>
    <w:p>
      <w:pPr>
        <w:pStyle w:val="BodyText"/>
        <w:spacing w:line="304" w:lineRule="auto" w:before="18"/>
        <w:ind w:left="740" w:right="235" w:hanging="483"/>
        <w:jc w:val="left"/>
      </w:pPr>
      <w:r>
        <w:rPr/>
        <w:t>是公司的质量监督部门。 </w:t>
      </w:r>
      <w:r>
        <w:rPr>
          <w:rFonts w:ascii="宋体" w:hAnsi="宋体" w:cs="宋体" w:eastAsia="宋体" w:hint="default"/>
          <w:b/>
          <w:bCs/>
          <w:spacing w:val="-1"/>
        </w:rPr>
        <w:t>技术部：</w:t>
      </w:r>
      <w:r>
        <w:rPr>
          <w:spacing w:val="-1"/>
        </w:rPr>
        <w:t>负责配合市场部进行销售技术支持工作，协助业务人员解决客户提出的</w:t>
      </w:r>
      <w:r>
        <w:rPr/>
      </w:r>
    </w:p>
    <w:p>
      <w:pPr>
        <w:pStyle w:val="BodyText"/>
        <w:spacing w:line="304" w:lineRule="auto" w:before="22"/>
        <w:ind w:left="740" w:right="235" w:hanging="483"/>
        <w:jc w:val="left"/>
      </w:pPr>
      <w:r>
        <w:rPr/>
        <w:t>各类技术问题、协助客户进行方案设计，同时进行产品售前、售后的技术服务。 </w:t>
      </w:r>
      <w:r>
        <w:rPr>
          <w:rFonts w:ascii="宋体" w:hAnsi="宋体" w:cs="宋体" w:eastAsia="宋体" w:hint="default"/>
          <w:b/>
          <w:bCs/>
          <w:spacing w:val="-1"/>
        </w:rPr>
        <w:t>计划部：</w:t>
      </w:r>
      <w:r>
        <w:rPr>
          <w:spacing w:val="-1"/>
        </w:rPr>
        <w:t>负责生产订单管控、异常追踪处理、生产效率稽核、生产能力调整、物</w:t>
      </w:r>
      <w:r>
        <w:rPr/>
      </w:r>
    </w:p>
    <w:p>
      <w:pPr>
        <w:pStyle w:val="BodyText"/>
        <w:spacing w:line="307" w:lineRule="auto" w:before="20"/>
        <w:ind w:left="740" w:right="1667" w:hanging="483"/>
        <w:jc w:val="left"/>
      </w:pPr>
      <w:r>
        <w:rPr/>
        <w:t>料供应保证、及时处理呆滞、提高库存周转、生产绩效考核相关工作。 </w:t>
      </w:r>
      <w:r>
        <w:rPr>
          <w:rFonts w:ascii="宋体" w:hAnsi="宋体" w:cs="宋体" w:eastAsia="宋体" w:hint="default"/>
          <w:b/>
          <w:bCs/>
        </w:rPr>
        <w:t>审计部：</w:t>
      </w:r>
      <w:r>
        <w:rPr/>
        <w:t>负责公司的内部控制审计。</w:t>
      </w:r>
    </w:p>
    <w:p>
      <w:pPr>
        <w:pStyle w:val="BodyText"/>
        <w:spacing w:line="304" w:lineRule="auto" w:before="18"/>
        <w:ind w:left="738" w:right="226"/>
        <w:jc w:val="left"/>
      </w:pPr>
      <w:r>
        <w:rPr/>
        <w:t>（二）内部审计 本公司重视内部审计工作，制定了规范、严格的内部审计制度，公司内部设有审</w:t>
      </w:r>
    </w:p>
    <w:p>
      <w:pPr>
        <w:pStyle w:val="BodyText"/>
        <w:spacing w:line="288" w:lineRule="auto" w:before="22"/>
        <w:ind w:left="738" w:right="94" w:hanging="480"/>
        <w:jc w:val="left"/>
      </w:pPr>
      <w:r>
        <w:rPr/>
        <w:t>计室，并配备了</w:t>
      </w:r>
      <w:r>
        <w:rPr>
          <w:rFonts w:ascii="Times New Roman" w:hAnsi="Times New Roman" w:cs="Times New Roman" w:eastAsia="Times New Roman" w:hint="default"/>
        </w:rPr>
        <w:t>3</w:t>
      </w:r>
      <w:r>
        <w:rPr/>
        <w:t>名专职审计人员，审计室由董事会下的审计委员会管理。 </w:t>
      </w:r>
      <w:r>
        <w:rPr>
          <w:spacing w:val="-3"/>
        </w:rPr>
        <w:t>本年内部审计人员开展了较全面的内部审计工作，包括对下属子公司、物流中心、</w:t>
      </w:r>
    </w:p>
    <w:p>
      <w:pPr>
        <w:pStyle w:val="BodyText"/>
        <w:spacing w:line="307" w:lineRule="auto" w:before="37"/>
        <w:ind w:right="226"/>
        <w:jc w:val="left"/>
      </w:pPr>
      <w:r>
        <w:rPr/>
        <w:t>办事处的常规审计，对市场部、采购部、行政部、固定资产的专项审计，以及对公司 各部门内部控制的监督检查。内部审计对监督检查中发现的内部控制缺陷，按照内部</w:t>
      </w:r>
    </w:p>
    <w:p>
      <w:pPr>
        <w:spacing w:after="0" w:line="307" w:lineRule="auto"/>
        <w:jc w:val="left"/>
        <w:sectPr>
          <w:pgSz w:w="11910" w:h="16840"/>
          <w:pgMar w:header="470" w:footer="1266" w:top="900" w:bottom="1460" w:left="1160" w:right="13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304" w:lineRule="auto" w:before="26"/>
        <w:ind w:right="245"/>
        <w:jc w:val="both"/>
      </w:pPr>
      <w:r>
        <w:rPr/>
        <w:t>审计工作程序进行报告；对监督检查中发现的内部控制重大缺陷，有权直接向董事会 及其审计委员会、监事会报告。</w:t>
      </w:r>
    </w:p>
    <w:p>
      <w:pPr>
        <w:pStyle w:val="BodyText"/>
        <w:spacing w:line="307" w:lineRule="auto" w:before="20"/>
        <w:ind w:left="738" w:right="226"/>
        <w:jc w:val="left"/>
      </w:pPr>
      <w:r>
        <w:rPr/>
        <w:t>（三）人力资源政策 公司实行全员劳动合同制，制定了系统的人力资源管理制度，对人员录用、员工</w:t>
      </w:r>
    </w:p>
    <w:p>
      <w:pPr>
        <w:pStyle w:val="BodyText"/>
        <w:spacing w:line="304" w:lineRule="auto" w:before="18"/>
        <w:ind w:right="245"/>
        <w:jc w:val="both"/>
      </w:pPr>
      <w:r>
        <w:rPr/>
        <w:t>培训、工资薪酬、福利保障、绩效考核、内部调动、职务升迁等等进行了详细规定， 并建立了一套完善的绩效考核体系。</w:t>
      </w:r>
    </w:p>
    <w:p>
      <w:pPr>
        <w:pStyle w:val="BodyText"/>
        <w:spacing w:line="304" w:lineRule="auto" w:before="22"/>
        <w:ind w:right="245" w:firstLine="480"/>
        <w:jc w:val="both"/>
      </w:pPr>
      <w:r>
        <w:rPr/>
        <w:t>本公司还建立了全员考核制度，对员工的工作能力、态度、业绩进行考评，考核 结果同个人薪金相挂钩。</w:t>
      </w:r>
    </w:p>
    <w:p>
      <w:pPr>
        <w:pStyle w:val="BodyText"/>
        <w:spacing w:line="304" w:lineRule="auto" w:before="20"/>
        <w:ind w:right="245" w:firstLine="480"/>
        <w:jc w:val="both"/>
      </w:pPr>
      <w:r>
        <w:rPr/>
        <w:t>本公司的考核制度比较粗化，仅对销售人员实行了比较细致的考核制度，对销售 人员按销售业绩、回款情况进行考核，并给予经济利益的奖罚。但对其他职能部门未 执行比较细致的考核制度，对其他员工的激励和约束作用不明显。随着公司精益生产 管理提升活动的进行，上述问题将逐步得以解决。</w:t>
      </w:r>
    </w:p>
    <w:p>
      <w:pPr>
        <w:pStyle w:val="BodyText"/>
        <w:spacing w:line="304" w:lineRule="auto" w:before="22"/>
        <w:ind w:left="738" w:right="94" w:firstLine="240"/>
        <w:jc w:val="left"/>
      </w:pPr>
      <w:r>
        <w:rPr/>
        <w:t>（四）企业文化 </w:t>
      </w:r>
      <w:r>
        <w:rPr>
          <w:spacing w:val="-4"/>
        </w:rPr>
        <w:t>本公司注重加强企业文化建设，制定了《员工行为手册》，认真落实岗位职责制，</w:t>
      </w:r>
    </w:p>
    <w:p>
      <w:pPr>
        <w:pStyle w:val="BodyText"/>
        <w:spacing w:line="304" w:lineRule="auto" w:before="20"/>
        <w:ind w:right="245"/>
        <w:jc w:val="both"/>
      </w:pPr>
      <w:r>
        <w:rPr/>
        <w:t>培育积极向上的价值观和社会责任感，倡导诚实守信、爱岗敬业、开拓创新和团队协 作精神，树立现代管理理念，强化风险意识。同时公司提倡“从小做大，用未来引导 现在”的发展理念，通过十年来发展的积淀，构建了一套涵盖理想、信念、价值观、 行为准则和道德规范的企业文化体系，强调传承深圳人的创业精神、积极创新进取， 不断强化公司核心竞争力。</w:t>
      </w:r>
    </w:p>
    <w:p>
      <w:pPr>
        <w:pStyle w:val="BodyText"/>
        <w:spacing w:line="304" w:lineRule="auto" w:before="20"/>
        <w:ind w:right="221" w:firstLine="480"/>
        <w:jc w:val="both"/>
      </w:pPr>
      <w:r>
        <w:rPr/>
        <w:t>公司高层管理人员能够在企业文化建设中发挥主导作用；企业员工能够遵守《员 </w:t>
      </w:r>
      <w:r>
        <w:rPr>
          <w:spacing w:val="-6"/>
        </w:rPr>
        <w:t>工行为手册》，认真履行岗位职责；公司高层管理人员和员工能够做到遵纪守法、依法</w:t>
      </w:r>
      <w:r>
        <w:rPr>
          <w:spacing w:val="-112"/>
        </w:rPr>
        <w:t> </w:t>
      </w:r>
      <w:r>
        <w:rPr>
          <w:spacing w:val="-112"/>
        </w:rPr>
      </w:r>
      <w:r>
        <w:rPr/>
        <w:t>办事。</w:t>
      </w:r>
    </w:p>
    <w:p>
      <w:pPr>
        <w:pStyle w:val="BodyText"/>
        <w:spacing w:line="256" w:lineRule="exact"/>
        <w:ind w:left="738" w:right="235"/>
        <w:jc w:val="left"/>
      </w:pPr>
      <w:r>
        <w:rPr/>
        <w:t>二）风险评估</w:t>
      </w:r>
    </w:p>
    <w:p>
      <w:pPr>
        <w:spacing w:line="240" w:lineRule="auto" w:before="9"/>
        <w:rPr>
          <w:rFonts w:ascii="宋体" w:hAnsi="宋体" w:cs="宋体" w:eastAsia="宋体" w:hint="default"/>
          <w:sz w:val="17"/>
          <w:szCs w:val="17"/>
        </w:rPr>
      </w:pPr>
    </w:p>
    <w:p>
      <w:pPr>
        <w:pStyle w:val="BodyText"/>
        <w:spacing w:line="302" w:lineRule="auto"/>
        <w:ind w:right="100" w:firstLine="480"/>
        <w:jc w:val="left"/>
      </w:pPr>
      <w:r>
        <w:rPr/>
        <w:t>在审计委员会和战略委员会指导下，公司有关部门根据公司战略实施特点，制定 和完善风险管理政策和措施</w:t>
      </w:r>
      <w:r>
        <w:rPr>
          <w:rFonts w:ascii="Times New Roman" w:hAnsi="Times New Roman" w:cs="Times New Roman" w:eastAsia="Times New Roman" w:hint="default"/>
        </w:rPr>
        <w:t>,</w:t>
      </w:r>
      <w:r>
        <w:rPr/>
        <w:t>实施内控制度执行情况的检查和监督。同时逐步向子公司 </w:t>
      </w:r>
      <w:r>
        <w:rPr>
          <w:spacing w:val="-3"/>
        </w:rPr>
        <w:t>延伸，确保子公司经营安全。对现有投资等已知风险点，定期进行评估、提示及完善。</w:t>
      </w:r>
      <w:r>
        <w:rPr>
          <w:spacing w:val="-110"/>
        </w:rPr>
        <w:t> </w:t>
      </w:r>
      <w:r>
        <w:rPr>
          <w:spacing w:val="-110"/>
        </w:rPr>
      </w:r>
      <w:r>
        <w:rPr/>
        <w:t>通过风险防范、风险转移及风险排除等方法，将企业风险控制在可承受的范围内。承 接业务前，对客户资信情况加以了解。对符合公司战略发展方向，但同时存在经营风 险的业务，也充分认清风险实质并积极采取降低、分担等策略来有效防范风险。</w:t>
      </w:r>
    </w:p>
    <w:p>
      <w:pPr>
        <w:pStyle w:val="BodyText"/>
        <w:spacing w:line="304" w:lineRule="auto" w:before="23"/>
        <w:ind w:right="223" w:firstLine="480"/>
        <w:jc w:val="both"/>
      </w:pPr>
      <w:r>
        <w:rPr/>
        <w:t>公司属于电器机械及器材制造业中的输配电及控制设备制造业，主要生产电缆分 支箱类产品、硅橡胶绝缘制品和复合材料绝缘制品。面临着内部风险和外部风险，包 </w:t>
      </w:r>
      <w:r>
        <w:rPr>
          <w:spacing w:val="-3"/>
        </w:rPr>
        <w:t>括经营风险、行业风险、市场风险、政策性风险和股市风险和其它风险。</w:t>
      </w:r>
      <w:r>
        <w:rPr>
          <w:spacing w:val="-11"/>
        </w:rPr>
        <w:t> </w:t>
      </w:r>
      <w:r>
        <w:rPr/>
        <w:t>本公司管理</w:t>
      </w:r>
      <w:r>
        <w:rPr>
          <w:spacing w:val="-118"/>
        </w:rPr>
        <w:t> </w:t>
      </w:r>
      <w:r>
        <w:rPr>
          <w:spacing w:val="-118"/>
        </w:rPr>
      </w:r>
      <w:r>
        <w:rPr/>
        <w:t>当局能够及时识别上述风险并确定相应的风险承受度及采用相应的对策：</w:t>
      </w:r>
    </w:p>
    <w:p>
      <w:pPr>
        <w:spacing w:before="20"/>
        <w:ind w:left="740" w:right="235" w:firstLine="0"/>
        <w:jc w:val="left"/>
        <w:rPr>
          <w:rFonts w:ascii="宋体" w:hAnsi="宋体" w:cs="宋体" w:eastAsia="宋体" w:hint="default"/>
          <w:sz w:val="24"/>
          <w:szCs w:val="24"/>
        </w:rPr>
      </w:pPr>
      <w:r>
        <w:rPr>
          <w:rFonts w:ascii="宋体" w:hAnsi="宋体" w:cs="宋体" w:eastAsia="宋体" w:hint="default"/>
          <w:b/>
          <w:bCs/>
          <w:sz w:val="24"/>
          <w:szCs w:val="24"/>
        </w:rPr>
        <w:t>（一）经营风险的评估及对策</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40"/>
          <w:pgMar w:header="470" w:footer="1266" w:top="900" w:bottom="1460" w:left="1160" w:right="1360"/>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9"/>
          <w:szCs w:val="19"/>
        </w:rPr>
      </w:pPr>
    </w:p>
    <w:p>
      <w:pPr>
        <w:pStyle w:val="BodyText"/>
        <w:spacing w:line="297" w:lineRule="auto" w:before="26"/>
        <w:ind w:right="223" w:firstLine="480"/>
        <w:jc w:val="both"/>
      </w:pPr>
      <w:r>
        <w:rPr>
          <w:rFonts w:ascii="Times New Roman" w:hAnsi="Times New Roman" w:cs="Times New Roman" w:eastAsia="Times New Roman" w:hint="default"/>
          <w:spacing w:val="-4"/>
        </w:rPr>
        <w:t>1</w:t>
      </w:r>
      <w:r>
        <w:rPr>
          <w:spacing w:val="-4"/>
        </w:rPr>
        <w:t>、应收账款余额较大引致的风险：公司最终用户为电力部门。电力工程建设周期</w:t>
      </w:r>
      <w:r>
        <w:rPr>
          <w:spacing w:val="-1"/>
        </w:rPr>
        <w:t> </w:t>
      </w:r>
      <w:r>
        <w:rPr/>
        <w:t>较长，在下达订单以后，要经过设备安装、调试、验收等环节。一般情况下，公司客</w:t>
      </w:r>
      <w:r>
        <w:rPr/>
        <w:t> 户在设备验收合格后一段时间内先付全部货款的</w:t>
      </w:r>
      <w:r>
        <w:rPr>
          <w:rFonts w:ascii="Times New Roman" w:hAnsi="Times New Roman" w:cs="Times New Roman" w:eastAsia="Times New Roman" w:hint="default"/>
        </w:rPr>
        <w:t>90%</w:t>
      </w:r>
      <w:r>
        <w:rPr/>
        <w:t>，在设备安全运行满一年后再付 清余款。因此，随着公司销售规模的扩大，公司应收账款金额逐年增大。如货款回收 不及时，应收账款存在发生坏账损失的风险。</w:t>
      </w:r>
    </w:p>
    <w:p>
      <w:pPr>
        <w:pStyle w:val="BodyText"/>
        <w:spacing w:line="304" w:lineRule="auto" w:before="28"/>
        <w:ind w:right="104" w:firstLine="480"/>
        <w:jc w:val="both"/>
      </w:pPr>
      <w:r>
        <w:rPr/>
        <w:t>针对应收账款余额较大的对策：制定合理的信用政策，合理的信用政策应把信用 标准、信用条件、收账政策结合起来，力争实现应收账款的风险最小，企业利润最大 化；加强内部控制，对应收账款加强管理，对大宗赊销商品建立台账进行单独管理， 按照合同规定催收货款。对每笔赊销业务都要明确谁赊销谁收款，并以实际回收的货 款作为经销人员、业务部门的考核指标，以增强业务人员的责任心。建立多种收账策 </w:t>
      </w:r>
      <w:r>
        <w:rPr>
          <w:spacing w:val="-3"/>
        </w:rPr>
        <w:t>略。针对不同的欠款客户，区别对待，采取不同的策略进行收账，催交、协商、调解。</w:t>
      </w:r>
    </w:p>
    <w:p>
      <w:pPr>
        <w:spacing w:line="290" w:lineRule="auto" w:before="20"/>
        <w:ind w:left="738" w:right="226"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、原料供应及价格波动风险的对策：</w:t>
      </w:r>
      <w:r>
        <w:rPr>
          <w:rFonts w:ascii="宋体" w:hAnsi="宋体" w:cs="宋体" w:eastAsia="宋体" w:hint="default"/>
          <w:b/>
          <w:bCs/>
          <w:spacing w:val="1"/>
          <w:w w:val="99"/>
          <w:sz w:val="24"/>
          <w:szCs w:val="24"/>
        </w:rPr>
        <w:t> </w:t>
      </w:r>
      <w:r>
        <w:rPr>
          <w:rFonts w:ascii="宋体" w:hAnsi="宋体" w:cs="宋体" w:eastAsia="宋体" w:hint="default"/>
          <w:sz w:val="24"/>
          <w:szCs w:val="24"/>
        </w:rPr>
        <w:t>本公司主要原材料中金属价格近年波动非常较大，但公司通过加强储备管理，以</w:t>
      </w:r>
    </w:p>
    <w:p>
      <w:pPr>
        <w:pStyle w:val="BodyText"/>
        <w:spacing w:line="304" w:lineRule="auto" w:before="35"/>
        <w:ind w:left="738" w:right="226" w:hanging="480"/>
        <w:jc w:val="left"/>
      </w:pPr>
      <w:r>
        <w:rPr/>
        <w:t>应付价格波动的风险。 本公司一直坚持与多家原材料供应商保持购货关系，通过收集供应商的有关样本</w:t>
      </w:r>
    </w:p>
    <w:p>
      <w:pPr>
        <w:pStyle w:val="BodyText"/>
        <w:spacing w:line="304" w:lineRule="auto" w:before="22"/>
        <w:ind w:right="100"/>
        <w:jc w:val="left"/>
      </w:pPr>
      <w:r>
        <w:rPr>
          <w:spacing w:val="-3"/>
        </w:rPr>
        <w:t>及文字资料了解对方产品；通过媒体或其它途径了解其信誉等事项。分析收集的资料，</w:t>
      </w:r>
      <w:r>
        <w:rPr>
          <w:spacing w:val="-106"/>
        </w:rPr>
        <w:t> </w:t>
      </w:r>
      <w:r>
        <w:rPr>
          <w:spacing w:val="-106"/>
        </w:rPr>
      </w:r>
      <w:r>
        <w:rPr/>
        <w:t>并根据供应商提供商品的试用效果及供应商的售前、售后服务对供应商进行评价，使 原材料供应不致受制于某一供应商，尽可能减少因原材料供应及价格波动给本公司造 成的影响。</w:t>
      </w:r>
    </w:p>
    <w:p>
      <w:pPr>
        <w:spacing w:line="304" w:lineRule="auto" w:before="20"/>
        <w:ind w:left="738" w:right="226" w:firstLine="2"/>
        <w:jc w:val="left"/>
        <w:rPr>
          <w:rFonts w:ascii="宋体" w:hAnsi="宋体" w:cs="宋体" w:eastAsia="宋体" w:hint="default"/>
          <w:sz w:val="24"/>
          <w:szCs w:val="24"/>
        </w:rPr>
      </w:pPr>
      <w:r>
        <w:rPr>
          <w:rFonts w:ascii="宋体" w:hAnsi="宋体" w:cs="宋体" w:eastAsia="宋体" w:hint="default"/>
          <w:b/>
          <w:bCs/>
          <w:sz w:val="24"/>
          <w:szCs w:val="24"/>
        </w:rPr>
        <w:t>（二）行业风险的评估及对策</w:t>
      </w:r>
      <w:r>
        <w:rPr>
          <w:rFonts w:ascii="宋体" w:hAnsi="宋体" w:cs="宋体" w:eastAsia="宋体" w:hint="default"/>
          <w:b/>
          <w:bCs/>
          <w:spacing w:val="1"/>
          <w:w w:val="99"/>
          <w:sz w:val="24"/>
          <w:szCs w:val="24"/>
        </w:rPr>
        <w:t> </w:t>
      </w:r>
      <w:r>
        <w:rPr>
          <w:rFonts w:ascii="宋体" w:hAnsi="宋体" w:cs="宋体" w:eastAsia="宋体" w:hint="default"/>
          <w:sz w:val="24"/>
          <w:szCs w:val="24"/>
        </w:rPr>
        <w:t>公司主营产品为电缆分支箱类产品、硅橡胶绝缘制品、复合材料绝缘制品，主要</w:t>
      </w:r>
    </w:p>
    <w:p>
      <w:pPr>
        <w:pStyle w:val="BodyText"/>
        <w:spacing w:line="304" w:lineRule="auto" w:before="22"/>
        <w:ind w:right="245"/>
        <w:jc w:val="both"/>
      </w:pPr>
      <w:r>
        <w:rPr/>
        <w:t>用于城乡电网改造及建设，业务增长依赖国内电力行业发展。公司采取差异化竞争战 略，利用高分子绝缘材料方面的优势，专业生产高可靠性配网装备。近几年来，国家 改造、建设电网的投资力度不断加大，行业总体需求呈递增趋势。如果电力行业发展 速度放缓，国家对电网投入减少，或者电网对高可靠性装备产品的需求减少，公司发 展将受到较大影响。</w:t>
      </w:r>
    </w:p>
    <w:p>
      <w:pPr>
        <w:pStyle w:val="BodyText"/>
        <w:spacing w:line="304" w:lineRule="auto" w:before="20"/>
        <w:ind w:right="245" w:firstLine="480"/>
        <w:jc w:val="both"/>
      </w:pPr>
      <w:r>
        <w:rPr/>
        <w:t>鉴于本公司所处市场潜力巨大，公司将继续依托自身技术、规模、品牌和质量优 势，采取各种措施，稳步扩大市场份额，不断提高企业核心竞争力，努力降低公司的 市场风险。加大研发和技改投入，积极开发新产品，不断改进生产工艺，保持技术创 新领先优势；扩大生产能力，形成规模经济的优势，使公司的生产成本在同行业中保 持较低水平；调整产品结构，适当放弃低层次、低附加值的产品，增加高端产品的生 产比例；严格控制产品质量，提升服务质量，突出公司的品牌优势，树立良好的市场 形象，取得客户的长期信任，建立稳定的客户群。</w:t>
      </w:r>
    </w:p>
    <w:p>
      <w:pPr>
        <w:spacing w:before="22"/>
        <w:ind w:left="740" w:right="235" w:firstLine="0"/>
        <w:jc w:val="left"/>
        <w:rPr>
          <w:rFonts w:ascii="宋体" w:hAnsi="宋体" w:cs="宋体" w:eastAsia="宋体" w:hint="default"/>
          <w:sz w:val="24"/>
          <w:szCs w:val="24"/>
        </w:rPr>
      </w:pPr>
      <w:r>
        <w:rPr>
          <w:rFonts w:ascii="宋体" w:hAnsi="宋体" w:cs="宋体" w:eastAsia="宋体" w:hint="default"/>
          <w:b/>
          <w:bCs/>
          <w:sz w:val="24"/>
          <w:szCs w:val="24"/>
        </w:rPr>
        <w:t>（三）技术风险及其对策</w:t>
      </w:r>
      <w:r>
        <w:rPr>
          <w:rFonts w:ascii="宋体" w:hAnsi="宋体" w:cs="宋体" w:eastAsia="宋体" w:hint="default"/>
          <w:sz w:val="24"/>
          <w:szCs w:val="24"/>
        </w:rPr>
      </w:r>
    </w:p>
    <w:p>
      <w:pPr>
        <w:spacing w:after="0"/>
        <w:jc w:val="left"/>
        <w:rPr>
          <w:rFonts w:ascii="宋体" w:hAnsi="宋体" w:cs="宋体" w:eastAsia="宋体" w:hint="default"/>
          <w:sz w:val="24"/>
          <w:szCs w:val="24"/>
        </w:rPr>
        <w:sectPr>
          <w:footerReference w:type="default" r:id="rId16"/>
          <w:pgSz w:w="11910" w:h="16840"/>
          <w:pgMar w:footer="1266" w:header="470" w:top="900" w:bottom="1460" w:left="1160" w:right="1360"/>
          <w:pgNumType w:start="25"/>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9"/>
          <w:szCs w:val="19"/>
        </w:rPr>
      </w:pPr>
    </w:p>
    <w:p>
      <w:pPr>
        <w:pStyle w:val="BodyText"/>
        <w:spacing w:line="304" w:lineRule="auto" w:before="26"/>
        <w:ind w:right="245" w:firstLine="480"/>
        <w:jc w:val="both"/>
      </w:pPr>
      <w:r>
        <w:rPr/>
        <w:t>本公司目前拥有的生产设备和生产技术均居国内同行领先水平，公司在行业内的 竞争优势主要源于自身的技术进步和技术创新能力。但由于行业内的市场竞争和人才 竞争日趋激烈，公司工艺技术存在被同行业企业仿效的风险。同时，随着技术更新换 代速度的不断加快，公司也面临技术老化的风险。</w:t>
      </w:r>
    </w:p>
    <w:p>
      <w:pPr>
        <w:pStyle w:val="BodyText"/>
        <w:spacing w:line="302" w:lineRule="auto" w:before="20"/>
        <w:ind w:right="245" w:firstLine="480"/>
        <w:jc w:val="both"/>
      </w:pPr>
      <w:r>
        <w:rPr/>
        <w:t>本公司注重人才的培养和引进，目前各类技术专业人才占员工总数</w:t>
      </w:r>
      <w:r>
        <w:rPr>
          <w:rFonts w:ascii="Times New Roman" w:hAnsi="Times New Roman" w:cs="Times New Roman" w:eastAsia="Times New Roman" w:hint="default"/>
        </w:rPr>
        <w:t>20%</w:t>
      </w:r>
      <w:r>
        <w:rPr/>
        <w:t>以上，具 有雄厚的研究开发能力，开发的产品中电缆对接箱、用于变压器的电缆连接装置、柱 上电缆分支箱、电力电缆可分离连接器、电缆分配箱、全密封真空断路器开关柜、电 缆低压防盗电箱、电力电缆肘形插头已获得实用新型专利证书，高压进线罩、低压出 线罩、避雷器防护罩已获得外观设计专利证书。本公司将进一步充实研发实力，扩大 科研联系，以市场为导向调整新产品发展战略。</w:t>
      </w:r>
    </w:p>
    <w:p>
      <w:pPr>
        <w:spacing w:before="23"/>
        <w:ind w:left="740" w:right="235" w:firstLine="0"/>
        <w:jc w:val="left"/>
        <w:rPr>
          <w:rFonts w:ascii="宋体" w:hAnsi="宋体" w:cs="宋体" w:eastAsia="宋体" w:hint="default"/>
          <w:sz w:val="24"/>
          <w:szCs w:val="24"/>
        </w:rPr>
      </w:pPr>
      <w:r>
        <w:rPr>
          <w:rFonts w:ascii="宋体" w:hAnsi="宋体" w:cs="宋体" w:eastAsia="宋体" w:hint="default"/>
          <w:b/>
          <w:bCs/>
          <w:sz w:val="24"/>
          <w:szCs w:val="24"/>
        </w:rPr>
        <w:t>（四）管理风险的评估及对策</w:t>
      </w:r>
      <w:r>
        <w:rPr>
          <w:rFonts w:ascii="宋体" w:hAnsi="宋体" w:cs="宋体" w:eastAsia="宋体" w:hint="default"/>
          <w:sz w:val="24"/>
          <w:szCs w:val="24"/>
        </w:rPr>
      </w:r>
    </w:p>
    <w:p>
      <w:pPr>
        <w:pStyle w:val="BodyText"/>
        <w:spacing w:line="290" w:lineRule="auto" w:before="85"/>
        <w:ind w:left="738" w:right="226"/>
        <w:jc w:val="left"/>
      </w:pPr>
      <w:r>
        <w:rPr>
          <w:rFonts w:ascii="Times New Roman" w:hAnsi="Times New Roman" w:cs="Times New Roman" w:eastAsia="Times New Roman" w:hint="default"/>
        </w:rPr>
        <w:t>1</w:t>
      </w:r>
      <w:r>
        <w:rPr/>
        <w:t>、公司生产经营扩大的风险 随着公司资产规模的逐渐扩大，经营活动渐趋复杂，随着公司生产技术要求的不</w:t>
      </w:r>
    </w:p>
    <w:p>
      <w:pPr>
        <w:pStyle w:val="BodyText"/>
        <w:spacing w:line="304" w:lineRule="auto" w:before="35"/>
        <w:ind w:right="100"/>
        <w:jc w:val="left"/>
      </w:pPr>
      <w:r>
        <w:rPr>
          <w:spacing w:val="-3"/>
        </w:rPr>
        <w:t>断提高，销售网络相应扩张，客户需求增多，企业员工数量增加，新建项目陆续开工，</w:t>
      </w:r>
      <w:r>
        <w:rPr>
          <w:spacing w:val="-110"/>
        </w:rPr>
        <w:t> </w:t>
      </w:r>
      <w:r>
        <w:rPr>
          <w:spacing w:val="-110"/>
        </w:rPr>
      </w:r>
      <w:r>
        <w:rPr/>
        <w:t>这些都将对公司现有的管理制度、管理人员素质提出更高的要求。</w:t>
      </w:r>
    </w:p>
    <w:p>
      <w:pPr>
        <w:pStyle w:val="BodyText"/>
        <w:spacing w:line="297" w:lineRule="auto" w:before="22"/>
        <w:ind w:right="245" w:firstLine="480"/>
        <w:jc w:val="both"/>
      </w:pPr>
      <w:r>
        <w:rPr/>
        <w:t>通过聘请专业管理咨询公司优化内部控制制度以及流程；通过运行</w:t>
      </w:r>
      <w:r>
        <w:rPr>
          <w:rFonts w:ascii="Times New Roman" w:hAnsi="Times New Roman" w:cs="Times New Roman" w:eastAsia="Times New Roman" w:hint="default"/>
        </w:rPr>
        <w:t>ERP</w:t>
      </w:r>
      <w:r>
        <w:rPr/>
        <w:t>系统，加 强信息系统化管理，减少手工控制的风险；加强人员招聘、培训、薪酬考核体系，提 高员工的积极性；加强内部控制的监督以及评审等制度防范管理风险。</w:t>
      </w:r>
    </w:p>
    <w:p>
      <w:pPr>
        <w:pStyle w:val="BodyText"/>
        <w:spacing w:line="297" w:lineRule="auto" w:before="29"/>
        <w:ind w:left="738" w:right="94"/>
        <w:jc w:val="left"/>
      </w:pPr>
      <w:r>
        <w:rPr>
          <w:rFonts w:ascii="Times New Roman" w:hAnsi="Times New Roman" w:cs="Times New Roman" w:eastAsia="Times New Roman" w:hint="default"/>
        </w:rPr>
        <w:t>2</w:t>
      </w:r>
      <w:r>
        <w:rPr/>
        <w:t>、子公司的控制风险 </w:t>
      </w:r>
      <w:r>
        <w:rPr>
          <w:spacing w:val="-3"/>
        </w:rPr>
        <w:t>近三年公司连续对外投资，进入先进材料及新能源领域，公司在此领域经验较少。</w:t>
      </w:r>
      <w:r>
        <w:rPr>
          <w:spacing w:val="-112"/>
        </w:rPr>
        <w:t> </w:t>
      </w:r>
      <w:r>
        <w:rPr>
          <w:spacing w:val="-112"/>
        </w:rPr>
      </w:r>
      <w:r>
        <w:rPr/>
        <w:t>公司通过招聘专业技术人才研究工艺以及销售人员开拓市场，与国内领先的该行</w:t>
      </w:r>
    </w:p>
    <w:p>
      <w:pPr>
        <w:pStyle w:val="BodyText"/>
        <w:spacing w:line="240" w:lineRule="auto" w:before="29"/>
        <w:ind w:right="0"/>
        <w:jc w:val="both"/>
      </w:pPr>
      <w:r>
        <w:rPr/>
        <w:t>业相关的学校、研究所以及相关的人员合作降低技术风险，提高自己的技术水平。</w:t>
      </w:r>
    </w:p>
    <w:p>
      <w:pPr>
        <w:spacing w:line="304" w:lineRule="auto" w:before="85"/>
        <w:ind w:left="738" w:right="227" w:firstLine="2"/>
        <w:jc w:val="left"/>
        <w:rPr>
          <w:rFonts w:ascii="宋体" w:hAnsi="宋体" w:cs="宋体" w:eastAsia="宋体" w:hint="default"/>
          <w:sz w:val="24"/>
          <w:szCs w:val="24"/>
        </w:rPr>
      </w:pPr>
      <w:r>
        <w:rPr>
          <w:rFonts w:ascii="宋体" w:hAnsi="宋体" w:cs="宋体" w:eastAsia="宋体" w:hint="default"/>
          <w:b/>
          <w:bCs/>
          <w:sz w:val="24"/>
          <w:szCs w:val="24"/>
        </w:rPr>
        <w:t>（五）股市风险的评估及对策</w:t>
      </w:r>
      <w:r>
        <w:rPr>
          <w:rFonts w:ascii="宋体" w:hAnsi="宋体" w:cs="宋体" w:eastAsia="宋体" w:hint="default"/>
          <w:b/>
          <w:bCs/>
          <w:spacing w:val="1"/>
          <w:w w:val="99"/>
          <w:sz w:val="24"/>
          <w:szCs w:val="24"/>
        </w:rPr>
        <w:t> </w:t>
      </w:r>
      <w:r>
        <w:rPr>
          <w:rFonts w:ascii="宋体" w:hAnsi="宋体" w:cs="宋体" w:eastAsia="宋体" w:hint="default"/>
          <w:spacing w:val="-13"/>
          <w:sz w:val="24"/>
          <w:szCs w:val="24"/>
        </w:rPr>
        <w:t>本公司已积极按《公司法》、《证券法》、《股票交易与管理暂行条例》和《公开发</w:t>
      </w:r>
    </w:p>
    <w:p>
      <w:pPr>
        <w:pStyle w:val="BodyText"/>
        <w:spacing w:line="304" w:lineRule="auto" w:before="22"/>
        <w:ind w:right="245"/>
        <w:jc w:val="both"/>
      </w:pPr>
      <w:r>
        <w:rPr/>
        <w:t>行股票公司信息披露实施细则》等国家有关法规规范运作，及时披露相关信息，并以 积极有效的经营策略获取利润回报股东，从公司角度最大限度的减少股票投资者的股 市风险。</w:t>
      </w:r>
    </w:p>
    <w:p>
      <w:pPr>
        <w:spacing w:line="304" w:lineRule="auto" w:before="22"/>
        <w:ind w:left="738" w:right="226" w:firstLine="2"/>
        <w:jc w:val="left"/>
        <w:rPr>
          <w:rFonts w:ascii="宋体" w:hAnsi="宋体" w:cs="宋体" w:eastAsia="宋体" w:hint="default"/>
          <w:sz w:val="24"/>
          <w:szCs w:val="24"/>
        </w:rPr>
      </w:pPr>
      <w:r>
        <w:rPr>
          <w:rFonts w:ascii="宋体" w:hAnsi="宋体" w:cs="宋体" w:eastAsia="宋体" w:hint="default"/>
          <w:b/>
          <w:bCs/>
          <w:sz w:val="24"/>
          <w:szCs w:val="24"/>
        </w:rPr>
        <w:t>（六）其他风险的评估及对策</w:t>
      </w:r>
      <w:r>
        <w:rPr>
          <w:rFonts w:ascii="宋体" w:hAnsi="宋体" w:cs="宋体" w:eastAsia="宋体" w:hint="default"/>
          <w:b/>
          <w:bCs/>
          <w:spacing w:val="1"/>
          <w:w w:val="99"/>
          <w:sz w:val="24"/>
          <w:szCs w:val="24"/>
        </w:rPr>
        <w:t> </w:t>
      </w:r>
      <w:r>
        <w:rPr>
          <w:rFonts w:ascii="宋体" w:hAnsi="宋体" w:cs="宋体" w:eastAsia="宋体" w:hint="default"/>
          <w:sz w:val="24"/>
          <w:szCs w:val="24"/>
        </w:rPr>
        <w:t>本公司以较强的产品技术开发、研究力量对国内外电气设备技术发展动态和市场</w:t>
      </w:r>
    </w:p>
    <w:p>
      <w:pPr>
        <w:pStyle w:val="BodyText"/>
        <w:spacing w:line="304" w:lineRule="auto" w:before="20"/>
        <w:ind w:right="245"/>
        <w:jc w:val="both"/>
      </w:pPr>
      <w:r>
        <w:rPr/>
        <w:t>需求有着较深的了解，对前次募集资金承诺的项目，积极地组织力量进行项目开发与 建设，并加强建成后的经营管理，取得了良好的经济效益。另外，控股股东吕晓义已 承诺不从事与本公司业务有竞争或可能产生有竞争业务活动，并承诺相互间的关联交 易不防碍本公司的利益，以公平、公正的原则处理与本公司的关系，以保障本公司中 小股东的利益。</w:t>
      </w:r>
    </w:p>
    <w:p>
      <w:pPr>
        <w:spacing w:after="0" w:line="304" w:lineRule="auto"/>
        <w:jc w:val="both"/>
        <w:sectPr>
          <w:pgSz w:w="11910" w:h="16840"/>
          <w:pgMar w:header="470" w:footer="1266" w:top="900" w:bottom="1460" w:left="1160" w:right="13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spacing w:before="26"/>
        <w:ind w:left="740" w:right="235" w:firstLine="0"/>
        <w:jc w:val="left"/>
        <w:rPr>
          <w:rFonts w:ascii="宋体" w:hAnsi="宋体" w:cs="宋体" w:eastAsia="宋体" w:hint="default"/>
          <w:sz w:val="24"/>
          <w:szCs w:val="24"/>
        </w:rPr>
      </w:pPr>
      <w:r>
        <w:rPr>
          <w:rFonts w:ascii="宋体" w:hAnsi="宋体" w:cs="宋体" w:eastAsia="宋体" w:hint="default"/>
          <w:b/>
          <w:bCs/>
          <w:sz w:val="24"/>
          <w:szCs w:val="24"/>
        </w:rPr>
        <w:t>（七）本公司识别内部性质的风险，充分关注到下列因素：</w:t>
      </w:r>
      <w:r>
        <w:rPr>
          <w:rFonts w:ascii="宋体" w:hAnsi="宋体" w:cs="宋体" w:eastAsia="宋体" w:hint="default"/>
          <w:sz w:val="24"/>
          <w:szCs w:val="24"/>
        </w:rPr>
      </w:r>
    </w:p>
    <w:p>
      <w:pPr>
        <w:pStyle w:val="BodyText"/>
        <w:spacing w:line="288" w:lineRule="auto" w:before="85"/>
        <w:ind w:right="226" w:firstLine="540"/>
        <w:jc w:val="left"/>
      </w:pPr>
      <w:r>
        <w:rPr>
          <w:rFonts w:ascii="Times New Roman" w:hAnsi="Times New Roman" w:cs="Times New Roman" w:eastAsia="Times New Roman" w:hint="default"/>
        </w:rPr>
        <w:t>1.</w:t>
      </w:r>
      <w:r>
        <w:rPr/>
        <w:t>董事、监事、经理及其他高级管理人员的职业操守、员工专业胜任能力等人力 资源因素。</w:t>
      </w:r>
    </w:p>
    <w:p>
      <w:pPr>
        <w:pStyle w:val="BodyText"/>
        <w:spacing w:line="240" w:lineRule="auto" w:before="38"/>
        <w:ind w:left="798" w:right="235"/>
        <w:jc w:val="left"/>
      </w:pPr>
      <w:r>
        <w:rPr>
          <w:rFonts w:ascii="Times New Roman" w:hAnsi="Times New Roman" w:cs="Times New Roman" w:eastAsia="Times New Roman" w:hint="default"/>
        </w:rPr>
        <w:t>2.</w:t>
      </w:r>
      <w:r>
        <w:rPr/>
        <w:t>组织机构、经营方式、资产管理、业务流程等管理因素。</w:t>
      </w:r>
    </w:p>
    <w:p>
      <w:pPr>
        <w:pStyle w:val="BodyText"/>
        <w:spacing w:line="240" w:lineRule="auto" w:before="67"/>
        <w:ind w:left="798" w:right="235"/>
        <w:jc w:val="left"/>
      </w:pPr>
      <w:r>
        <w:rPr>
          <w:rFonts w:ascii="Times New Roman" w:hAnsi="Times New Roman" w:cs="Times New Roman" w:eastAsia="Times New Roman" w:hint="default"/>
        </w:rPr>
        <w:t>3.</w:t>
      </w:r>
      <w:r>
        <w:rPr/>
        <w:t>研究开发、技术投入、信息技术运用等自主创新因素。</w:t>
      </w:r>
    </w:p>
    <w:p>
      <w:pPr>
        <w:pStyle w:val="BodyText"/>
        <w:spacing w:line="240" w:lineRule="auto" w:before="67"/>
        <w:ind w:left="798" w:right="235"/>
        <w:jc w:val="left"/>
      </w:pPr>
      <w:r>
        <w:rPr>
          <w:rFonts w:ascii="Times New Roman" w:hAnsi="Times New Roman" w:cs="Times New Roman" w:eastAsia="Times New Roman" w:hint="default"/>
        </w:rPr>
        <w:t>4.</w:t>
      </w:r>
      <w:r>
        <w:rPr/>
        <w:t>财务状况、经营成果、现金流量等财务因素。</w:t>
      </w:r>
    </w:p>
    <w:p>
      <w:pPr>
        <w:pStyle w:val="BodyText"/>
        <w:spacing w:line="240" w:lineRule="auto" w:before="68"/>
        <w:ind w:left="798" w:right="235"/>
        <w:jc w:val="left"/>
      </w:pPr>
      <w:r>
        <w:rPr>
          <w:rFonts w:ascii="Times New Roman" w:hAnsi="Times New Roman" w:cs="Times New Roman" w:eastAsia="Times New Roman" w:hint="default"/>
        </w:rPr>
        <w:t>5.</w:t>
      </w:r>
      <w:r>
        <w:rPr/>
        <w:t>营运安全、员工健康、环境保护等安全环保因素。</w:t>
      </w:r>
    </w:p>
    <w:p>
      <w:pPr>
        <w:pStyle w:val="BodyText"/>
        <w:spacing w:line="240" w:lineRule="auto" w:before="67"/>
        <w:ind w:left="798" w:right="235"/>
        <w:jc w:val="left"/>
      </w:pPr>
      <w:r>
        <w:rPr>
          <w:rFonts w:ascii="Times New Roman" w:hAnsi="Times New Roman" w:cs="Times New Roman" w:eastAsia="Times New Roman" w:hint="default"/>
        </w:rPr>
        <w:t>6.</w:t>
      </w:r>
      <w:r>
        <w:rPr/>
        <w:t>其他有关内部风险因素。</w:t>
      </w:r>
    </w:p>
    <w:p>
      <w:pPr>
        <w:spacing w:before="67"/>
        <w:ind w:left="678" w:right="235" w:firstLine="0"/>
        <w:jc w:val="left"/>
        <w:rPr>
          <w:rFonts w:ascii="宋体" w:hAnsi="宋体" w:cs="宋体" w:eastAsia="宋体" w:hint="default"/>
          <w:sz w:val="24"/>
          <w:szCs w:val="24"/>
        </w:rPr>
      </w:pPr>
      <w:r>
        <w:rPr>
          <w:rFonts w:ascii="宋体" w:hAnsi="宋体" w:cs="宋体" w:eastAsia="宋体" w:hint="default"/>
          <w:b/>
          <w:bCs/>
          <w:sz w:val="24"/>
          <w:szCs w:val="24"/>
        </w:rPr>
        <w:t>（八）本公司识别外部性质的风险，充分关注到下列因素：</w:t>
      </w:r>
      <w:r>
        <w:rPr>
          <w:rFonts w:ascii="宋体" w:hAnsi="宋体" w:cs="宋体" w:eastAsia="宋体" w:hint="default"/>
          <w:sz w:val="24"/>
          <w:szCs w:val="24"/>
        </w:rPr>
      </w:r>
    </w:p>
    <w:p>
      <w:pPr>
        <w:pStyle w:val="BodyText"/>
        <w:spacing w:line="240" w:lineRule="auto" w:before="86"/>
        <w:ind w:left="798" w:right="235"/>
        <w:jc w:val="left"/>
      </w:pPr>
      <w:r>
        <w:rPr>
          <w:rFonts w:ascii="Times New Roman" w:hAnsi="Times New Roman" w:cs="Times New Roman" w:eastAsia="Times New Roman" w:hint="default"/>
        </w:rPr>
        <w:t>1.</w:t>
      </w:r>
      <w:r>
        <w:rPr/>
        <w:t>经济形势、产业政策、融资环境、市场竞争、资源供给等经济因素。</w:t>
      </w:r>
    </w:p>
    <w:p>
      <w:pPr>
        <w:pStyle w:val="BodyText"/>
        <w:spacing w:line="240" w:lineRule="auto" w:before="67"/>
        <w:ind w:left="798" w:right="235"/>
        <w:jc w:val="left"/>
      </w:pPr>
      <w:r>
        <w:rPr>
          <w:rFonts w:ascii="Times New Roman" w:hAnsi="Times New Roman" w:cs="Times New Roman" w:eastAsia="Times New Roman" w:hint="default"/>
        </w:rPr>
        <w:t>2.</w:t>
      </w:r>
      <w:r>
        <w:rPr/>
        <w:t>法律法规、监管要求等法律因素。</w:t>
      </w:r>
    </w:p>
    <w:p>
      <w:pPr>
        <w:pStyle w:val="BodyText"/>
        <w:spacing w:line="240" w:lineRule="auto" w:before="67"/>
        <w:ind w:left="798" w:right="235"/>
        <w:jc w:val="left"/>
      </w:pPr>
      <w:r>
        <w:rPr>
          <w:rFonts w:ascii="Times New Roman" w:hAnsi="Times New Roman" w:cs="Times New Roman" w:eastAsia="Times New Roman" w:hint="default"/>
        </w:rPr>
        <w:t>3.</w:t>
      </w:r>
      <w:r>
        <w:rPr/>
        <w:t>安全稳定、文化传统、社会信用、教育水平、消费者行为等社会因素。</w:t>
      </w:r>
    </w:p>
    <w:p>
      <w:pPr>
        <w:pStyle w:val="BodyText"/>
        <w:spacing w:line="240" w:lineRule="auto" w:before="68"/>
        <w:ind w:left="798" w:right="235"/>
        <w:jc w:val="left"/>
      </w:pPr>
      <w:r>
        <w:rPr>
          <w:rFonts w:ascii="Times New Roman" w:hAnsi="Times New Roman" w:cs="Times New Roman" w:eastAsia="Times New Roman" w:hint="default"/>
        </w:rPr>
        <w:t>4.</w:t>
      </w:r>
      <w:r>
        <w:rPr/>
        <w:t>技术进步、工艺改进等科学技术因素。</w:t>
      </w:r>
    </w:p>
    <w:p>
      <w:pPr>
        <w:pStyle w:val="BodyText"/>
        <w:spacing w:line="240" w:lineRule="auto" w:before="67"/>
        <w:ind w:left="798" w:right="235"/>
        <w:jc w:val="left"/>
      </w:pPr>
      <w:r>
        <w:rPr>
          <w:rFonts w:ascii="Times New Roman" w:hAnsi="Times New Roman" w:cs="Times New Roman" w:eastAsia="Times New Roman" w:hint="default"/>
        </w:rPr>
        <w:t>5.</w:t>
      </w:r>
      <w:r>
        <w:rPr/>
        <w:t>自然灾害、环境状况等自然环境因素。</w:t>
      </w:r>
    </w:p>
    <w:p>
      <w:pPr>
        <w:pStyle w:val="BodyText"/>
        <w:spacing w:line="240" w:lineRule="auto" w:before="67"/>
        <w:ind w:left="798" w:right="235"/>
        <w:jc w:val="left"/>
      </w:pPr>
      <w:r>
        <w:rPr>
          <w:rFonts w:ascii="Times New Roman" w:hAnsi="Times New Roman" w:cs="Times New Roman" w:eastAsia="Times New Roman" w:hint="default"/>
        </w:rPr>
        <w:t>6.</w:t>
      </w:r>
      <w:r>
        <w:rPr/>
        <w:t>其他有关外部风险因素。</w:t>
      </w:r>
    </w:p>
    <w:p>
      <w:pPr>
        <w:spacing w:line="304" w:lineRule="auto" w:before="68"/>
        <w:ind w:left="258" w:right="235" w:firstLine="482"/>
        <w:jc w:val="left"/>
        <w:rPr>
          <w:rFonts w:ascii="宋体" w:hAnsi="宋体" w:cs="宋体" w:eastAsia="宋体" w:hint="default"/>
          <w:sz w:val="24"/>
          <w:szCs w:val="24"/>
        </w:rPr>
      </w:pPr>
      <w:r>
        <w:rPr>
          <w:rFonts w:ascii="宋体" w:hAnsi="宋体" w:cs="宋体" w:eastAsia="宋体" w:hint="default"/>
          <w:b/>
          <w:bCs/>
          <w:w w:val="95"/>
          <w:sz w:val="24"/>
          <w:szCs w:val="24"/>
        </w:rPr>
        <w:t>（九）本公司能够结合不同发展阶段和业务拓展情况，持续收集与风险变化相关</w:t>
      </w:r>
      <w:r>
        <w:rPr>
          <w:rFonts w:ascii="宋体" w:hAnsi="宋体" w:cs="宋体" w:eastAsia="宋体" w:hint="default"/>
          <w:b/>
          <w:bCs/>
          <w:spacing w:val="1"/>
          <w:w w:val="99"/>
          <w:sz w:val="24"/>
          <w:szCs w:val="24"/>
        </w:rPr>
        <w:t> </w:t>
      </w:r>
      <w:r>
        <w:rPr>
          <w:rFonts w:ascii="宋体" w:hAnsi="宋体" w:cs="宋体" w:eastAsia="宋体" w:hint="default"/>
          <w:b/>
          <w:bCs/>
          <w:sz w:val="24"/>
          <w:szCs w:val="24"/>
        </w:rPr>
        <w:t>的信息，进行风险识别和风险分析，及时调整风险应对策略。</w:t>
      </w:r>
      <w:r>
        <w:rPr>
          <w:rFonts w:ascii="宋体" w:hAnsi="宋体" w:cs="宋体" w:eastAsia="宋体" w:hint="default"/>
          <w:sz w:val="24"/>
          <w:szCs w:val="24"/>
        </w:rPr>
      </w:r>
    </w:p>
    <w:p>
      <w:pPr>
        <w:spacing w:line="240" w:lineRule="auto" w:before="3"/>
        <w:rPr>
          <w:rFonts w:ascii="宋体" w:hAnsi="宋体" w:cs="宋体" w:eastAsia="宋体" w:hint="default"/>
          <w:b/>
          <w:bCs/>
          <w:sz w:val="32"/>
          <w:szCs w:val="32"/>
        </w:rPr>
      </w:pPr>
    </w:p>
    <w:p>
      <w:pPr>
        <w:pStyle w:val="BodyText"/>
        <w:spacing w:line="304" w:lineRule="auto"/>
        <w:ind w:left="738" w:right="94" w:firstLine="2"/>
        <w:jc w:val="left"/>
      </w:pPr>
      <w:r>
        <w:rPr>
          <w:rFonts w:ascii="宋体" w:hAnsi="宋体" w:cs="宋体" w:eastAsia="宋体" w:hint="default"/>
          <w:b/>
          <w:bCs/>
        </w:rPr>
        <w:t>三）控制活动</w:t>
      </w:r>
      <w:r>
        <w:rPr>
          <w:rFonts w:ascii="宋体" w:hAnsi="宋体" w:cs="宋体" w:eastAsia="宋体" w:hint="default"/>
          <w:b/>
          <w:bCs/>
          <w:w w:val="99"/>
        </w:rPr>
        <w:t> </w:t>
      </w:r>
      <w:r>
        <w:rPr>
          <w:spacing w:val="-3"/>
        </w:rPr>
        <w:t>本公司充分认识到，良好、完善的控制措施对消除风险、实现经营目标的重要性。</w:t>
      </w:r>
    </w:p>
    <w:p>
      <w:pPr>
        <w:pStyle w:val="BodyText"/>
        <w:spacing w:line="307" w:lineRule="auto" w:before="20"/>
        <w:ind w:right="226"/>
        <w:jc w:val="left"/>
      </w:pPr>
      <w:r>
        <w:rPr/>
        <w:t>本公司能够结合风险评估结果，通过手工控制与自动控制、预防性控制与发现性控制 相结合的方法，运用相应的控制措施，将风险控制在可承受度之内。</w:t>
      </w:r>
    </w:p>
    <w:p>
      <w:pPr>
        <w:pStyle w:val="BodyText"/>
        <w:spacing w:line="304" w:lineRule="auto" w:before="18"/>
        <w:ind w:right="305" w:firstLine="420"/>
        <w:jc w:val="both"/>
      </w:pPr>
      <w:r>
        <w:rPr/>
        <w:t>本公司的控制措施一般包括：不相容职务分离控制、授权审批控制、会计系统控 制、财产保护控制、预算控制、运营分析控制和绩效考评控制等。</w:t>
      </w:r>
    </w:p>
    <w:p>
      <w:pPr>
        <w:spacing w:line="304" w:lineRule="auto" w:before="22"/>
        <w:ind w:left="738" w:right="226" w:firstLine="2"/>
        <w:jc w:val="left"/>
        <w:rPr>
          <w:rFonts w:ascii="宋体" w:hAnsi="宋体" w:cs="宋体" w:eastAsia="宋体" w:hint="default"/>
          <w:sz w:val="24"/>
          <w:szCs w:val="24"/>
        </w:rPr>
      </w:pPr>
      <w:r>
        <w:rPr>
          <w:rFonts w:ascii="宋体" w:hAnsi="宋体" w:cs="宋体" w:eastAsia="宋体" w:hint="default"/>
          <w:b/>
          <w:bCs/>
          <w:sz w:val="24"/>
          <w:szCs w:val="24"/>
        </w:rPr>
        <w:t>（一）相容职务分离控制</w:t>
      </w:r>
      <w:r>
        <w:rPr>
          <w:rFonts w:ascii="宋体" w:hAnsi="宋体" w:cs="宋体" w:eastAsia="宋体" w:hint="default"/>
          <w:b/>
          <w:bCs/>
          <w:w w:val="99"/>
          <w:sz w:val="24"/>
          <w:szCs w:val="24"/>
        </w:rPr>
        <w:t> </w:t>
      </w:r>
      <w:r>
        <w:rPr>
          <w:rFonts w:ascii="宋体" w:hAnsi="宋体" w:cs="宋体" w:eastAsia="宋体" w:hint="default"/>
          <w:sz w:val="24"/>
          <w:szCs w:val="24"/>
        </w:rPr>
        <w:t>本公司对于各项业务流程中所涉及的不相容职务进行了必要的分析和梳理，并实</w:t>
      </w:r>
    </w:p>
    <w:p>
      <w:pPr>
        <w:pStyle w:val="BodyText"/>
        <w:spacing w:line="307" w:lineRule="auto" w:before="20"/>
        <w:ind w:right="226"/>
        <w:jc w:val="left"/>
      </w:pPr>
      <w:r>
        <w:rPr/>
        <w:t>施了相应的分离措施，形成在各项业务的分工及流程上各司其职、各负其责、相互制 约的工作机制。</w:t>
      </w:r>
    </w:p>
    <w:p>
      <w:pPr>
        <w:pStyle w:val="BodyText"/>
        <w:spacing w:line="304" w:lineRule="auto" w:before="18"/>
        <w:ind w:right="245" w:firstLine="480"/>
        <w:jc w:val="both"/>
      </w:pPr>
      <w:r>
        <w:rPr/>
        <w:t>本公司在经营管理中，为防止错误或舞弊的发生，在采购、销售、财务管理环节 均进行了职责划分。采购过程中，生产部门负责签发请购单，综合计划部负责审核并 签发采购订单，采购部负责采购货物，仓储人员负责实物的出入库，会计人员负责记 录收到的货物。又如销售环节中的职责划分，本公司的销售业务涉及到市场部、计划 部、财务部、人力资源部等。当新产品进入销售环节，由办事处与客户签订合同；市 场部负责审核合同并做出发货指令，由计划部具体负责向客户发货，并寄出发货单要</w:t>
      </w:r>
    </w:p>
    <w:p>
      <w:pPr>
        <w:spacing w:after="0" w:line="304" w:lineRule="auto"/>
        <w:jc w:val="both"/>
        <w:sectPr>
          <w:pgSz w:w="11910" w:h="16840"/>
          <w:pgMar w:header="470" w:footer="1266" w:top="900" w:bottom="1460" w:left="1160" w:right="13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304" w:lineRule="auto" w:before="26"/>
        <w:ind w:right="100"/>
        <w:jc w:val="left"/>
      </w:pPr>
      <w:r>
        <w:rPr>
          <w:spacing w:val="-3"/>
        </w:rPr>
        <w:t>求其签收；当销售确认时，由市场部提出开票申请由财务部审核并开出发票，财务部、</w:t>
      </w:r>
      <w:r>
        <w:rPr>
          <w:spacing w:val="-106"/>
        </w:rPr>
        <w:t> </w:t>
      </w:r>
      <w:r>
        <w:rPr>
          <w:spacing w:val="-106"/>
        </w:rPr>
      </w:r>
      <w:r>
        <w:rPr/>
        <w:t>市场部共同负责收款；对销售人员业绩考核由市场部提供资料，由市场部和人力资源 部按规定进行考核。通过上述职责划分，在销售过程中，授权与执行、考核与基础资 料的提供、负责实物的部门与调拨实物的部门都由不同的部门执行，有效地防止了销 售环节的舞弊和不法、不正当、不合理行为的发生。</w:t>
      </w:r>
    </w:p>
    <w:p>
      <w:pPr>
        <w:spacing w:before="20"/>
        <w:ind w:left="740" w:right="235" w:firstLine="0"/>
        <w:jc w:val="left"/>
        <w:rPr>
          <w:rFonts w:ascii="宋体" w:hAnsi="宋体" w:cs="宋体" w:eastAsia="宋体" w:hint="default"/>
          <w:sz w:val="24"/>
          <w:szCs w:val="24"/>
        </w:rPr>
      </w:pPr>
      <w:r>
        <w:rPr>
          <w:rFonts w:ascii="宋体" w:hAnsi="宋体" w:cs="宋体" w:eastAsia="宋体" w:hint="default"/>
          <w:b/>
          <w:bCs/>
          <w:sz w:val="24"/>
          <w:szCs w:val="24"/>
        </w:rPr>
        <w:t>（二）授权审批控制</w:t>
      </w:r>
      <w:r>
        <w:rPr>
          <w:rFonts w:ascii="宋体" w:hAnsi="宋体" w:cs="宋体" w:eastAsia="宋体" w:hint="default"/>
          <w:sz w:val="24"/>
          <w:szCs w:val="24"/>
        </w:rPr>
      </w:r>
    </w:p>
    <w:p>
      <w:pPr>
        <w:pStyle w:val="BodyText"/>
        <w:spacing w:line="300" w:lineRule="auto" w:before="86"/>
        <w:ind w:right="223" w:firstLine="480"/>
        <w:jc w:val="both"/>
      </w:pPr>
      <w:r>
        <w:rPr>
          <w:rFonts w:ascii="Times New Roman" w:hAnsi="Times New Roman" w:cs="Times New Roman" w:eastAsia="Times New Roman" w:hint="default"/>
        </w:rPr>
        <w:t>1.</w:t>
      </w:r>
      <w:r>
        <w:rPr>
          <w:rFonts w:ascii="Times New Roman" w:hAnsi="Times New Roman" w:cs="Times New Roman" w:eastAsia="Times New Roman" w:hint="default"/>
          <w:spacing w:val="22"/>
        </w:rPr>
        <w:t> </w:t>
      </w:r>
      <w:r>
        <w:rPr>
          <w:spacing w:val="-3"/>
        </w:rPr>
        <w:t>交易授权。本公司在交易授权上区分交易的不同性质采用了不同的授权审批方</w:t>
      </w:r>
      <w:r>
        <w:rPr>
          <w:spacing w:val="-1"/>
        </w:rPr>
        <w:t> </w:t>
      </w:r>
      <w:r>
        <w:rPr/>
        <w:t>式。对于一般性交易如购销业务、费用报销业务采用了各职能部门和分管领导审批制</w:t>
      </w:r>
      <w:r>
        <w:rPr/>
        <w:t> 度；对于非常规性交易，如收购、投资、发行股票等重大交易需股东大会、董事会作 出决定。</w:t>
      </w:r>
    </w:p>
    <w:p>
      <w:pPr>
        <w:pStyle w:val="BodyText"/>
        <w:spacing w:line="300" w:lineRule="auto" w:before="25"/>
        <w:ind w:right="222" w:firstLine="480"/>
        <w:jc w:val="both"/>
      </w:pPr>
      <w:r>
        <w:rPr>
          <w:spacing w:val="-3"/>
        </w:rPr>
        <w:t>（</w:t>
      </w:r>
      <w:r>
        <w:rPr>
          <w:rFonts w:ascii="Times New Roman" w:hAnsi="Times New Roman" w:cs="Times New Roman" w:eastAsia="Times New Roman" w:hint="default"/>
          <w:spacing w:val="-3"/>
        </w:rPr>
        <w:t>1</w:t>
      </w:r>
      <w:r>
        <w:rPr>
          <w:spacing w:val="-3"/>
        </w:rPr>
        <w:t>）一般授权。在采购业务中，本公司一直采用招标与审批相结合的制度。大额</w:t>
      </w:r>
      <w:r>
        <w:rPr/>
        <w:t> 的原材料采用招标方式，小额的原材料和采购采用审批方式，同时坚持多家供应商报 价制；在销售业务中，发货指令由销管部根据合同发出；在费用开支方面，由公司规 定各种费用的审批权限，具体由部门经理、公司副总经理执行。</w:t>
      </w:r>
    </w:p>
    <w:p>
      <w:pPr>
        <w:pStyle w:val="BodyText"/>
        <w:spacing w:line="295" w:lineRule="auto" w:before="25"/>
        <w:ind w:right="100" w:firstLine="480"/>
        <w:jc w:val="left"/>
      </w:pPr>
      <w:r>
        <w:rPr>
          <w:spacing w:val="-4"/>
        </w:rPr>
        <w:t>（</w:t>
      </w:r>
      <w:r>
        <w:rPr>
          <w:rFonts w:ascii="Times New Roman" w:hAnsi="Times New Roman" w:cs="Times New Roman" w:eastAsia="Times New Roman" w:hint="default"/>
          <w:spacing w:val="-4"/>
        </w:rPr>
        <w:t>2</w:t>
      </w:r>
      <w:r>
        <w:rPr>
          <w:spacing w:val="-4"/>
        </w:rPr>
        <w:t>）特别授权。对于重大经营活动，需由股东大会、董事会做出决定。为了保证</w:t>
      </w:r>
      <w:r>
        <w:rPr>
          <w:spacing w:val="-1"/>
        </w:rPr>
        <w:t> </w:t>
      </w:r>
      <w:r>
        <w:rPr>
          <w:spacing w:val="-3"/>
        </w:rPr>
        <w:t>非常规交易的合法性、准确性，对于重大经营活动，需由股东大会、董事会做出决定。</w:t>
      </w:r>
      <w:r>
        <w:rPr>
          <w:spacing w:val="-110"/>
        </w:rPr>
        <w:t> </w:t>
      </w:r>
      <w:r>
        <w:rPr>
          <w:spacing w:val="-110"/>
        </w:rPr>
      </w:r>
      <w:r>
        <w:rPr>
          <w:rFonts w:ascii="Times New Roman" w:hAnsi="Times New Roman" w:cs="Times New Roman" w:eastAsia="Times New Roman" w:hint="default"/>
          <w:spacing w:val="-3"/>
        </w:rPr>
        <w:t>2011 </w:t>
      </w:r>
      <w:r>
        <w:rPr>
          <w:spacing w:val="-3"/>
        </w:rPr>
        <w:t>年度本公司股东大会、董事会就重大经济活动的议案作出决议，从而保证了交易</w:t>
      </w:r>
      <w:r>
        <w:rPr>
          <w:spacing w:val="-98"/>
        </w:rPr>
        <w:t> </w:t>
      </w:r>
      <w:r>
        <w:rPr>
          <w:spacing w:val="-98"/>
        </w:rPr>
      </w:r>
      <w:r>
        <w:rPr/>
        <w:t>事项的进行有合法、准确的依据。通过股东大会、董事会授权的重大经济活动如下：</w:t>
      </w:r>
    </w:p>
    <w:p>
      <w:pPr>
        <w:pStyle w:val="BodyText"/>
        <w:spacing w:line="240" w:lineRule="auto" w:before="31"/>
        <w:ind w:left="738" w:right="205"/>
        <w:jc w:val="left"/>
      </w:pPr>
      <w:r>
        <w:rPr/>
        <w:t>①深圳市惠程高能能源科技有限公司增资进行新型动力及储能电池生产线建设项</w:t>
      </w:r>
    </w:p>
    <w:p>
      <w:pPr>
        <w:pStyle w:val="BodyText"/>
        <w:spacing w:line="240" w:lineRule="auto" w:before="85"/>
        <w:ind w:right="235"/>
        <w:jc w:val="left"/>
      </w:pPr>
      <w:r>
        <w:rPr/>
        <w:t>目</w:t>
      </w:r>
    </w:p>
    <w:p>
      <w:pPr>
        <w:pStyle w:val="BodyText"/>
        <w:spacing w:line="240" w:lineRule="auto" w:before="85"/>
        <w:ind w:left="738" w:right="235"/>
        <w:jc w:val="left"/>
      </w:pPr>
      <w:r>
        <w:rPr/>
        <w:t>②控股子公司长春高琦子公司江西先材纳米纤维科技有限公司规划建设年产</w:t>
      </w:r>
      <w:r>
        <w:rPr>
          <w:rFonts w:ascii="Times New Roman" w:hAnsi="Times New Roman" w:cs="Times New Roman" w:eastAsia="Times New Roman" w:hint="default"/>
        </w:rPr>
        <w:t>2</w:t>
      </w:r>
      <w:r>
        <w:rPr/>
        <w:t>亿</w:t>
      </w:r>
    </w:p>
    <w:p>
      <w:pPr>
        <w:pStyle w:val="BodyText"/>
        <w:spacing w:line="240" w:lineRule="auto" w:before="68"/>
        <w:ind w:right="235"/>
        <w:jc w:val="left"/>
      </w:pPr>
      <w:r>
        <w:rPr/>
        <w:t>平方米</w:t>
      </w:r>
      <w:r>
        <w:rPr>
          <w:rFonts w:ascii="Times New Roman" w:hAnsi="Times New Roman" w:cs="Times New Roman" w:eastAsia="Times New Roman" w:hint="default"/>
        </w:rPr>
        <w:t>PI</w:t>
      </w:r>
      <w:r>
        <w:rPr/>
        <w:t>纳米纤维电池隔膜产品项目</w:t>
      </w:r>
    </w:p>
    <w:p>
      <w:pPr>
        <w:pStyle w:val="BodyText"/>
        <w:spacing w:line="240" w:lineRule="auto" w:before="67"/>
        <w:ind w:left="738" w:right="235"/>
        <w:jc w:val="left"/>
      </w:pPr>
      <w:r>
        <w:rPr/>
        <w:t>③向间接控股子公司江西先材纳米纤维科技有限公司增资</w:t>
      </w:r>
    </w:p>
    <w:p>
      <w:pPr>
        <w:pStyle w:val="BodyText"/>
        <w:spacing w:line="307" w:lineRule="auto" w:before="85"/>
        <w:ind w:right="226" w:firstLine="480"/>
        <w:jc w:val="left"/>
      </w:pPr>
      <w:r>
        <w:rPr/>
        <w:t>④控股子公司长春高琦聚酰亚胺材料有限公司向其控股子公司吉林高琦聚酰亚胺 材料有限公司增资</w:t>
      </w:r>
    </w:p>
    <w:p>
      <w:pPr>
        <w:pStyle w:val="BodyText"/>
        <w:spacing w:line="304" w:lineRule="auto" w:before="18"/>
        <w:ind w:right="226" w:firstLine="480"/>
        <w:jc w:val="left"/>
      </w:pPr>
      <w:r>
        <w:rPr/>
        <w:t>⑤控股子公司长春高琦全资子公司吉林高琦聚酰亚胺材料有限公司规划建设聚酰 亚胺树脂及相关原料项目</w:t>
      </w:r>
    </w:p>
    <w:p>
      <w:pPr>
        <w:spacing w:line="304" w:lineRule="auto" w:before="22"/>
        <w:ind w:left="738" w:right="226" w:firstLine="2"/>
        <w:jc w:val="left"/>
        <w:rPr>
          <w:rFonts w:ascii="宋体" w:hAnsi="宋体" w:cs="宋体" w:eastAsia="宋体" w:hint="default"/>
          <w:sz w:val="24"/>
          <w:szCs w:val="24"/>
        </w:rPr>
      </w:pPr>
      <w:r>
        <w:rPr>
          <w:rFonts w:ascii="宋体" w:hAnsi="宋体" w:cs="宋体" w:eastAsia="宋体" w:hint="default"/>
          <w:b/>
          <w:bCs/>
          <w:sz w:val="24"/>
          <w:szCs w:val="24"/>
        </w:rPr>
        <w:t>（三）会计系统控制</w:t>
      </w:r>
      <w:r>
        <w:rPr>
          <w:rFonts w:ascii="宋体" w:hAnsi="宋体" w:cs="宋体" w:eastAsia="宋体" w:hint="default"/>
          <w:b/>
          <w:bCs/>
          <w:spacing w:val="1"/>
          <w:w w:val="99"/>
          <w:sz w:val="24"/>
          <w:szCs w:val="24"/>
        </w:rPr>
        <w:t> </w:t>
      </w:r>
      <w:r>
        <w:rPr>
          <w:rFonts w:ascii="宋体" w:hAnsi="宋体" w:cs="宋体" w:eastAsia="宋体" w:hint="default"/>
          <w:sz w:val="24"/>
          <w:szCs w:val="24"/>
        </w:rPr>
        <w:t>本公司严格执行企业会计准则，加强会计基础工作，明确会计凭证、会计账簿和</w:t>
      </w:r>
    </w:p>
    <w:p>
      <w:pPr>
        <w:pStyle w:val="BodyText"/>
        <w:spacing w:line="240" w:lineRule="auto" w:before="20"/>
        <w:ind w:right="235"/>
        <w:jc w:val="left"/>
      </w:pPr>
      <w:r>
        <w:rPr/>
        <w:t>财务会计报告的处理程序，保证会计资料真实完整。</w:t>
      </w:r>
    </w:p>
    <w:p>
      <w:pPr>
        <w:pStyle w:val="BodyText"/>
        <w:spacing w:line="288" w:lineRule="auto" w:before="86"/>
        <w:ind w:left="738" w:right="238"/>
        <w:jc w:val="left"/>
      </w:pPr>
      <w:r>
        <w:rPr>
          <w:rFonts w:ascii="Times New Roman" w:hAnsi="Times New Roman" w:cs="Times New Roman" w:eastAsia="Times New Roman" w:hint="default"/>
        </w:rPr>
        <w:t>1</w:t>
      </w:r>
      <w:r>
        <w:rPr/>
        <w:t>．财务会计制度的建设及规范 </w:t>
      </w:r>
      <w:r>
        <w:rPr>
          <w:spacing w:val="-7"/>
        </w:rPr>
        <w:t>按照《公司法》对财务会计的要求以及《会计法》、《企业会计准则》等法律法规</w:t>
      </w:r>
    </w:p>
    <w:p>
      <w:pPr>
        <w:pStyle w:val="BodyText"/>
        <w:spacing w:line="307" w:lineRule="auto" w:before="37"/>
        <w:ind w:right="226"/>
        <w:jc w:val="left"/>
      </w:pPr>
      <w:r>
        <w:rPr/>
        <w:t>的规定建立了规范、完整的财务管理控制制度以及相关的操作规程，如《会计人员岗 </w:t>
      </w:r>
      <w:r>
        <w:rPr>
          <w:spacing w:val="-24"/>
        </w:rPr>
        <w:t>位责任制度》、《成本核算制度》、《应收账款管理办法》、《财产清查制度》、《财务印签</w:t>
      </w:r>
    </w:p>
    <w:p>
      <w:pPr>
        <w:spacing w:after="0" w:line="307" w:lineRule="auto"/>
        <w:jc w:val="left"/>
        <w:sectPr>
          <w:pgSz w:w="11910" w:h="16840"/>
          <w:pgMar w:header="470" w:footer="1266" w:top="900" w:bottom="1460" w:left="1160" w:right="13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304" w:lineRule="auto" w:before="26"/>
        <w:ind w:right="94"/>
        <w:jc w:val="left"/>
      </w:pPr>
      <w:r>
        <w:rPr>
          <w:spacing w:val="-15"/>
        </w:rPr>
        <w:t>保管使用办法》、《会计档案保管制度》、《票据管理制度》等等，对采购、生产、销售、</w:t>
      </w:r>
      <w:r>
        <w:rPr>
          <w:spacing w:val="-102"/>
        </w:rPr>
        <w:t> </w:t>
      </w:r>
      <w:r>
        <w:rPr>
          <w:spacing w:val="-102"/>
        </w:rPr>
      </w:r>
      <w:r>
        <w:rPr>
          <w:spacing w:val="-7"/>
        </w:rPr>
        <w:t>财务管理等各个环节进行有效控制，确保会计凭证、核算与记录及其数据的准确。《财</w:t>
      </w:r>
      <w:r>
        <w:rPr>
          <w:spacing w:val="-105"/>
        </w:rPr>
        <w:t> </w:t>
      </w:r>
      <w:r>
        <w:rPr>
          <w:spacing w:val="-105"/>
        </w:rPr>
      </w:r>
      <w:r>
        <w:rPr/>
        <w:t>务会计管理制度》还分别对预算管理、对外投资、借款与担保、流动资产、存货、固</w:t>
      </w:r>
      <w:r>
        <w:rPr/>
        <w:t> 定资产、无形资产、递延资产、成本费用、营业收入、利润及其分配以及会计基础工 作都分别作了具体规定。总的来看，公司在制度规范建设方面做了大量富有成效的工 作。</w:t>
      </w:r>
    </w:p>
    <w:p>
      <w:pPr>
        <w:pStyle w:val="BodyText"/>
        <w:spacing w:line="288" w:lineRule="auto" w:before="22"/>
        <w:ind w:left="738" w:right="226"/>
        <w:jc w:val="left"/>
      </w:pPr>
      <w:r>
        <w:rPr>
          <w:rFonts w:ascii="Times New Roman" w:hAnsi="Times New Roman" w:cs="Times New Roman" w:eastAsia="Times New Roman" w:hint="default"/>
        </w:rPr>
        <w:t>2. </w:t>
      </w:r>
      <w:r>
        <w:rPr/>
        <w:t>会计机构设置及人员配备 本公司依法设置会计机构，配备必要的会计从业人员。正式上岗的会计人员均已</w:t>
      </w:r>
    </w:p>
    <w:p>
      <w:pPr>
        <w:pStyle w:val="BodyText"/>
        <w:spacing w:line="307" w:lineRule="auto" w:before="37"/>
        <w:ind w:left="738" w:right="226" w:hanging="480"/>
        <w:jc w:val="left"/>
      </w:pPr>
      <w:r>
        <w:rPr/>
        <w:t>取得会计从业资格证书。 本公司副总经理兼任财务负责人，全面负责本公司的财务会计工作，并已聘请有</w:t>
      </w:r>
    </w:p>
    <w:p>
      <w:pPr>
        <w:pStyle w:val="BodyText"/>
        <w:spacing w:line="297" w:lineRule="auto" w:before="18"/>
        <w:ind w:left="738" w:right="3826" w:hanging="480"/>
        <w:jc w:val="left"/>
      </w:pPr>
      <w:r>
        <w:rPr/>
        <w:t>经验、专业能力的财务部部长具体负责财务工作。 </w:t>
      </w:r>
      <w:r>
        <w:rPr>
          <w:rFonts w:ascii="Times New Roman" w:hAnsi="Times New Roman" w:cs="Times New Roman" w:eastAsia="Times New Roman" w:hint="default"/>
        </w:rPr>
        <w:t>3</w:t>
      </w:r>
      <w:r>
        <w:rPr/>
        <w:t>．岗位编制人员结构及主要会计处理程序 岗位编制：</w:t>
      </w:r>
    </w:p>
    <w:p>
      <w:pPr>
        <w:spacing w:line="240" w:lineRule="auto" w:before="12"/>
        <w:rPr>
          <w:rFonts w:ascii="宋体" w:hAnsi="宋体" w:cs="宋体" w:eastAsia="宋体" w:hint="default"/>
          <w:sz w:val="11"/>
          <w:szCs w:val="11"/>
        </w:rPr>
      </w:pPr>
    </w:p>
    <w:p>
      <w:pPr>
        <w:spacing w:line="5501" w:lineRule="exact"/>
        <w:ind w:left="439" w:right="0" w:firstLine="0"/>
        <w:rPr>
          <w:rFonts w:ascii="宋体" w:hAnsi="宋体" w:cs="宋体" w:eastAsia="宋体" w:hint="default"/>
          <w:sz w:val="20"/>
          <w:szCs w:val="20"/>
        </w:rPr>
      </w:pPr>
      <w:r>
        <w:rPr>
          <w:rFonts w:ascii="宋体" w:hAnsi="宋体" w:cs="宋体" w:eastAsia="宋体" w:hint="default"/>
          <w:position w:val="-109"/>
          <w:sz w:val="20"/>
          <w:szCs w:val="20"/>
        </w:rPr>
        <w:pict>
          <v:group style="width:375.05pt;height:275.1pt;mso-position-horizontal-relative:char;mso-position-vertical-relative:line" coordorigin="0,0" coordsize="7501,5502">
            <v:group style="position:absolute;left:3713;top:525;width:2;height:443" coordorigin="3713,525" coordsize="2,443">
              <v:shape style="position:absolute;left:3713;top:525;width:2;height:443" coordorigin="3713,525" coordsize="0,443" path="m3713,525l3713,968e" filled="false" stroked="true" strokeweight=".75pt" strokecolor="#000000">
                <v:path arrowok="t"/>
              </v:shape>
            </v:group>
            <v:group style="position:absolute;left:2513;top:8;width:2385;height:450" coordorigin="2513,8" coordsize="2385,450">
              <v:shape style="position:absolute;left:2513;top:8;width:2385;height:450" coordorigin="2513,8" coordsize="2385,450" path="m4897,8l2513,8,2513,458,4897,458,4897,8xe" filled="false" stroked="true" strokeweight=".75pt" strokecolor="#000000">
                <v:path arrowok="t"/>
              </v:shape>
            </v:group>
            <v:group style="position:absolute;left:3713;top:458;width:2;height:510" coordorigin="3713,458" coordsize="2,510">
              <v:shape style="position:absolute;left:3713;top:458;width:2;height:510" coordorigin="3713,458" coordsize="0,510" path="m3713,458l3713,968e" filled="false" stroked="true" strokeweight=".75pt" strokecolor="#000000">
                <v:path arrowok="t"/>
              </v:shape>
            </v:group>
            <v:group style="position:absolute;left:1493;top:2124;width:2;height:712" coordorigin="1493,2124" coordsize="2,712">
              <v:shape style="position:absolute;left:1493;top:2124;width:2;height:712" coordorigin="1493,2124" coordsize="0,712" path="m1493,2124l1493,2836e" filled="false" stroked="true" strokeweight=".75pt" strokecolor="#000000">
                <v:path arrowok="t"/>
              </v:shape>
            </v:group>
            <v:group style="position:absolute;left:3713;top:2124;width:2;height:712" coordorigin="3713,2124" coordsize="2,712">
              <v:shape style="position:absolute;left:3713;top:2124;width:2;height:712" coordorigin="3713,2124" coordsize="0,712" path="m3713,2124l3713,2836e" filled="false" stroked="true" strokeweight=".75pt" strokecolor="#000000">
                <v:path arrowok="t"/>
              </v:shape>
            </v:group>
            <v:group style="position:absolute;left:3713;top:1500;width:2;height:624" coordorigin="3713,1500" coordsize="2,624">
              <v:shape style="position:absolute;left:3713;top:1500;width:2;height:624" coordorigin="3713,1500" coordsize="0,624" path="m3713,1500l3713,2124e" filled="false" stroked="true" strokeweight=".75pt" strokecolor="#000000">
                <v:path arrowok="t"/>
              </v:shape>
            </v:group>
            <v:group style="position:absolute;left:287;top:2124;width:2;height:712" coordorigin="287,2124" coordsize="2,712">
              <v:shape style="position:absolute;left:287;top:2124;width:2;height:712" coordorigin="287,2124" coordsize="0,712" path="m287,2124l287,2836e" filled="false" stroked="true" strokeweight=".75pt" strokecolor="#000000">
                <v:path arrowok="t"/>
              </v:shape>
            </v:group>
            <v:group style="position:absolute;left:8;top:2836;width:720;height:2652" coordorigin="8,2836" coordsize="720,2652">
              <v:shape style="position:absolute;left:8;top:2836;width:720;height:2652" coordorigin="8,2836" coordsize="720,2652" path="m728,2836l8,2836,8,5488,728,5488,728,2836xe" filled="false" stroked="true" strokeweight=".75pt" strokecolor="#000000">
                <v:path arrowok="t"/>
              </v:shape>
            </v:group>
            <v:group style="position:absolute;left:2513;top:2124;width:2;height:712" coordorigin="2513,2124" coordsize="2,712">
              <v:shape style="position:absolute;left:2513;top:2124;width:2;height:712" coordorigin="2513,2124" coordsize="0,712" path="m2513,2124l2513,2836e" filled="false" stroked="true" strokeweight=".75pt" strokecolor="#000000">
                <v:path arrowok="t"/>
              </v:shape>
            </v:group>
            <v:group style="position:absolute;left:5828;top:2117;width:2;height:726" coordorigin="5828,2117" coordsize="2,726">
              <v:shape style="position:absolute;left:5828;top:2117;width:2;height:726" coordorigin="5828,2117" coordsize="0,726" path="m5828,2117l5828,2842e" filled="false" stroked="true" strokeweight=".75pt" strokecolor="#000000">
                <v:path arrowok="t"/>
              </v:shape>
            </v:group>
            <v:group style="position:absolute;left:7178;top:2048;width:2;height:780" coordorigin="7178,2048" coordsize="2,780">
              <v:shape style="position:absolute;left:7178;top:2048;width:2;height:780" coordorigin="7178,2048" coordsize="0,780" path="m7178,2048l7178,2828e" filled="false" stroked="true" strokeweight=".75pt" strokecolor="#000000">
                <v:path arrowok="t"/>
              </v:shape>
            </v:group>
            <v:group style="position:absolute;left:287;top:2056;width:6891;height:2" coordorigin="287,2056" coordsize="6891,2">
              <v:shape style="position:absolute;left:287;top:2056;width:6891;height:2" coordorigin="287,2056" coordsize="6891,0" path="m287,2056l7177,2056e" filled="false" stroked="true" strokeweight=".75pt" strokecolor="#000000">
                <v:path arrowok="t"/>
              </v:shape>
            </v:group>
            <v:group style="position:absolute;left:4838;top:2062;width:2;height:780" coordorigin="4838,2062" coordsize="2,780">
              <v:shape style="position:absolute;left:4838;top:2062;width:2;height:780" coordorigin="4838,2062" coordsize="0,780" path="m4838,2062l4838,2842e" filled="false" stroked="true" strokeweight=".75pt" strokecolor="#000000">
                <v:path arrowok="t"/>
              </v:shape>
            </v:group>
            <v:group style="position:absolute;left:1493;top:2056;width:2;height:780" coordorigin="1493,2056" coordsize="2,780">
              <v:shape style="position:absolute;left:1493;top:2056;width:2;height:780" coordorigin="1493,2056" coordsize="0,780" path="m1493,2056l1493,2836e" filled="false" stroked="true" strokeweight=".75pt" strokecolor="#000000">
                <v:path arrowok="t"/>
              </v:shape>
            </v:group>
            <v:group style="position:absolute;left:3713;top:2056;width:2;height:780" coordorigin="3713,2056" coordsize="2,780">
              <v:shape style="position:absolute;left:3713;top:2056;width:2;height:780" coordorigin="3713,2056" coordsize="0,780" path="m3713,2056l3713,2836e" filled="false" stroked="true" strokeweight=".75pt" strokecolor="#000000">
                <v:path arrowok="t"/>
              </v:shape>
            </v:group>
            <v:group style="position:absolute;left:1133;top:2836;width:720;height:2652" coordorigin="1133,2836" coordsize="720,2652">
              <v:shape style="position:absolute;left:1133;top:2836;width:720;height:2652" coordorigin="1133,2836" coordsize="720,2652" path="m1853,2836l1133,2836,1133,5488,1853,5488,1853,2836xe" filled="false" stroked="true" strokeweight=".75pt" strokecolor="#000000">
                <v:path arrowok="t"/>
              </v:shape>
            </v:group>
            <v:group style="position:absolute;left:2198;top:2836;width:720;height:2652" coordorigin="2198,2836" coordsize="720,2652">
              <v:shape style="position:absolute;left:2198;top:2836;width:720;height:2652" coordorigin="2198,2836" coordsize="720,2652" path="m2918,2836l2198,2836,2198,5488,2918,5488,2918,2836xe" filled="false" stroked="true" strokeweight=".75pt" strokecolor="#000000">
                <v:path arrowok="t"/>
              </v:shape>
            </v:group>
            <v:group style="position:absolute;left:3391;top:2836;width:720;height:2652" coordorigin="3391,2836" coordsize="720,2652">
              <v:shape style="position:absolute;left:3391;top:2836;width:720;height:2652" coordorigin="3391,2836" coordsize="720,2652" path="m4111,2836l3391,2836,3391,5488,4111,5488,4111,2836xe" filled="false" stroked="true" strokeweight=".75pt" strokecolor="#000000">
                <v:path arrowok="t"/>
              </v:shape>
            </v:group>
            <v:group style="position:absolute;left:4553;top:2842;width:645;height:2652" coordorigin="4553,2842" coordsize="645,2652">
              <v:shape style="position:absolute;left:4553;top:2842;width:645;height:2652" coordorigin="4553,2842" coordsize="645,2652" path="m5197,2842l4553,2842,4553,5494,5197,5494,5197,2842xe" filled="false" stroked="true" strokeweight=".75pt" strokecolor="#000000">
                <v:path arrowok="t"/>
              </v:shape>
            </v:group>
            <v:group style="position:absolute;left:5573;top:2842;width:630;height:2652" coordorigin="5573,2842" coordsize="630,2652">
              <v:shape style="position:absolute;left:5573;top:2842;width:630;height:2652" coordorigin="5573,2842" coordsize="630,2652" path="m6203,2842l5573,2842,5573,5494,6203,5494,6203,2842xe" filled="false" stroked="true" strokeweight=".75pt" strokecolor="#000000">
                <v:path arrowok="t"/>
              </v:shape>
            </v:group>
            <v:group style="position:absolute;left:6863;top:2842;width:630;height:2652" coordorigin="6863,2842" coordsize="630,2652">
              <v:shape style="position:absolute;left:6863;top:2842;width:630;height:2652" coordorigin="6863,2842" coordsize="630,2652" path="m7493,2842l6863,2842,6863,5494,7493,5494,7493,2842xe" filled="false" stroked="true" strokeweight=".75pt" strokecolor="#000000">
                <v:path arrowok="t"/>
              </v:shape>
            </v:group>
            <v:group style="position:absolute;left:287;top:2056;width:2;height:780" coordorigin="287,2056" coordsize="2,780">
              <v:shape style="position:absolute;left:287;top:2056;width:2;height:780" coordorigin="287,2056" coordsize="0,780" path="m287,2056l287,2836e" filled="false" stroked="true" strokeweight=".75pt" strokecolor="#000000">
                <v:path arrowok="t"/>
              </v:shape>
            </v:group>
            <v:group style="position:absolute;left:2513;top:2056;width:2;height:780" coordorigin="2513,2056" coordsize="2,780">
              <v:shape style="position:absolute;left:2513;top:2056;width:2;height:780" coordorigin="2513,2056" coordsize="0,780" path="m2513,2056l2513,2836e" filled="false" stroked="true" strokeweight=".75pt" strokecolor="#000000">
                <v:path arrowok="t"/>
              </v:shape>
            </v:group>
            <v:group style="position:absolute;left:5828;top:2056;width:2;height:780" coordorigin="5828,2056" coordsize="2,780">
              <v:shape style="position:absolute;left:5828;top:2056;width:2;height:780" coordorigin="5828,2056" coordsize="0,780" path="m5828,2056l5828,2836e" filled="false" stroked="true" strokeweight=".75pt" strokecolor="#000000">
                <v:path arrowok="t"/>
              </v:shape>
            </v:group>
            <v:group style="position:absolute;left:2513;top:968;width:2385;height:465" coordorigin="2513,968" coordsize="2385,465">
              <v:shape style="position:absolute;left:2513;top:968;width:2385;height:465" coordorigin="2513,968" coordsize="2385,465" path="m4897,968l2513,968,2513,1432,4897,1432,4897,968xe" filled="false" stroked="true" strokeweight=".75pt" strokecolor="#000000">
                <v:path arrowok="t"/>
              </v:shape>
            </v:group>
            <v:group style="position:absolute;left:3713;top:1432;width:2;height:624" coordorigin="3713,1432" coordsize="2,624">
              <v:shape style="position:absolute;left:3713;top:1432;width:2;height:624" coordorigin="3713,1432" coordsize="0,624" path="m3713,1432l3713,2056e" filled="false" stroked="true" strokeweight=".75pt" strokecolor="#000000">
                <v:path arrowok="t"/>
              </v:shape>
              <v:shape style="position:absolute;left:2513;top:8;width:2365;height:450" type="#_x0000_t202" filled="false" stroked="false">
                <v:textbox inset="0,0,0,0">
                  <w:txbxContent>
                    <w:p>
                      <w:pPr>
                        <w:spacing w:before="89"/>
                        <w:ind w:left="740" w:right="0" w:firstLine="0"/>
                        <w:jc w:val="left"/>
                        <w:rPr>
                          <w:rFonts w:ascii="宋体" w:hAnsi="宋体" w:cs="宋体" w:eastAsia="宋体" w:hint="default"/>
                          <w:sz w:val="18"/>
                          <w:szCs w:val="18"/>
                        </w:rPr>
                      </w:pPr>
                      <w:r>
                        <w:rPr>
                          <w:rFonts w:ascii="宋体" w:hAnsi="宋体" w:cs="宋体" w:eastAsia="宋体" w:hint="default"/>
                          <w:b/>
                          <w:bCs/>
                          <w:sz w:val="18"/>
                          <w:szCs w:val="18"/>
                        </w:rPr>
                        <w:t>财务负责人</w:t>
                      </w:r>
                      <w:r>
                        <w:rPr>
                          <w:rFonts w:ascii="宋体" w:hAnsi="宋体" w:cs="宋体" w:eastAsia="宋体" w:hint="default"/>
                          <w:sz w:val="18"/>
                          <w:szCs w:val="18"/>
                        </w:rPr>
                      </w:r>
                    </w:p>
                  </w:txbxContent>
                </v:textbox>
                <w10:wrap type="none"/>
              </v:shape>
              <v:shape style="position:absolute;left:2513;top:968;width:2365;height:465" type="#_x0000_t202" filled="false" stroked="false">
                <v:textbox inset="0,0,0,0">
                  <w:txbxContent>
                    <w:p>
                      <w:pPr>
                        <w:spacing w:before="89"/>
                        <w:ind w:left="740" w:right="0" w:firstLine="0"/>
                        <w:jc w:val="left"/>
                        <w:rPr>
                          <w:rFonts w:ascii="宋体" w:hAnsi="宋体" w:cs="宋体" w:eastAsia="宋体" w:hint="default"/>
                          <w:sz w:val="18"/>
                          <w:szCs w:val="18"/>
                        </w:rPr>
                      </w:pPr>
                      <w:r>
                        <w:rPr>
                          <w:rFonts w:ascii="宋体" w:hAnsi="宋体" w:cs="宋体" w:eastAsia="宋体" w:hint="default"/>
                          <w:b/>
                          <w:bCs/>
                          <w:sz w:val="18"/>
                          <w:szCs w:val="18"/>
                        </w:rPr>
                        <w:t>财务部部长</w:t>
                      </w:r>
                      <w:r>
                        <w:rPr>
                          <w:rFonts w:ascii="宋体" w:hAnsi="宋体" w:cs="宋体" w:eastAsia="宋体" w:hint="default"/>
                          <w:sz w:val="18"/>
                          <w:szCs w:val="18"/>
                        </w:rPr>
                      </w:r>
                    </w:p>
                  </w:txbxContent>
                </v:textbox>
                <w10:wrap type="none"/>
              </v:shape>
              <v:shape style="position:absolute;left:8;top:2836;width:720;height:2652" type="#_x0000_t202" filled="false" stroked="false">
                <v:textbox inset="0,0,0,0">
                  <w:txbxContent>
                    <w:p>
                      <w:pPr>
                        <w:spacing w:line="272" w:lineRule="exact" w:before="72"/>
                        <w:ind w:left="152" w:right="355" w:firstLine="0"/>
                        <w:jc w:val="both"/>
                        <w:rPr>
                          <w:rFonts w:ascii="宋体" w:hAnsi="宋体" w:cs="宋体" w:eastAsia="宋体" w:hint="default"/>
                          <w:sz w:val="21"/>
                          <w:szCs w:val="21"/>
                        </w:rPr>
                      </w:pPr>
                      <w:r>
                        <w:rPr>
                          <w:rFonts w:ascii="宋体" w:hAnsi="宋体" w:cs="宋体" w:eastAsia="宋体" w:hint="default"/>
                          <w:sz w:val="21"/>
                          <w:szCs w:val="21"/>
                        </w:rPr>
                        <w:t>总 账 会 计 岗 位</w:t>
                      </w:r>
                    </w:p>
                  </w:txbxContent>
                </v:textbox>
                <w10:wrap type="none"/>
              </v:shape>
              <v:shape style="position:absolute;left:1133;top:2836;width:720;height:2652" type="#_x0000_t202" filled="false" stroked="false">
                <v:textbox inset="0,0,0,0">
                  <w:txbxContent>
                    <w:p>
                      <w:pPr>
                        <w:spacing w:line="272" w:lineRule="exact" w:before="72"/>
                        <w:ind w:left="151" w:right="356" w:firstLine="0"/>
                        <w:jc w:val="both"/>
                        <w:rPr>
                          <w:rFonts w:ascii="宋体" w:hAnsi="宋体" w:cs="宋体" w:eastAsia="宋体" w:hint="default"/>
                          <w:sz w:val="21"/>
                          <w:szCs w:val="21"/>
                        </w:rPr>
                      </w:pPr>
                      <w:r>
                        <w:rPr>
                          <w:rFonts w:ascii="宋体" w:hAnsi="宋体" w:cs="宋体" w:eastAsia="宋体" w:hint="default"/>
                          <w:sz w:val="21"/>
                          <w:szCs w:val="21"/>
                        </w:rPr>
                        <w:t>应 收 账 款 会 计 岗 位</w:t>
                      </w:r>
                    </w:p>
                  </w:txbxContent>
                </v:textbox>
                <w10:wrap type="none"/>
              </v:shape>
              <v:shape style="position:absolute;left:2198;top:2836;width:720;height:2652" type="#_x0000_t202" filled="false" stroked="false">
                <v:textbox inset="0,0,0,0">
                  <w:txbxContent>
                    <w:p>
                      <w:pPr>
                        <w:spacing w:line="272" w:lineRule="exact" w:before="72"/>
                        <w:ind w:left="152" w:right="355" w:firstLine="0"/>
                        <w:jc w:val="both"/>
                        <w:rPr>
                          <w:rFonts w:ascii="宋体" w:hAnsi="宋体" w:cs="宋体" w:eastAsia="宋体" w:hint="default"/>
                          <w:sz w:val="21"/>
                          <w:szCs w:val="21"/>
                        </w:rPr>
                      </w:pPr>
                      <w:r>
                        <w:rPr>
                          <w:rFonts w:ascii="宋体" w:hAnsi="宋体" w:cs="宋体" w:eastAsia="宋体" w:hint="default"/>
                          <w:sz w:val="21"/>
                          <w:szCs w:val="21"/>
                        </w:rPr>
                        <w:t>应 付 账 款 会 计 岗 位</w:t>
                      </w:r>
                    </w:p>
                  </w:txbxContent>
                </v:textbox>
                <w10:wrap type="none"/>
              </v:shape>
              <v:shape style="position:absolute;left:3391;top:2836;width:720;height:2655" type="#_x0000_t202" filled="false" stroked="false">
                <v:textbox inset="0,0,0,0">
                  <w:txbxContent>
                    <w:p>
                      <w:pPr>
                        <w:spacing w:line="237" w:lineRule="auto" w:before="92"/>
                        <w:ind w:left="152" w:right="92" w:firstLine="0"/>
                        <w:jc w:val="both"/>
                        <w:rPr>
                          <w:rFonts w:ascii="宋体" w:hAnsi="宋体" w:cs="宋体" w:eastAsia="宋体" w:hint="default"/>
                          <w:sz w:val="18"/>
                          <w:szCs w:val="18"/>
                        </w:rPr>
                      </w:pPr>
                      <w:r>
                        <w:rPr>
                          <w:rFonts w:ascii="宋体" w:hAnsi="宋体" w:cs="宋体" w:eastAsia="宋体" w:hint="default"/>
                          <w:spacing w:val="28"/>
                          <w:sz w:val="18"/>
                          <w:szCs w:val="18"/>
                        </w:rPr>
                        <w:t>存货</w:t>
                      </w:r>
                      <w:r>
                        <w:rPr>
                          <w:rFonts w:ascii="宋体" w:hAnsi="宋体" w:cs="宋体" w:eastAsia="宋体" w:hint="default"/>
                          <w:spacing w:val="-34"/>
                          <w:sz w:val="18"/>
                          <w:szCs w:val="18"/>
                        </w:rPr>
                        <w:t> </w:t>
                      </w:r>
                      <w:r>
                        <w:rPr>
                          <w:rFonts w:ascii="宋体" w:hAnsi="宋体" w:cs="宋体" w:eastAsia="宋体" w:hint="default"/>
                          <w:spacing w:val="28"/>
                          <w:sz w:val="18"/>
                          <w:szCs w:val="18"/>
                        </w:rPr>
                        <w:t>成本</w:t>
                      </w:r>
                      <w:r>
                        <w:rPr>
                          <w:rFonts w:ascii="宋体" w:hAnsi="宋体" w:cs="宋体" w:eastAsia="宋体" w:hint="default"/>
                          <w:spacing w:val="-34"/>
                          <w:sz w:val="18"/>
                          <w:szCs w:val="18"/>
                        </w:rPr>
                        <w:t> </w:t>
                      </w:r>
                      <w:r>
                        <w:rPr>
                          <w:rFonts w:ascii="宋体" w:hAnsi="宋体" w:cs="宋体" w:eastAsia="宋体" w:hint="default"/>
                          <w:spacing w:val="28"/>
                          <w:sz w:val="18"/>
                          <w:szCs w:val="18"/>
                        </w:rPr>
                        <w:t>核算</w:t>
                      </w:r>
                      <w:r>
                        <w:rPr>
                          <w:rFonts w:ascii="宋体" w:hAnsi="宋体" w:cs="宋体" w:eastAsia="宋体" w:hint="default"/>
                          <w:spacing w:val="-34"/>
                          <w:sz w:val="18"/>
                          <w:szCs w:val="18"/>
                        </w:rPr>
                        <w:t> </w:t>
                      </w:r>
                      <w:r>
                        <w:rPr>
                          <w:rFonts w:ascii="宋体" w:hAnsi="宋体" w:cs="宋体" w:eastAsia="宋体" w:hint="default"/>
                          <w:sz w:val="18"/>
                          <w:szCs w:val="18"/>
                        </w:rPr>
                        <w:t>岗位</w:t>
                      </w:r>
                    </w:p>
                  </w:txbxContent>
                </v:textbox>
                <w10:wrap type="none"/>
              </v:shape>
              <v:shape style="position:absolute;left:4553;top:2836;width:645;height:2657" type="#_x0000_t202" filled="false" stroked="false">
                <v:textbox inset="0,0,0,0">
                  <w:txbxContent>
                    <w:p>
                      <w:pPr>
                        <w:spacing w:line="272" w:lineRule="exact" w:before="78"/>
                        <w:ind w:left="151" w:right="281" w:firstLine="0"/>
                        <w:jc w:val="both"/>
                        <w:rPr>
                          <w:rFonts w:ascii="宋体" w:hAnsi="宋体" w:cs="宋体" w:eastAsia="宋体" w:hint="default"/>
                          <w:sz w:val="21"/>
                          <w:szCs w:val="21"/>
                        </w:rPr>
                      </w:pPr>
                      <w:r>
                        <w:rPr>
                          <w:rFonts w:ascii="宋体" w:hAnsi="宋体" w:cs="宋体" w:eastAsia="宋体" w:hint="default"/>
                          <w:sz w:val="21"/>
                          <w:szCs w:val="21"/>
                        </w:rPr>
                        <w:t>税 务</w:t>
                      </w:r>
                    </w:p>
                    <w:p>
                      <w:pPr>
                        <w:spacing w:line="272" w:lineRule="exact" w:before="0"/>
                        <w:ind w:left="151" w:right="281" w:firstLine="0"/>
                        <w:jc w:val="both"/>
                        <w:rPr>
                          <w:rFonts w:ascii="宋体" w:hAnsi="宋体" w:cs="宋体" w:eastAsia="宋体" w:hint="default"/>
                          <w:sz w:val="21"/>
                          <w:szCs w:val="21"/>
                        </w:rPr>
                      </w:pPr>
                      <w:r>
                        <w:rPr>
                          <w:rFonts w:ascii="宋体" w:hAnsi="宋体" w:cs="宋体" w:eastAsia="宋体" w:hint="default"/>
                          <w:sz w:val="21"/>
                          <w:szCs w:val="21"/>
                        </w:rPr>
                        <w:t>、 外 汇 岗 位</w:t>
                      </w:r>
                    </w:p>
                  </w:txbxContent>
                </v:textbox>
                <w10:wrap type="none"/>
              </v:shape>
              <v:shape style="position:absolute;left:5573;top:2836;width:630;height:2658" type="#_x0000_t202" filled="false" stroked="false">
                <v:textbox inset="0,0,0,0">
                  <w:txbxContent>
                    <w:p>
                      <w:pPr>
                        <w:spacing w:line="272" w:lineRule="exact" w:before="78"/>
                        <w:ind w:left="151" w:right="266" w:firstLine="0"/>
                        <w:jc w:val="both"/>
                        <w:rPr>
                          <w:rFonts w:ascii="宋体" w:hAnsi="宋体" w:cs="宋体" w:eastAsia="宋体" w:hint="default"/>
                          <w:sz w:val="21"/>
                          <w:szCs w:val="21"/>
                        </w:rPr>
                      </w:pPr>
                      <w:r>
                        <w:rPr>
                          <w:rFonts w:ascii="宋体" w:hAnsi="宋体" w:cs="宋体" w:eastAsia="宋体" w:hint="default"/>
                          <w:sz w:val="21"/>
                          <w:szCs w:val="21"/>
                        </w:rPr>
                        <w:t>出 纳 岗 位</w:t>
                      </w:r>
                    </w:p>
                  </w:txbxContent>
                </v:textbox>
                <w10:wrap type="none"/>
              </v:shape>
              <v:shape style="position:absolute;left:6863;top:2836;width:630;height:2658" type="#_x0000_t202" filled="false" stroked="false">
                <v:textbox inset="0,0,0,0">
                  <w:txbxContent>
                    <w:p>
                      <w:pPr>
                        <w:spacing w:line="272" w:lineRule="exact" w:before="78"/>
                        <w:ind w:left="151" w:right="266" w:firstLine="0"/>
                        <w:jc w:val="both"/>
                        <w:rPr>
                          <w:rFonts w:ascii="宋体" w:hAnsi="宋体" w:cs="宋体" w:eastAsia="宋体" w:hint="default"/>
                          <w:sz w:val="21"/>
                          <w:szCs w:val="21"/>
                        </w:rPr>
                      </w:pPr>
                      <w:r>
                        <w:rPr>
                          <w:rFonts w:ascii="宋体" w:hAnsi="宋体" w:cs="宋体" w:eastAsia="宋体" w:hint="default"/>
                          <w:sz w:val="21"/>
                          <w:szCs w:val="21"/>
                        </w:rPr>
                        <w:t>财 务 管 理 岗 位</w:t>
                      </w:r>
                    </w:p>
                  </w:txbxContent>
                </v:textbox>
                <w10:wrap type="none"/>
              </v:shape>
            </v:group>
          </v:group>
        </w:pict>
      </w:r>
      <w:r>
        <w:rPr>
          <w:rFonts w:ascii="宋体" w:hAnsi="宋体" w:cs="宋体" w:eastAsia="宋体" w:hint="default"/>
          <w:position w:val="-109"/>
          <w:sz w:val="20"/>
          <w:szCs w:val="20"/>
        </w:rPr>
      </w:r>
    </w:p>
    <w:p>
      <w:pPr>
        <w:pStyle w:val="BodyText"/>
        <w:spacing w:line="304" w:lineRule="auto" w:before="97"/>
        <w:ind w:right="226" w:firstLine="480"/>
        <w:jc w:val="left"/>
      </w:pPr>
      <w:r>
        <w:rPr/>
        <w:t>从结构图可见，不相容会计核算已经从岗位上作了职责权限划分，并配备相应的 人员以保证财会工作的顺利进行。</w:t>
      </w:r>
    </w:p>
    <w:p>
      <w:pPr>
        <w:pStyle w:val="BodyText"/>
        <w:spacing w:line="304" w:lineRule="auto" w:before="20"/>
        <w:ind w:right="94" w:firstLine="480"/>
        <w:jc w:val="left"/>
      </w:pPr>
      <w:r>
        <w:rPr>
          <w:spacing w:val="-7"/>
        </w:rPr>
        <w:t>本公司编制了《财务作业指导书》，对各岗位的职责权限予以明确。公司根据《企</w:t>
      </w:r>
      <w:r>
        <w:rPr/>
        <w:t> 业内部控制基本规范》等制度的要求及本单位的会计业务需要，根据不相容职责相分 离的原则，已合理设置出纳、总账会计、存货成本会计、税务与外汇管理会计、应付 </w:t>
      </w:r>
      <w:r>
        <w:rPr>
          <w:spacing w:val="-4"/>
        </w:rPr>
        <w:t>款会计、应收款会计及财务管理会计等工作岗位，明确职责权限，形成相互制衡机制。</w:t>
      </w:r>
      <w:r>
        <w:rPr>
          <w:spacing w:val="-103"/>
        </w:rPr>
        <w:t> </w:t>
      </w:r>
      <w:r>
        <w:rPr>
          <w:spacing w:val="-103"/>
        </w:rPr>
      </w:r>
      <w:r>
        <w:rPr/>
        <w:t>本公司已配备相应的人员以保证相关控制的有效执行。</w:t>
      </w:r>
    </w:p>
    <w:p>
      <w:pPr>
        <w:spacing w:after="0" w:line="304" w:lineRule="auto"/>
        <w:jc w:val="left"/>
        <w:sectPr>
          <w:footerReference w:type="default" r:id="rId17"/>
          <w:pgSz w:w="11910" w:h="16840"/>
          <w:pgMar w:footer="1266" w:header="470" w:top="900" w:bottom="1460" w:left="1160" w:right="1360"/>
          <w:pgNumType w:start="29"/>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304" w:lineRule="auto" w:before="26"/>
        <w:ind w:right="94" w:firstLine="480"/>
        <w:jc w:val="left"/>
      </w:pPr>
      <w:r>
        <w:rPr>
          <w:spacing w:val="-4"/>
        </w:rPr>
        <w:t>本公司就主要的会计处理程序做了明确而具体的规定，从原材料采购用款的审核、</w:t>
      </w:r>
      <w:r>
        <w:rPr>
          <w:spacing w:val="-1"/>
        </w:rPr>
        <w:t> </w:t>
      </w:r>
      <w:r>
        <w:rPr/>
        <w:t>批准及支付，产品加工和生产成本的归集、分配及结转，产品的销售与收款，各种费</w:t>
      </w:r>
      <w:r>
        <w:rPr/>
        <w:t> 用的发生与归集，以及投资与收购、筹资与信贷等特殊业务都有相应的规定与制度。</w:t>
      </w:r>
    </w:p>
    <w:p>
      <w:pPr>
        <w:pStyle w:val="BodyText"/>
        <w:spacing w:line="304" w:lineRule="auto" w:before="22"/>
        <w:ind w:right="245" w:firstLine="480"/>
        <w:jc w:val="both"/>
      </w:pPr>
      <w:r>
        <w:rPr/>
        <w:t>通过实施穿行测试、抽查有关凭证等必要的程序，本公司的会计系统能够确认并 记录所有真实的交易；能够及时、充分详细地描述交易情况，并且能准确计量交易的 价值；能够在适当的会计期间准确记录交易，并且在财务报表中适当地进行表达与披 露。</w:t>
      </w:r>
    </w:p>
    <w:p>
      <w:pPr>
        <w:pStyle w:val="BodyText"/>
        <w:spacing w:line="297" w:lineRule="auto" w:before="20"/>
        <w:ind w:left="738" w:right="226"/>
        <w:jc w:val="left"/>
      </w:pPr>
      <w:r>
        <w:rPr/>
        <w:t>本公司也发现公司财务核算存在下列问题 </w:t>
      </w:r>
      <w:r>
        <w:rPr>
          <w:rFonts w:ascii="Times New Roman" w:hAnsi="Times New Roman" w:cs="Times New Roman" w:eastAsia="Times New Roman" w:hint="default"/>
        </w:rPr>
        <w:t>1</w:t>
      </w:r>
      <w:r>
        <w:rPr/>
        <w:t>、公司成本核算在试行中存在少许问题： 成本核算中的实际成本材料用量设置不完全准确，系统运程数据产生的成本数据</w:t>
      </w:r>
    </w:p>
    <w:p>
      <w:pPr>
        <w:pStyle w:val="BodyText"/>
        <w:spacing w:line="297" w:lineRule="auto" w:before="28"/>
        <w:ind w:left="738" w:right="235" w:hanging="480"/>
        <w:jc w:val="left"/>
      </w:pPr>
      <w:r>
        <w:rPr/>
        <w:t>与实际有一定差异，需要每月进行差异调整。 </w:t>
      </w:r>
      <w:r>
        <w:rPr>
          <w:rFonts w:ascii="Times New Roman" w:hAnsi="Times New Roman" w:cs="Times New Roman" w:eastAsia="Times New Roman" w:hint="default"/>
        </w:rPr>
        <w:t>2</w:t>
      </w:r>
      <w:r>
        <w:rPr/>
        <w:t>、公司未配置相应的人员进行预算管理，主要工作侧重在核算方面。 </w:t>
      </w:r>
      <w:r>
        <w:rPr>
          <w:spacing w:val="-1"/>
        </w:rPr>
        <w:t>公司已启用</w:t>
      </w:r>
      <w:r>
        <w:rPr>
          <w:rFonts w:ascii="Times New Roman" w:hAnsi="Times New Roman" w:cs="Times New Roman" w:eastAsia="Times New Roman" w:hint="default"/>
          <w:spacing w:val="-1"/>
        </w:rPr>
        <w:t>ERP</w:t>
      </w:r>
      <w:r>
        <w:rPr>
          <w:spacing w:val="-1"/>
        </w:rPr>
        <w:t>系统，随着</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ERP</w:t>
      </w:r>
      <w:r>
        <w:rPr>
          <w:spacing w:val="-1"/>
        </w:rPr>
        <w:t>系统的不断完善，加强了技术人员及制造</w:t>
      </w:r>
    </w:p>
    <w:p>
      <w:pPr>
        <w:pStyle w:val="BodyText"/>
        <w:spacing w:line="240" w:lineRule="auto" w:before="3"/>
        <w:ind w:right="235"/>
        <w:jc w:val="left"/>
      </w:pPr>
      <w:r>
        <w:rPr/>
        <w:t>系统</w:t>
      </w:r>
      <w:r>
        <w:rPr>
          <w:rFonts w:ascii="Times New Roman" w:hAnsi="Times New Roman" w:cs="Times New Roman" w:eastAsia="Times New Roman" w:hint="default"/>
        </w:rPr>
        <w:t>ERP</w:t>
      </w:r>
      <w:r>
        <w:rPr/>
        <w:t>的人员配备，先进的信息技术使公司的成本核算趋于完善。</w:t>
      </w:r>
    </w:p>
    <w:p>
      <w:pPr>
        <w:spacing w:line="307" w:lineRule="auto" w:before="67"/>
        <w:ind w:left="738" w:right="226" w:firstLine="2"/>
        <w:jc w:val="left"/>
        <w:rPr>
          <w:rFonts w:ascii="宋体" w:hAnsi="宋体" w:cs="宋体" w:eastAsia="宋体" w:hint="default"/>
          <w:sz w:val="24"/>
          <w:szCs w:val="24"/>
        </w:rPr>
      </w:pPr>
      <w:r>
        <w:rPr>
          <w:rFonts w:ascii="宋体" w:hAnsi="宋体" w:cs="宋体" w:eastAsia="宋体" w:hint="default"/>
          <w:b/>
          <w:bCs/>
          <w:sz w:val="24"/>
          <w:szCs w:val="24"/>
        </w:rPr>
        <w:t>（四）财产保护控制</w:t>
      </w:r>
      <w:r>
        <w:rPr>
          <w:rFonts w:ascii="宋体" w:hAnsi="宋体" w:cs="宋体" w:eastAsia="宋体" w:hint="default"/>
          <w:b/>
          <w:bCs/>
          <w:spacing w:val="1"/>
          <w:w w:val="99"/>
          <w:sz w:val="24"/>
          <w:szCs w:val="24"/>
        </w:rPr>
        <w:t> </w:t>
      </w:r>
      <w:r>
        <w:rPr>
          <w:rFonts w:ascii="宋体" w:hAnsi="宋体" w:cs="宋体" w:eastAsia="宋体" w:hint="default"/>
          <w:sz w:val="24"/>
          <w:szCs w:val="24"/>
        </w:rPr>
        <w:t>本公司建立了财产日常管理制度和定期清查制度，采取财产记录、实物保管、定</w:t>
      </w:r>
    </w:p>
    <w:p>
      <w:pPr>
        <w:pStyle w:val="BodyText"/>
        <w:spacing w:line="304" w:lineRule="auto" w:before="18"/>
        <w:ind w:left="738" w:right="89" w:hanging="480"/>
        <w:jc w:val="left"/>
      </w:pPr>
      <w:r>
        <w:rPr>
          <w:spacing w:val="-8"/>
        </w:rPr>
        <w:t>期盘点、账实核对等措施，确保财产安全。</w:t>
      </w:r>
      <w:r>
        <w:rPr>
          <w:spacing w:val="-71"/>
        </w:rPr>
        <w:t> </w:t>
      </w:r>
      <w:r>
        <w:rPr/>
        <w:t>严格限制未经授权的人员接触和处置财产。</w:t>
      </w:r>
      <w:r>
        <w:rPr/>
        <w:t> 本公司在资产安全和记录的使用采用了安全防护措施。对于资产的管理建立了完</w:t>
      </w:r>
    </w:p>
    <w:p>
      <w:pPr>
        <w:pStyle w:val="BodyText"/>
        <w:spacing w:line="304" w:lineRule="auto" w:before="22"/>
        <w:ind w:right="245"/>
        <w:jc w:val="both"/>
      </w:pPr>
      <w:r>
        <w:rPr/>
        <w:t>善的机制和方法，从而使资产的安全和完整得到根本保证。这不仅实现了资产的安全 完整，更为经营决策提供了准确的数据。在记录、信息、资料的使用上，相关权限和 保密原则保证了企业的商业秘密不被泄露。因此，本公司在存货的管理上达到了较理 想的水平。本公司严格执行存货和固定资产盘点制度，盘点结果与账面核对，分析差 异原因并及时调整，保证了资产账实、账套相符。这不仅实现了资产的安全完整，更 为经营决策提供了准确的数据。</w:t>
      </w:r>
    </w:p>
    <w:p>
      <w:pPr>
        <w:pStyle w:val="BodyText"/>
        <w:spacing w:line="304" w:lineRule="auto" w:before="22"/>
        <w:ind w:right="245" w:firstLine="480"/>
        <w:jc w:val="both"/>
      </w:pPr>
      <w:r>
        <w:rPr/>
        <w:t>由于本公司未设立统一的固定资产管理部门，有小部分固定资产如办公设备未有 人妥善管理，故存在一定的资产账实不对的风险。</w:t>
      </w:r>
    </w:p>
    <w:p>
      <w:pPr>
        <w:spacing w:before="20"/>
        <w:ind w:left="740" w:right="235" w:firstLine="0"/>
        <w:jc w:val="left"/>
        <w:rPr>
          <w:rFonts w:ascii="宋体" w:hAnsi="宋体" w:cs="宋体" w:eastAsia="宋体" w:hint="default"/>
          <w:sz w:val="24"/>
          <w:szCs w:val="24"/>
        </w:rPr>
      </w:pPr>
      <w:r>
        <w:rPr>
          <w:rFonts w:ascii="宋体" w:hAnsi="宋体" w:cs="宋体" w:eastAsia="宋体" w:hint="default"/>
          <w:b/>
          <w:bCs/>
          <w:sz w:val="24"/>
          <w:szCs w:val="24"/>
        </w:rPr>
        <w:t>（五）预算控制</w:t>
      </w:r>
      <w:r>
        <w:rPr>
          <w:rFonts w:ascii="宋体" w:hAnsi="宋体" w:cs="宋体" w:eastAsia="宋体" w:hint="default"/>
          <w:sz w:val="24"/>
          <w:szCs w:val="24"/>
        </w:rPr>
      </w:r>
    </w:p>
    <w:p>
      <w:pPr>
        <w:pStyle w:val="BodyText"/>
        <w:spacing w:line="302" w:lineRule="auto" w:before="86"/>
        <w:ind w:right="222" w:firstLine="480"/>
        <w:jc w:val="both"/>
      </w:pPr>
      <w:r>
        <w:rPr/>
        <w:t>本公司在财务管理制度中提及了预算管理，</w:t>
      </w:r>
      <w:r>
        <w:rPr>
          <w:spacing w:val="-38"/>
        </w:rPr>
        <w:t> </w:t>
      </w:r>
      <w:r>
        <w:rPr>
          <w:spacing w:val="-4"/>
        </w:rPr>
        <w:t>但预算制度不完整，仅是根据未来订</w:t>
      </w:r>
      <w:r>
        <w:rPr/>
        <w:t> 单的预计以及费用测算，制定下年经营计划，用于高管以及市场销售人员的考核，不 </w:t>
      </w:r>
      <w:r>
        <w:rPr>
          <w:spacing w:val="-3"/>
        </w:rPr>
        <w:t>作为其他作用。</w:t>
      </w:r>
      <w:r>
        <w:rPr>
          <w:rFonts w:ascii="Times New Roman" w:hAnsi="Times New Roman" w:cs="Times New Roman" w:eastAsia="Times New Roman" w:hint="default"/>
          <w:spacing w:val="-3"/>
        </w:rPr>
        <w:t>2012 </w:t>
      </w:r>
      <w:r>
        <w:rPr>
          <w:spacing w:val="-3"/>
        </w:rPr>
        <w:t>年将全面启用预算管理，以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2"/>
        </w:rPr>
        <w:t> </w:t>
      </w:r>
      <w:r>
        <w:rPr>
          <w:spacing w:val="-3"/>
        </w:rPr>
        <w:t>年数据作为基础，将公司各个</w:t>
      </w:r>
      <w:r>
        <w:rPr/>
        <w:t> 系统纳入预算范围，充分利用这项重要的管理工具，帮助管理层进行公司整体经营的 计划、协调、控制和业绩评价。</w:t>
      </w:r>
    </w:p>
    <w:p>
      <w:pPr>
        <w:spacing w:line="307" w:lineRule="auto" w:before="23"/>
        <w:ind w:left="738" w:right="4306" w:firstLine="2"/>
        <w:jc w:val="left"/>
        <w:rPr>
          <w:rFonts w:ascii="宋体" w:hAnsi="宋体" w:cs="宋体" w:eastAsia="宋体" w:hint="default"/>
          <w:sz w:val="24"/>
          <w:szCs w:val="24"/>
        </w:rPr>
      </w:pPr>
      <w:r>
        <w:rPr>
          <w:rFonts w:ascii="宋体" w:hAnsi="宋体" w:cs="宋体" w:eastAsia="宋体" w:hint="default"/>
          <w:b/>
          <w:bCs/>
          <w:sz w:val="24"/>
          <w:szCs w:val="24"/>
        </w:rPr>
        <w:t>（六）运营分析控制</w:t>
      </w:r>
      <w:r>
        <w:rPr>
          <w:rFonts w:ascii="宋体" w:hAnsi="宋体" w:cs="宋体" w:eastAsia="宋体" w:hint="default"/>
          <w:b/>
          <w:bCs/>
          <w:spacing w:val="1"/>
          <w:w w:val="99"/>
          <w:sz w:val="24"/>
          <w:szCs w:val="24"/>
        </w:rPr>
        <w:t> </w:t>
      </w:r>
      <w:r>
        <w:rPr>
          <w:rFonts w:ascii="宋体" w:hAnsi="宋体" w:cs="宋体" w:eastAsia="宋体" w:hint="default"/>
          <w:sz w:val="24"/>
          <w:szCs w:val="24"/>
        </w:rPr>
        <w:t>本公司未建立并实施运营分析控制制度。</w:t>
      </w:r>
    </w:p>
    <w:p>
      <w:pPr>
        <w:spacing w:after="0" w:line="307" w:lineRule="auto"/>
        <w:jc w:val="left"/>
        <w:rPr>
          <w:rFonts w:ascii="宋体" w:hAnsi="宋体" w:cs="宋体" w:eastAsia="宋体" w:hint="default"/>
          <w:sz w:val="24"/>
          <w:szCs w:val="24"/>
        </w:rPr>
        <w:sectPr>
          <w:pgSz w:w="11910" w:h="16840"/>
          <w:pgMar w:header="470" w:footer="1266" w:top="900" w:bottom="1460" w:left="1160" w:right="13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spacing w:line="304" w:lineRule="auto" w:before="26"/>
        <w:ind w:left="738" w:right="146" w:firstLine="2"/>
        <w:jc w:val="left"/>
        <w:rPr>
          <w:rFonts w:ascii="宋体" w:hAnsi="宋体" w:cs="宋体" w:eastAsia="宋体" w:hint="default"/>
          <w:sz w:val="24"/>
          <w:szCs w:val="24"/>
        </w:rPr>
      </w:pPr>
      <w:r>
        <w:rPr>
          <w:rFonts w:ascii="宋体" w:hAnsi="宋体" w:cs="宋体" w:eastAsia="宋体" w:hint="default"/>
          <w:b/>
          <w:bCs/>
          <w:sz w:val="24"/>
          <w:szCs w:val="24"/>
        </w:rPr>
        <w:t>（七）绩效考评控制</w:t>
      </w:r>
      <w:r>
        <w:rPr>
          <w:rFonts w:ascii="宋体" w:hAnsi="宋体" w:cs="宋体" w:eastAsia="宋体" w:hint="default"/>
          <w:b/>
          <w:bCs/>
          <w:spacing w:val="1"/>
          <w:w w:val="99"/>
          <w:sz w:val="24"/>
          <w:szCs w:val="24"/>
        </w:rPr>
        <w:t> </w:t>
      </w:r>
      <w:r>
        <w:rPr>
          <w:rFonts w:ascii="宋体" w:hAnsi="宋体" w:cs="宋体" w:eastAsia="宋体" w:hint="default"/>
          <w:sz w:val="24"/>
          <w:szCs w:val="24"/>
        </w:rPr>
        <w:t>本公司建立并实施了绩效考评制度，对高管人员根据预算的经营计划制定了考核</w:t>
      </w:r>
    </w:p>
    <w:p>
      <w:pPr>
        <w:pStyle w:val="BodyText"/>
        <w:spacing w:line="304" w:lineRule="auto" w:before="20"/>
        <w:ind w:right="165"/>
        <w:jc w:val="both"/>
      </w:pPr>
      <w:r>
        <w:rPr/>
        <w:t>依据，作为年终奖金发放的标准。对销售人员制定了销售人员考核机制，划分销售区 域，根据销售、回款、市场开拓的力度、费用等作为年终销售提成的依据。对企业其 他职能部门和全体员工的业绩进行定期考核和客观评价，将考评结果作为确定员工薪 酬以及职务晋升、评优、降级、调岗、辞退等的依据；但是对其他职能部门的薪酬考 核比较粗，不够细化以及量化。</w:t>
      </w:r>
    </w:p>
    <w:p>
      <w:pPr>
        <w:spacing w:before="20"/>
        <w:ind w:left="740" w:right="0" w:firstLine="0"/>
        <w:jc w:val="left"/>
        <w:rPr>
          <w:rFonts w:ascii="宋体" w:hAnsi="宋体" w:cs="宋体" w:eastAsia="宋体" w:hint="default"/>
          <w:sz w:val="24"/>
          <w:szCs w:val="24"/>
        </w:rPr>
      </w:pPr>
      <w:r>
        <w:rPr>
          <w:rFonts w:ascii="宋体" w:hAnsi="宋体" w:cs="宋体" w:eastAsia="宋体" w:hint="default"/>
          <w:b/>
          <w:bCs/>
          <w:sz w:val="24"/>
          <w:szCs w:val="24"/>
        </w:rPr>
        <w:t>（八）计算机控制</w:t>
      </w:r>
      <w:r>
        <w:rPr>
          <w:rFonts w:ascii="宋体" w:hAnsi="宋体" w:cs="宋体" w:eastAsia="宋体" w:hint="default"/>
          <w:sz w:val="24"/>
          <w:szCs w:val="24"/>
        </w:rPr>
      </w:r>
    </w:p>
    <w:p>
      <w:pPr>
        <w:pStyle w:val="BodyText"/>
        <w:spacing w:line="288" w:lineRule="auto" w:before="85"/>
        <w:ind w:right="143" w:firstLine="480"/>
        <w:jc w:val="both"/>
      </w:pPr>
      <w:r>
        <w:rPr/>
        <w:t>公司于 </w:t>
      </w:r>
      <w:r>
        <w:rPr>
          <w:rFonts w:ascii="Times New Roman" w:hAnsi="Times New Roman" w:cs="Times New Roman" w:eastAsia="Times New Roman" w:hint="default"/>
        </w:rPr>
        <w:t>2010 </w:t>
      </w:r>
      <w:r>
        <w:rPr/>
        <w:t>年 </w:t>
      </w:r>
      <w:r>
        <w:rPr>
          <w:rFonts w:ascii="Times New Roman" w:hAnsi="Times New Roman" w:cs="Times New Roman" w:eastAsia="Times New Roman" w:hint="default"/>
        </w:rPr>
        <w:t>3</w:t>
      </w:r>
      <w:r>
        <w:rPr>
          <w:rFonts w:ascii="Times New Roman" w:hAnsi="Times New Roman" w:cs="Times New Roman" w:eastAsia="Times New Roman" w:hint="default"/>
          <w:spacing w:val="20"/>
        </w:rPr>
        <w:t> </w:t>
      </w:r>
      <w:r>
        <w:rPr>
          <w:spacing w:val="-3"/>
        </w:rPr>
        <w:t>月份启用了</w:t>
      </w:r>
      <w:r>
        <w:rPr>
          <w:rFonts w:ascii="Times New Roman" w:hAnsi="Times New Roman" w:cs="Times New Roman" w:eastAsia="Times New Roman" w:hint="default"/>
          <w:spacing w:val="-3"/>
        </w:rPr>
        <w:t>ERP</w:t>
      </w:r>
      <w:r>
        <w:rPr>
          <w:spacing w:val="-3"/>
        </w:rPr>
        <w:t>，对公司的物流实施信息化管理，财务部门运</w:t>
      </w:r>
      <w:r>
        <w:rPr/>
        <w:t> 行</w:t>
      </w:r>
      <w:r>
        <w:rPr>
          <w:rFonts w:ascii="Times New Roman" w:hAnsi="Times New Roman" w:cs="Times New Roman" w:eastAsia="Times New Roman" w:hint="default"/>
        </w:rPr>
        <w:t>ERP</w:t>
      </w:r>
      <w:r>
        <w:rPr/>
        <w:t>财务模块，形成了完整的财务核算体系，彻底改变了仅使用用友财务软件系统 总账模块，公司的物流的核算均以手工或</w:t>
      </w:r>
      <w:r>
        <w:rPr>
          <w:rFonts w:ascii="Times New Roman" w:hAnsi="Times New Roman" w:cs="Times New Roman" w:eastAsia="Times New Roman" w:hint="default"/>
        </w:rPr>
        <w:t>EXECL</w:t>
      </w:r>
      <w:r>
        <w:rPr/>
        <w:t>表格的形式进行的模式。</w:t>
      </w:r>
      <w:r>
        <w:rPr>
          <w:rFonts w:ascii="Times New Roman" w:hAnsi="Times New Roman" w:cs="Times New Roman" w:eastAsia="Times New Roman" w:hint="default"/>
        </w:rPr>
        <w:t>ERP</w:t>
      </w:r>
      <w:r>
        <w:rPr/>
        <w:t>系统中 </w:t>
      </w:r>
      <w:r>
        <w:rPr>
          <w:spacing w:val="-2"/>
        </w:rPr>
        <w:t>所有物料设置物料编码，</w:t>
      </w:r>
      <w:r>
        <w:rPr>
          <w:rFonts w:ascii="Times New Roman" w:hAnsi="Times New Roman" w:cs="Times New Roman" w:eastAsia="Times New Roman" w:hint="default"/>
          <w:spacing w:val="-2"/>
        </w:rPr>
        <w:t>BOM</w:t>
      </w:r>
      <w:r>
        <w:rPr>
          <w:spacing w:val="-2"/>
        </w:rPr>
        <w:t>数据依据订单修订，生产工单在完成时及时总结，采购</w:t>
      </w:r>
      <w:r>
        <w:rPr>
          <w:spacing w:val="-95"/>
        </w:rPr>
        <w:t> </w:t>
      </w:r>
      <w:r>
        <w:rPr>
          <w:spacing w:val="-95"/>
        </w:rPr>
      </w:r>
      <w:r>
        <w:rPr/>
        <w:t>订单等均在</w:t>
      </w:r>
      <w:r>
        <w:rPr>
          <w:rFonts w:ascii="Times New Roman" w:hAnsi="Times New Roman" w:cs="Times New Roman" w:eastAsia="Times New Roman" w:hint="default"/>
        </w:rPr>
        <w:t>ERP</w:t>
      </w:r>
      <w:r>
        <w:rPr/>
        <w:t>系统中录入生成，完全实现了物资资源管理、财务资源管理、信息资 源管理的一体化。</w:t>
      </w:r>
    </w:p>
    <w:p>
      <w:pPr>
        <w:spacing w:line="307" w:lineRule="auto" w:before="37"/>
        <w:ind w:left="738" w:right="146" w:firstLine="2"/>
        <w:jc w:val="left"/>
        <w:rPr>
          <w:rFonts w:ascii="宋体" w:hAnsi="宋体" w:cs="宋体" w:eastAsia="宋体" w:hint="default"/>
          <w:sz w:val="24"/>
          <w:szCs w:val="24"/>
        </w:rPr>
      </w:pPr>
      <w:r>
        <w:rPr>
          <w:rFonts w:ascii="宋体" w:hAnsi="宋体" w:cs="宋体" w:eastAsia="宋体" w:hint="default"/>
          <w:b/>
          <w:bCs/>
          <w:sz w:val="24"/>
          <w:szCs w:val="24"/>
        </w:rPr>
        <w:t>（九）重大风险预警机制</w:t>
      </w:r>
      <w:r>
        <w:rPr>
          <w:rFonts w:ascii="宋体" w:hAnsi="宋体" w:cs="宋体" w:eastAsia="宋体" w:hint="default"/>
          <w:b/>
          <w:bCs/>
          <w:w w:val="99"/>
          <w:sz w:val="24"/>
          <w:szCs w:val="24"/>
        </w:rPr>
        <w:t> </w:t>
      </w:r>
      <w:r>
        <w:rPr>
          <w:rFonts w:ascii="宋体" w:hAnsi="宋体" w:cs="宋体" w:eastAsia="宋体" w:hint="default"/>
          <w:sz w:val="24"/>
          <w:szCs w:val="24"/>
        </w:rPr>
        <w:t>本公司建立重大风险预警机制和突发事件应急处理机制，明确风险预警标准，对</w:t>
      </w:r>
    </w:p>
    <w:p>
      <w:pPr>
        <w:pStyle w:val="BodyText"/>
        <w:spacing w:line="304" w:lineRule="auto" w:before="18"/>
        <w:ind w:right="165"/>
        <w:jc w:val="both"/>
      </w:pPr>
      <w:r>
        <w:rPr/>
        <w:t>可能发生的重大风险或突发事件，制定应急预案、明确责任人员、规范处置程序，确 保突发事件得到及时妥善处理。</w:t>
      </w:r>
    </w:p>
    <w:p>
      <w:pPr>
        <w:spacing w:line="405" w:lineRule="auto" w:before="22"/>
        <w:ind w:left="738" w:right="0" w:firstLine="2"/>
        <w:jc w:val="left"/>
        <w:rPr>
          <w:rFonts w:ascii="宋体" w:hAnsi="宋体" w:cs="宋体" w:eastAsia="宋体" w:hint="default"/>
          <w:sz w:val="24"/>
          <w:szCs w:val="24"/>
        </w:rPr>
      </w:pPr>
      <w:r>
        <w:rPr>
          <w:rFonts w:ascii="宋体" w:hAnsi="宋体" w:cs="宋体" w:eastAsia="宋体" w:hint="default"/>
          <w:b/>
          <w:bCs/>
          <w:sz w:val="24"/>
          <w:szCs w:val="24"/>
        </w:rPr>
        <w:t>（十）证券业务监管</w:t>
      </w:r>
      <w:r>
        <w:rPr>
          <w:rFonts w:ascii="宋体" w:hAnsi="宋体" w:cs="宋体" w:eastAsia="宋体" w:hint="default"/>
          <w:b/>
          <w:bCs/>
          <w:spacing w:val="1"/>
          <w:w w:val="99"/>
          <w:sz w:val="24"/>
          <w:szCs w:val="24"/>
        </w:rPr>
        <w:t> </w:t>
      </w:r>
      <w:r>
        <w:rPr>
          <w:rFonts w:ascii="宋体" w:hAnsi="宋体" w:cs="宋体" w:eastAsia="宋体" w:hint="default"/>
          <w:sz w:val="24"/>
          <w:szCs w:val="24"/>
        </w:rPr>
        <w:t>在证券市场上，本公司作为上市公司受到证券监管部门、社会公众的监督，因而</w:t>
      </w:r>
    </w:p>
    <w:p>
      <w:pPr>
        <w:pStyle w:val="BodyText"/>
        <w:spacing w:line="367" w:lineRule="auto"/>
        <w:ind w:right="141"/>
        <w:jc w:val="both"/>
      </w:pPr>
      <w:r>
        <w:rPr/>
        <w:t>经营运作基本规范，信息披露要求真实、客观、及时。同时，随着国家对电力设备市</w:t>
      </w:r>
      <w:r>
        <w:rPr>
          <w:spacing w:val="-117"/>
        </w:rPr>
        <w:t> </w:t>
      </w:r>
      <w:r>
        <w:rPr>
          <w:spacing w:val="-117"/>
        </w:rPr>
      </w:r>
      <w:r>
        <w:rPr/>
        <w:t>场的治理，本公司作为电力设备的生产企业，受到国家电网、南方电网等电力部门的</w:t>
      </w:r>
      <w:r>
        <w:rPr>
          <w:spacing w:val="-117"/>
        </w:rPr>
        <w:t> </w:t>
      </w:r>
      <w:r>
        <w:rPr>
          <w:spacing w:val="-117"/>
        </w:rPr>
      </w:r>
      <w:r>
        <w:rPr/>
        <w:t>行业监督和管理，在原料采购、产品生产、销售定价等诸多方面都受到控制。本公司</w:t>
      </w:r>
      <w:r>
        <w:rPr>
          <w:spacing w:val="-117"/>
        </w:rPr>
        <w:t> </w:t>
      </w:r>
      <w:r>
        <w:rPr>
          <w:spacing w:val="-117"/>
        </w:rPr>
      </w:r>
      <w:r>
        <w:rPr/>
        <w:t>在上述证券和行业的监管两方面，符合相关法律、法规的要求，不存在违法、违规的</w:t>
      </w:r>
      <w:r>
        <w:rPr>
          <w:spacing w:val="-117"/>
        </w:rPr>
        <w:t> </w:t>
      </w:r>
      <w:r>
        <w:rPr>
          <w:spacing w:val="-117"/>
        </w:rPr>
      </w:r>
      <w:r>
        <w:rPr/>
        <w:t>行为。</w:t>
      </w:r>
    </w:p>
    <w:p>
      <w:pPr>
        <w:spacing w:line="405" w:lineRule="auto" w:before="0"/>
        <w:ind w:left="738" w:right="0" w:firstLine="2"/>
        <w:jc w:val="left"/>
        <w:rPr>
          <w:rFonts w:ascii="宋体" w:hAnsi="宋体" w:cs="宋体" w:eastAsia="宋体" w:hint="default"/>
          <w:sz w:val="24"/>
          <w:szCs w:val="24"/>
        </w:rPr>
      </w:pPr>
      <w:r>
        <w:rPr>
          <w:rFonts w:ascii="宋体" w:hAnsi="宋体" w:cs="宋体" w:eastAsia="宋体" w:hint="default"/>
          <w:b/>
          <w:bCs/>
          <w:sz w:val="24"/>
          <w:szCs w:val="24"/>
        </w:rPr>
        <w:t>（十一）实现经营目标的主要制度、方法</w:t>
      </w:r>
      <w:r>
        <w:rPr>
          <w:rFonts w:ascii="宋体" w:hAnsi="宋体" w:cs="宋体" w:eastAsia="宋体" w:hint="default"/>
          <w:b/>
          <w:bCs/>
          <w:spacing w:val="1"/>
          <w:w w:val="99"/>
          <w:sz w:val="24"/>
          <w:szCs w:val="24"/>
        </w:rPr>
        <w:t> </w:t>
      </w:r>
      <w:r>
        <w:rPr>
          <w:rFonts w:ascii="宋体" w:hAnsi="宋体" w:cs="宋体" w:eastAsia="宋体" w:hint="default"/>
          <w:sz w:val="24"/>
          <w:szCs w:val="24"/>
        </w:rPr>
        <w:t>本公司充分认识到良好、完善的运行机制对实现经营管理目标的重要性，为此本</w:t>
      </w:r>
    </w:p>
    <w:p>
      <w:pPr>
        <w:pStyle w:val="BodyText"/>
        <w:spacing w:line="367" w:lineRule="auto"/>
        <w:ind w:right="141"/>
        <w:jc w:val="both"/>
      </w:pPr>
      <w:r>
        <w:rPr/>
        <w:t>公司已建立了相关的制度、规章以保证公司的高效运作，资产的安全和完整，信息客</w:t>
      </w:r>
      <w:r>
        <w:rPr>
          <w:spacing w:val="-117"/>
        </w:rPr>
        <w:t> </w:t>
      </w:r>
      <w:r>
        <w:rPr>
          <w:spacing w:val="-117"/>
        </w:rPr>
      </w:r>
      <w:r>
        <w:rPr/>
        <w:t>观、准确。</w:t>
      </w:r>
    </w:p>
    <w:p>
      <w:pPr>
        <w:pStyle w:val="BodyText"/>
        <w:spacing w:line="240" w:lineRule="auto" w:before="79"/>
        <w:ind w:left="738" w:right="0"/>
        <w:jc w:val="left"/>
      </w:pPr>
      <w:r>
        <w:rPr/>
        <w:t>本公司建立的规章、制度覆盖了经营管理的基本环节，具体情况如下：</w:t>
      </w:r>
    </w:p>
    <w:p>
      <w:pPr>
        <w:pStyle w:val="BodyText"/>
        <w:spacing w:line="240" w:lineRule="auto" w:before="205"/>
        <w:ind w:left="738" w:right="0"/>
        <w:jc w:val="left"/>
      </w:pPr>
      <w:r>
        <w:rPr>
          <w:rFonts w:ascii="Times New Roman" w:hAnsi="Times New Roman" w:cs="Times New Roman" w:eastAsia="Times New Roman" w:hint="default"/>
        </w:rPr>
        <w:t>(1) </w:t>
      </w:r>
      <w:r>
        <w:rPr>
          <w:rFonts w:ascii="Times New Roman" w:hAnsi="Times New Roman" w:cs="Times New Roman" w:eastAsia="Times New Roman" w:hint="default"/>
          <w:spacing w:val="33"/>
        </w:rPr>
        <w:t> </w:t>
      </w:r>
      <w:r>
        <w:rPr>
          <w:spacing w:val="2"/>
        </w:rPr>
        <w:t>公司董事会议事规则：规范了公司董事会的议事方式和决策程序，对公司董</w:t>
      </w:r>
      <w:r>
        <w:rPr/>
      </w:r>
    </w:p>
    <w:p>
      <w:pPr>
        <w:spacing w:after="0" w:line="240" w:lineRule="auto"/>
        <w:jc w:val="left"/>
        <w:sectPr>
          <w:pgSz w:w="11910" w:h="16840"/>
          <w:pgMar w:header="470" w:footer="1266" w:top="900" w:bottom="1460" w:left="1160" w:right="144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6"/>
          <w:szCs w:val="26"/>
        </w:rPr>
      </w:pPr>
    </w:p>
    <w:p>
      <w:pPr>
        <w:pStyle w:val="BodyText"/>
        <w:spacing w:line="367" w:lineRule="auto" w:before="26"/>
        <w:ind w:right="100"/>
        <w:jc w:val="left"/>
      </w:pPr>
      <w:r>
        <w:rPr>
          <w:spacing w:val="-3"/>
        </w:rPr>
        <w:t>事会的性质和职权、董事的任职资格、董事长和副董事长的的职权、董事会议事规则、</w:t>
      </w:r>
      <w:r>
        <w:rPr>
          <w:spacing w:val="-107"/>
        </w:rPr>
        <w:t> </w:t>
      </w:r>
      <w:r>
        <w:rPr>
          <w:spacing w:val="-107"/>
        </w:rPr>
      </w:r>
      <w:r>
        <w:rPr/>
        <w:t>董事会秘的职责、董事选任和撤换程序等作了明确的规定，保证了公司董事会的规范</w:t>
      </w:r>
      <w:r>
        <w:rPr>
          <w:spacing w:val="-117"/>
        </w:rPr>
        <w:t> </w:t>
      </w:r>
      <w:r>
        <w:rPr>
          <w:spacing w:val="-117"/>
        </w:rPr>
      </w:r>
      <w:r>
        <w:rPr/>
        <w:t>运作。</w:t>
      </w:r>
    </w:p>
    <w:p>
      <w:pPr>
        <w:pStyle w:val="BodyText"/>
        <w:spacing w:line="357" w:lineRule="auto" w:before="78"/>
        <w:ind w:right="221" w:firstLine="480"/>
        <w:jc w:val="both"/>
      </w:pPr>
      <w:r>
        <w:rPr>
          <w:rFonts w:ascii="Times New Roman" w:hAnsi="Times New Roman" w:cs="Times New Roman" w:eastAsia="Times New Roman" w:hint="default"/>
          <w:w w:val="99"/>
        </w:rPr>
        <w:t>(2)</w:t>
      </w:r>
      <w:r>
        <w:rPr>
          <w:rFonts w:ascii="Times New Roman" w:hAnsi="Times New Roman" w:cs="Times New Roman" w:eastAsia="Times New Roman" w:hint="default"/>
          <w:spacing w:val="8"/>
          <w:w w:val="99"/>
        </w:rPr>
        <w:t> </w:t>
      </w:r>
      <w:r>
        <w:rPr>
          <w:spacing w:val="-5"/>
          <w:w w:val="99"/>
        </w:rPr>
        <w:t>公司总经理工作细则：公司制定了《总经理工作细则》，对公司总经理的权利</w:t>
      </w:r>
      <w:r>
        <w:rPr>
          <w:w w:val="99"/>
        </w:rPr>
        <w:t> </w:t>
      </w:r>
      <w:r>
        <w:rPr/>
        <w:t>和义务、管理权限、工作程序等作了明确的规定，保证公司高管人员依法行使公司职</w:t>
      </w:r>
      <w:r>
        <w:rPr>
          <w:spacing w:val="-118"/>
        </w:rPr>
        <w:t> </w:t>
      </w:r>
      <w:r>
        <w:rPr>
          <w:spacing w:val="-118"/>
        </w:rPr>
      </w:r>
      <w:r>
        <w:rPr/>
        <w:t>权，保障股东权益、公司利益和职工的合法权益不受侵犯。</w:t>
      </w:r>
    </w:p>
    <w:p>
      <w:pPr>
        <w:pStyle w:val="BodyText"/>
        <w:spacing w:line="360" w:lineRule="auto" w:before="88"/>
        <w:ind w:right="218" w:firstLine="480"/>
        <w:jc w:val="both"/>
      </w:pPr>
      <w:r>
        <w:rPr>
          <w:rFonts w:ascii="Times New Roman" w:hAnsi="Times New Roman" w:cs="Times New Roman" w:eastAsia="Times New Roman" w:hint="default"/>
        </w:rPr>
        <w:t>(3)</w:t>
      </w:r>
      <w:r>
        <w:rPr>
          <w:rFonts w:ascii="Times New Roman" w:hAnsi="Times New Roman" w:cs="Times New Roman" w:eastAsia="Times New Roman" w:hint="default"/>
          <w:spacing w:val="30"/>
        </w:rPr>
        <w:t> </w:t>
      </w:r>
      <w:r>
        <w:rPr>
          <w:spacing w:val="2"/>
        </w:rPr>
        <w:t>公司的财务管理制度：规定了公司财务管理的范围、内容、程序和方法，检</w:t>
      </w:r>
      <w:r>
        <w:rPr>
          <w:spacing w:val="3"/>
          <w:w w:val="99"/>
        </w:rPr>
        <w:t> </w:t>
      </w:r>
      <w:r>
        <w:rPr/>
        <w:t>查及考核，规范了本公司的会计核算和财务管理，保证了财务信息的真实可靠。同时</w:t>
      </w:r>
      <w:r>
        <w:rPr>
          <w:spacing w:val="-118"/>
        </w:rPr>
        <w:t> </w:t>
      </w:r>
      <w:r>
        <w:rPr>
          <w:spacing w:val="-118"/>
        </w:rPr>
      </w:r>
      <w:r>
        <w:rPr/>
        <w:t>公司为控制财务收支、加强内部管理，建立了切合实际的财务管理系统，使企业财务</w:t>
      </w:r>
      <w:r>
        <w:rPr>
          <w:spacing w:val="-118"/>
        </w:rPr>
        <w:t> </w:t>
      </w:r>
      <w:r>
        <w:rPr>
          <w:spacing w:val="-118"/>
        </w:rPr>
      </w:r>
      <w:r>
        <w:rPr/>
        <w:t>资源安全可靠。</w:t>
      </w:r>
    </w:p>
    <w:p>
      <w:pPr>
        <w:pStyle w:val="BodyText"/>
        <w:spacing w:line="357" w:lineRule="auto" w:before="86"/>
        <w:ind w:right="218" w:firstLine="480"/>
        <w:jc w:val="both"/>
      </w:pPr>
      <w:r>
        <w:rPr>
          <w:rFonts w:ascii="Times New Roman" w:hAnsi="Times New Roman" w:cs="Times New Roman" w:eastAsia="Times New Roman" w:hint="default"/>
        </w:rPr>
        <w:t>(4)</w:t>
      </w:r>
      <w:r>
        <w:rPr>
          <w:rFonts w:ascii="Times New Roman" w:hAnsi="Times New Roman" w:cs="Times New Roman" w:eastAsia="Times New Roman" w:hint="default"/>
          <w:spacing w:val="30"/>
        </w:rPr>
        <w:t> </w:t>
      </w:r>
      <w:r>
        <w:rPr>
          <w:spacing w:val="2"/>
        </w:rPr>
        <w:t>公司的采购管理制度：规定了公司物资采购的工作职责、采购程序及管理要</w:t>
      </w:r>
      <w:r>
        <w:rPr>
          <w:spacing w:val="3"/>
          <w:w w:val="99"/>
        </w:rPr>
        <w:t> </w:t>
      </w:r>
      <w:r>
        <w:rPr/>
        <w:t>求，明细了采购的业务流程，严格按比质、比价的要求进行采购，为公司内部降低成</w:t>
      </w:r>
      <w:r>
        <w:rPr>
          <w:spacing w:val="-118"/>
        </w:rPr>
        <w:t> </w:t>
      </w:r>
      <w:r>
        <w:rPr>
          <w:spacing w:val="-118"/>
        </w:rPr>
      </w:r>
      <w:r>
        <w:rPr/>
        <w:t>本增加效益打下了基础。</w:t>
      </w:r>
    </w:p>
    <w:p>
      <w:pPr>
        <w:pStyle w:val="BodyText"/>
        <w:spacing w:line="352" w:lineRule="auto" w:before="88"/>
        <w:ind w:right="187" w:firstLine="480"/>
        <w:jc w:val="both"/>
      </w:pPr>
      <w:r>
        <w:rPr>
          <w:rFonts w:ascii="Times New Roman" w:hAnsi="Times New Roman" w:cs="Times New Roman" w:eastAsia="Times New Roman" w:hint="default"/>
        </w:rPr>
        <w:t>(5)</w:t>
      </w:r>
      <w:r>
        <w:rPr>
          <w:rFonts w:ascii="Times New Roman" w:hAnsi="Times New Roman" w:cs="Times New Roman" w:eastAsia="Times New Roman" w:hint="default"/>
          <w:spacing w:val="51"/>
        </w:rPr>
        <w:t> </w:t>
      </w:r>
      <w:r>
        <w:rPr>
          <w:spacing w:val="34"/>
        </w:rPr>
        <w:t>公司的质量管理制度：公司具有完善的质量管理制度体系，严格按</w:t>
      </w:r>
      <w:r>
        <w:rPr>
          <w:spacing w:val="-84"/>
          <w:w w:val="99"/>
        </w:rPr>
        <w:t> </w:t>
      </w:r>
      <w:r>
        <w:rPr>
          <w:rFonts w:ascii="Times New Roman" w:hAnsi="Times New Roman" w:cs="Times New Roman" w:eastAsia="Times New Roman" w:hint="default"/>
        </w:rPr>
        <w:t>ISO9000-2001</w:t>
      </w:r>
      <w:r>
        <w:rPr>
          <w:rFonts w:ascii="Times New Roman" w:hAnsi="Times New Roman" w:cs="Times New Roman" w:eastAsia="Times New Roman" w:hint="default"/>
          <w:spacing w:val="-17"/>
        </w:rPr>
        <w:t> </w:t>
      </w:r>
      <w:r>
        <w:rPr/>
        <w:t>系列标准对产品质量进行监控，同时通过质量责任制度、关健工序的质</w:t>
      </w:r>
      <w:r>
        <w:rPr>
          <w:w w:val="99"/>
        </w:rPr>
        <w:t> </w:t>
      </w:r>
      <w:r>
        <w:rPr/>
        <w:t>量控制制度、产品质量评审制度和质量分析会议制度等，加强了对产品质量的进一步</w:t>
      </w:r>
      <w:r>
        <w:rPr>
          <w:spacing w:val="-118"/>
        </w:rPr>
        <w:t> </w:t>
      </w:r>
      <w:r>
        <w:rPr>
          <w:spacing w:val="-118"/>
        </w:rPr>
      </w:r>
      <w:r>
        <w:rPr/>
        <w:t>控制，确保产品质量的不断提高。</w:t>
      </w:r>
    </w:p>
    <w:p>
      <w:pPr>
        <w:pStyle w:val="BodyText"/>
        <w:spacing w:line="352" w:lineRule="auto" w:before="92"/>
        <w:ind w:right="102" w:firstLine="480"/>
        <w:jc w:val="both"/>
      </w:pPr>
      <w:r>
        <w:rPr>
          <w:rFonts w:ascii="Times New Roman" w:hAnsi="Times New Roman" w:cs="Times New Roman" w:eastAsia="Times New Roman" w:hint="default"/>
        </w:rPr>
        <w:t>(6)</w:t>
      </w:r>
      <w:r>
        <w:rPr/>
        <w:t>公司的安全管理制度：公司应用现代安全管理理论，围绕安全组织机构、安全</w:t>
      </w:r>
      <w:r>
        <w:rPr>
          <w:spacing w:val="-1"/>
          <w:w w:val="99"/>
        </w:rPr>
        <w:t> </w:t>
      </w:r>
      <w:r>
        <w:rPr/>
        <w:t>管理制度、安全信息网络、安全教育培训、安全监督保障、安全责任考核、安全应急</w:t>
      </w:r>
      <w:r>
        <w:rPr>
          <w:spacing w:val="-118"/>
        </w:rPr>
        <w:t> </w:t>
      </w:r>
      <w:r>
        <w:rPr>
          <w:spacing w:val="-118"/>
        </w:rPr>
      </w:r>
      <w:r>
        <w:rPr/>
        <w:t>防护等</w:t>
      </w:r>
      <w:r>
        <w:rPr>
          <w:rFonts w:ascii="Times New Roman" w:hAnsi="Times New Roman" w:cs="Times New Roman" w:eastAsia="Times New Roman" w:hint="default"/>
        </w:rPr>
        <w:t>“</w:t>
      </w:r>
      <w:r>
        <w:rPr/>
        <w:t>七大核心内容</w:t>
      </w:r>
      <w:r>
        <w:rPr>
          <w:rFonts w:ascii="Times New Roman" w:hAnsi="Times New Roman" w:cs="Times New Roman" w:eastAsia="Times New Roman" w:hint="default"/>
        </w:rPr>
        <w:t>”</w:t>
      </w:r>
      <w:r>
        <w:rPr/>
        <w:t>，创新安全管理体系，形成了独具特色的安全管理内部监控操</w:t>
      </w:r>
      <w:r>
        <w:rPr>
          <w:spacing w:val="-83"/>
        </w:rPr>
        <w:t> </w:t>
      </w:r>
      <w:r>
        <w:rPr>
          <w:spacing w:val="-3"/>
        </w:rPr>
        <w:t>作运作体系，增强安全管理体系运行的实用性和符合性，取得了较好的安全管理绩效。</w:t>
      </w:r>
    </w:p>
    <w:p>
      <w:pPr>
        <w:pStyle w:val="BodyText"/>
        <w:spacing w:line="345" w:lineRule="auto" w:before="94"/>
        <w:ind w:right="223" w:firstLine="480"/>
        <w:jc w:val="both"/>
      </w:pPr>
      <w:r>
        <w:rPr>
          <w:rFonts w:ascii="Times New Roman" w:hAnsi="Times New Roman" w:cs="Times New Roman" w:eastAsia="Times New Roman" w:hint="default"/>
          <w:spacing w:val="-2"/>
        </w:rPr>
        <w:t>(7)</w:t>
      </w:r>
      <w:r>
        <w:rPr>
          <w:spacing w:val="-2"/>
        </w:rPr>
        <w:t>公司的固定资产管理制度：公司加强了对固定资产加强动态管理，对固定资产</w:t>
      </w:r>
      <w:r>
        <w:rPr>
          <w:spacing w:val="-1"/>
          <w:w w:val="99"/>
        </w:rPr>
        <w:t> </w:t>
      </w:r>
      <w:r>
        <w:rPr/>
        <w:t>的购买、使用、调拨、处置等做流程和审批权限做出明确的规定。</w:t>
      </w:r>
    </w:p>
    <w:p>
      <w:pPr>
        <w:pStyle w:val="BodyText"/>
        <w:spacing w:line="357" w:lineRule="auto" w:before="100"/>
        <w:ind w:right="221" w:firstLine="480"/>
        <w:jc w:val="both"/>
      </w:pPr>
      <w:r>
        <w:rPr>
          <w:rFonts w:ascii="Times New Roman" w:hAnsi="Times New Roman" w:cs="Times New Roman" w:eastAsia="Times New Roman" w:hint="default"/>
          <w:spacing w:val="-8"/>
        </w:rPr>
        <w:t>(8)</w:t>
      </w:r>
      <w:r>
        <w:rPr>
          <w:spacing w:val="-8"/>
        </w:rPr>
        <w:t>公司的投资管理制度：公司明确了对外投资决策和管理的程序，董事会根据《公</w:t>
      </w:r>
      <w:r>
        <w:rPr>
          <w:w w:val="99"/>
        </w:rPr>
        <w:t> </w:t>
      </w:r>
      <w:r>
        <w:rPr/>
        <w:t>司章程》的授权范围对项目实施决策；超过公司章程授权范围的投资项目报股东大会</w:t>
      </w:r>
      <w:r>
        <w:rPr>
          <w:spacing w:val="-118"/>
        </w:rPr>
        <w:t> </w:t>
      </w:r>
      <w:r>
        <w:rPr>
          <w:spacing w:val="-118"/>
        </w:rPr>
      </w:r>
      <w:r>
        <w:rPr/>
        <w:t>决策。</w:t>
      </w:r>
    </w:p>
    <w:p>
      <w:pPr>
        <w:pStyle w:val="BodyText"/>
        <w:spacing w:line="240" w:lineRule="auto" w:before="88"/>
        <w:ind w:left="738" w:right="89"/>
        <w:jc w:val="left"/>
      </w:pPr>
      <w:r>
        <w:rPr>
          <w:rFonts w:ascii="Times New Roman" w:hAnsi="Times New Roman" w:cs="Times New Roman" w:eastAsia="Times New Roman" w:hint="default"/>
          <w:w w:val="99"/>
        </w:rPr>
        <w:t>(9</w:t>
      </w:r>
      <w:r>
        <w:rPr>
          <w:rFonts w:ascii="Times New Roman" w:hAnsi="Times New Roman" w:cs="Times New Roman" w:eastAsia="Times New Roman" w:hint="default"/>
          <w:spacing w:val="2"/>
          <w:w w:val="99"/>
        </w:rPr>
        <w:t>)</w:t>
      </w:r>
      <w:r>
        <w:rPr>
          <w:spacing w:val="2"/>
          <w:w w:val="99"/>
        </w:rPr>
        <w:t>对外担保管理制度：公司建立健全</w:t>
      </w:r>
      <w:r>
        <w:rPr>
          <w:spacing w:val="3"/>
          <w:w w:val="99"/>
        </w:rPr>
        <w:t>了</w:t>
      </w:r>
      <w:r>
        <w:rPr>
          <w:spacing w:val="2"/>
          <w:w w:val="99"/>
        </w:rPr>
        <w:t>针对对外担保的管理办法</w:t>
      </w:r>
      <w:r>
        <w:rPr>
          <w:spacing w:val="-116"/>
          <w:w w:val="99"/>
        </w:rPr>
        <w:t>，</w:t>
      </w:r>
      <w:r>
        <w:rPr>
          <w:spacing w:val="2"/>
          <w:w w:val="99"/>
        </w:rPr>
        <w:t>《公司章程</w:t>
      </w:r>
      <w:r>
        <w:rPr>
          <w:spacing w:val="-118"/>
          <w:w w:val="99"/>
        </w:rPr>
        <w:t>》</w:t>
      </w:r>
      <w:r>
        <w:rPr>
          <w:w w:val="99"/>
        </w:rPr>
        <w:t>、</w:t>
      </w:r>
      <w:r>
        <w:rPr/>
      </w:r>
    </w:p>
    <w:p>
      <w:pPr>
        <w:pStyle w:val="BodyText"/>
        <w:spacing w:line="240" w:lineRule="auto" w:before="147"/>
        <w:ind w:right="205"/>
        <w:jc w:val="left"/>
      </w:pPr>
      <w:r>
        <w:rPr/>
        <w:t>《董事会议事规则》明确规定了对外担保的基本原则、对外担保对象的审查程序、对</w:t>
      </w:r>
    </w:p>
    <w:p>
      <w:pPr>
        <w:spacing w:after="0" w:line="240" w:lineRule="auto"/>
        <w:jc w:val="left"/>
        <w:sectPr>
          <w:pgSz w:w="11910" w:h="16840"/>
          <w:pgMar w:header="470" w:footer="1266" w:top="900" w:bottom="1460" w:left="1160" w:right="13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6"/>
          <w:szCs w:val="26"/>
        </w:rPr>
      </w:pPr>
    </w:p>
    <w:p>
      <w:pPr>
        <w:pStyle w:val="BodyText"/>
        <w:spacing w:line="367" w:lineRule="auto" w:before="26"/>
        <w:ind w:right="205"/>
        <w:jc w:val="left"/>
      </w:pPr>
      <w:r>
        <w:rPr/>
        <w:t>外担保的审批程序、对外担保的管理程序、对外担保的信息披露等。对照深交所《内</w:t>
      </w:r>
      <w:r>
        <w:rPr>
          <w:spacing w:val="-117"/>
        </w:rPr>
        <w:t> </w:t>
      </w:r>
      <w:r>
        <w:rPr>
          <w:spacing w:val="-117"/>
        </w:rPr>
      </w:r>
      <w:r>
        <w:rPr/>
        <w:t>部控制指引》的有关规定，公司对对外担保的内部控制严格、充分、有效，未有违反</w:t>
      </w:r>
    </w:p>
    <w:p>
      <w:pPr>
        <w:pStyle w:val="BodyText"/>
        <w:spacing w:line="240" w:lineRule="auto" w:before="38"/>
        <w:ind w:right="235"/>
        <w:jc w:val="left"/>
      </w:pPr>
      <w:r>
        <w:rPr/>
        <w:t>《内部控制指引》的情形发生。</w:t>
      </w:r>
    </w:p>
    <w:p>
      <w:pPr>
        <w:pStyle w:val="BodyText"/>
        <w:spacing w:line="362" w:lineRule="auto" w:before="205"/>
        <w:ind w:right="204" w:firstLine="480"/>
        <w:jc w:val="both"/>
      </w:pPr>
      <w:r>
        <w:rPr>
          <w:rFonts w:ascii="Times New Roman" w:hAnsi="Times New Roman" w:cs="Times New Roman" w:eastAsia="Times New Roman" w:hint="default"/>
        </w:rPr>
        <w:t>(10)</w:t>
      </w:r>
      <w:r>
        <w:rPr>
          <w:rFonts w:ascii="Times New Roman" w:hAnsi="Times New Roman" w:cs="Times New Roman" w:eastAsia="Times New Roman" w:hint="default"/>
          <w:spacing w:val="35"/>
        </w:rPr>
        <w:t> </w:t>
      </w:r>
      <w:r>
        <w:rPr/>
        <w:t>关联交易管理制度。公司《关联交易决策制度》对关联交易内容、关联人、</w:t>
      </w:r>
      <w:r>
        <w:rPr>
          <w:spacing w:val="-1"/>
          <w:w w:val="99"/>
        </w:rPr>
        <w:t> </w:t>
      </w:r>
      <w:r>
        <w:rPr/>
        <w:t>关联交易基本原则、关联交易审批权限及信息披露和结算办法作了明确规定。公司关</w:t>
      </w:r>
      <w:r>
        <w:rPr>
          <w:spacing w:val="-118"/>
        </w:rPr>
        <w:t> </w:t>
      </w:r>
      <w:r>
        <w:rPr>
          <w:spacing w:val="-118"/>
        </w:rPr>
      </w:r>
      <w:r>
        <w:rPr/>
        <w:t>联交易遵循诚实信用、平等、自愿、公平、公开、公允的原则，没有损害公司和其他</w:t>
      </w:r>
      <w:r>
        <w:rPr>
          <w:spacing w:val="-118"/>
        </w:rPr>
        <w:t> </w:t>
      </w:r>
      <w:r>
        <w:rPr>
          <w:spacing w:val="-118"/>
        </w:rPr>
      </w:r>
      <w:r>
        <w:rPr>
          <w:spacing w:val="-7"/>
        </w:rPr>
        <w:t>股东的利益。关联交易的审批权限、审议程序及回避表决严格按照《公司章程》和《股</w:t>
      </w:r>
      <w:r>
        <w:rPr>
          <w:spacing w:val="-104"/>
        </w:rPr>
        <w:t> </w:t>
      </w:r>
      <w:r>
        <w:rPr>
          <w:spacing w:val="-104"/>
        </w:rPr>
      </w:r>
      <w:r>
        <w:rPr/>
        <w:t>东大会议事规则》的规定执行。对照深交所《内部控制指引》的有关规定，公司对关</w:t>
      </w:r>
      <w:r>
        <w:rPr>
          <w:spacing w:val="-118"/>
        </w:rPr>
        <w:t> </w:t>
      </w:r>
      <w:r>
        <w:rPr>
          <w:spacing w:val="-118"/>
        </w:rPr>
      </w:r>
      <w:r>
        <w:rPr/>
        <w:t>联交易的内部控制严格、充分、有效，未有违反《内部控制指引》和公司相关制度的</w:t>
      </w:r>
      <w:r>
        <w:rPr>
          <w:spacing w:val="-118"/>
        </w:rPr>
        <w:t> </w:t>
      </w:r>
      <w:r>
        <w:rPr>
          <w:spacing w:val="-118"/>
        </w:rPr>
      </w:r>
      <w:r>
        <w:rPr/>
        <w:t>情形发生。</w:t>
      </w:r>
    </w:p>
    <w:p>
      <w:pPr>
        <w:pStyle w:val="BodyText"/>
        <w:spacing w:line="360" w:lineRule="auto" w:before="83"/>
        <w:ind w:right="221" w:firstLine="480"/>
        <w:jc w:val="both"/>
      </w:pPr>
      <w:r>
        <w:rPr>
          <w:rFonts w:ascii="Times New Roman" w:hAnsi="Times New Roman" w:cs="Times New Roman" w:eastAsia="Times New Roman" w:hint="default"/>
          <w:spacing w:val="-3"/>
          <w:w w:val="99"/>
        </w:rPr>
        <w:t>(11)</w:t>
      </w:r>
      <w:r>
        <w:rPr>
          <w:rFonts w:ascii="Times New Roman" w:hAnsi="Times New Roman" w:cs="Times New Roman" w:eastAsia="Times New Roman" w:hint="default"/>
          <w:spacing w:val="10"/>
          <w:w w:val="99"/>
        </w:rPr>
        <w:t> </w:t>
      </w:r>
      <w:r>
        <w:rPr>
          <w:spacing w:val="-1"/>
          <w:w w:val="99"/>
        </w:rPr>
        <w:t>募集资金使用与管理制度。公司两度制定并修订了《募集资金管理办法》，</w:t>
      </w:r>
      <w:r>
        <w:rPr>
          <w:w w:val="99"/>
        </w:rPr>
        <w:t> </w:t>
      </w:r>
      <w:r>
        <w:rPr/>
        <w:t>对募集资金的存放、使用、监管等进行了明确具体的规定，并规定公司不得将募集资</w:t>
      </w:r>
      <w:r>
        <w:rPr>
          <w:spacing w:val="-118"/>
        </w:rPr>
        <w:t> </w:t>
      </w:r>
      <w:r>
        <w:rPr>
          <w:spacing w:val="-118"/>
        </w:rPr>
      </w:r>
      <w:r>
        <w:rPr/>
        <w:t>金用于委托理财、质押贷款、抵押贷款、委托贷款或其他变相改变募集资金用途的投</w:t>
      </w:r>
      <w:r>
        <w:rPr>
          <w:spacing w:val="-118"/>
        </w:rPr>
        <w:t> </w:t>
      </w:r>
      <w:r>
        <w:rPr>
          <w:spacing w:val="-118"/>
        </w:rPr>
      </w:r>
      <w:r>
        <w:rPr/>
        <w:t>资。禁止对公司有实际控制权的个人、法人或其他组织及其关联人占用募集资金。</w:t>
      </w:r>
    </w:p>
    <w:p>
      <w:pPr>
        <w:pStyle w:val="BodyText"/>
        <w:spacing w:line="240" w:lineRule="auto" w:before="86"/>
        <w:ind w:left="738" w:right="235"/>
        <w:jc w:val="left"/>
      </w:pPr>
      <w:r>
        <w:rPr/>
        <w:t>由于疏忽，子公司的募集资金管理报告期内出现了如下问题：</w:t>
      </w:r>
    </w:p>
    <w:p>
      <w:pPr>
        <w:pStyle w:val="BodyText"/>
        <w:spacing w:line="367" w:lineRule="auto" w:before="205"/>
        <w:ind w:right="221" w:firstLine="480"/>
        <w:jc w:val="both"/>
        <w:rPr>
          <w:rFonts w:ascii="Times New Roman" w:hAnsi="Times New Roman" w:cs="Times New Roman" w:eastAsia="Times New Roman" w:hint="default"/>
        </w:rPr>
      </w:pPr>
      <w:r>
        <w:rPr>
          <w:spacing w:val="-7"/>
        </w:rPr>
        <w:t>①吉林高琦聚酰亚胺材料有限公司（以下简称“吉林高琦”）相关工作人员错误理</w:t>
      </w:r>
      <w:r>
        <w:rPr/>
        <w:t> 解募集资金存储管理的监管要求，把监管行发行的保本型理财产品理解为银行一般性</w:t>
      </w:r>
      <w:r>
        <w:rPr>
          <w:spacing w:val="-117"/>
        </w:rPr>
        <w:t> </w:t>
      </w:r>
      <w:r>
        <w:rPr>
          <w:spacing w:val="-117"/>
        </w:rPr>
      </w:r>
      <w:r>
        <w:rPr>
          <w:spacing w:val="-8"/>
        </w:rPr>
        <w:t>的资金存储，从增加利息收入的角度，在未通知深圳惠程相关负责人的情况下，于</w:t>
      </w:r>
      <w:r>
        <w:rPr>
          <w:spacing w:val="-39"/>
        </w:rPr>
        <w:t> </w:t>
      </w:r>
      <w:r>
        <w:rPr>
          <w:rFonts w:ascii="Times New Roman" w:hAnsi="Times New Roman" w:cs="Times New Roman" w:eastAsia="Times New Roman" w:hint="default"/>
          <w:spacing w:val="-3"/>
        </w:rPr>
        <w:t>2011</w:t>
      </w:r>
    </w:p>
    <w:p>
      <w:pPr>
        <w:pStyle w:val="BodyText"/>
        <w:spacing w:line="357" w:lineRule="auto" w:before="7"/>
        <w:ind w:right="89"/>
        <w:jc w:val="left"/>
      </w:pPr>
      <w:r>
        <w:rPr/>
        <w:t>年</w:t>
      </w:r>
      <w:r>
        <w:rPr>
          <w:spacing w:val="-60"/>
        </w:rPr>
        <w:t> </w:t>
      </w:r>
      <w:r>
        <w:rPr>
          <w:rFonts w:ascii="Times New Roman" w:hAnsi="Times New Roman" w:cs="Times New Roman" w:eastAsia="Times New Roman" w:hint="default"/>
        </w:rPr>
        <w:t>3 </w:t>
      </w:r>
      <w:r>
        <w:rPr/>
        <w:t>月</w:t>
      </w:r>
      <w:r>
        <w:rPr>
          <w:spacing w:val="-60"/>
        </w:rPr>
        <w:t> </w:t>
      </w:r>
      <w:r>
        <w:rPr>
          <w:rFonts w:ascii="Times New Roman" w:hAnsi="Times New Roman" w:cs="Times New Roman" w:eastAsia="Times New Roman" w:hint="default"/>
        </w:rPr>
        <w:t>25 </w:t>
      </w:r>
      <w:r>
        <w:rPr>
          <w:spacing w:val="-4"/>
        </w:rPr>
        <w:t>日开始，先后五次用暂时闲置募集资金购买了监管行中国银行吉林市分行推</w:t>
      </w:r>
      <w:r>
        <w:rPr>
          <w:spacing w:val="-1"/>
        </w:rPr>
        <w:t> </w:t>
      </w:r>
      <w:r>
        <w:rPr/>
        <w:t>荐的无风险的结构性理财产品，深圳惠程和保荐机构对吉林高琦例行检查时发现该情</w:t>
      </w:r>
      <w:r>
        <w:rPr>
          <w:spacing w:val="-117"/>
        </w:rPr>
        <w:t> </w:t>
      </w:r>
      <w:r>
        <w:rPr>
          <w:spacing w:val="-117"/>
        </w:rPr>
      </w:r>
      <w:r>
        <w:rPr>
          <w:spacing w:val="-10"/>
        </w:rPr>
        <w:t>况，并责令立即纠正，吉林高琦已</w:t>
      </w:r>
      <w:r>
        <w:rPr>
          <w:spacing w:val="-56"/>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6</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spacing w:val="-5"/>
        </w:rPr>
        <w:t>日提前赎回所剩最后一笔产品。至此，</w:t>
      </w:r>
      <w:r>
        <w:rPr/>
        <w:t> 之前购买的所有理财产品本息已全部收回至募集资金监管帐户。五次违规买入保本结</w:t>
      </w:r>
      <w:r>
        <w:rPr>
          <w:spacing w:val="-117"/>
        </w:rPr>
        <w:t> </w:t>
      </w:r>
      <w:r>
        <w:rPr>
          <w:spacing w:val="-117"/>
        </w:rPr>
      </w:r>
      <w:r>
        <w:rPr>
          <w:spacing w:val="5"/>
        </w:rPr>
        <w:t>构性理财产品共获得利息收入 </w:t>
      </w:r>
      <w:r>
        <w:rPr>
          <w:rFonts w:ascii="Times New Roman" w:hAnsi="Times New Roman" w:cs="Times New Roman" w:eastAsia="Times New Roman" w:hint="default"/>
        </w:rPr>
        <w:t>1,005,852.20 </w:t>
      </w:r>
      <w:r>
        <w:rPr>
          <w:rFonts w:ascii="Times New Roman" w:hAnsi="Times New Roman" w:cs="Times New Roman" w:eastAsia="Times New Roman" w:hint="default"/>
          <w:spacing w:val="15"/>
        </w:rPr>
        <w:t> </w:t>
      </w:r>
      <w:r>
        <w:rPr>
          <w:spacing w:val="6"/>
        </w:rPr>
        <w:t>元，比活期利率计算的可得利息收入多</w:t>
      </w:r>
      <w:r>
        <w:rPr/>
      </w:r>
    </w:p>
    <w:p>
      <w:pPr>
        <w:pStyle w:val="BodyText"/>
        <w:spacing w:line="240" w:lineRule="auto" w:before="17"/>
        <w:ind w:right="235"/>
        <w:jc w:val="left"/>
      </w:pPr>
      <w:r>
        <w:rPr>
          <w:rFonts w:ascii="Times New Roman" w:hAnsi="Times New Roman" w:cs="Times New Roman" w:eastAsia="Times New Roman" w:hint="default"/>
        </w:rPr>
        <w:t>812,317.96 </w:t>
      </w:r>
      <w:r>
        <w:rPr/>
        <w:t>元。</w:t>
      </w:r>
    </w:p>
    <w:p>
      <w:pPr>
        <w:pStyle w:val="BodyText"/>
        <w:spacing w:line="360" w:lineRule="auto" w:before="187"/>
        <w:ind w:right="214" w:firstLine="480"/>
        <w:jc w:val="both"/>
      </w:pPr>
      <w:r>
        <w:rPr/>
        <w:t>②由于吉林高琦所在地吉林市九站经济开发区，位置远离市区，且园区内乙醇等 </w:t>
      </w:r>
      <w:r>
        <w:rPr>
          <w:spacing w:val="7"/>
        </w:rPr>
        <w:t>化工工厂众多，空气中刺激性气体含量较高，公司考虑到以上因素以募集资金支付</w:t>
      </w:r>
      <w:r>
        <w:rPr>
          <w:spacing w:val="7"/>
        </w:rPr>
        <w:t> </w:t>
      </w:r>
      <w:r>
        <w:rPr>
          <w:rFonts w:ascii="Times New Roman" w:hAnsi="Times New Roman" w:cs="Times New Roman" w:eastAsia="Times New Roman" w:hint="default"/>
        </w:rPr>
        <w:t>992,953.00 </w:t>
      </w:r>
      <w:r>
        <w:rPr/>
        <w:t>元在高新工业园外的生活社区购置了四套商品房作为专家宿舍。募集资金 可行性研究报告上无对此特别说明，吉林高琦未按照募集资金用途使用，事后吉林高</w:t>
      </w:r>
    </w:p>
    <w:p>
      <w:pPr>
        <w:spacing w:after="0" w:line="360" w:lineRule="auto"/>
        <w:jc w:val="both"/>
        <w:sectPr>
          <w:footerReference w:type="default" r:id="rId18"/>
          <w:pgSz w:w="11910" w:h="16840"/>
          <w:pgMar w:footer="1266" w:header="470" w:top="900" w:bottom="1460" w:left="1160" w:right="1360"/>
          <w:pgNumType w:start="33"/>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6"/>
          <w:szCs w:val="26"/>
        </w:rPr>
      </w:pPr>
    </w:p>
    <w:p>
      <w:pPr>
        <w:pStyle w:val="BodyText"/>
        <w:spacing w:line="240" w:lineRule="auto" w:before="26"/>
        <w:ind w:right="0"/>
        <w:jc w:val="left"/>
      </w:pPr>
      <w:r>
        <w:rPr/>
        <w:t>琦已将款项归还募集资金账户。</w:t>
      </w:r>
    </w:p>
    <w:p>
      <w:pPr>
        <w:pStyle w:val="BodyText"/>
        <w:spacing w:line="345" w:lineRule="auto" w:before="205"/>
        <w:ind w:right="143" w:firstLine="480"/>
        <w:jc w:val="both"/>
      </w:pPr>
      <w:r>
        <w:rPr/>
        <w:t>③</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73"/>
        </w:rPr>
        <w:t> </w:t>
      </w:r>
      <w:r>
        <w:rPr>
          <w:rFonts w:ascii="Times New Roman" w:hAnsi="Times New Roman" w:cs="Times New Roman" w:eastAsia="Times New Roman" w:hint="default"/>
        </w:rPr>
        <w:t>4</w:t>
      </w:r>
      <w:r>
        <w:rPr>
          <w:rFonts w:ascii="Times New Roman" w:hAnsi="Times New Roman" w:cs="Times New Roman" w:eastAsia="Times New Roman" w:hint="default"/>
          <w:spacing w:val="-13"/>
        </w:rPr>
        <w:t> </w:t>
      </w:r>
      <w:r>
        <w:rPr/>
        <w:t>月，吉林高琦在未经相关董事会审议批准的情况下，提前将募集资金 </w:t>
      </w:r>
      <w:r>
        <w:rPr>
          <w:rFonts w:ascii="Times New Roman" w:hAnsi="Times New Roman" w:cs="Times New Roman" w:eastAsia="Times New Roman" w:hint="default"/>
        </w:rPr>
        <w:t>57,346,200.00</w:t>
      </w:r>
      <w:r>
        <w:rPr>
          <w:rFonts w:ascii="Times New Roman" w:hAnsi="Times New Roman" w:cs="Times New Roman" w:eastAsia="Times New Roman" w:hint="default"/>
          <w:spacing w:val="20"/>
        </w:rPr>
        <w:t> </w:t>
      </w:r>
      <w:r>
        <w:rPr/>
        <w:t>元置换前期投入的自有资金，当月吉林高琦已将该款项归还募集资金账 户。</w:t>
      </w:r>
    </w:p>
    <w:p>
      <w:pPr>
        <w:pStyle w:val="BodyText"/>
        <w:spacing w:line="367" w:lineRule="auto" w:before="100"/>
        <w:ind w:right="140" w:firstLine="480"/>
        <w:jc w:val="both"/>
      </w:pPr>
      <w:r>
        <w:rPr/>
        <w:t>④吉林高琦在无明确划分依据的情况下使用募集资金发放非募集资金项目工人工 资</w:t>
      </w:r>
      <w:r>
        <w:rPr>
          <w:spacing w:val="-60"/>
        </w:rPr>
        <w:t> </w:t>
      </w:r>
      <w:r>
        <w:rPr>
          <w:rFonts w:ascii="Times New Roman" w:hAnsi="Times New Roman" w:cs="Times New Roman" w:eastAsia="Times New Roman" w:hint="default"/>
        </w:rPr>
        <w:t>651,620.26 </w:t>
      </w:r>
      <w:r>
        <w:rPr/>
        <w:t>元，公司已将该款项归还募集资金账户。</w:t>
      </w:r>
    </w:p>
    <w:p>
      <w:pPr>
        <w:pStyle w:val="BodyText"/>
        <w:spacing w:line="367" w:lineRule="auto" w:before="47"/>
        <w:ind w:right="140" w:firstLine="480"/>
        <w:jc w:val="both"/>
      </w:pPr>
      <w:r>
        <w:rPr/>
        <w:t>上述事项发现后，本公司立即对子公司募集资金使用进行整改，加大了对下属子 公司相关财务人员的培训力度，请保荐代表人等专业人士对相关人员进行募集资金管</w:t>
      </w:r>
      <w:r>
        <w:rPr>
          <w:spacing w:val="-117"/>
        </w:rPr>
        <w:t> </w:t>
      </w:r>
      <w:r>
        <w:rPr>
          <w:spacing w:val="-117"/>
        </w:rPr>
      </w:r>
      <w:r>
        <w:rPr/>
        <w:t>理专题培训；向监管银行发出质询函，明确监管银行责任，后因该监管行仍监管不到</w:t>
      </w:r>
      <w:r>
        <w:rPr>
          <w:spacing w:val="-117"/>
        </w:rPr>
        <w:t> </w:t>
      </w:r>
      <w:r>
        <w:rPr>
          <w:spacing w:val="-117"/>
        </w:rPr>
      </w:r>
      <w:r>
        <w:rPr/>
        <w:t>位，最终更换了监管银行；加强了对下属子公司资金流向的监管，增加审批环节；公</w:t>
      </w:r>
      <w:r>
        <w:rPr>
          <w:spacing w:val="-117"/>
        </w:rPr>
        <w:t> </w:t>
      </w:r>
      <w:r>
        <w:rPr>
          <w:spacing w:val="-117"/>
        </w:rPr>
      </w:r>
      <w:r>
        <w:rPr/>
        <w:t>司对相关责任人进行了经济处罚及通报批评，责令相关财务人员学习相关制度，严肃</w:t>
      </w:r>
      <w:r>
        <w:rPr>
          <w:spacing w:val="-117"/>
        </w:rPr>
        <w:t> </w:t>
      </w:r>
      <w:r>
        <w:rPr>
          <w:spacing w:val="-117"/>
        </w:rPr>
      </w:r>
      <w:r>
        <w:rPr/>
        <w:t>检讨，杜绝此类错误再次发生，严格执行募集资金管理制度。</w:t>
      </w:r>
    </w:p>
    <w:p>
      <w:pPr>
        <w:pStyle w:val="BodyText"/>
        <w:spacing w:line="362" w:lineRule="auto" w:before="78"/>
        <w:ind w:right="138" w:firstLine="480"/>
        <w:jc w:val="both"/>
      </w:pPr>
      <w:r>
        <w:rPr>
          <w:rFonts w:ascii="Times New Roman" w:hAnsi="Times New Roman" w:cs="Times New Roman" w:eastAsia="Times New Roman" w:hint="default"/>
          <w:w w:val="99"/>
        </w:rPr>
        <w:t>(12)</w:t>
      </w:r>
      <w:r>
        <w:rPr>
          <w:rFonts w:ascii="Times New Roman" w:hAnsi="Times New Roman" w:cs="Times New Roman" w:eastAsia="Times New Roman" w:hint="default"/>
          <w:spacing w:val="11"/>
          <w:w w:val="99"/>
        </w:rPr>
        <w:t> </w:t>
      </w:r>
      <w:r>
        <w:rPr>
          <w:spacing w:val="-1"/>
          <w:w w:val="99"/>
        </w:rPr>
        <w:t>信息披露管理制度。公司建立健全了《信息披露事务管理制度》，对公司公</w:t>
      </w:r>
      <w:r>
        <w:rPr>
          <w:spacing w:val="3"/>
          <w:w w:val="99"/>
        </w:rPr>
        <w:t> </w:t>
      </w:r>
      <w:r>
        <w:rPr/>
        <w:t>开信息披露和重大内部信息沟通进行全程、有效的控制。依据《信息披露事务管理制</w:t>
      </w:r>
      <w:r>
        <w:rPr>
          <w:spacing w:val="-118"/>
        </w:rPr>
        <w:t> </w:t>
      </w:r>
      <w:r>
        <w:rPr>
          <w:spacing w:val="-118"/>
        </w:rPr>
      </w:r>
      <w:r>
        <w:rPr>
          <w:spacing w:val="-7"/>
          <w:w w:val="99"/>
        </w:rPr>
        <w:t>度》，公司按照日常信息管理规范的要求，确保各类信息及时、准确、完整、公平地对</w:t>
      </w:r>
      <w:r>
        <w:rPr>
          <w:spacing w:val="-104"/>
          <w:w w:val="99"/>
        </w:rPr>
        <w:t> </w:t>
      </w:r>
      <w:r>
        <w:rPr>
          <w:spacing w:val="-104"/>
          <w:w w:val="99"/>
        </w:rPr>
      </w:r>
      <w:r>
        <w:rPr/>
        <w:t>外披露。同时对照深交所《内部控制指引》的有关规定，公司对信息披露的内部控制</w:t>
      </w:r>
      <w:r>
        <w:rPr>
          <w:spacing w:val="-118"/>
        </w:rPr>
        <w:t> </w:t>
      </w:r>
      <w:r>
        <w:rPr>
          <w:spacing w:val="-118"/>
        </w:rPr>
      </w:r>
      <w:r>
        <w:rPr>
          <w:spacing w:val="-6"/>
          <w:w w:val="99"/>
        </w:rPr>
        <w:t>严格、充分、有效，报告期内，未有违反《内部控制指引》、公司《信息披露事务管理</w:t>
      </w:r>
      <w:r>
        <w:rPr>
          <w:spacing w:val="-117"/>
          <w:w w:val="99"/>
        </w:rPr>
        <w:t> </w:t>
      </w:r>
      <w:r>
        <w:rPr>
          <w:spacing w:val="-117"/>
          <w:w w:val="99"/>
        </w:rPr>
      </w:r>
      <w:r>
        <w:rPr/>
        <w:t>制度》的情形发生。</w:t>
      </w:r>
    </w:p>
    <w:p>
      <w:pPr>
        <w:pStyle w:val="BodyText"/>
        <w:spacing w:line="360" w:lineRule="auto" w:before="83"/>
        <w:ind w:right="141" w:firstLine="480"/>
        <w:jc w:val="both"/>
      </w:pPr>
      <w:r>
        <w:rPr>
          <w:rFonts w:ascii="Times New Roman" w:hAnsi="Times New Roman" w:cs="Times New Roman" w:eastAsia="Times New Roman" w:hint="default"/>
        </w:rPr>
        <w:t>(13)</w:t>
      </w:r>
      <w:r>
        <w:rPr>
          <w:rFonts w:ascii="Times New Roman" w:hAnsi="Times New Roman" w:cs="Times New Roman" w:eastAsia="Times New Roman" w:hint="default"/>
          <w:spacing w:val="22"/>
        </w:rPr>
        <w:t> </w:t>
      </w:r>
      <w:r>
        <w:rPr/>
        <w:t>公司的人事管理制度。坚持内部重点培训和急需人才外部引进相结合。在内</w:t>
      </w:r>
      <w:r>
        <w:rPr>
          <w:spacing w:val="-1"/>
          <w:w w:val="99"/>
        </w:rPr>
        <w:t> </w:t>
      </w:r>
      <w:r>
        <w:rPr/>
        <w:t>部分配上，实行以绩效工资分配为主、专业技术人员津贴制、高管人员年薪制及特殊</w:t>
      </w:r>
      <w:r>
        <w:rPr>
          <w:spacing w:val="-118"/>
        </w:rPr>
        <w:t> </w:t>
      </w:r>
      <w:r>
        <w:rPr>
          <w:spacing w:val="-118"/>
        </w:rPr>
      </w:r>
      <w:r>
        <w:rPr/>
        <w:t>引进人才协议工资制的多元分配机制。同时制定了系列绩效考核办法，为有效调动公</w:t>
      </w:r>
      <w:r>
        <w:rPr>
          <w:spacing w:val="-118"/>
        </w:rPr>
        <w:t> </w:t>
      </w:r>
      <w:r>
        <w:rPr>
          <w:spacing w:val="-118"/>
        </w:rPr>
      </w:r>
      <w:r>
        <w:rPr/>
        <w:t>司各类人员的生产、工作积极性发挥了积极的作用。</w:t>
      </w:r>
    </w:p>
    <w:p>
      <w:pPr>
        <w:pStyle w:val="BodyText"/>
        <w:spacing w:line="345" w:lineRule="auto" w:before="86"/>
        <w:ind w:right="142" w:firstLine="480"/>
        <w:jc w:val="both"/>
      </w:pPr>
      <w:r>
        <w:rPr>
          <w:rFonts w:ascii="Times New Roman" w:hAnsi="Times New Roman" w:cs="Times New Roman" w:eastAsia="Times New Roman" w:hint="default"/>
        </w:rPr>
        <w:t>(14)</w:t>
      </w:r>
      <w:r>
        <w:rPr>
          <w:rFonts w:ascii="Times New Roman" w:hAnsi="Times New Roman" w:cs="Times New Roman" w:eastAsia="Times New Roman" w:hint="default"/>
          <w:spacing w:val="24"/>
        </w:rPr>
        <w:t> </w:t>
      </w:r>
      <w:r>
        <w:rPr/>
        <w:t>公司的合同管理制度。严格执行合同的审批流程，提高合同的会签效率。同</w:t>
      </w:r>
      <w:r>
        <w:rPr>
          <w:w w:val="99"/>
        </w:rPr>
        <w:t> </w:t>
      </w:r>
      <w:r>
        <w:rPr/>
        <w:t>时，所有审批环节均须留下书面痕迹，便于对合同的履行情况进行跟踪与评价。</w:t>
      </w:r>
    </w:p>
    <w:p>
      <w:pPr>
        <w:pStyle w:val="BodyText"/>
        <w:spacing w:line="405" w:lineRule="auto" w:before="10"/>
        <w:ind w:left="738" w:right="0" w:firstLine="2"/>
        <w:jc w:val="left"/>
      </w:pPr>
      <w:r>
        <w:rPr>
          <w:rFonts w:ascii="宋体" w:hAnsi="宋体" w:cs="宋体" w:eastAsia="宋体" w:hint="default"/>
          <w:b/>
          <w:bCs/>
        </w:rPr>
        <w:t>四）信息与沟通</w:t>
      </w:r>
      <w:r>
        <w:rPr>
          <w:rFonts w:ascii="宋体" w:hAnsi="宋体" w:cs="宋体" w:eastAsia="宋体" w:hint="default"/>
          <w:b/>
          <w:bCs/>
          <w:spacing w:val="1"/>
          <w:w w:val="99"/>
        </w:rPr>
        <w:t> </w:t>
      </w:r>
      <w:r>
        <w:rPr/>
        <w:t>本公司及下属子公司均制定了重大内部信息报告制度，明确内部控制相关信息的</w:t>
      </w:r>
    </w:p>
    <w:p>
      <w:pPr>
        <w:pStyle w:val="BodyText"/>
        <w:spacing w:line="396" w:lineRule="auto" w:before="1"/>
        <w:ind w:left="738" w:right="0" w:hanging="480"/>
        <w:jc w:val="left"/>
      </w:pPr>
      <w:r>
        <w:rPr/>
        <w:t>收集、处理和传递程序，确保信息及时沟通，促进内部控制有效运行。 本公司的内部信息主要通过公司的财务会计资料、经营管理资料、调研报告、专</w:t>
      </w:r>
    </w:p>
    <w:p>
      <w:pPr>
        <w:spacing w:after="0" w:line="396" w:lineRule="auto"/>
        <w:jc w:val="left"/>
        <w:sectPr>
          <w:footerReference w:type="default" r:id="rId19"/>
          <w:pgSz w:w="11910" w:h="16840"/>
          <w:pgMar w:footer="1266" w:header="470" w:top="900" w:bottom="1460" w:left="1160" w:right="1440"/>
          <w:pgNumType w:start="34"/>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6"/>
          <w:szCs w:val="26"/>
        </w:rPr>
      </w:pPr>
    </w:p>
    <w:p>
      <w:pPr>
        <w:pStyle w:val="BodyText"/>
        <w:spacing w:line="367" w:lineRule="auto" w:before="26"/>
        <w:ind w:right="221"/>
        <w:jc w:val="both"/>
      </w:pPr>
      <w:r>
        <w:rPr/>
        <w:t>项信息、内部刊物、办公网络等渠道获取；外部信息通过业务员、行业杂志、参加行</w:t>
      </w:r>
      <w:r>
        <w:rPr>
          <w:spacing w:val="-117"/>
        </w:rPr>
        <w:t> </w:t>
      </w:r>
      <w:r>
        <w:rPr>
          <w:spacing w:val="-117"/>
        </w:rPr>
      </w:r>
      <w:r>
        <w:rPr/>
        <w:t>业展会、行业协会组织、社会中介机构、业务往来单位、市场调查、来信来访、网络</w:t>
      </w:r>
      <w:r>
        <w:rPr>
          <w:spacing w:val="-117"/>
        </w:rPr>
        <w:t> </w:t>
      </w:r>
      <w:r>
        <w:rPr>
          <w:spacing w:val="-117"/>
        </w:rPr>
      </w:r>
      <w:r>
        <w:rPr/>
        <w:t>媒体以及有关监管部门等渠道获取公司的外部风险。</w:t>
      </w:r>
    </w:p>
    <w:p>
      <w:pPr>
        <w:pStyle w:val="BodyText"/>
        <w:spacing w:line="367" w:lineRule="auto" w:before="78"/>
        <w:ind w:right="220" w:firstLine="480"/>
        <w:jc w:val="both"/>
      </w:pPr>
      <w:r>
        <w:rPr/>
        <w:t>本公司对所收集的各种内部信息和外部信息按信息的类别交由各职能部门进行筛 选、核对、整理，并根据信息的来源进行必要的沟通、反馈，以提高信息的可靠性和</w:t>
      </w:r>
      <w:r>
        <w:rPr>
          <w:spacing w:val="-117"/>
        </w:rPr>
        <w:t> </w:t>
      </w:r>
      <w:r>
        <w:rPr>
          <w:spacing w:val="-117"/>
        </w:rPr>
      </w:r>
      <w:r>
        <w:rPr/>
        <w:t>有用性；对于重要信息能够及时传递给公司董事会、监事会和经理层；在信息沟通过</w:t>
      </w:r>
      <w:r>
        <w:rPr>
          <w:spacing w:val="-117"/>
        </w:rPr>
        <w:t> </w:t>
      </w:r>
      <w:r>
        <w:rPr>
          <w:spacing w:val="-117"/>
        </w:rPr>
      </w:r>
      <w:r>
        <w:rPr/>
        <w:t>程中发现的问题能够给以及时的处理。</w:t>
      </w:r>
    </w:p>
    <w:p>
      <w:pPr>
        <w:pStyle w:val="BodyText"/>
        <w:spacing w:line="367" w:lineRule="auto" w:before="78"/>
        <w:ind w:right="94" w:firstLine="480"/>
        <w:jc w:val="left"/>
      </w:pPr>
      <w:r>
        <w:rPr>
          <w:spacing w:val="-3"/>
        </w:rPr>
        <w:t>为保证本公司管理信息畅通，公司提供沟通渠道，如建立了信息化管理内部平台，</w:t>
      </w:r>
      <w:r>
        <w:rPr/>
        <w:t> 使公司管理人员随时掌握与理解公司业务发展动态。同时公司充分利用网络资源，发</w:t>
      </w:r>
      <w:r>
        <w:rPr>
          <w:spacing w:val="-117"/>
        </w:rPr>
        <w:t> </w:t>
      </w:r>
      <w:r>
        <w:rPr>
          <w:spacing w:val="-117"/>
        </w:rPr>
      </w:r>
      <w:r>
        <w:rPr>
          <w:spacing w:val="-4"/>
        </w:rPr>
        <w:t>挥企业内部管理信息快速传递优势，通过公司网站、办公自动化系统、财务管理系统、</w:t>
      </w:r>
      <w:r>
        <w:rPr>
          <w:spacing w:val="-103"/>
        </w:rPr>
        <w:t> </w:t>
      </w:r>
      <w:r>
        <w:rPr>
          <w:spacing w:val="-103"/>
        </w:rPr>
      </w:r>
      <w:r>
        <w:rPr/>
        <w:t>人力资源管理系统等网络设施，保证管理信息资源共享和快速有效传递。</w:t>
      </w:r>
    </w:p>
    <w:p>
      <w:pPr>
        <w:pStyle w:val="BodyText"/>
        <w:spacing w:line="367" w:lineRule="auto" w:before="38"/>
        <w:ind w:right="223" w:firstLine="540"/>
        <w:jc w:val="both"/>
      </w:pPr>
      <w:r>
        <w:rPr>
          <w:spacing w:val="-2"/>
        </w:rPr>
        <w:t>本公司在信息处理方面主要通过网络共享的方式进行各部门数据的共享，充分发</w:t>
      </w:r>
      <w:r>
        <w:rPr/>
        <w:t> 挥网络技术在信息与沟通中的作用。</w:t>
      </w:r>
    </w:p>
    <w:p>
      <w:pPr>
        <w:pStyle w:val="BodyText"/>
        <w:spacing w:line="367" w:lineRule="auto" w:before="79"/>
        <w:ind w:right="220" w:firstLine="480"/>
        <w:jc w:val="both"/>
      </w:pPr>
      <w:r>
        <w:rPr/>
        <w:t>本公司配有专业技术人员负责各部门之间重要文件的传递，文件储存与保管、网 络安全等方面的控制，保证信息系统安全稳定运行。</w:t>
      </w:r>
    </w:p>
    <w:p>
      <w:pPr>
        <w:pStyle w:val="BodyText"/>
        <w:spacing w:line="367" w:lineRule="auto" w:before="38"/>
        <w:ind w:right="220" w:firstLine="480"/>
        <w:jc w:val="both"/>
      </w:pPr>
      <w:r>
        <w:rPr/>
        <w:t>公司在采购环节，仅由采购部询价采购，未有采购部、财务部、审计部组成的稽 核小组对供应商的产品质量、性能、价格等诸多方面的情况调查、研究，以确定采购</w:t>
      </w:r>
      <w:r>
        <w:rPr>
          <w:spacing w:val="-117"/>
        </w:rPr>
        <w:t> </w:t>
      </w:r>
      <w:r>
        <w:rPr>
          <w:spacing w:val="-117"/>
        </w:rPr>
      </w:r>
      <w:r>
        <w:rPr/>
        <w:t>供应关系；在销售环节，未有由销售部、财务部、审计室等部门组成稽核小组对各办</w:t>
      </w:r>
      <w:r>
        <w:rPr>
          <w:spacing w:val="-117"/>
        </w:rPr>
        <w:t> </w:t>
      </w:r>
      <w:r>
        <w:rPr>
          <w:spacing w:val="-117"/>
        </w:rPr>
      </w:r>
      <w:r>
        <w:rPr/>
        <w:t>事处的资产、销售情况以及与采购方的往来款项进行核对，并对差异进行调查处理。</w:t>
      </w:r>
    </w:p>
    <w:p>
      <w:pPr>
        <w:pStyle w:val="BodyText"/>
        <w:spacing w:line="396" w:lineRule="auto" w:before="78"/>
        <w:ind w:left="738" w:right="205"/>
        <w:jc w:val="left"/>
      </w:pPr>
      <w:r>
        <w:rPr/>
        <w:t>五）内部监督 根据公司内部控制检查工作的相关规定，在董事会审计委员会直接领导下，公司</w:t>
      </w:r>
    </w:p>
    <w:p>
      <w:pPr>
        <w:pStyle w:val="BodyText"/>
        <w:spacing w:line="367" w:lineRule="auto" w:before="10"/>
        <w:ind w:right="100"/>
        <w:jc w:val="left"/>
      </w:pPr>
      <w:r>
        <w:rPr/>
        <w:t>审计室负责对全公司及下属各企业、部门的财务收支及经济活动进行审计、监督，具</w:t>
      </w:r>
      <w:r>
        <w:rPr>
          <w:spacing w:val="-117"/>
        </w:rPr>
        <w:t> </w:t>
      </w:r>
      <w:r>
        <w:rPr>
          <w:spacing w:val="-117"/>
        </w:rPr>
      </w:r>
      <w:r>
        <w:rPr>
          <w:spacing w:val="-3"/>
        </w:rPr>
        <w:t>体包括：负责审查各企业、部门经理任职目标和责任目标完成情况；负责审查各企业、</w:t>
      </w:r>
      <w:r>
        <w:rPr>
          <w:spacing w:val="-107"/>
        </w:rPr>
        <w:t> </w:t>
      </w:r>
      <w:r>
        <w:rPr>
          <w:spacing w:val="-107"/>
        </w:rPr>
      </w:r>
      <w:r>
        <w:rPr/>
        <w:t>部门的财务账目和会计报表；负责对经理人员、财会人员进行离任审计；负责对有关</w:t>
      </w:r>
      <w:r>
        <w:rPr>
          <w:spacing w:val="-117"/>
        </w:rPr>
        <w:t> </w:t>
      </w:r>
      <w:r>
        <w:rPr>
          <w:spacing w:val="-117"/>
        </w:rPr>
      </w:r>
      <w:r>
        <w:rPr>
          <w:spacing w:val="-3"/>
        </w:rPr>
        <w:t>合作项目和合作单位的财务审计；协助各有关企业、部门进行财务清理、整顿、提高。</w:t>
      </w:r>
      <w:r>
        <w:rPr>
          <w:spacing w:val="-108"/>
        </w:rPr>
        <w:t> </w:t>
      </w:r>
      <w:r>
        <w:rPr>
          <w:spacing w:val="-108"/>
        </w:rPr>
      </w:r>
      <w:r>
        <w:rPr/>
        <w:t>通过审计、监督，及时发现内部控制的缺陷和不足，详细分析问题的性质和产生的原</w:t>
      </w:r>
      <w:r>
        <w:rPr>
          <w:spacing w:val="-117"/>
        </w:rPr>
        <w:t> </w:t>
      </w:r>
      <w:r>
        <w:rPr>
          <w:spacing w:val="-117"/>
        </w:rPr>
      </w:r>
      <w:r>
        <w:rPr/>
        <w:t>因，提出整改方案并监督落实，并以适当的方式及时报告董事会。</w:t>
      </w:r>
    </w:p>
    <w:p>
      <w:pPr>
        <w:spacing w:after="0" w:line="367" w:lineRule="auto"/>
        <w:jc w:val="left"/>
        <w:sectPr>
          <w:pgSz w:w="11910" w:h="16840"/>
          <w:pgMar w:header="470" w:footer="1266" w:top="900" w:bottom="1460" w:left="1160" w:right="13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405" w:lineRule="auto" w:before="26"/>
        <w:ind w:left="738" w:right="0"/>
        <w:jc w:val="left"/>
      </w:pPr>
      <w:r>
        <w:rPr/>
        <w:t>六）内部控制自我评估结论 公司董事会认为，公司现有的内部控制已覆盖了公司运营的各层面和各环节，形</w:t>
      </w:r>
    </w:p>
    <w:p>
      <w:pPr>
        <w:pStyle w:val="BodyText"/>
        <w:spacing w:line="367" w:lineRule="auto"/>
        <w:ind w:right="141"/>
        <w:jc w:val="both"/>
      </w:pPr>
      <w:r>
        <w:rPr/>
        <w:t>成了规范的管理体系，能够预防和及时发现、纠正公司运营过程可能出现的重要错误</w:t>
      </w:r>
      <w:r>
        <w:rPr>
          <w:spacing w:val="-117"/>
        </w:rPr>
        <w:t> </w:t>
      </w:r>
      <w:r>
        <w:rPr>
          <w:spacing w:val="-117"/>
        </w:rPr>
      </w:r>
      <w:r>
        <w:rPr/>
        <w:t>和舞弊，保护公司资产的安全和完整，保证会计记录和会计信息的真实性、准确性和</w:t>
      </w:r>
      <w:r>
        <w:rPr>
          <w:spacing w:val="-117"/>
        </w:rPr>
        <w:t> </w:t>
      </w:r>
      <w:r>
        <w:rPr>
          <w:spacing w:val="-117"/>
        </w:rPr>
      </w:r>
      <w:r>
        <w:rPr/>
        <w:t>及时性，在完整性、合理性及有效性方面不存在重大缺陷。随着本公司的业务职能的</w:t>
      </w:r>
      <w:r>
        <w:rPr>
          <w:spacing w:val="-117"/>
        </w:rPr>
        <w:t> </w:t>
      </w:r>
      <w:r>
        <w:rPr>
          <w:spacing w:val="-117"/>
        </w:rPr>
      </w:r>
      <w:r>
        <w:rPr/>
        <w:t>调整、外部环境的变化和管理要求的提高，内部控制还需不断修订和完善。</w:t>
      </w:r>
    </w:p>
    <w:p>
      <w:pPr>
        <w:spacing w:line="240" w:lineRule="auto" w:before="0"/>
        <w:rPr>
          <w:rFonts w:ascii="宋体" w:hAnsi="宋体" w:cs="宋体" w:eastAsia="宋体" w:hint="default"/>
          <w:sz w:val="24"/>
          <w:szCs w:val="24"/>
        </w:rPr>
      </w:pPr>
    </w:p>
    <w:p>
      <w:pPr>
        <w:pStyle w:val="BodyText"/>
        <w:spacing w:line="240" w:lineRule="auto" w:before="195"/>
        <w:ind w:left="738" w:right="0"/>
        <w:jc w:val="left"/>
      </w:pPr>
      <w:r>
        <w:rPr/>
        <w:t>七）保荐机构的核查意见</w:t>
      </w:r>
    </w:p>
    <w:p>
      <w:pPr>
        <w:pStyle w:val="BodyText"/>
        <w:spacing w:line="357" w:lineRule="auto" w:before="215"/>
        <w:ind w:right="141" w:firstLine="480"/>
        <w:jc w:val="both"/>
      </w:pPr>
      <w:r>
        <w:rPr/>
        <w:t>作为深圳惠程</w:t>
      </w:r>
      <w:r>
        <w:rPr>
          <w:spacing w:val="-5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9"/>
        </w:rPr>
        <w:t> </w:t>
      </w:r>
      <w:r>
        <w:rPr>
          <w:spacing w:val="-4"/>
        </w:rPr>
        <w:t>年非公开发行股票持续督导的保荐机构，国海证券经核查后认</w:t>
      </w:r>
      <w:r>
        <w:rPr/>
        <w:t> 为：深圳惠程已经建立了较为完善的法人治理结构、以及与财务报告和信息披露事务</w:t>
      </w:r>
      <w:r>
        <w:rPr>
          <w:spacing w:val="-117"/>
        </w:rPr>
        <w:t> </w:t>
      </w:r>
      <w:r>
        <w:rPr>
          <w:spacing w:val="-117"/>
        </w:rPr>
      </w:r>
      <w:r>
        <w:rPr/>
        <w:t>相关的内部控制制度。公司现有的内部控制制度建立较为健全，</w:t>
      </w:r>
      <w:r>
        <w:rPr>
          <w:rFonts w:ascii="Times New Roman" w:hAnsi="Times New Roman" w:cs="Times New Roman" w:eastAsia="Times New Roman" w:hint="default"/>
        </w:rPr>
        <w:t>2011</w:t>
      </w:r>
      <w:r>
        <w:rPr>
          <w:rFonts w:ascii="Times New Roman" w:hAnsi="Times New Roman" w:cs="Times New Roman" w:eastAsia="Times New Roman" w:hint="default"/>
          <w:spacing w:val="-35"/>
        </w:rPr>
        <w:t> </w:t>
      </w:r>
      <w:r>
        <w:rPr/>
        <w:t>年度公司内部控 制制度执行情况良好，基本符合我国有关法律法规和证券监管部门的要求。深圳惠程</w:t>
      </w:r>
      <w:r>
        <w:rPr>
          <w:spacing w:val="-117"/>
        </w:rPr>
        <w:t> </w:t>
      </w:r>
      <w:r>
        <w:rPr>
          <w:spacing w:val="-117"/>
        </w:rPr>
      </w:r>
      <w:r>
        <w:rPr/>
        <w:t>董事会对</w:t>
      </w:r>
      <w:r>
        <w:rPr>
          <w:spacing w:val="-57"/>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
        </w:rPr>
        <w:t> </w:t>
      </w:r>
      <w:r>
        <w:rPr>
          <w:spacing w:val="-3"/>
        </w:rPr>
        <w:t>年度内部控制自我评价在所有重大方面真实、客观地反映了其内部控制</w:t>
      </w:r>
    </w:p>
    <w:p>
      <w:pPr>
        <w:pStyle w:val="BodyText"/>
        <w:spacing w:line="345" w:lineRule="auto" w:before="17"/>
        <w:ind w:right="143"/>
        <w:jc w:val="both"/>
      </w:pPr>
      <w:r>
        <w:rPr>
          <w:spacing w:val="-4"/>
        </w:rPr>
        <w:t>制度的建立及运行情况，本保荐机构对深圳惠程《截止</w:t>
      </w:r>
      <w:r>
        <w:rPr>
          <w:spacing w:val="-5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日内部控制有 效性的评估报告》无异议。</w:t>
      </w:r>
    </w:p>
    <w:p>
      <w:pPr>
        <w:pStyle w:val="BodyText"/>
        <w:spacing w:line="396" w:lineRule="auto" w:before="100"/>
        <w:ind w:left="738" w:right="0"/>
        <w:jc w:val="left"/>
      </w:pPr>
      <w:r>
        <w:rPr/>
        <w:t>八）公司独立董事对公司内部控制自我评价报告的意见 </w:t>
      </w:r>
      <w:r>
        <w:rPr>
          <w:spacing w:val="-7"/>
        </w:rPr>
        <w:t>根据《关于在上市公司建立独立董事制度的指导意见》、《中小企业板上市公司内</w:t>
      </w:r>
    </w:p>
    <w:p>
      <w:pPr>
        <w:pStyle w:val="BodyText"/>
        <w:spacing w:line="367" w:lineRule="auto" w:before="10"/>
        <w:ind w:right="141"/>
        <w:jc w:val="both"/>
      </w:pPr>
      <w:r>
        <w:rPr/>
        <w:t>部审计工作指引》及《独立董事工作制度》等相关规章制度的有关规定，作为深圳市</w:t>
      </w:r>
      <w:r>
        <w:rPr>
          <w:spacing w:val="-117"/>
        </w:rPr>
        <w:t> </w:t>
      </w:r>
      <w:r>
        <w:rPr>
          <w:spacing w:val="-117"/>
        </w:rPr>
      </w:r>
      <w:r>
        <w:rPr/>
        <w:t>惠程电气股份有限公司独立董事，现就董事会关于公司 2011</w:t>
      </w:r>
      <w:r>
        <w:rPr>
          <w:spacing w:val="1"/>
        </w:rPr>
        <w:t> </w:t>
      </w:r>
      <w:r>
        <w:rPr/>
        <w:t>年度内部控制的自我评</w:t>
      </w:r>
      <w:r>
        <w:rPr/>
        <w:t> 价报告发表如下意见：</w:t>
      </w:r>
    </w:p>
    <w:p>
      <w:pPr>
        <w:pStyle w:val="BodyText"/>
        <w:spacing w:line="367" w:lineRule="auto" w:before="79"/>
        <w:ind w:right="140" w:firstLine="480"/>
        <w:jc w:val="both"/>
      </w:pPr>
      <w:r>
        <w:rPr/>
        <w:t>公司已建立了较为完善的内部控制制度体系并能得到有效的执行。公司内部控制 的自我评价报告真实、客观地反映了公司内部控制制度的建设及运行情况。建议公司</w:t>
      </w:r>
      <w:r>
        <w:rPr>
          <w:spacing w:val="-117"/>
        </w:rPr>
        <w:t> </w:t>
      </w:r>
      <w:r>
        <w:rPr>
          <w:spacing w:val="-117"/>
        </w:rPr>
      </w:r>
      <w:r>
        <w:rPr/>
        <w:t>2012</w:t>
      </w:r>
      <w:r>
        <w:rPr>
          <w:spacing w:val="-95"/>
        </w:rPr>
        <w:t> </w:t>
      </w:r>
      <w:r>
        <w:rPr/>
        <w:t>年继续加强公司内部审计、加强财务管理，加强对公司员工的全员考核制度，加</w:t>
      </w:r>
      <w:r>
        <w:rPr/>
        <w:t> 强对员工的激励和约束方面的人力资源管理。</w:t>
      </w:r>
    </w:p>
    <w:p>
      <w:pPr>
        <w:pStyle w:val="Heading2"/>
        <w:spacing w:line="240" w:lineRule="auto" w:before="68"/>
        <w:ind w:left="730" w:right="0"/>
        <w:jc w:val="left"/>
        <w:rPr>
          <w:b w:val="0"/>
          <w:bCs w:val="0"/>
        </w:rPr>
      </w:pPr>
      <w:bookmarkStart w:name="_TOC_250007" w:id="8"/>
      <w:r>
        <w:rPr/>
        <w:t>五、公司对高级管理人员的考评及激励机制</w:t>
      </w:r>
      <w:bookmarkEnd w:id="8"/>
      <w:r>
        <w:rPr>
          <w:b w:val="0"/>
          <w:bCs w:val="0"/>
        </w:rPr>
      </w:r>
    </w:p>
    <w:p>
      <w:pPr>
        <w:pStyle w:val="BodyText"/>
        <w:spacing w:line="297" w:lineRule="auto" w:before="205"/>
        <w:ind w:right="146" w:firstLine="480"/>
        <w:jc w:val="left"/>
      </w:pPr>
      <w:r>
        <w:rPr/>
        <w:t>公司根据相关监管要求，已经制订了《董事、监事、高级管理人员薪酬制度》</w:t>
      </w:r>
      <w:r>
        <w:rPr>
          <w:rFonts w:ascii="Times New Roman" w:hAnsi="Times New Roman" w:cs="Times New Roman" w:eastAsia="Times New Roman" w:hint="default"/>
        </w:rPr>
        <w:t>, </w:t>
      </w:r>
      <w:r>
        <w:rPr/>
        <w:t>加大对公司高管人员的激励考核，强化责任目标约束，进一步健全和完善公司的内部 绩效评价体系，加大业绩考核力度。</w:t>
      </w:r>
    </w:p>
    <w:p>
      <w:pPr>
        <w:spacing w:after="0" w:line="297" w:lineRule="auto"/>
        <w:jc w:val="left"/>
        <w:sectPr>
          <w:pgSz w:w="11910" w:h="16840"/>
          <w:pgMar w:header="470" w:footer="1266" w:top="900" w:bottom="1460" w:left="1160" w:right="1440"/>
        </w:sectPr>
      </w:pPr>
    </w:p>
    <w:p>
      <w:pPr>
        <w:spacing w:line="240" w:lineRule="auto" w:before="0"/>
        <w:rPr>
          <w:rFonts w:ascii="宋体" w:hAnsi="宋体" w:cs="宋体" w:eastAsia="宋体" w:hint="default"/>
          <w:sz w:val="20"/>
          <w:szCs w:val="20"/>
        </w:rPr>
      </w:pPr>
      <w:r>
        <w:rPr/>
        <w:pict>
          <v:shape style="position:absolute;margin-left:70.680pt;margin-top:99.859962pt;width:492.15pt;height:663pt;mso-position-horizontal-relative:page;mso-position-vertical-relative:page;z-index:12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911"/>
                    <w:gridCol w:w="1317"/>
                    <w:gridCol w:w="2600"/>
                  </w:tblGrid>
                  <w:tr>
                    <w:trPr>
                      <w:trHeight w:val="439" w:hRule="exact"/>
                    </w:trPr>
                    <w:tc>
                      <w:tcPr>
                        <w:tcW w:w="5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14" w:right="0"/>
                          <w:jc w:val="center"/>
                          <w:rPr>
                            <w:rFonts w:ascii="宋体" w:hAnsi="宋体" w:cs="宋体" w:eastAsia="宋体" w:hint="default"/>
                            <w:sz w:val="18"/>
                            <w:szCs w:val="18"/>
                          </w:rPr>
                        </w:pPr>
                        <w:r>
                          <w:rPr>
                            <w:rFonts w:ascii="宋体" w:hAnsi="宋体" w:cs="宋体" w:eastAsia="宋体" w:hint="default"/>
                            <w:sz w:val="18"/>
                            <w:szCs w:val="18"/>
                          </w:rPr>
                          <w:t>内部控制相关情况</w:t>
                        </w:r>
                      </w:p>
                    </w:tc>
                    <w:tc>
                      <w:tcPr>
                        <w:tcW w:w="13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162" w:right="0"/>
                          <w:jc w:val="left"/>
                          <w:rPr>
                            <w:rFonts w:ascii="宋体" w:hAnsi="宋体" w:cs="宋体" w:eastAsia="宋体" w:hint="default"/>
                            <w:sz w:val="18"/>
                            <w:szCs w:val="18"/>
                          </w:rPr>
                        </w:pP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tc>
                    <w:tc>
                      <w:tcPr>
                        <w:tcW w:w="26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92" w:lineRule="exact"/>
                          <w:ind w:left="22" w:right="-3"/>
                          <w:jc w:val="center"/>
                          <w:rPr>
                            <w:rFonts w:ascii="宋体" w:hAnsi="宋体" w:cs="宋体" w:eastAsia="宋体" w:hint="default"/>
                            <w:sz w:val="18"/>
                            <w:szCs w:val="18"/>
                          </w:rPr>
                        </w:pPr>
                        <w:r>
                          <w:rPr>
                            <w:rFonts w:ascii="宋体" w:hAnsi="宋体" w:cs="宋体" w:eastAsia="宋体" w:hint="default"/>
                            <w:sz w:val="18"/>
                            <w:szCs w:val="18"/>
                          </w:rPr>
                          <w:t>备注</w:t>
                        </w:r>
                        <w:r>
                          <w:rPr>
                            <w:rFonts w:ascii="Times New Roman" w:hAnsi="Times New Roman" w:cs="Times New Roman" w:eastAsia="Times New Roman" w:hint="default"/>
                            <w:sz w:val="18"/>
                            <w:szCs w:val="18"/>
                          </w:rPr>
                          <w:t>/</w:t>
                        </w:r>
                        <w:r>
                          <w:rPr>
                            <w:rFonts w:ascii="宋体" w:hAnsi="宋体" w:cs="宋体" w:eastAsia="宋体" w:hint="default"/>
                            <w:sz w:val="18"/>
                            <w:szCs w:val="18"/>
                          </w:rPr>
                          <w:t>说明（如选择否或不适用，</w:t>
                        </w:r>
                      </w:p>
                      <w:p>
                        <w:pPr>
                          <w:pStyle w:val="TableParagraph"/>
                          <w:spacing w:line="228" w:lineRule="exact"/>
                          <w:ind w:right="1"/>
                          <w:jc w:val="center"/>
                          <w:rPr>
                            <w:rFonts w:ascii="宋体" w:hAnsi="宋体" w:cs="宋体" w:eastAsia="宋体" w:hint="default"/>
                            <w:sz w:val="18"/>
                            <w:szCs w:val="18"/>
                          </w:rPr>
                        </w:pPr>
                        <w:r>
                          <w:rPr>
                            <w:rFonts w:ascii="宋体" w:hAnsi="宋体" w:cs="宋体" w:eastAsia="宋体" w:hint="default"/>
                            <w:sz w:val="18"/>
                            <w:szCs w:val="18"/>
                          </w:rPr>
                          <w:t>请说明具体原因）</w:t>
                        </w:r>
                      </w:p>
                    </w:tc>
                  </w:tr>
                  <w:tr>
                    <w:trPr>
                      <w:trHeight w:val="382" w:hRule="exact"/>
                    </w:trPr>
                    <w:tc>
                      <w:tcPr>
                        <w:tcW w:w="5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一、内部审计制度的建立情况</w:t>
                        </w:r>
                      </w:p>
                    </w:tc>
                    <w:tc>
                      <w:tcPr>
                        <w:tcW w:w="131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60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23" w:hRule="exact"/>
                    </w:trPr>
                    <w:tc>
                      <w:tcPr>
                        <w:tcW w:w="5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．公司是否建立内部审计制度，内部审计制度是否经公司董事会审议通过</w:t>
                        </w:r>
                      </w:p>
                    </w:tc>
                    <w:tc>
                      <w:tcPr>
                        <w:tcW w:w="1317" w:type="dxa"/>
                        <w:tcBorders>
                          <w:top w:val="single" w:sz="9" w:space="0" w:color="DCDCDC"/>
                          <w:left w:val="single" w:sz="13" w:space="0" w:color="DCDCDC"/>
                          <w:bottom w:val="single" w:sz="4" w:space="0" w:color="000000"/>
                          <w:right w:val="single" w:sz="4" w:space="0" w:color="000000"/>
                        </w:tcBorders>
                      </w:tcPr>
                      <w:p>
                        <w:pPr>
                          <w:pStyle w:val="TableParagraph"/>
                          <w:spacing w:line="240" w:lineRule="auto" w:before="4"/>
                          <w:ind w:left="2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9" w:space="0" w:color="DCDCDC"/>
                          <w:left w:val="single" w:sz="4" w:space="0" w:color="000000"/>
                          <w:bottom w:val="single" w:sz="4" w:space="0" w:color="000000"/>
                          <w:right w:val="single" w:sz="4" w:space="0" w:color="000000"/>
                        </w:tcBorders>
                      </w:tcPr>
                      <w:p>
                        <w:pPr/>
                      </w:p>
                    </w:tc>
                  </w:tr>
                  <w:tr>
                    <w:trPr>
                      <w:trHeight w:val="557" w:hRule="exact"/>
                    </w:trPr>
                    <w:tc>
                      <w:tcPr>
                        <w:tcW w:w="5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．公司董事会是否设立审计委员会，公司是否设立独立于财务部门的内部 审计部门</w:t>
                        </w:r>
                      </w:p>
                    </w:tc>
                    <w:tc>
                      <w:tcPr>
                        <w:tcW w:w="131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5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22" w:right="26"/>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）审计委员会成员是否全部由董事组成，独立董事占半数以上并担任</w:t>
                        </w:r>
                        <w:r>
                          <w:rPr>
                            <w:rFonts w:ascii="宋体" w:hAnsi="宋体" w:cs="宋体" w:eastAsia="宋体" w:hint="default"/>
                            <w:spacing w:val="-78"/>
                            <w:sz w:val="18"/>
                            <w:szCs w:val="18"/>
                          </w:rPr>
                          <w:t> </w:t>
                        </w:r>
                        <w:r>
                          <w:rPr>
                            <w:rFonts w:ascii="宋体" w:hAnsi="宋体" w:cs="宋体" w:eastAsia="宋体" w:hint="default"/>
                            <w:sz w:val="18"/>
                            <w:szCs w:val="18"/>
                          </w:rPr>
                          <w:t>召集人，且至少有一名独立董事为会计专业人士</w:t>
                        </w:r>
                      </w:p>
                    </w:tc>
                    <w:tc>
                      <w:tcPr>
                        <w:tcW w:w="131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5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22" w:right="26"/>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）内部审计部门是否配置三名以上（含三名）专职人员从事内部审计工 作</w:t>
                        </w:r>
                      </w:p>
                    </w:tc>
                    <w:tc>
                      <w:tcPr>
                        <w:tcW w:w="1317" w:type="dxa"/>
                        <w:tcBorders>
                          <w:top w:val="single" w:sz="4" w:space="0" w:color="000000"/>
                          <w:left w:val="single" w:sz="13" w:space="0" w:color="DCDCDC"/>
                          <w:bottom w:val="single" w:sz="10" w:space="0" w:color="DCDCDC"/>
                          <w:right w:val="single" w:sz="4" w:space="0" w:color="000000"/>
                        </w:tcBorders>
                      </w:tcPr>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10" w:space="0" w:color="DCDCDC"/>
                          <w:right w:val="single" w:sz="4" w:space="0" w:color="000000"/>
                        </w:tcBorders>
                      </w:tcPr>
                      <w:p>
                        <w:pPr/>
                      </w:p>
                    </w:tc>
                  </w:tr>
                  <w:tr>
                    <w:trPr>
                      <w:trHeight w:val="324" w:hRule="exact"/>
                    </w:trPr>
                    <w:tc>
                      <w:tcPr>
                        <w:tcW w:w="5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二、年度内部控制自我评价报告披露相关情况</w:t>
                        </w:r>
                      </w:p>
                    </w:tc>
                    <w:tc>
                      <w:tcPr>
                        <w:tcW w:w="131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60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23" w:hRule="exact"/>
                    </w:trPr>
                    <w:tc>
                      <w:tcPr>
                        <w:tcW w:w="5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．公司是否根据相关规定出具年度内部控制自我评价报告</w:t>
                        </w:r>
                      </w:p>
                    </w:tc>
                    <w:tc>
                      <w:tcPr>
                        <w:tcW w:w="1317" w:type="dxa"/>
                        <w:tcBorders>
                          <w:top w:val="single" w:sz="9" w:space="0" w:color="DCDCDC"/>
                          <w:left w:val="single" w:sz="13" w:space="0" w:color="DCDCDC"/>
                          <w:bottom w:val="single" w:sz="4" w:space="0" w:color="000000"/>
                          <w:right w:val="single" w:sz="4" w:space="0" w:color="000000"/>
                        </w:tcBorders>
                      </w:tcPr>
                      <w:p>
                        <w:pPr>
                          <w:pStyle w:val="TableParagraph"/>
                          <w:spacing w:line="240" w:lineRule="auto" w:before="3"/>
                          <w:ind w:left="2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9" w:space="0" w:color="DCDCDC"/>
                          <w:left w:val="single" w:sz="4" w:space="0" w:color="000000"/>
                          <w:bottom w:val="single" w:sz="4" w:space="0" w:color="000000"/>
                          <w:right w:val="single" w:sz="4" w:space="0" w:color="000000"/>
                        </w:tcBorders>
                      </w:tcPr>
                      <w:p>
                        <w:pPr/>
                      </w:p>
                    </w:tc>
                  </w:tr>
                  <w:tr>
                    <w:trPr>
                      <w:trHeight w:val="557" w:hRule="exact"/>
                    </w:trPr>
                    <w:tc>
                      <w:tcPr>
                        <w:tcW w:w="5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3"/>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．内部控制自我评价报告结论是否为内部控制有效（如为内部控制无效， 请说明内部控制存在的重大缺陷）</w:t>
                        </w:r>
                      </w:p>
                    </w:tc>
                    <w:tc>
                      <w:tcPr>
                        <w:tcW w:w="131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．本年度是否聘请会计师事务所对内部控制有效性出具鉴证报告</w:t>
                        </w:r>
                      </w:p>
                    </w:tc>
                    <w:tc>
                      <w:tcPr>
                        <w:tcW w:w="131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
                          <w:ind w:left="2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791" w:hRule="exact"/>
                    </w:trPr>
                    <w:tc>
                      <w:tcPr>
                        <w:tcW w:w="5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22" w:right="3"/>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．会计师事务所对公司内部控制有效性是否出具无保留结论鉴证报告。如 </w:t>
                        </w:r>
                        <w:r>
                          <w:rPr>
                            <w:rFonts w:ascii="宋体" w:hAnsi="宋体" w:cs="宋体" w:eastAsia="宋体" w:hint="default"/>
                            <w:spacing w:val="-3"/>
                            <w:sz w:val="18"/>
                            <w:szCs w:val="18"/>
                          </w:rPr>
                          <w:t>出具非无保留结论鉴证报告，公司董事会、监事会是否针对鉴证结论涉及事</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z w:val="18"/>
                            <w:szCs w:val="18"/>
                          </w:rPr>
                          <w:t>项做出专项说明</w:t>
                        </w:r>
                      </w:p>
                    </w:tc>
                    <w:tc>
                      <w:tcPr>
                        <w:tcW w:w="131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．独立董事、监事会是否出具明确同意意见（如为异议意见，请说明）</w:t>
                        </w:r>
                      </w:p>
                    </w:tc>
                    <w:tc>
                      <w:tcPr>
                        <w:tcW w:w="131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left="2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．保荐机构和保荐代表人是否出具明确同意的核查意见（如适用）</w:t>
                        </w:r>
                      </w:p>
                    </w:tc>
                    <w:tc>
                      <w:tcPr>
                        <w:tcW w:w="131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left="2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9828"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三、审计委员会和内部审计部门本年度的主要工作内容与工作成效</w:t>
                        </w:r>
                      </w:p>
                    </w:tc>
                  </w:tr>
                  <w:tr>
                    <w:trPr>
                      <w:trHeight w:val="7147" w:hRule="exact"/>
                    </w:trPr>
                    <w:tc>
                      <w:tcPr>
                        <w:tcW w:w="982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、审计委员会日常工作情况</w:t>
                        </w:r>
                      </w:p>
                      <w:p>
                        <w:pPr>
                          <w:pStyle w:val="TableParagraph"/>
                          <w:spacing w:line="230" w:lineRule="auto" w:before="33"/>
                          <w:ind w:left="22" w:right="23"/>
                          <w:jc w:val="both"/>
                          <w:rPr>
                            <w:rFonts w:ascii="宋体" w:hAnsi="宋体" w:cs="宋体" w:eastAsia="宋体" w:hint="default"/>
                            <w:sz w:val="18"/>
                            <w:szCs w:val="18"/>
                          </w:rPr>
                        </w:pPr>
                        <w:r>
                          <w:rPr>
                            <w:rFonts w:ascii="宋体" w:hAnsi="宋体" w:cs="宋体" w:eastAsia="宋体" w:hint="default"/>
                            <w:sz w:val="18"/>
                            <w:szCs w:val="18"/>
                          </w:rPr>
                          <w:t>公司第四届董事会审计委员会审查了公司</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年度内部控制制度及执行情况，审核了公司所有重要的会计政策，定期了解公 司财务状况和经营情况。委员会认为公司内部控制基本体现了完整性、合理性，不存在重大缺陷，并督促公司内部审计办公 室按照内部审计制度要求继续加强公司内部审计工作。</w:t>
                        </w:r>
                      </w:p>
                      <w:p>
                        <w:pPr>
                          <w:pStyle w:val="TableParagraph"/>
                          <w:spacing w:line="240" w:lineRule="auto" w:before="39"/>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年，董事会审计委员会共召开了六次会议：</w:t>
                        </w:r>
                      </w:p>
                      <w:p>
                        <w:pPr>
                          <w:pStyle w:val="TableParagraph"/>
                          <w:spacing w:line="242" w:lineRule="exact" w:before="23"/>
                          <w:ind w:left="22" w:right="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日召开</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年第一次会议，内部审计部门向审计委员会通报公司保荐机构国海证券更换保荐代表人。由</w:t>
                        </w:r>
                      </w:p>
                      <w:p>
                        <w:pPr>
                          <w:pStyle w:val="TableParagraph"/>
                          <w:spacing w:line="234" w:lineRule="exact"/>
                          <w:ind w:left="22"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覃辉先生接任吴环宇先生的持续督导工作</w:t>
                        </w:r>
                        <w:r>
                          <w:rPr>
                            <w:rFonts w:ascii="宋体" w:hAnsi="宋体" w:cs="宋体" w:eastAsia="宋体" w:hint="default"/>
                            <w:spacing w:val="-87"/>
                            <w:sz w:val="18"/>
                            <w:szCs w:val="18"/>
                          </w:rPr>
                          <w:t>。</w:t>
                        </w:r>
                        <w:r>
                          <w:rPr>
                            <w:rFonts w:ascii="宋体" w:hAnsi="宋体" w:cs="宋体" w:eastAsia="宋体" w:hint="default"/>
                            <w:sz w:val="18"/>
                            <w:szCs w:val="18"/>
                          </w:rPr>
                          <w:t>非公开发行及持续督导的保荐代表人为李金海先生和覃辉先生</w:t>
                        </w:r>
                        <w:r>
                          <w:rPr>
                            <w:rFonts w:ascii="宋体" w:hAnsi="宋体" w:cs="宋体" w:eastAsia="宋体" w:hint="default"/>
                            <w:spacing w:val="-87"/>
                            <w:sz w:val="18"/>
                            <w:szCs w:val="18"/>
                          </w:rPr>
                          <w:t>，</w:t>
                        </w:r>
                        <w:r>
                          <w:rPr>
                            <w:rFonts w:ascii="宋体" w:hAnsi="宋体" w:cs="宋体" w:eastAsia="宋体" w:hint="default"/>
                            <w:sz w:val="18"/>
                            <w:szCs w:val="18"/>
                          </w:rPr>
                          <w:t>持续督导期至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2012</w:t>
                        </w:r>
                      </w:p>
                      <w:p>
                        <w:pPr>
                          <w:pStyle w:val="TableParagraph"/>
                          <w:spacing w:line="242" w:lineRule="exact"/>
                          <w:ind w:left="22" w:right="0"/>
                          <w:jc w:val="both"/>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日</w:t>
                        </w:r>
                        <w:r>
                          <w:rPr>
                            <w:rFonts w:ascii="宋体" w:hAnsi="宋体" w:cs="宋体" w:eastAsia="宋体" w:hint="default"/>
                            <w:sz w:val="18"/>
                            <w:szCs w:val="18"/>
                          </w:rPr>
                          <w:t>止。审议通过《</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年度内部审计工作报告》及《</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 </w:t>
                        </w:r>
                        <w:r>
                          <w:rPr>
                            <w:rFonts w:ascii="宋体" w:hAnsi="宋体" w:cs="宋体" w:eastAsia="宋体" w:hint="default"/>
                            <w:sz w:val="18"/>
                            <w:szCs w:val="18"/>
                          </w:rPr>
                          <w:t>年内部审计工作计划</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42" w:lineRule="exact" w:before="23"/>
                          <w:ind w:left="22" w:right="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pacing w:val="-18"/>
                            <w:sz w:val="18"/>
                            <w:szCs w:val="18"/>
                          </w:rPr>
                          <w:t>）</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w:t>
                        </w:r>
                        <w:r>
                          <w:rPr>
                            <w:rFonts w:ascii="宋体" w:hAnsi="宋体" w:cs="宋体" w:eastAsia="宋体" w:hint="default"/>
                            <w:spacing w:val="1"/>
                            <w:sz w:val="18"/>
                            <w:szCs w:val="18"/>
                          </w:rPr>
                          <w:t>会</w:t>
                        </w:r>
                        <w:r>
                          <w:rPr>
                            <w:rFonts w:ascii="宋体" w:hAnsi="宋体" w:cs="宋体" w:eastAsia="宋体" w:hint="default"/>
                            <w:sz w:val="18"/>
                            <w:szCs w:val="18"/>
                          </w:rPr>
                          <w:t>议</w:t>
                        </w:r>
                        <w:r>
                          <w:rPr>
                            <w:rFonts w:ascii="宋体" w:hAnsi="宋体" w:cs="宋体" w:eastAsia="宋体" w:hint="default"/>
                            <w:spacing w:val="-18"/>
                            <w:sz w:val="18"/>
                            <w:szCs w:val="18"/>
                          </w:rPr>
                          <w:t>，</w:t>
                        </w:r>
                        <w:r>
                          <w:rPr>
                            <w:rFonts w:ascii="宋体" w:hAnsi="宋体" w:cs="宋体" w:eastAsia="宋体" w:hint="default"/>
                            <w:sz w:val="18"/>
                            <w:szCs w:val="18"/>
                          </w:rPr>
                          <w:t>审议通</w:t>
                        </w:r>
                        <w:r>
                          <w:rPr>
                            <w:rFonts w:ascii="宋体" w:hAnsi="宋体" w:cs="宋体" w:eastAsia="宋体" w:hint="default"/>
                            <w:spacing w:val="-18"/>
                            <w:sz w:val="18"/>
                            <w:szCs w:val="18"/>
                          </w:rPr>
                          <w:t>过</w:t>
                        </w:r>
                        <w:r>
                          <w:rPr>
                            <w:rFonts w:ascii="宋体" w:hAnsi="宋体" w:cs="宋体" w:eastAsia="宋体" w:hint="default"/>
                            <w:spacing w:val="1"/>
                            <w:sz w:val="18"/>
                            <w:szCs w:val="18"/>
                          </w:rPr>
                          <w:t>《</w:t>
                        </w:r>
                        <w:r>
                          <w:rPr>
                            <w:rFonts w:ascii="宋体" w:hAnsi="宋体" w:cs="宋体" w:eastAsia="宋体" w:hint="default"/>
                            <w:sz w:val="18"/>
                            <w:szCs w:val="18"/>
                          </w:rPr>
                          <w:t>董事会审计委员会履职情况汇总报告</w:t>
                        </w:r>
                        <w:r>
                          <w:rPr>
                            <w:rFonts w:ascii="宋体" w:hAnsi="宋体" w:cs="宋体" w:eastAsia="宋体" w:hint="default"/>
                            <w:spacing w:val="-90"/>
                            <w:sz w:val="18"/>
                            <w:szCs w:val="18"/>
                          </w:rPr>
                          <w:t>》</w:t>
                        </w:r>
                        <w:r>
                          <w:rPr>
                            <w:rFonts w:ascii="宋体" w:hAnsi="宋体" w:cs="宋体" w:eastAsia="宋体" w:hint="default"/>
                            <w:spacing w:val="-108"/>
                            <w:sz w:val="18"/>
                            <w:szCs w:val="18"/>
                          </w:rPr>
                          <w:t>、</w:t>
                        </w:r>
                        <w:r>
                          <w:rPr>
                            <w:rFonts w:ascii="宋体" w:hAnsi="宋体" w:cs="宋体" w:eastAsia="宋体" w:hint="default"/>
                            <w:sz w:val="18"/>
                            <w:szCs w:val="18"/>
                          </w:rPr>
                          <w:t>《关于续聘立信大华会计</w:t>
                        </w:r>
                      </w:p>
                      <w:p>
                        <w:pPr>
                          <w:pStyle w:val="TableParagraph"/>
                          <w:spacing w:line="232" w:lineRule="exact" w:before="17"/>
                          <w:ind w:left="22" w:right="80"/>
                          <w:jc w:val="both"/>
                          <w:rPr>
                            <w:rFonts w:ascii="宋体" w:hAnsi="宋体" w:cs="宋体" w:eastAsia="宋体" w:hint="default"/>
                            <w:sz w:val="18"/>
                            <w:szCs w:val="18"/>
                          </w:rPr>
                        </w:pPr>
                        <w:r>
                          <w:rPr>
                            <w:rFonts w:ascii="宋体" w:hAnsi="宋体" w:cs="宋体" w:eastAsia="宋体" w:hint="default"/>
                            <w:sz w:val="18"/>
                            <w:szCs w:val="18"/>
                          </w:rPr>
                          <w:t>师事务所有限公司为公司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6"/>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年审计机构及确定支付报酬额度的议案</w:t>
                        </w:r>
                        <w:r>
                          <w:rPr>
                            <w:rFonts w:ascii="宋体" w:hAnsi="宋体" w:cs="宋体" w:eastAsia="宋体" w:hint="default"/>
                            <w:spacing w:val="-90"/>
                            <w:sz w:val="18"/>
                            <w:szCs w:val="18"/>
                          </w:rPr>
                          <w:t>》、</w:t>
                        </w:r>
                        <w:r>
                          <w:rPr>
                            <w:rFonts w:ascii="宋体" w:hAnsi="宋体" w:cs="宋体" w:eastAsia="宋体" w:hint="default"/>
                            <w:sz w:val="18"/>
                            <w:szCs w:val="18"/>
                          </w:rPr>
                          <w:t>《关于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年</w:t>
                        </w:r>
                        <w:r>
                          <w:rPr>
                            <w:rFonts w:ascii="宋体" w:hAnsi="宋体" w:cs="宋体" w:eastAsia="宋体" w:hint="default"/>
                            <w:sz w:val="18"/>
                            <w:szCs w:val="18"/>
                          </w:rPr>
                          <w:t>度内部控制的自我评价报告</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年度财务决算报告</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 </w:t>
                        </w:r>
                        <w:r>
                          <w:rPr>
                            <w:rFonts w:ascii="宋体" w:hAnsi="宋体" w:cs="宋体" w:eastAsia="宋体" w:hint="default"/>
                            <w:sz w:val="18"/>
                            <w:szCs w:val="18"/>
                          </w:rPr>
                          <w:t>年度经营计划</w:t>
                        </w:r>
                        <w:r>
                          <w:rPr>
                            <w:rFonts w:ascii="宋体" w:hAnsi="宋体" w:cs="宋体" w:eastAsia="宋体" w:hint="default"/>
                            <w:spacing w:val="-90"/>
                            <w:sz w:val="18"/>
                            <w:szCs w:val="18"/>
                          </w:rPr>
                          <w:t>》、</w:t>
                        </w:r>
                        <w:r>
                          <w:rPr>
                            <w:rFonts w:ascii="宋体" w:hAnsi="宋体" w:cs="宋体" w:eastAsia="宋体" w:hint="default"/>
                            <w:sz w:val="18"/>
                            <w:szCs w:val="18"/>
                          </w:rPr>
                          <w:t>《公司募集资金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r>
                          <w:rPr>
                            <w:rFonts w:ascii="宋体" w:hAnsi="宋体" w:cs="宋体" w:eastAsia="宋体" w:hint="default"/>
                            <w:spacing w:val="1"/>
                            <w:sz w:val="18"/>
                            <w:szCs w:val="18"/>
                          </w:rPr>
                          <w:t>使</w:t>
                        </w:r>
                        <w:r>
                          <w:rPr>
                            <w:rFonts w:ascii="宋体" w:hAnsi="宋体" w:cs="宋体" w:eastAsia="宋体" w:hint="default"/>
                            <w:sz w:val="18"/>
                            <w:szCs w:val="18"/>
                          </w:rPr>
                          <w:t>用情况报告》及《公司部分会计政策变更议案</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42" w:lineRule="exact" w:before="17"/>
                          <w:ind w:left="22" w:right="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年第三次</w:t>
                        </w:r>
                        <w:r>
                          <w:rPr>
                            <w:rFonts w:ascii="宋体" w:hAnsi="宋体" w:cs="宋体" w:eastAsia="宋体" w:hint="default"/>
                            <w:spacing w:val="1"/>
                            <w:sz w:val="18"/>
                            <w:szCs w:val="18"/>
                          </w:rPr>
                          <w:t>会</w:t>
                        </w:r>
                        <w:r>
                          <w:rPr>
                            <w:rFonts w:ascii="宋体" w:hAnsi="宋体" w:cs="宋体" w:eastAsia="宋体" w:hint="default"/>
                            <w:sz w:val="18"/>
                            <w:szCs w:val="18"/>
                          </w:rPr>
                          <w:t>议，审议通过《公司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年</w:t>
                        </w:r>
                        <w:r>
                          <w:rPr>
                            <w:rFonts w:ascii="宋体" w:hAnsi="宋体" w:cs="宋体" w:eastAsia="宋体" w:hint="default"/>
                            <w:sz w:val="18"/>
                            <w:szCs w:val="18"/>
                          </w:rPr>
                          <w:t>第一季度财务报表内部审计报告的议案</w:t>
                        </w:r>
                        <w:r>
                          <w:rPr>
                            <w:rFonts w:ascii="宋体" w:hAnsi="宋体" w:cs="宋体" w:eastAsia="宋体" w:hint="default"/>
                            <w:spacing w:val="-90"/>
                            <w:sz w:val="18"/>
                            <w:szCs w:val="18"/>
                          </w:rPr>
                          <w:t>》、</w:t>
                        </w:r>
                        <w:r>
                          <w:rPr>
                            <w:rFonts w:ascii="宋体" w:hAnsi="宋体" w:cs="宋体" w:eastAsia="宋体" w:hint="default"/>
                            <w:sz w:val="18"/>
                            <w:szCs w:val="18"/>
                          </w:rPr>
                          <w:t>《审计室</w:t>
                        </w:r>
                      </w:p>
                      <w:p>
                        <w:pPr>
                          <w:pStyle w:val="TableParagraph"/>
                          <w:spacing w:line="242" w:lineRule="exact"/>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w:t>
                        </w:r>
                        <w:r>
                          <w:rPr>
                            <w:rFonts w:ascii="宋体" w:hAnsi="宋体" w:cs="宋体" w:eastAsia="宋体" w:hint="default"/>
                            <w:spacing w:val="1"/>
                            <w:sz w:val="18"/>
                            <w:szCs w:val="18"/>
                          </w:rPr>
                          <w:t>季</w:t>
                        </w:r>
                        <w:r>
                          <w:rPr>
                            <w:rFonts w:ascii="宋体" w:hAnsi="宋体" w:cs="宋体" w:eastAsia="宋体" w:hint="default"/>
                            <w:sz w:val="18"/>
                            <w:szCs w:val="18"/>
                          </w:rPr>
                          <w:t>度工作报告</w:t>
                        </w:r>
                        <w:r>
                          <w:rPr>
                            <w:rFonts w:ascii="宋体" w:hAnsi="宋体" w:cs="宋体" w:eastAsia="宋体" w:hint="default"/>
                            <w:spacing w:val="-90"/>
                            <w:sz w:val="18"/>
                            <w:szCs w:val="18"/>
                          </w:rPr>
                          <w:t>》、</w:t>
                        </w:r>
                        <w:r>
                          <w:rPr>
                            <w:rFonts w:ascii="宋体" w:hAnsi="宋体" w:cs="宋体" w:eastAsia="宋体" w:hint="default"/>
                            <w:sz w:val="18"/>
                            <w:szCs w:val="18"/>
                          </w:rPr>
                          <w:t>《审计室</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 </w:t>
                        </w:r>
                        <w:r>
                          <w:rPr>
                            <w:rFonts w:ascii="宋体" w:hAnsi="宋体" w:cs="宋体" w:eastAsia="宋体" w:hint="default"/>
                            <w:sz w:val="18"/>
                            <w:szCs w:val="18"/>
                          </w:rPr>
                          <w:t>年第二季度工作计划</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40" w:lineRule="auto" w:before="24"/>
                          <w:ind w:left="22" w:right="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年第四次</w:t>
                        </w:r>
                        <w:r>
                          <w:rPr>
                            <w:rFonts w:ascii="宋体" w:hAnsi="宋体" w:cs="宋体" w:eastAsia="宋体" w:hint="default"/>
                            <w:spacing w:val="1"/>
                            <w:sz w:val="18"/>
                            <w:szCs w:val="18"/>
                          </w:rPr>
                          <w:t>会</w:t>
                        </w:r>
                        <w:r>
                          <w:rPr>
                            <w:rFonts w:ascii="宋体" w:hAnsi="宋体" w:cs="宋体" w:eastAsia="宋体" w:hint="default"/>
                            <w:sz w:val="18"/>
                            <w:szCs w:val="18"/>
                          </w:rPr>
                          <w:t>议，审议通过《公司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年</w:t>
                        </w:r>
                        <w:r>
                          <w:rPr>
                            <w:rFonts w:ascii="宋体" w:hAnsi="宋体" w:cs="宋体" w:eastAsia="宋体" w:hint="default"/>
                            <w:sz w:val="18"/>
                            <w:szCs w:val="18"/>
                          </w:rPr>
                          <w:t>度中期报告</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40" w:lineRule="auto" w:before="24"/>
                          <w:ind w:left="22" w:right="0"/>
                          <w:jc w:val="both"/>
                          <w:rPr>
                            <w:rFonts w:ascii="宋体" w:hAnsi="宋体" w:cs="宋体" w:eastAsia="宋体" w:hint="default"/>
                            <w:sz w:val="18"/>
                            <w:szCs w:val="18"/>
                          </w:rPr>
                        </w:pP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5</w:t>
                        </w: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日召开</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pacing w:val="-4"/>
                            <w:sz w:val="18"/>
                            <w:szCs w:val="18"/>
                          </w:rPr>
                          <w:t>年第五次会议，审议通过《上市公司内部控制规则落实情况自查表》并履行相应的审计程序</w:t>
                        </w:r>
                      </w:p>
                      <w:p>
                        <w:pPr>
                          <w:pStyle w:val="TableParagraph"/>
                          <w:spacing w:line="242" w:lineRule="exact" w:before="23"/>
                          <w:ind w:left="22"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
                            <w:sz w:val="18"/>
                            <w:szCs w:val="18"/>
                          </w:rPr>
                          <w:t>召</w:t>
                        </w:r>
                        <w:r>
                          <w:rPr>
                            <w:rFonts w:ascii="宋体" w:hAnsi="宋体" w:cs="宋体" w:eastAsia="宋体" w:hint="default"/>
                            <w:sz w:val="18"/>
                            <w:szCs w:val="18"/>
                          </w:rPr>
                          <w:t>开</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年第六</w:t>
                        </w:r>
                        <w:r>
                          <w:rPr>
                            <w:rFonts w:ascii="宋体" w:hAnsi="宋体" w:cs="宋体" w:eastAsia="宋体" w:hint="default"/>
                            <w:spacing w:val="1"/>
                            <w:sz w:val="18"/>
                            <w:szCs w:val="18"/>
                          </w:rPr>
                          <w:t>次</w:t>
                        </w:r>
                        <w:r>
                          <w:rPr>
                            <w:rFonts w:ascii="宋体" w:hAnsi="宋体" w:cs="宋体" w:eastAsia="宋体" w:hint="default"/>
                            <w:sz w:val="18"/>
                            <w:szCs w:val="18"/>
                          </w:rPr>
                          <w:t>会议，审议通过《公司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 </w:t>
                        </w:r>
                        <w:r>
                          <w:rPr>
                            <w:rFonts w:ascii="宋体" w:hAnsi="宋体" w:cs="宋体" w:eastAsia="宋体" w:hint="default"/>
                            <w:sz w:val="18"/>
                            <w:szCs w:val="18"/>
                          </w:rPr>
                          <w:t>年第三季度财务报表内部审计报告</w:t>
                        </w:r>
                        <w:r>
                          <w:rPr>
                            <w:rFonts w:ascii="宋体" w:hAnsi="宋体" w:cs="宋体" w:eastAsia="宋体" w:hint="default"/>
                            <w:spacing w:val="-90"/>
                            <w:sz w:val="18"/>
                            <w:szCs w:val="18"/>
                          </w:rPr>
                          <w:t>》、</w:t>
                        </w:r>
                        <w:r>
                          <w:rPr>
                            <w:rFonts w:ascii="宋体" w:hAnsi="宋体" w:cs="宋体" w:eastAsia="宋体" w:hint="default"/>
                            <w:sz w:val="18"/>
                            <w:szCs w:val="18"/>
                          </w:rPr>
                          <w:t>《审计室</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p>
                      <w:p>
                        <w:pPr>
                          <w:pStyle w:val="TableParagraph"/>
                          <w:spacing w:line="242" w:lineRule="exact"/>
                          <w:ind w:left="22" w:right="0"/>
                          <w:jc w:val="both"/>
                          <w:rPr>
                            <w:rFonts w:ascii="宋体" w:hAnsi="宋体" w:cs="宋体" w:eastAsia="宋体" w:hint="default"/>
                            <w:sz w:val="18"/>
                            <w:szCs w:val="18"/>
                          </w:rPr>
                        </w:pPr>
                        <w:r>
                          <w:rPr>
                            <w:rFonts w:ascii="宋体" w:hAnsi="宋体" w:cs="宋体" w:eastAsia="宋体" w:hint="default"/>
                            <w:sz w:val="18"/>
                            <w:szCs w:val="18"/>
                          </w:rPr>
                          <w:t>年第三季度工作总结报告</w:t>
                        </w:r>
                        <w:r>
                          <w:rPr>
                            <w:rFonts w:ascii="宋体" w:hAnsi="宋体" w:cs="宋体" w:eastAsia="宋体" w:hint="default"/>
                            <w:spacing w:val="-90"/>
                            <w:sz w:val="18"/>
                            <w:szCs w:val="18"/>
                          </w:rPr>
                          <w:t>》、</w:t>
                        </w:r>
                        <w:r>
                          <w:rPr>
                            <w:rFonts w:ascii="宋体" w:hAnsi="宋体" w:cs="宋体" w:eastAsia="宋体" w:hint="default"/>
                            <w:sz w:val="18"/>
                            <w:szCs w:val="18"/>
                          </w:rPr>
                          <w:t>《审计室</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 </w:t>
                        </w:r>
                        <w:r>
                          <w:rPr>
                            <w:rFonts w:ascii="宋体" w:hAnsi="宋体" w:cs="宋体" w:eastAsia="宋体" w:hint="default"/>
                            <w:sz w:val="18"/>
                            <w:szCs w:val="18"/>
                          </w:rPr>
                          <w:t>年第四季度工作计划》及《关于变更会计师事务所的议案</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40" w:lineRule="auto" w:before="24"/>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、审计委员会年报工作情况</w:t>
                        </w:r>
                      </w:p>
                      <w:p>
                        <w:pPr>
                          <w:pStyle w:val="TableParagraph"/>
                          <w:spacing w:line="232" w:lineRule="auto" w:before="30"/>
                          <w:ind w:left="22" w:right="-8"/>
                          <w:jc w:val="both"/>
                          <w:rPr>
                            <w:rFonts w:ascii="宋体" w:hAnsi="宋体" w:cs="宋体" w:eastAsia="宋体" w:hint="default"/>
                            <w:sz w:val="18"/>
                            <w:szCs w:val="18"/>
                          </w:rPr>
                        </w:pPr>
                        <w:r>
                          <w:rPr>
                            <w:rFonts w:ascii="宋体" w:hAnsi="宋体" w:cs="宋体" w:eastAsia="宋体" w:hint="default"/>
                            <w:sz w:val="18"/>
                            <w:szCs w:val="18"/>
                          </w:rPr>
                          <w:t>第四届董事会审计委员会在</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年度财务报告的审计过程中，两度到会计师事务所与公司年审会计师进行了工作沟通。审计 前认真审阅了公司年度财务报表，认为：年审前公司提供的年度财务报表系按照企业会计准则编制，未发现存在重大错误和 遗漏。并督促会计师认真、及时完成审计工作。审计委员会对审计后出具的初步审计意见的相关财务会计报表进行了审阅， 认为在所有重大方面真实、完整地反映了公司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年度资产、负债、权益和经营状况，并对会计师事务所的工作表示感谢。</w:t>
                        </w:r>
                      </w:p>
                      <w:p>
                        <w:pPr>
                          <w:pStyle w:val="TableParagraph"/>
                          <w:spacing w:line="240" w:lineRule="auto" w:before="25"/>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、审计委员会关于会计师事务所从事</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年度公司审计工作的总结报告及下年度续聘会计师事务所的意见</w:t>
                        </w:r>
                      </w:p>
                      <w:p>
                        <w:pPr>
                          <w:pStyle w:val="TableParagraph"/>
                          <w:spacing w:line="230" w:lineRule="auto" w:before="33"/>
                          <w:ind w:left="22" w:right="21" w:hanging="1"/>
                          <w:jc w:val="both"/>
                          <w:rPr>
                            <w:rFonts w:ascii="宋体" w:hAnsi="宋体" w:cs="宋体" w:eastAsia="宋体" w:hint="default"/>
                            <w:sz w:val="18"/>
                            <w:szCs w:val="18"/>
                          </w:rPr>
                        </w:pPr>
                        <w:r>
                          <w:rPr>
                            <w:rFonts w:ascii="宋体" w:hAnsi="宋体" w:cs="宋体" w:eastAsia="宋体" w:hint="default"/>
                            <w:sz w:val="18"/>
                            <w:szCs w:val="18"/>
                          </w:rPr>
                          <w:t>立信会计师事务所对本公司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7"/>
                            <w:sz w:val="18"/>
                            <w:szCs w:val="18"/>
                          </w:rPr>
                          <w:t> </w:t>
                        </w:r>
                        <w:r>
                          <w:rPr>
                            <w:rFonts w:ascii="宋体" w:hAnsi="宋体" w:cs="宋体" w:eastAsia="宋体" w:hint="default"/>
                            <w:sz w:val="18"/>
                            <w:szCs w:val="18"/>
                          </w:rPr>
                          <w:t>年度财务报表的审计工作内容主要是：对</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日的公司资产负债表，</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w:t>
                        </w:r>
                        <w:r>
                          <w:rPr>
                            <w:rFonts w:ascii="宋体" w:hAnsi="宋体" w:cs="宋体" w:eastAsia="宋体" w:hint="default"/>
                            <w:spacing w:val="1"/>
                            <w:sz w:val="18"/>
                            <w:szCs w:val="18"/>
                          </w:rPr>
                          <w:t> </w:t>
                        </w:r>
                        <w:r>
                          <w:rPr>
                            <w:rFonts w:ascii="宋体" w:hAnsi="宋体" w:cs="宋体" w:eastAsia="宋体" w:hint="default"/>
                            <w:sz w:val="18"/>
                            <w:szCs w:val="18"/>
                          </w:rPr>
                          <w:t>的公司利润表、公司股东权益变动表和公司现金流量表以及财务报表附注进行审计并发表审计意见，对募集资金的使用情况</w:t>
                        </w:r>
                        <w:r>
                          <w:rPr>
                            <w:rFonts w:ascii="宋体" w:hAnsi="宋体" w:cs="宋体" w:eastAsia="宋体" w:hint="default"/>
                            <w:sz w:val="18"/>
                            <w:szCs w:val="18"/>
                          </w:rPr>
                          <w:t> 进行专项审核并发表审核意见，对控股股东及其他关联方占用公司资金情况出具专项说明。</w:t>
                        </w:r>
                      </w:p>
                      <w:p>
                        <w:pPr>
                          <w:pStyle w:val="TableParagraph"/>
                          <w:spacing w:line="232" w:lineRule="exact" w:before="63"/>
                          <w:ind w:left="22" w:right="73"/>
                          <w:jc w:val="both"/>
                          <w:rPr>
                            <w:rFonts w:ascii="宋体" w:hAnsi="宋体" w:cs="宋体" w:eastAsia="宋体" w:hint="default"/>
                            <w:sz w:val="18"/>
                            <w:szCs w:val="18"/>
                          </w:rPr>
                        </w:pPr>
                        <w:r>
                          <w:rPr>
                            <w:rFonts w:ascii="宋体" w:hAnsi="宋体" w:cs="宋体" w:eastAsia="宋体" w:hint="default"/>
                            <w:sz w:val="18"/>
                            <w:szCs w:val="18"/>
                          </w:rPr>
                          <w:t>审计过程中，审计小组与公司董事、独立董事和高管层进行了必要的沟通。审计小组认真、独立地完成了所有审计程序，取 得了充分适当的审计证据，向审计委员会提交了无保留意见的审计报告。</w:t>
                        </w:r>
                      </w:p>
                    </w:tc>
                  </w:tr>
                </w:tbl>
                <w:p>
                  <w:pPr/>
                </w:p>
              </w:txbxContent>
            </v:textbox>
            <w10:wrap type="none"/>
          </v:shape>
        </w:pict>
      </w:r>
    </w:p>
    <w:p>
      <w:pPr>
        <w:spacing w:line="240" w:lineRule="auto" w:before="8"/>
        <w:rPr>
          <w:rFonts w:ascii="宋体" w:hAnsi="宋体" w:cs="宋体" w:eastAsia="宋体" w:hint="default"/>
          <w:sz w:val="19"/>
          <w:szCs w:val="19"/>
        </w:rPr>
      </w:pPr>
    </w:p>
    <w:p>
      <w:pPr>
        <w:pStyle w:val="Heading2"/>
        <w:spacing w:line="240" w:lineRule="auto" w:before="26"/>
        <w:ind w:left="730" w:right="0"/>
        <w:jc w:val="left"/>
        <w:rPr>
          <w:b w:val="0"/>
          <w:bCs w:val="0"/>
        </w:rPr>
      </w:pPr>
      <w:bookmarkStart w:name="_TOC_250006" w:id="9"/>
      <w:r>
        <w:rPr/>
        <w:t>六、公司内部审计制度的建立和执行情况</w:t>
      </w:r>
      <w:bookmarkEnd w:id="9"/>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spacing w:before="0"/>
        <w:ind w:left="0" w:right="114" w:firstLine="0"/>
        <w:jc w:val="right"/>
        <w:rPr>
          <w:rFonts w:ascii="宋体" w:hAnsi="宋体" w:cs="宋体" w:eastAsia="宋体" w:hint="default"/>
          <w:sz w:val="18"/>
          <w:szCs w:val="18"/>
        </w:rPr>
      </w:pP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470" w:footer="1266" w:top="900" w:bottom="1460" w:left="1160" w:right="48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tbl>
      <w:tblPr>
        <w:tblW w:w="0" w:type="auto"/>
        <w:jc w:val="left"/>
        <w:tblInd w:w="253" w:type="dxa"/>
        <w:tblLayout w:type="fixed"/>
        <w:tblCellMar>
          <w:top w:w="0" w:type="dxa"/>
          <w:left w:w="0" w:type="dxa"/>
          <w:bottom w:w="0" w:type="dxa"/>
          <w:right w:w="0" w:type="dxa"/>
        </w:tblCellMar>
        <w:tblLook w:val="01E0"/>
      </w:tblPr>
      <w:tblGrid>
        <w:gridCol w:w="9828"/>
      </w:tblGrid>
      <w:tr>
        <w:trPr>
          <w:trHeight w:val="1957" w:hRule="exact"/>
        </w:trPr>
        <w:tc>
          <w:tcPr>
            <w:tcW w:w="98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2" w:right="0"/>
              <w:jc w:val="both"/>
              <w:rPr>
                <w:rFonts w:ascii="宋体" w:hAnsi="宋体" w:cs="宋体" w:eastAsia="宋体" w:hint="default"/>
                <w:sz w:val="18"/>
                <w:szCs w:val="18"/>
              </w:rPr>
            </w:pPr>
            <w:r>
              <w:rPr>
                <w:rFonts w:ascii="宋体" w:hAnsi="宋体" w:cs="宋体" w:eastAsia="宋体" w:hint="default"/>
                <w:sz w:val="18"/>
                <w:szCs w:val="18"/>
              </w:rPr>
              <w:t>在本次审计工作中，立信会计师事务所及审计成员始终保持了形式上和实质上的双重独立，遵守会计师职业道德基本原则。</w:t>
            </w:r>
          </w:p>
          <w:p>
            <w:pPr>
              <w:pStyle w:val="TableParagraph"/>
              <w:spacing w:line="237" w:lineRule="auto" w:before="1"/>
              <w:ind w:left="22" w:right="73"/>
              <w:jc w:val="both"/>
              <w:rPr>
                <w:rFonts w:ascii="宋体" w:hAnsi="宋体" w:cs="宋体" w:eastAsia="宋体" w:hint="default"/>
                <w:sz w:val="18"/>
                <w:szCs w:val="18"/>
              </w:rPr>
            </w:pPr>
            <w:r>
              <w:rPr>
                <w:rFonts w:ascii="宋体" w:hAnsi="宋体" w:cs="宋体" w:eastAsia="宋体" w:hint="default"/>
                <w:sz w:val="18"/>
                <w:szCs w:val="18"/>
              </w:rPr>
              <w:t>审计小组组成人员具有承办本次审计业务所必需的专业知识和职业资格，圆满完成本次审计工作。审计小组在本年度审计中 按照中国注册会计师审计准则的要求执行了恰当的审计程序，为发表审计意见获取了充分、适当的审计证据。事务所对财务 报表发表的无保留审计意见是在获取充分、适当的审计证据的基础上做出的，经审计后的公司年度报告及其审计报告公允的 反映了公司资产、负债、权益和经营状况。</w:t>
            </w:r>
          </w:p>
          <w:p>
            <w:pPr>
              <w:pStyle w:val="TableParagraph"/>
              <w:spacing w:line="225" w:lineRule="auto" w:before="51"/>
              <w:ind w:left="22" w:right="23"/>
              <w:jc w:val="both"/>
              <w:rPr>
                <w:rFonts w:ascii="宋体" w:hAnsi="宋体" w:cs="宋体" w:eastAsia="宋体" w:hint="default"/>
                <w:sz w:val="18"/>
                <w:szCs w:val="18"/>
              </w:rPr>
            </w:pPr>
            <w:r>
              <w:rPr>
                <w:rFonts w:ascii="宋体" w:hAnsi="宋体" w:cs="宋体" w:eastAsia="宋体" w:hint="default"/>
                <w:sz w:val="18"/>
                <w:szCs w:val="18"/>
              </w:rPr>
              <w:t>审计委员会建议公司继续聘任立信会计师事务所为公司</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年度财务会计审计机构。年审工作结束后，公司审计委员会总结 了</w:t>
            </w:r>
            <w:r>
              <w:rPr>
                <w:rFonts w:ascii="宋体" w:hAnsi="宋体" w:cs="宋体" w:eastAsia="宋体" w:hint="default"/>
                <w:spacing w:val="-39"/>
                <w:sz w:val="18"/>
                <w:szCs w:val="18"/>
              </w:rPr>
              <w:t> </w:t>
            </w:r>
            <w:r>
              <w:rPr>
                <w:rFonts w:ascii="Times New Roman" w:hAnsi="Times New Roman" w:cs="Times New Roman" w:eastAsia="Times New Roman" w:hint="default"/>
                <w:spacing w:val="-2"/>
                <w:sz w:val="18"/>
                <w:szCs w:val="18"/>
              </w:rPr>
              <w:t>2011</w:t>
            </w:r>
            <w:r>
              <w:rPr>
                <w:rFonts w:ascii="Times New Roman" w:hAnsi="Times New Roman" w:cs="Times New Roman" w:eastAsia="Times New Roman" w:hint="default"/>
                <w:spacing w:val="6"/>
                <w:sz w:val="18"/>
                <w:szCs w:val="18"/>
              </w:rPr>
              <w:t> </w:t>
            </w:r>
            <w:r>
              <w:rPr>
                <w:rFonts w:ascii="宋体" w:hAnsi="宋体" w:cs="宋体" w:eastAsia="宋体" w:hint="default"/>
                <w:spacing w:val="-1"/>
                <w:sz w:val="18"/>
                <w:szCs w:val="18"/>
              </w:rPr>
              <w:t>年年报审计工作，一致通过《</w:t>
            </w:r>
            <w:r>
              <w:rPr>
                <w:rFonts w:ascii="Times New Roman" w:hAnsi="Times New Roman" w:cs="Times New Roman" w:eastAsia="Times New Roman" w:hint="default"/>
                <w:spacing w:val="-1"/>
                <w:sz w:val="18"/>
                <w:szCs w:val="18"/>
              </w:rPr>
              <w:t>2011</w:t>
            </w:r>
            <w:r>
              <w:rPr>
                <w:rFonts w:ascii="Times New Roman" w:hAnsi="Times New Roman" w:cs="Times New Roman" w:eastAsia="Times New Roman" w:hint="default"/>
                <w:spacing w:val="7"/>
                <w:sz w:val="18"/>
                <w:szCs w:val="18"/>
              </w:rPr>
              <w:t> </w:t>
            </w:r>
            <w:r>
              <w:rPr>
                <w:rFonts w:ascii="宋体" w:hAnsi="宋体" w:cs="宋体" w:eastAsia="宋体" w:hint="default"/>
                <w:spacing w:val="-3"/>
                <w:sz w:val="18"/>
                <w:szCs w:val="18"/>
              </w:rPr>
              <w:t>年度财务决算报告》及《关于续聘会计师事务所并支付报酬的议案》，并同意提交</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公司第四届董事会第三次会议审议。</w:t>
            </w:r>
          </w:p>
        </w:tc>
      </w:tr>
      <w:tr>
        <w:trPr>
          <w:trHeight w:val="323" w:hRule="exact"/>
        </w:trPr>
        <w:tc>
          <w:tcPr>
            <w:tcW w:w="98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四、公司认为需要说明的其他情况（如有）</w:t>
            </w:r>
          </w:p>
        </w:tc>
      </w:tr>
      <w:tr>
        <w:trPr>
          <w:trHeight w:val="324" w:hRule="exact"/>
        </w:trPr>
        <w:tc>
          <w:tcPr>
            <w:tcW w:w="9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spacing w:line="290" w:lineRule="auto" w:before="26"/>
        <w:ind w:left="258" w:right="1043" w:firstLine="471"/>
        <w:jc w:val="left"/>
        <w:rPr>
          <w:rFonts w:ascii="宋体" w:hAnsi="宋体" w:cs="宋体" w:eastAsia="宋体" w:hint="default"/>
          <w:sz w:val="24"/>
          <w:szCs w:val="24"/>
        </w:rPr>
      </w:pPr>
      <w:r>
        <w:rPr>
          <w:rFonts w:ascii="宋体" w:hAnsi="宋体" w:cs="宋体" w:eastAsia="宋体" w:hint="default"/>
          <w:b/>
          <w:bCs/>
          <w:w w:val="95"/>
          <w:sz w:val="24"/>
          <w:szCs w:val="24"/>
        </w:rPr>
        <w:t>七、</w:t>
      </w:r>
      <w:r>
        <w:rPr>
          <w:rFonts w:ascii="Times New Roman" w:hAnsi="Times New Roman" w:cs="Times New Roman" w:eastAsia="Times New Roman" w:hint="default"/>
          <w:b/>
          <w:bCs/>
          <w:w w:val="95"/>
          <w:sz w:val="24"/>
          <w:szCs w:val="24"/>
        </w:rPr>
        <w:t>2011</w:t>
      </w:r>
      <w:r>
        <w:rPr>
          <w:rFonts w:ascii="宋体" w:hAnsi="宋体" w:cs="宋体" w:eastAsia="宋体" w:hint="default"/>
          <w:b/>
          <w:bCs/>
          <w:w w:val="95"/>
          <w:sz w:val="24"/>
          <w:szCs w:val="24"/>
        </w:rPr>
        <w:t>年度，公司不存在向大股东、实际控制人提供未公开信息等公司治理非</w:t>
      </w:r>
      <w:r>
        <w:rPr>
          <w:rFonts w:ascii="宋体" w:hAnsi="宋体" w:cs="宋体" w:eastAsia="宋体" w:hint="default"/>
          <w:b/>
          <w:bCs/>
          <w:spacing w:val="1"/>
          <w:w w:val="99"/>
          <w:sz w:val="24"/>
          <w:szCs w:val="24"/>
        </w:rPr>
        <w:t> </w:t>
      </w:r>
      <w:r>
        <w:rPr>
          <w:rFonts w:ascii="宋体" w:hAnsi="宋体" w:cs="宋体" w:eastAsia="宋体" w:hint="default"/>
          <w:b/>
          <w:bCs/>
          <w:sz w:val="24"/>
          <w:szCs w:val="24"/>
        </w:rPr>
        <w:t>规范情况。</w:t>
      </w:r>
      <w:r>
        <w:rPr>
          <w:rFonts w:ascii="宋体" w:hAnsi="宋体" w:cs="宋体" w:eastAsia="宋体" w:hint="default"/>
          <w:sz w:val="24"/>
          <w:szCs w:val="24"/>
        </w:rPr>
      </w:r>
    </w:p>
    <w:p>
      <w:pPr>
        <w:spacing w:after="0" w:line="290" w:lineRule="auto"/>
        <w:jc w:val="left"/>
        <w:rPr>
          <w:rFonts w:ascii="宋体" w:hAnsi="宋体" w:cs="宋体" w:eastAsia="宋体" w:hint="default"/>
          <w:sz w:val="24"/>
          <w:szCs w:val="24"/>
        </w:rPr>
        <w:sectPr>
          <w:pgSz w:w="11910" w:h="16840"/>
          <w:pgMar w:header="470" w:footer="1266" w:top="900" w:bottom="1460" w:left="1160" w:right="540"/>
        </w:sect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4"/>
          <w:szCs w:val="14"/>
        </w:rPr>
      </w:pPr>
    </w:p>
    <w:p>
      <w:pPr>
        <w:pStyle w:val="Heading1"/>
        <w:tabs>
          <w:tab w:pos="4067" w:val="left" w:leader="none"/>
        </w:tabs>
        <w:spacing w:line="240" w:lineRule="auto"/>
        <w:ind w:left="2782" w:right="0"/>
        <w:jc w:val="left"/>
        <w:rPr>
          <w:b w:val="0"/>
          <w:bCs w:val="0"/>
        </w:rPr>
      </w:pPr>
      <w:bookmarkStart w:name="_TOC_250005" w:id="10"/>
      <w:r>
        <w:rPr>
          <w:w w:val="95"/>
        </w:rPr>
        <w:t>第六节</w:t>
        <w:tab/>
      </w:r>
      <w:r>
        <w:rPr/>
        <w:t>股东大会情况简介</w:t>
      </w:r>
      <w:bookmarkEnd w:id="10"/>
      <w:r>
        <w:rPr>
          <w:b w:val="0"/>
          <w:bCs w:val="0"/>
        </w:rPr>
      </w:r>
    </w:p>
    <w:p>
      <w:pPr>
        <w:spacing w:line="240" w:lineRule="auto" w:before="0"/>
        <w:rPr>
          <w:rFonts w:ascii="宋体" w:hAnsi="宋体" w:cs="宋体" w:eastAsia="宋体" w:hint="default"/>
          <w:b/>
          <w:bCs/>
          <w:sz w:val="32"/>
          <w:szCs w:val="32"/>
        </w:rPr>
      </w:pPr>
    </w:p>
    <w:p>
      <w:pPr>
        <w:pStyle w:val="BodyText"/>
        <w:spacing w:line="288" w:lineRule="auto" w:before="229"/>
        <w:ind w:right="182" w:firstLine="480"/>
        <w:jc w:val="both"/>
      </w:pPr>
      <w:r>
        <w:rPr/>
        <w:t>报告期内，公司共召开了三次股东大会： </w:t>
      </w:r>
      <w:r>
        <w:rPr>
          <w:rFonts w:ascii="Times New Roman" w:hAnsi="Times New Roman" w:cs="Times New Roman" w:eastAsia="Times New Roman" w:hint="default"/>
          <w:spacing w:val="-3"/>
        </w:rPr>
        <w:t>2011 </w:t>
      </w:r>
      <w:r>
        <w:rPr/>
        <w:t>年第一次临时股东大会、</w:t>
      </w:r>
      <w:r>
        <w:rPr>
          <w:rFonts w:ascii="Times New Roman" w:hAnsi="Times New Roman" w:cs="Times New Roman" w:eastAsia="Times New Roman" w:hint="default"/>
        </w:rPr>
        <w:t>2010</w:t>
      </w:r>
      <w:r>
        <w:rPr>
          <w:rFonts w:ascii="Times New Roman" w:hAnsi="Times New Roman" w:cs="Times New Roman" w:eastAsia="Times New Roman" w:hint="default"/>
          <w:spacing w:val="-20"/>
        </w:rPr>
        <w:t> </w:t>
      </w:r>
      <w:r>
        <w:rPr/>
        <w:t>年 年度股东大会、</w:t>
      </w:r>
      <w:r>
        <w:rPr>
          <w:rFonts w:ascii="Times New Roman" w:hAnsi="Times New Roman" w:cs="Times New Roman" w:eastAsia="Times New Roman" w:hint="default"/>
        </w:rPr>
        <w:t>2011</w:t>
      </w:r>
      <w:r>
        <w:rPr/>
        <w:t>年第二次临时股东大会。会议的召集、召开与表决程序符合《公 </w:t>
      </w:r>
      <w:r>
        <w:rPr>
          <w:spacing w:val="-10"/>
        </w:rPr>
        <w:t>司法》、《公司章程》等法律、法规及规范性文件的规定。</w:t>
      </w:r>
    </w:p>
    <w:p>
      <w:pPr>
        <w:pStyle w:val="BodyText"/>
        <w:spacing w:line="240" w:lineRule="auto" w:before="37"/>
        <w:ind w:left="738" w:right="0"/>
        <w:jc w:val="left"/>
      </w:pPr>
      <w:r>
        <w:rPr/>
        <w:t>股东大会的有关情况如下：</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187" w:type="dxa"/>
        <w:tblLayout w:type="fixed"/>
        <w:tblCellMar>
          <w:top w:w="0" w:type="dxa"/>
          <w:left w:w="0" w:type="dxa"/>
          <w:bottom w:w="0" w:type="dxa"/>
          <w:right w:w="0" w:type="dxa"/>
        </w:tblCellMar>
        <w:tblLook w:val="01E0"/>
      </w:tblPr>
      <w:tblGrid>
        <w:gridCol w:w="2760"/>
        <w:gridCol w:w="2192"/>
        <w:gridCol w:w="1784"/>
        <w:gridCol w:w="2296"/>
      </w:tblGrid>
      <w:tr>
        <w:trPr>
          <w:trHeight w:val="410" w:hRule="exact"/>
        </w:trPr>
        <w:tc>
          <w:tcPr>
            <w:tcW w:w="27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left="895" w:right="0"/>
              <w:jc w:val="left"/>
              <w:rPr>
                <w:rFonts w:ascii="宋体" w:hAnsi="宋体" w:cs="宋体" w:eastAsia="宋体" w:hint="default"/>
                <w:sz w:val="24"/>
                <w:szCs w:val="24"/>
              </w:rPr>
            </w:pPr>
            <w:r>
              <w:rPr>
                <w:rFonts w:ascii="宋体" w:hAnsi="宋体" w:cs="宋体" w:eastAsia="宋体" w:hint="default"/>
                <w:sz w:val="24"/>
                <w:szCs w:val="24"/>
              </w:rPr>
              <w:t>会议届次</w:t>
            </w:r>
          </w:p>
        </w:tc>
        <w:tc>
          <w:tcPr>
            <w:tcW w:w="2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right="1"/>
              <w:jc w:val="center"/>
              <w:rPr>
                <w:rFonts w:ascii="宋体" w:hAnsi="宋体" w:cs="宋体" w:eastAsia="宋体" w:hint="default"/>
                <w:sz w:val="24"/>
                <w:szCs w:val="24"/>
              </w:rPr>
            </w:pPr>
            <w:r>
              <w:rPr>
                <w:rFonts w:ascii="宋体" w:hAnsi="宋体" w:cs="宋体" w:eastAsia="宋体" w:hint="default"/>
                <w:sz w:val="24"/>
                <w:szCs w:val="24"/>
              </w:rPr>
              <w:t>召开时间</w:t>
            </w:r>
          </w:p>
        </w:tc>
        <w:tc>
          <w:tcPr>
            <w:tcW w:w="1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left="165" w:right="0"/>
              <w:jc w:val="left"/>
              <w:rPr>
                <w:rFonts w:ascii="宋体" w:hAnsi="宋体" w:cs="宋体" w:eastAsia="宋体" w:hint="default"/>
                <w:sz w:val="24"/>
                <w:szCs w:val="24"/>
              </w:rPr>
            </w:pPr>
            <w:r>
              <w:rPr>
                <w:rFonts w:ascii="宋体" w:hAnsi="宋体" w:cs="宋体" w:eastAsia="宋体" w:hint="default"/>
                <w:sz w:val="24"/>
                <w:szCs w:val="24"/>
              </w:rPr>
              <w:t>信息披露报纸</w:t>
            </w:r>
          </w:p>
        </w:tc>
        <w:tc>
          <w:tcPr>
            <w:tcW w:w="2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right="1"/>
              <w:jc w:val="center"/>
              <w:rPr>
                <w:rFonts w:ascii="宋体" w:hAnsi="宋体" w:cs="宋体" w:eastAsia="宋体" w:hint="default"/>
                <w:sz w:val="24"/>
                <w:szCs w:val="24"/>
              </w:rPr>
            </w:pPr>
            <w:r>
              <w:rPr>
                <w:rFonts w:ascii="宋体" w:hAnsi="宋体" w:cs="宋体" w:eastAsia="宋体" w:hint="default"/>
                <w:sz w:val="24"/>
                <w:szCs w:val="24"/>
              </w:rPr>
              <w:t>披露日期</w:t>
            </w:r>
          </w:p>
        </w:tc>
      </w:tr>
      <w:tr>
        <w:trPr>
          <w:trHeight w:val="323" w:hRule="exact"/>
        </w:trPr>
        <w:tc>
          <w:tcPr>
            <w:tcW w:w="2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年第一次临时股东大会</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784" w:type="dxa"/>
            <w:vMerge w:val="restart"/>
            <w:tcBorders>
              <w:top w:val="single" w:sz="4" w:space="0" w:color="000000"/>
              <w:left w:val="single" w:sz="4" w:space="0" w:color="000000"/>
              <w:right w:val="single" w:sz="4" w:space="0" w:color="000000"/>
            </w:tcBorders>
          </w:tcPr>
          <w:p>
            <w:pPr>
              <w:pStyle w:val="TableParagraph"/>
              <w:spacing w:line="304" w:lineRule="auto" w:before="120"/>
              <w:ind w:left="525" w:right="102" w:hanging="424"/>
              <w:jc w:val="left"/>
              <w:rPr>
                <w:rFonts w:ascii="宋体" w:hAnsi="宋体" w:cs="宋体" w:eastAsia="宋体" w:hint="default"/>
                <w:sz w:val="24"/>
                <w:szCs w:val="24"/>
              </w:rPr>
            </w:pPr>
            <w:r>
              <w:rPr>
                <w:rFonts w:ascii="宋体" w:hAnsi="宋体" w:cs="宋体" w:eastAsia="宋体" w:hint="default"/>
                <w:spacing w:val="-16"/>
                <w:sz w:val="24"/>
                <w:szCs w:val="24"/>
              </w:rPr>
              <w:t>证券时报、中国</w:t>
            </w:r>
            <w:r>
              <w:rPr>
                <w:rFonts w:ascii="宋体" w:hAnsi="宋体" w:cs="宋体" w:eastAsia="宋体" w:hint="default"/>
                <w:sz w:val="24"/>
                <w:szCs w:val="24"/>
              </w:rPr>
              <w:t> 证券报</w:t>
            </w:r>
          </w:p>
        </w:tc>
        <w:tc>
          <w:tcPr>
            <w:tcW w:w="2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r>
      <w:tr>
        <w:trPr>
          <w:trHeight w:val="324" w:hRule="exact"/>
        </w:trPr>
        <w:tc>
          <w:tcPr>
            <w:tcW w:w="2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年年度股东大会</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784" w:type="dxa"/>
            <w:vMerge/>
            <w:tcBorders>
              <w:left w:val="single" w:sz="4" w:space="0" w:color="000000"/>
              <w:right w:val="single" w:sz="4" w:space="0" w:color="000000"/>
            </w:tcBorders>
          </w:tcPr>
          <w:p>
            <w:pPr/>
          </w:p>
        </w:tc>
        <w:tc>
          <w:tcPr>
            <w:tcW w:w="2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r>
      <w:tr>
        <w:trPr>
          <w:trHeight w:val="324" w:hRule="exact"/>
        </w:trPr>
        <w:tc>
          <w:tcPr>
            <w:tcW w:w="2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第二次临时股东大会</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784" w:type="dxa"/>
            <w:vMerge/>
            <w:tcBorders>
              <w:left w:val="single" w:sz="4" w:space="0" w:color="000000"/>
              <w:bottom w:val="single" w:sz="4" w:space="0" w:color="000000"/>
              <w:right w:val="single" w:sz="4" w:space="0" w:color="000000"/>
            </w:tcBorders>
          </w:tcPr>
          <w:p>
            <w:pPr/>
          </w:p>
        </w:tc>
        <w:tc>
          <w:tcPr>
            <w:tcW w:w="2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r>
    </w:tbl>
    <w:p>
      <w:pPr>
        <w:spacing w:after="0" w:line="240" w:lineRule="auto"/>
        <w:jc w:val="center"/>
        <w:rPr>
          <w:rFonts w:ascii="宋体" w:hAnsi="宋体" w:cs="宋体" w:eastAsia="宋体" w:hint="default"/>
          <w:sz w:val="18"/>
          <w:szCs w:val="18"/>
        </w:rPr>
        <w:sectPr>
          <w:pgSz w:w="11910" w:h="16840"/>
          <w:pgMar w:header="470" w:footer="1266" w:top="900" w:bottom="1460" w:left="1160" w:right="140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Heading1"/>
        <w:tabs>
          <w:tab w:pos="4226" w:val="left" w:leader="none"/>
        </w:tabs>
        <w:spacing w:line="240" w:lineRule="auto"/>
        <w:ind w:left="2941" w:right="0"/>
        <w:jc w:val="left"/>
        <w:rPr>
          <w:b w:val="0"/>
          <w:bCs w:val="0"/>
        </w:rPr>
      </w:pPr>
      <w:bookmarkStart w:name="_TOC_250004" w:id="11"/>
      <w:r>
        <w:rPr>
          <w:w w:val="95"/>
        </w:rPr>
        <w:t>第七节</w:t>
        <w:tab/>
      </w:r>
      <w:r>
        <w:rPr/>
        <w:t>董事会工作报告</w:t>
      </w:r>
      <w:bookmarkEnd w:id="11"/>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4"/>
          <w:szCs w:val="14"/>
        </w:rPr>
      </w:pPr>
    </w:p>
    <w:p>
      <w:pPr>
        <w:spacing w:before="26"/>
        <w:ind w:left="740" w:right="0" w:firstLine="0"/>
        <w:jc w:val="left"/>
        <w:rPr>
          <w:rFonts w:ascii="宋体" w:hAnsi="宋体" w:cs="宋体" w:eastAsia="宋体" w:hint="default"/>
          <w:sz w:val="24"/>
          <w:szCs w:val="24"/>
        </w:rPr>
      </w:pPr>
      <w:r>
        <w:rPr>
          <w:rFonts w:ascii="宋体" w:hAnsi="宋体" w:cs="宋体" w:eastAsia="宋体" w:hint="default"/>
          <w:b/>
          <w:bCs/>
          <w:sz w:val="24"/>
          <w:szCs w:val="24"/>
        </w:rPr>
        <w:t>一、公司经营情况</w:t>
      </w:r>
      <w:r>
        <w:rPr>
          <w:rFonts w:ascii="宋体" w:hAnsi="宋体" w:cs="宋体" w:eastAsia="宋体" w:hint="default"/>
          <w:sz w:val="24"/>
          <w:szCs w:val="24"/>
        </w:rPr>
      </w:r>
    </w:p>
    <w:p>
      <w:pPr>
        <w:spacing w:before="193"/>
        <w:ind w:left="740" w:right="0"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Times New Roman" w:hAnsi="Times New Roman" w:cs="Times New Roman" w:eastAsia="Times New Roman" w:hint="default"/>
          <w:b/>
          <w:bCs/>
          <w:sz w:val="24"/>
          <w:szCs w:val="24"/>
        </w:rPr>
        <w:t>2011</w:t>
      </w:r>
      <w:r>
        <w:rPr>
          <w:rFonts w:ascii="Times New Roman" w:hAnsi="Times New Roman" w:cs="Times New Roman" w:eastAsia="Times New Roman" w:hint="default"/>
          <w:b/>
          <w:bCs/>
          <w:spacing w:val="-25"/>
          <w:sz w:val="24"/>
          <w:szCs w:val="24"/>
        </w:rPr>
        <w:t> </w:t>
      </w:r>
      <w:r>
        <w:rPr>
          <w:rFonts w:ascii="宋体" w:hAnsi="宋体" w:cs="宋体" w:eastAsia="宋体" w:hint="default"/>
          <w:b/>
          <w:bCs/>
          <w:sz w:val="24"/>
          <w:szCs w:val="24"/>
        </w:rPr>
        <w:t>年度公司经营情况回顾</w:t>
      </w:r>
      <w:r>
        <w:rPr>
          <w:rFonts w:ascii="宋体" w:hAnsi="宋体" w:cs="宋体" w:eastAsia="宋体" w:hint="default"/>
          <w:sz w:val="24"/>
          <w:szCs w:val="24"/>
        </w:rPr>
      </w:r>
    </w:p>
    <w:p>
      <w:pPr>
        <w:spacing w:line="240" w:lineRule="auto" w:before="7"/>
        <w:rPr>
          <w:rFonts w:ascii="宋体" w:hAnsi="宋体" w:cs="宋体" w:eastAsia="宋体" w:hint="default"/>
          <w:b/>
          <w:bCs/>
          <w:sz w:val="25"/>
          <w:szCs w:val="25"/>
        </w:rPr>
      </w:pPr>
    </w:p>
    <w:p>
      <w:pPr>
        <w:spacing w:before="0"/>
        <w:ind w:left="740" w:right="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．公司总体经营情况</w:t>
      </w:r>
      <w:r>
        <w:rPr>
          <w:rFonts w:ascii="宋体" w:hAnsi="宋体" w:cs="宋体" w:eastAsia="宋体" w:hint="default"/>
          <w:sz w:val="24"/>
          <w:szCs w:val="24"/>
        </w:rPr>
      </w:r>
    </w:p>
    <w:p>
      <w:pPr>
        <w:pStyle w:val="BodyText"/>
        <w:spacing w:line="297" w:lineRule="auto" w:before="98"/>
        <w:ind w:right="138" w:firstLine="480"/>
        <w:jc w:val="both"/>
      </w:pPr>
      <w:r>
        <w:rPr>
          <w:rFonts w:ascii="Times New Roman" w:hAnsi="Times New Roman" w:cs="Times New Roman" w:eastAsia="Times New Roman" w:hint="default"/>
        </w:rPr>
        <w:t>2011</w:t>
      </w:r>
      <w:r>
        <w:rPr/>
        <w:t>年度，公司按照董事会批准的年度方针及经营计划，继续推动技术创新和新</w:t>
      </w:r>
      <w:r>
        <w:rPr>
          <w:spacing w:val="1"/>
        </w:rPr>
        <w:t> </w:t>
      </w:r>
      <w:r>
        <w:rPr/>
        <w:t>产品开发，来自电力行业的营业收入保持稳定增长，真空开关设备和管状母线等新产</w:t>
      </w:r>
      <w:r>
        <w:rPr>
          <w:spacing w:val="-117"/>
        </w:rPr>
        <w:t> </w:t>
      </w:r>
      <w:r>
        <w:rPr>
          <w:spacing w:val="-117"/>
        </w:rPr>
      </w:r>
      <w:r>
        <w:rPr/>
        <w:t>品取得了市场广泛认可，开始逐步产生效益。</w:t>
      </w:r>
    </w:p>
    <w:p>
      <w:pPr>
        <w:pStyle w:val="BodyText"/>
        <w:spacing w:line="304" w:lineRule="auto" w:before="67"/>
        <w:ind w:right="140" w:firstLine="480"/>
        <w:jc w:val="both"/>
      </w:pPr>
      <w:r>
        <w:rPr/>
        <w:t>公司新材料业务全面迈上新台阶，取得了显著成绩，在聚酰亚胺纤维、树脂、泡 沫以及纳米纤维等各个领域均取得了关键性的重大突破，工业化生产路线得到验证和</w:t>
      </w:r>
      <w:r>
        <w:rPr>
          <w:spacing w:val="-117"/>
        </w:rPr>
        <w:t> </w:t>
      </w:r>
      <w:r>
        <w:rPr>
          <w:spacing w:val="-117"/>
        </w:rPr>
      </w:r>
      <w:r>
        <w:rPr/>
        <w:t>确认。公司以纳米纤维为代表的多项技术成果，大多数都是基础性、原创性技术，均</w:t>
      </w:r>
      <w:r>
        <w:rPr>
          <w:spacing w:val="-117"/>
        </w:rPr>
        <w:t> </w:t>
      </w:r>
      <w:r>
        <w:rPr>
          <w:spacing w:val="-117"/>
        </w:rPr>
      </w:r>
      <w:r>
        <w:rPr/>
        <w:t>处于国内领先水平，其中相当部分为世界首创，属于战略性新兴产业加快培育和发展</w:t>
      </w:r>
      <w:r>
        <w:rPr>
          <w:spacing w:val="-117"/>
        </w:rPr>
        <w:t> </w:t>
      </w:r>
      <w:r>
        <w:rPr>
          <w:spacing w:val="-117"/>
        </w:rPr>
      </w:r>
      <w:r>
        <w:rPr/>
        <w:t>的范畴，不仅符合“十二五规划”重点支持的方向，也彰显出强大的生命力和巨大的</w:t>
      </w:r>
      <w:r>
        <w:rPr>
          <w:spacing w:val="-117"/>
        </w:rPr>
        <w:t> </w:t>
      </w:r>
      <w:r>
        <w:rPr>
          <w:spacing w:val="-117"/>
        </w:rPr>
      </w:r>
      <w:r>
        <w:rPr/>
        <w:t>商业价值，将引领纳米纤维材料在各行业内广泛应用。</w:t>
      </w:r>
    </w:p>
    <w:p>
      <w:pPr>
        <w:pStyle w:val="BodyText"/>
        <w:spacing w:line="304" w:lineRule="auto" w:before="61"/>
        <w:ind w:right="140" w:firstLine="480"/>
        <w:jc w:val="both"/>
      </w:pPr>
      <w:r>
        <w:rPr/>
        <w:t>报告期内，公司管理层在董事会的领导下，继续扩大主导产品产销规模，大力推 进精益生产管理，降低制造成本。但由于电力系统普遍实行集中招标后，价格竞争愈</w:t>
      </w:r>
      <w:r>
        <w:rPr>
          <w:spacing w:val="-117"/>
        </w:rPr>
        <w:t> </w:t>
      </w:r>
      <w:r>
        <w:rPr>
          <w:spacing w:val="-117"/>
        </w:rPr>
      </w:r>
      <w:r>
        <w:rPr/>
        <w:t>演愈烈，产品毛利持续降低。在不利的市场情况下，公司深挖潜力，扩大销售力度，</w:t>
      </w:r>
      <w:r>
        <w:rPr>
          <w:spacing w:val="-117"/>
        </w:rPr>
        <w:t> </w:t>
      </w:r>
      <w:r>
        <w:rPr>
          <w:spacing w:val="-117"/>
        </w:rPr>
      </w:r>
      <w:r>
        <w:rPr/>
        <w:t>经过公司全体员工的共同努力，全年实现营业收入 </w:t>
      </w:r>
      <w:r>
        <w:rPr>
          <w:rFonts w:ascii="Times New Roman" w:hAnsi="Times New Roman" w:cs="Times New Roman" w:eastAsia="Times New Roman" w:hint="default"/>
        </w:rPr>
        <w:t>3.70  </w:t>
      </w:r>
      <w:r>
        <w:rPr/>
        <w:t>亿元，同比增长 </w:t>
      </w:r>
      <w:r>
        <w:rPr>
          <w:rFonts w:ascii="Times New Roman" w:hAnsi="Times New Roman" w:cs="Times New Roman" w:eastAsia="Times New Roman" w:hint="default"/>
        </w:rPr>
        <w:t>4.86</w:t>
      </w:r>
      <w:r>
        <w:rPr>
          <w:rFonts w:ascii="Times New Roman" w:hAnsi="Times New Roman" w:cs="Times New Roman" w:eastAsia="Times New Roman" w:hint="default"/>
          <w:spacing w:val="1"/>
        </w:rPr>
        <w:t> </w:t>
      </w:r>
      <w:r>
        <w:rPr>
          <w:rFonts w:ascii="Times New Roman" w:hAnsi="Times New Roman" w:cs="Times New Roman" w:eastAsia="Times New Roman" w:hint="default"/>
        </w:rPr>
        <w:t>%</w:t>
      </w:r>
      <w:r>
        <w:rPr/>
        <w:t>，实</w:t>
      </w:r>
    </w:p>
    <w:p>
      <w:pPr>
        <w:pStyle w:val="BodyText"/>
        <w:spacing w:line="328" w:lineRule="exact"/>
        <w:ind w:right="0"/>
        <w:jc w:val="both"/>
      </w:pPr>
      <w:r>
        <w:rPr/>
        <w:t>现净利润 </w:t>
      </w:r>
      <w:r>
        <w:rPr>
          <w:rFonts w:ascii="Times New Roman" w:hAnsi="Times New Roman" w:cs="Times New Roman" w:eastAsia="Times New Roman" w:hint="default"/>
        </w:rPr>
        <w:t>7059  </w:t>
      </w:r>
      <w:r>
        <w:rPr/>
        <w:t>万元，同比增长 </w:t>
      </w:r>
      <w:r>
        <w:rPr>
          <w:rFonts w:ascii="Times New Roman" w:hAnsi="Times New Roman" w:cs="Times New Roman" w:eastAsia="Times New Roman" w:hint="default"/>
        </w:rPr>
        <w:t>0.47 %</w:t>
      </w:r>
      <w:r>
        <w:rPr/>
        <w:t>。</w:t>
      </w:r>
    </w:p>
    <w:p>
      <w:pPr>
        <w:spacing w:line="240" w:lineRule="auto" w:before="10"/>
        <w:rPr>
          <w:rFonts w:ascii="宋体" w:hAnsi="宋体" w:cs="宋体" w:eastAsia="宋体" w:hint="default"/>
          <w:sz w:val="35"/>
          <w:szCs w:val="35"/>
        </w:rPr>
      </w:pPr>
    </w:p>
    <w:p>
      <w:pPr>
        <w:spacing w:before="0"/>
        <w:ind w:left="740" w:right="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．主营业务及其经营情况</w:t>
      </w:r>
      <w:r>
        <w:rPr>
          <w:rFonts w:ascii="宋体" w:hAnsi="宋体" w:cs="宋体" w:eastAsia="宋体" w:hint="default"/>
          <w:sz w:val="24"/>
          <w:szCs w:val="24"/>
        </w:rPr>
      </w:r>
    </w:p>
    <w:p>
      <w:pPr>
        <w:pStyle w:val="BodyText"/>
        <w:spacing w:line="319" w:lineRule="auto" w:before="98"/>
        <w:ind w:left="738" w:right="0"/>
        <w:jc w:val="left"/>
      </w:pPr>
      <w:r>
        <w:rPr/>
        <w:t>（</w:t>
      </w:r>
      <w:r>
        <w:rPr>
          <w:rFonts w:ascii="Times New Roman" w:hAnsi="Times New Roman" w:cs="Times New Roman" w:eastAsia="Times New Roman" w:hint="default"/>
        </w:rPr>
        <w:t>1</w:t>
      </w:r>
      <w:r>
        <w:rPr/>
        <w:t>）主营业务范围 公司作为城乡配电网络高可靠性装备供应商和综合解决方案提供商，以新型高分</w:t>
      </w:r>
    </w:p>
    <w:p>
      <w:pPr>
        <w:pStyle w:val="BodyText"/>
        <w:spacing w:line="300" w:lineRule="auto" w:before="6"/>
        <w:ind w:right="141"/>
        <w:jc w:val="both"/>
      </w:pPr>
      <w:r>
        <w:rPr/>
        <w:t>子电气绝缘材料技术为特色和核心优势，主要从事全密闭全绝缘中压电缆分支箱、中</w:t>
      </w:r>
      <w:r>
        <w:rPr>
          <w:spacing w:val="-117"/>
        </w:rPr>
        <w:t> </w:t>
      </w:r>
      <w:r>
        <w:rPr>
          <w:spacing w:val="-117"/>
        </w:rPr>
      </w:r>
      <w:r>
        <w:rPr/>
        <w:t>压电缆对接箱、低压电缆分支箱等电缆分支箱类产品，硅橡胶电缆附件、电缆插头等</w:t>
      </w:r>
      <w:r>
        <w:rPr>
          <w:spacing w:val="-117"/>
        </w:rPr>
        <w:t> </w:t>
      </w:r>
      <w:r>
        <w:rPr>
          <w:spacing w:val="-117"/>
        </w:rPr>
      </w:r>
      <w:r>
        <w:rPr>
          <w:spacing w:val="-1"/>
        </w:rPr>
        <w:t>高性能硅橡胶绝缘制品，</w:t>
      </w:r>
      <w:r>
        <w:rPr>
          <w:rFonts w:ascii="Times New Roman" w:hAnsi="Times New Roman" w:cs="Times New Roman" w:eastAsia="Times New Roman" w:hint="default"/>
          <w:spacing w:val="-1"/>
        </w:rPr>
        <w:t>SMC</w:t>
      </w:r>
      <w:r>
        <w:rPr>
          <w:spacing w:val="-1"/>
        </w:rPr>
        <w:t>电气设备箱体等高性能复合材料绝缘制品以及相关电力</w:t>
      </w:r>
      <w:r>
        <w:rPr>
          <w:spacing w:val="-92"/>
        </w:rPr>
        <w:t> </w:t>
      </w:r>
      <w:r>
        <w:rPr/>
        <w:t>配网设备产品的研发、生产和销售。</w:t>
      </w:r>
    </w:p>
    <w:p>
      <w:pPr>
        <w:pStyle w:val="BodyText"/>
        <w:spacing w:line="304" w:lineRule="auto" w:before="66"/>
        <w:ind w:right="140" w:firstLine="480"/>
        <w:jc w:val="both"/>
      </w:pPr>
      <w:r>
        <w:rPr/>
        <w:t>公司通过控股子公司从事聚酰亚胺系列材料、纳米纤维等先进材料的研发制造和 销售，以及超级电容器、电池储能组件等新能源领域产品的研发、购销。</w:t>
      </w:r>
    </w:p>
    <w:p>
      <w:pPr>
        <w:pStyle w:val="BodyText"/>
        <w:spacing w:line="240" w:lineRule="auto" w:before="61"/>
        <w:ind w:left="738" w:right="0"/>
        <w:jc w:val="left"/>
      </w:pPr>
      <w:r>
        <w:rPr/>
        <w:t>（</w:t>
      </w:r>
      <w:r>
        <w:rPr>
          <w:rFonts w:ascii="Times New Roman" w:hAnsi="Times New Roman" w:cs="Times New Roman" w:eastAsia="Times New Roman" w:hint="default"/>
        </w:rPr>
        <w:t>2</w:t>
      </w:r>
      <w:r>
        <w:rPr/>
        <w:t>）总体市场状况</w:t>
      </w:r>
    </w:p>
    <w:p>
      <w:pPr>
        <w:pStyle w:val="BodyText"/>
        <w:spacing w:line="240" w:lineRule="auto" w:before="107"/>
        <w:ind w:left="738" w:right="0"/>
        <w:jc w:val="left"/>
      </w:pPr>
      <w:r>
        <w:rPr>
          <w:rFonts w:ascii="Times New Roman" w:hAnsi="Times New Roman" w:cs="Times New Roman" w:eastAsia="Times New Roman" w:hint="default"/>
        </w:rPr>
        <w:t>1</w:t>
      </w:r>
      <w:r>
        <w:rPr/>
        <w:t>、配网装备业务</w:t>
      </w:r>
    </w:p>
    <w:p>
      <w:pPr>
        <w:pStyle w:val="BodyText"/>
        <w:spacing w:line="240" w:lineRule="auto" w:before="108"/>
        <w:ind w:left="738" w:right="0"/>
        <w:jc w:val="left"/>
      </w:pPr>
      <w:r>
        <w:rPr>
          <w:rFonts w:ascii="Times New Roman" w:hAnsi="Times New Roman" w:cs="Times New Roman" w:eastAsia="Times New Roman" w:hint="default"/>
          <w:spacing w:val="-3"/>
        </w:rPr>
        <w:t>2011  </w:t>
      </w:r>
      <w:r>
        <w:rPr>
          <w:rFonts w:ascii="Times New Roman" w:hAnsi="Times New Roman" w:cs="Times New Roman" w:eastAsia="Times New Roman" w:hint="default"/>
          <w:spacing w:val="12"/>
        </w:rPr>
        <w:t> </w:t>
      </w:r>
      <w:r>
        <w:rPr/>
        <w:t>年是我国电网投资建设十二五规划实施的第一年，电网投资总额为</w:t>
      </w:r>
      <w:r>
        <w:rPr>
          <w:rFonts w:ascii="Times New Roman" w:hAnsi="Times New Roman" w:cs="Times New Roman" w:eastAsia="Times New Roman" w:hint="default"/>
        </w:rPr>
        <w:t>3,700</w:t>
      </w:r>
      <w:r>
        <w:rPr/>
        <w:t>亿</w:t>
      </w:r>
    </w:p>
    <w:p>
      <w:pPr>
        <w:spacing w:after="0" w:line="240" w:lineRule="auto"/>
        <w:jc w:val="left"/>
        <w:sectPr>
          <w:pgSz w:w="11910" w:h="16840"/>
          <w:pgMar w:header="470" w:footer="1266" w:top="900" w:bottom="1460" w:left="1160" w:right="14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288" w:lineRule="auto" w:before="26"/>
        <w:ind w:right="1043"/>
        <w:jc w:val="both"/>
      </w:pPr>
      <w:r>
        <w:rPr>
          <w:spacing w:val="-5"/>
        </w:rPr>
        <w:t>元左右，其中国网投资</w:t>
      </w:r>
      <w:r>
        <w:rPr>
          <w:rFonts w:ascii="Times New Roman" w:hAnsi="Times New Roman" w:cs="Times New Roman" w:eastAsia="Times New Roman" w:hint="default"/>
          <w:spacing w:val="-5"/>
        </w:rPr>
        <w:t>3,019</w:t>
      </w:r>
      <w:r>
        <w:rPr>
          <w:spacing w:val="-5"/>
        </w:rPr>
        <w:t>亿元（较年初计划多投资</w:t>
      </w:r>
      <w:r>
        <w:rPr>
          <w:rFonts w:ascii="Times New Roman" w:hAnsi="Times New Roman" w:cs="Times New Roman" w:eastAsia="Times New Roman" w:hint="default"/>
          <w:spacing w:val="-5"/>
        </w:rPr>
        <w:t>94</w:t>
      </w:r>
      <w:r>
        <w:rPr>
          <w:spacing w:val="-5"/>
        </w:rPr>
        <w:t>亿），同比投资增长</w:t>
      </w:r>
      <w:r>
        <w:rPr>
          <w:rFonts w:ascii="Times New Roman" w:hAnsi="Times New Roman" w:cs="Times New Roman" w:eastAsia="Times New Roman" w:hint="default"/>
          <w:spacing w:val="-5"/>
        </w:rPr>
        <w:t>13.4%</w:t>
      </w:r>
      <w:r>
        <w:rPr>
          <w:spacing w:val="-5"/>
        </w:rPr>
        <w:t>；南</w:t>
      </w:r>
      <w:r>
        <w:rPr>
          <w:spacing w:val="-95"/>
        </w:rPr>
        <w:t> </w:t>
      </w:r>
      <w:r>
        <w:rPr/>
        <w:t>方电网投资</w:t>
      </w:r>
      <w:r>
        <w:rPr>
          <w:rFonts w:ascii="Times New Roman" w:hAnsi="Times New Roman" w:cs="Times New Roman" w:eastAsia="Times New Roman" w:hint="default"/>
        </w:rPr>
        <w:t>708</w:t>
      </w:r>
      <w:r>
        <w:rPr/>
        <w:t>亿元，较年初计划投资</w:t>
      </w:r>
      <w:r>
        <w:rPr>
          <w:rFonts w:ascii="Times New Roman" w:hAnsi="Times New Roman" w:cs="Times New Roman" w:eastAsia="Times New Roman" w:hint="default"/>
        </w:rPr>
        <w:t>741</w:t>
      </w:r>
      <w:r>
        <w:rPr/>
        <w:t>亿元略有下降。总体来看，电网投资趋于增 长趋势。</w:t>
      </w:r>
    </w:p>
    <w:p>
      <w:pPr>
        <w:pStyle w:val="BodyText"/>
        <w:spacing w:line="319" w:lineRule="auto" w:before="78"/>
        <w:ind w:left="738" w:right="0"/>
        <w:jc w:val="left"/>
      </w:pPr>
      <w:r>
        <w:rPr>
          <w:rFonts w:ascii="Times New Roman" w:hAnsi="Times New Roman" w:cs="Times New Roman" w:eastAsia="Times New Roman" w:hint="default"/>
        </w:rPr>
        <w:t>2</w:t>
      </w:r>
      <w:r>
        <w:rPr/>
        <w:t>、先进材料业务 材料工业是国民经济的基础产业，新材料是材料工业发展的先导，是重要的战略</w:t>
      </w:r>
    </w:p>
    <w:p>
      <w:pPr>
        <w:pStyle w:val="BodyText"/>
        <w:spacing w:line="300" w:lineRule="auto" w:before="6"/>
        <w:ind w:right="0"/>
        <w:jc w:val="left"/>
      </w:pPr>
      <w:r>
        <w:rPr/>
        <w:t>性新兴产业。虽然中国新材料行业发展迅速，但跟发达国家相比还有很大的差距，发</w:t>
      </w:r>
      <w:r>
        <w:rPr>
          <w:spacing w:val="-117"/>
        </w:rPr>
        <w:t> </w:t>
      </w:r>
      <w:r>
        <w:rPr>
          <w:spacing w:val="-117"/>
        </w:rPr>
      </w:r>
      <w:r>
        <w:rPr/>
        <w:t>展仍存在不少缺陷。由于口径不一致，新材料产业的总体规模不易统计，根据《新材</w:t>
      </w:r>
      <w:r>
        <w:rPr>
          <w:spacing w:val="-117"/>
        </w:rPr>
        <w:t> </w:t>
      </w:r>
      <w:r>
        <w:rPr>
          <w:spacing w:val="-117"/>
        </w:rPr>
      </w:r>
      <w:r>
        <w:rPr>
          <w:spacing w:val="-15"/>
        </w:rPr>
        <w:t>料产业“十二五”发展规划》，我国</w:t>
      </w:r>
      <w:r>
        <w:rPr/>
        <w:t> </w:t>
      </w:r>
      <w:r>
        <w:rPr>
          <w:rFonts w:ascii="Times New Roman" w:hAnsi="Times New Roman" w:cs="Times New Roman" w:eastAsia="Times New Roman" w:hint="default"/>
        </w:rPr>
        <w:t>2010 </w:t>
      </w:r>
      <w:r>
        <w:rPr/>
        <w:t>年新材料产业规模约 </w:t>
      </w:r>
      <w:r>
        <w:rPr>
          <w:rFonts w:ascii="Times New Roman" w:hAnsi="Times New Roman" w:cs="Times New Roman" w:eastAsia="Times New Roman" w:hint="default"/>
        </w:rPr>
        <w:t>6,500 </w:t>
      </w:r>
      <w:r>
        <w:rPr>
          <w:spacing w:val="-20"/>
        </w:rPr>
        <w:t>亿元，“十一五”</w:t>
      </w:r>
      <w:r>
        <w:rPr/>
        <w:t> 期间年均增长约</w:t>
      </w:r>
      <w:r>
        <w:rPr>
          <w:rFonts w:ascii="Times New Roman" w:hAnsi="Times New Roman" w:cs="Times New Roman" w:eastAsia="Times New Roman" w:hint="default"/>
        </w:rPr>
        <w:t>20</w:t>
      </w:r>
      <w:r>
        <w:rPr/>
        <w:t>％。</w:t>
      </w:r>
    </w:p>
    <w:p>
      <w:pPr>
        <w:pStyle w:val="BodyText"/>
        <w:spacing w:line="240" w:lineRule="auto" w:before="41"/>
        <w:ind w:left="738" w:right="1043"/>
        <w:jc w:val="left"/>
      </w:pPr>
      <w:r>
        <w:rPr/>
        <w:t>（</w:t>
      </w:r>
      <w:r>
        <w:rPr>
          <w:rFonts w:ascii="Times New Roman" w:hAnsi="Times New Roman" w:cs="Times New Roman" w:eastAsia="Times New Roman" w:hint="default"/>
        </w:rPr>
        <w:t>3</w:t>
      </w:r>
      <w:r>
        <w:rPr/>
        <w:t>）主营业务分行业情况表：</w:t>
      </w:r>
    </w:p>
    <w:p>
      <w:pPr>
        <w:spacing w:before="31"/>
        <w:ind w:left="0" w:right="1042"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253" w:type="dxa"/>
        <w:tblLayout w:type="fixed"/>
        <w:tblCellMar>
          <w:top w:w="0" w:type="dxa"/>
          <w:left w:w="0" w:type="dxa"/>
          <w:bottom w:w="0" w:type="dxa"/>
          <w:right w:w="0" w:type="dxa"/>
        </w:tblCellMar>
        <w:tblLook w:val="01E0"/>
      </w:tblPr>
      <w:tblGrid>
        <w:gridCol w:w="1948"/>
        <w:gridCol w:w="1300"/>
        <w:gridCol w:w="1300"/>
        <w:gridCol w:w="1301"/>
        <w:gridCol w:w="1300"/>
        <w:gridCol w:w="1300"/>
        <w:gridCol w:w="1379"/>
      </w:tblGrid>
      <w:tr>
        <w:trPr>
          <w:trHeight w:val="283" w:hRule="exact"/>
        </w:trPr>
        <w:tc>
          <w:tcPr>
            <w:tcW w:w="9826" w:type="dxa"/>
            <w:gridSpan w:val="7"/>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主营业务分行业情况</w:t>
            </w:r>
          </w:p>
        </w:tc>
      </w:tr>
      <w:tr>
        <w:trPr>
          <w:trHeight w:val="554" w:hRule="exact"/>
        </w:trPr>
        <w:tc>
          <w:tcPr>
            <w:tcW w:w="19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分行业</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left="22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left="224"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pacing w:val="-1"/>
                <w:sz w:val="21"/>
                <w:szCs w:val="21"/>
              </w:rPr>
              <w:t>毛利率（</w:t>
            </w:r>
            <w:r>
              <w:rPr>
                <w:rFonts w:ascii="Calibri" w:hAnsi="Calibri" w:cs="Calibri" w:eastAsia="Calibri" w:hint="default"/>
                <w:spacing w:val="-1"/>
                <w:sz w:val="21"/>
                <w:szCs w:val="21"/>
              </w:rPr>
              <w:t>%</w:t>
            </w:r>
            <w:r>
              <w:rPr>
                <w:rFonts w:ascii="宋体" w:hAnsi="宋体" w:cs="宋体" w:eastAsia="宋体" w:hint="default"/>
                <w:spacing w:val="-1"/>
                <w:sz w:val="21"/>
                <w:szCs w:val="21"/>
              </w:rPr>
              <w:t>）</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21" w:right="-33" w:firstLine="97"/>
              <w:jc w:val="left"/>
              <w:rPr>
                <w:rFonts w:ascii="宋体" w:hAnsi="宋体" w:cs="宋体" w:eastAsia="宋体" w:hint="default"/>
                <w:sz w:val="21"/>
                <w:szCs w:val="21"/>
              </w:rPr>
            </w:pPr>
            <w:r>
              <w:rPr>
                <w:rFonts w:ascii="宋体" w:hAnsi="宋体" w:cs="宋体" w:eastAsia="宋体" w:hint="default"/>
                <w:sz w:val="21"/>
                <w:szCs w:val="21"/>
              </w:rPr>
              <w:t>营业收入比</w:t>
            </w:r>
          </w:p>
          <w:p>
            <w:pPr>
              <w:pStyle w:val="TableParagraph"/>
              <w:spacing w:line="300" w:lineRule="exact"/>
              <w:ind w:left="21" w:right="-33"/>
              <w:jc w:val="left"/>
              <w:rPr>
                <w:rFonts w:ascii="宋体" w:hAnsi="宋体" w:cs="宋体" w:eastAsia="宋体" w:hint="default"/>
                <w:sz w:val="21"/>
                <w:szCs w:val="21"/>
              </w:rPr>
            </w:pPr>
            <w:r>
              <w:rPr>
                <w:rFonts w:ascii="宋体" w:hAnsi="宋体" w:cs="宋体" w:eastAsia="宋体" w:hint="default"/>
                <w:spacing w:val="-16"/>
                <w:sz w:val="21"/>
                <w:szCs w:val="21"/>
              </w:rPr>
              <w:t>上年增减（</w:t>
            </w:r>
            <w:r>
              <w:rPr>
                <w:rFonts w:ascii="Calibri" w:hAnsi="Calibri" w:cs="Calibri" w:eastAsia="Calibri" w:hint="default"/>
                <w:spacing w:val="-16"/>
                <w:sz w:val="21"/>
                <w:szCs w:val="21"/>
              </w:rPr>
              <w:t>%</w:t>
            </w:r>
            <w:r>
              <w:rPr>
                <w:rFonts w:ascii="宋体" w:hAnsi="宋体" w:cs="宋体" w:eastAsia="宋体" w:hint="default"/>
                <w:spacing w:val="-16"/>
                <w:sz w:val="21"/>
                <w:szCs w:val="21"/>
              </w:rPr>
              <w:t>）</w:t>
            </w:r>
            <w:r>
              <w:rPr>
                <w:rFonts w:ascii="宋体" w:hAnsi="宋体" w:cs="宋体" w:eastAsia="宋体" w:hint="default"/>
                <w:sz w:val="21"/>
                <w:szCs w:val="21"/>
              </w:rPr>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22" w:right="0" w:firstLine="97"/>
              <w:jc w:val="left"/>
              <w:rPr>
                <w:rFonts w:ascii="宋体" w:hAnsi="宋体" w:cs="宋体" w:eastAsia="宋体" w:hint="default"/>
                <w:sz w:val="21"/>
                <w:szCs w:val="21"/>
              </w:rPr>
            </w:pPr>
            <w:r>
              <w:rPr>
                <w:rFonts w:ascii="宋体" w:hAnsi="宋体" w:cs="宋体" w:eastAsia="宋体" w:hint="default"/>
                <w:sz w:val="21"/>
                <w:szCs w:val="21"/>
              </w:rPr>
              <w:t>营业成本比</w:t>
            </w:r>
          </w:p>
          <w:p>
            <w:pPr>
              <w:pStyle w:val="TableParagraph"/>
              <w:spacing w:line="300" w:lineRule="exact"/>
              <w:ind w:left="22" w:right="0"/>
              <w:jc w:val="left"/>
              <w:rPr>
                <w:rFonts w:ascii="Calibri" w:hAnsi="Calibri" w:cs="Calibri" w:eastAsia="Calibri" w:hint="default"/>
                <w:sz w:val="21"/>
                <w:szCs w:val="21"/>
              </w:rPr>
            </w:pPr>
            <w:r>
              <w:rPr>
                <w:rFonts w:ascii="宋体" w:hAnsi="宋体" w:cs="宋体" w:eastAsia="宋体" w:hint="default"/>
                <w:spacing w:val="-11"/>
                <w:sz w:val="21"/>
                <w:szCs w:val="21"/>
              </w:rPr>
              <w:t>上年增减（</w:t>
            </w:r>
            <w:r>
              <w:rPr>
                <w:rFonts w:ascii="Calibri" w:hAnsi="Calibri" w:cs="Calibri" w:eastAsia="Calibri" w:hint="default"/>
                <w:spacing w:val="-11"/>
                <w:sz w:val="21"/>
                <w:szCs w:val="21"/>
              </w:rPr>
              <w:t>%</w:t>
            </w:r>
          </w:p>
        </w:tc>
        <w:tc>
          <w:tcPr>
            <w:tcW w:w="137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54" w:right="0"/>
              <w:jc w:val="left"/>
              <w:rPr>
                <w:rFonts w:ascii="宋体" w:hAnsi="宋体" w:cs="宋体" w:eastAsia="宋体" w:hint="default"/>
                <w:sz w:val="21"/>
                <w:szCs w:val="21"/>
              </w:rPr>
            </w:pPr>
            <w:r>
              <w:rPr>
                <w:rFonts w:ascii="宋体" w:hAnsi="宋体" w:cs="宋体" w:eastAsia="宋体" w:hint="default"/>
                <w:sz w:val="21"/>
                <w:szCs w:val="21"/>
              </w:rPr>
              <w:t>毛利率比上年</w:t>
            </w:r>
          </w:p>
          <w:p>
            <w:pPr>
              <w:pStyle w:val="TableParagraph"/>
              <w:spacing w:line="300" w:lineRule="exact"/>
              <w:ind w:left="-138"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10"/>
                <w:sz w:val="21"/>
                <w:szCs w:val="21"/>
              </w:rPr>
              <w:t> </w:t>
            </w:r>
            <w:r>
              <w:rPr>
                <w:rFonts w:ascii="宋体" w:hAnsi="宋体" w:cs="宋体" w:eastAsia="宋体" w:hint="default"/>
                <w:sz w:val="21"/>
                <w:szCs w:val="21"/>
              </w:rPr>
              <w:t>增减（</w:t>
            </w:r>
            <w:r>
              <w:rPr>
                <w:rFonts w:ascii="Calibri" w:hAnsi="Calibri" w:cs="Calibri" w:eastAsia="Calibri" w:hint="default"/>
                <w:sz w:val="21"/>
                <w:szCs w:val="21"/>
              </w:rPr>
              <w:t>%</w:t>
            </w:r>
            <w:r>
              <w:rPr>
                <w:rFonts w:ascii="宋体" w:hAnsi="宋体" w:cs="宋体" w:eastAsia="宋体" w:hint="default"/>
                <w:sz w:val="21"/>
                <w:szCs w:val="21"/>
              </w:rPr>
              <w:t>）</w:t>
            </w:r>
          </w:p>
        </w:tc>
      </w:tr>
      <w:tr>
        <w:trPr>
          <w:trHeight w:val="296" w:hRule="exact"/>
        </w:trPr>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电力行业</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36,003.50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9"/>
              <w:jc w:val="right"/>
              <w:rPr>
                <w:rFonts w:ascii="Times New Roman" w:hAnsi="Times New Roman" w:cs="Times New Roman" w:eastAsia="Times New Roman" w:hint="default"/>
                <w:sz w:val="18"/>
                <w:szCs w:val="18"/>
              </w:rPr>
            </w:pPr>
            <w:r>
              <w:rPr>
                <w:rFonts w:ascii="Times New Roman"/>
                <w:sz w:val="18"/>
              </w:rPr>
              <w:t>19,895.22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Times New Roman" w:hAnsi="Times New Roman" w:cs="Times New Roman" w:eastAsia="Times New Roman" w:hint="default"/>
                <w:sz w:val="18"/>
                <w:szCs w:val="18"/>
              </w:rPr>
            </w:pPr>
            <w:r>
              <w:rPr>
                <w:rFonts w:ascii="Times New Roman"/>
                <w:w w:val="95"/>
                <w:sz w:val="18"/>
              </w:rPr>
              <w:t>44.74%</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5"/>
                <w:sz w:val="18"/>
              </w:rPr>
              <w:t>5.64%</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9"/>
              <w:jc w:val="right"/>
              <w:rPr>
                <w:rFonts w:ascii="Times New Roman" w:hAnsi="Times New Roman" w:cs="Times New Roman" w:eastAsia="Times New Roman" w:hint="default"/>
                <w:sz w:val="18"/>
                <w:szCs w:val="18"/>
              </w:rPr>
            </w:pPr>
            <w:r>
              <w:rPr>
                <w:rFonts w:ascii="Times New Roman"/>
                <w:w w:val="95"/>
                <w:sz w:val="18"/>
              </w:rPr>
              <w:t>17.65%</w:t>
            </w:r>
            <w:r>
              <w:rPr>
                <w:rFonts w:ascii="Times New Roman"/>
                <w:sz w:val="18"/>
              </w:rPr>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5"/>
                <w:sz w:val="18"/>
              </w:rPr>
              <w:t>-5.64%</w:t>
            </w:r>
            <w:r>
              <w:rPr>
                <w:rFonts w:ascii="Times New Roman"/>
                <w:sz w:val="18"/>
              </w:rPr>
            </w:r>
          </w:p>
        </w:tc>
      </w:tr>
      <w:tr>
        <w:trPr>
          <w:trHeight w:val="298" w:hRule="exact"/>
        </w:trPr>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化工行业</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sz w:val="18"/>
              </w:rPr>
              <w:t>561.77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9"/>
              <w:jc w:val="right"/>
              <w:rPr>
                <w:rFonts w:ascii="Times New Roman" w:hAnsi="Times New Roman" w:cs="Times New Roman" w:eastAsia="Times New Roman" w:hint="default"/>
                <w:sz w:val="18"/>
                <w:szCs w:val="18"/>
              </w:rPr>
            </w:pPr>
            <w:r>
              <w:rPr>
                <w:rFonts w:ascii="Times New Roman"/>
                <w:sz w:val="18"/>
              </w:rPr>
              <w:t>543.75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w w:val="95"/>
                <w:sz w:val="18"/>
              </w:rPr>
              <w:t>3.21%</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w w:val="95"/>
                <w:sz w:val="18"/>
              </w:rPr>
              <w:t>135.40%</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w w:val="95"/>
                <w:sz w:val="18"/>
              </w:rPr>
              <w:t>385.23%</w:t>
            </w:r>
            <w:r>
              <w:rPr>
                <w:rFonts w:ascii="Times New Roman"/>
                <w:sz w:val="18"/>
              </w:rPr>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w w:val="95"/>
                <w:sz w:val="18"/>
              </w:rPr>
              <w:t>-49.83%</w:t>
            </w:r>
            <w:r>
              <w:rPr>
                <w:rFonts w:ascii="Times New Roman"/>
                <w:sz w:val="18"/>
              </w:rPr>
            </w:r>
          </w:p>
        </w:tc>
      </w:tr>
      <w:tr>
        <w:trPr>
          <w:trHeight w:val="282" w:hRule="exact"/>
        </w:trPr>
        <w:tc>
          <w:tcPr>
            <w:tcW w:w="9826"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主营业务分产品情况</w:t>
            </w:r>
          </w:p>
        </w:tc>
      </w:tr>
      <w:tr>
        <w:trPr>
          <w:trHeight w:val="554" w:hRule="exact"/>
        </w:trPr>
        <w:tc>
          <w:tcPr>
            <w:tcW w:w="19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分产品</w:t>
            </w:r>
          </w:p>
        </w:tc>
        <w:tc>
          <w:tcPr>
            <w:tcW w:w="13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1"/>
              <w:ind w:left="22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3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1"/>
              <w:ind w:left="224"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3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1"/>
              <w:ind w:right="44"/>
              <w:jc w:val="right"/>
              <w:rPr>
                <w:rFonts w:ascii="宋体" w:hAnsi="宋体" w:cs="宋体" w:eastAsia="宋体" w:hint="default"/>
                <w:sz w:val="21"/>
                <w:szCs w:val="21"/>
              </w:rPr>
            </w:pPr>
            <w:r>
              <w:rPr>
                <w:rFonts w:ascii="宋体" w:hAnsi="宋体" w:cs="宋体" w:eastAsia="宋体" w:hint="default"/>
                <w:spacing w:val="-1"/>
                <w:sz w:val="21"/>
                <w:szCs w:val="21"/>
              </w:rPr>
              <w:t>毛利率（</w:t>
            </w:r>
            <w:r>
              <w:rPr>
                <w:rFonts w:ascii="Calibri" w:hAnsi="Calibri" w:cs="Calibri" w:eastAsia="Calibri" w:hint="default"/>
                <w:spacing w:val="-1"/>
                <w:sz w:val="21"/>
                <w:szCs w:val="21"/>
              </w:rPr>
              <w:t>%</w:t>
            </w:r>
            <w:r>
              <w:rPr>
                <w:rFonts w:ascii="宋体" w:hAnsi="宋体" w:cs="宋体" w:eastAsia="宋体" w:hint="default"/>
                <w:spacing w:val="-1"/>
                <w:sz w:val="21"/>
                <w:szCs w:val="21"/>
              </w:rPr>
              <w:t>）</w:t>
            </w:r>
          </w:p>
        </w:tc>
        <w:tc>
          <w:tcPr>
            <w:tcW w:w="13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8" w:lineRule="exact"/>
              <w:ind w:left="21" w:right="-33" w:firstLine="97"/>
              <w:jc w:val="left"/>
              <w:rPr>
                <w:rFonts w:ascii="宋体" w:hAnsi="宋体" w:cs="宋体" w:eastAsia="宋体" w:hint="default"/>
                <w:sz w:val="21"/>
                <w:szCs w:val="21"/>
              </w:rPr>
            </w:pPr>
            <w:r>
              <w:rPr>
                <w:rFonts w:ascii="宋体" w:hAnsi="宋体" w:cs="宋体" w:eastAsia="宋体" w:hint="default"/>
                <w:sz w:val="21"/>
                <w:szCs w:val="21"/>
              </w:rPr>
              <w:t>营业收入比</w:t>
            </w:r>
          </w:p>
          <w:p>
            <w:pPr>
              <w:pStyle w:val="TableParagraph"/>
              <w:spacing w:line="300" w:lineRule="exact"/>
              <w:ind w:left="21" w:right="-33"/>
              <w:jc w:val="left"/>
              <w:rPr>
                <w:rFonts w:ascii="宋体" w:hAnsi="宋体" w:cs="宋体" w:eastAsia="宋体" w:hint="default"/>
                <w:sz w:val="21"/>
                <w:szCs w:val="21"/>
              </w:rPr>
            </w:pPr>
            <w:r>
              <w:rPr>
                <w:rFonts w:ascii="宋体" w:hAnsi="宋体" w:cs="宋体" w:eastAsia="宋体" w:hint="default"/>
                <w:spacing w:val="-16"/>
                <w:sz w:val="21"/>
                <w:szCs w:val="21"/>
              </w:rPr>
              <w:t>上年增减（</w:t>
            </w:r>
            <w:r>
              <w:rPr>
                <w:rFonts w:ascii="Calibri" w:hAnsi="Calibri" w:cs="Calibri" w:eastAsia="Calibri" w:hint="default"/>
                <w:spacing w:val="-16"/>
                <w:sz w:val="21"/>
                <w:szCs w:val="21"/>
              </w:rPr>
              <w:t>%</w:t>
            </w:r>
            <w:r>
              <w:rPr>
                <w:rFonts w:ascii="宋体" w:hAnsi="宋体" w:cs="宋体" w:eastAsia="宋体" w:hint="default"/>
                <w:spacing w:val="-16"/>
                <w:sz w:val="21"/>
                <w:szCs w:val="21"/>
              </w:rPr>
              <w:t>）</w:t>
            </w:r>
            <w:r>
              <w:rPr>
                <w:rFonts w:ascii="宋体" w:hAnsi="宋体" w:cs="宋体" w:eastAsia="宋体" w:hint="default"/>
                <w:sz w:val="21"/>
                <w:szCs w:val="21"/>
              </w:rPr>
            </w:r>
          </w:p>
        </w:tc>
        <w:tc>
          <w:tcPr>
            <w:tcW w:w="13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8" w:lineRule="exact"/>
              <w:ind w:left="22" w:right="0" w:firstLine="97"/>
              <w:jc w:val="left"/>
              <w:rPr>
                <w:rFonts w:ascii="宋体" w:hAnsi="宋体" w:cs="宋体" w:eastAsia="宋体" w:hint="default"/>
                <w:sz w:val="21"/>
                <w:szCs w:val="21"/>
              </w:rPr>
            </w:pPr>
            <w:r>
              <w:rPr>
                <w:rFonts w:ascii="宋体" w:hAnsi="宋体" w:cs="宋体" w:eastAsia="宋体" w:hint="default"/>
                <w:sz w:val="21"/>
                <w:szCs w:val="21"/>
              </w:rPr>
              <w:t>营业成本比</w:t>
            </w:r>
          </w:p>
          <w:p>
            <w:pPr>
              <w:pStyle w:val="TableParagraph"/>
              <w:spacing w:line="300" w:lineRule="exact"/>
              <w:ind w:left="22" w:right="0"/>
              <w:jc w:val="left"/>
              <w:rPr>
                <w:rFonts w:ascii="Calibri" w:hAnsi="Calibri" w:cs="Calibri" w:eastAsia="Calibri" w:hint="default"/>
                <w:sz w:val="21"/>
                <w:szCs w:val="21"/>
              </w:rPr>
            </w:pPr>
            <w:r>
              <w:rPr>
                <w:rFonts w:ascii="宋体" w:hAnsi="宋体" w:cs="宋体" w:eastAsia="宋体" w:hint="default"/>
                <w:spacing w:val="-11"/>
                <w:sz w:val="21"/>
                <w:szCs w:val="21"/>
              </w:rPr>
              <w:t>上年增减（</w:t>
            </w:r>
            <w:r>
              <w:rPr>
                <w:rFonts w:ascii="Calibri" w:hAnsi="Calibri" w:cs="Calibri" w:eastAsia="Calibri" w:hint="default"/>
                <w:spacing w:val="-11"/>
                <w:sz w:val="21"/>
                <w:szCs w:val="21"/>
              </w:rPr>
              <w:t>%</w:t>
            </w:r>
          </w:p>
        </w:tc>
        <w:tc>
          <w:tcPr>
            <w:tcW w:w="1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8" w:lineRule="exact"/>
              <w:ind w:left="54" w:right="0"/>
              <w:jc w:val="left"/>
              <w:rPr>
                <w:rFonts w:ascii="宋体" w:hAnsi="宋体" w:cs="宋体" w:eastAsia="宋体" w:hint="default"/>
                <w:sz w:val="21"/>
                <w:szCs w:val="21"/>
              </w:rPr>
            </w:pPr>
            <w:r>
              <w:rPr>
                <w:rFonts w:ascii="宋体" w:hAnsi="宋体" w:cs="宋体" w:eastAsia="宋体" w:hint="default"/>
                <w:sz w:val="21"/>
                <w:szCs w:val="21"/>
              </w:rPr>
              <w:t>毛利率比上年</w:t>
            </w:r>
          </w:p>
          <w:p>
            <w:pPr>
              <w:pStyle w:val="TableParagraph"/>
              <w:spacing w:line="300" w:lineRule="exact"/>
              <w:ind w:left="-138"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10"/>
                <w:sz w:val="21"/>
                <w:szCs w:val="21"/>
              </w:rPr>
              <w:t> </w:t>
            </w:r>
            <w:r>
              <w:rPr>
                <w:rFonts w:ascii="宋体" w:hAnsi="宋体" w:cs="宋体" w:eastAsia="宋体" w:hint="default"/>
                <w:sz w:val="21"/>
                <w:szCs w:val="21"/>
              </w:rPr>
              <w:t>增减（</w:t>
            </w:r>
            <w:r>
              <w:rPr>
                <w:rFonts w:ascii="Calibri" w:hAnsi="Calibri" w:cs="Calibri" w:eastAsia="Calibri" w:hint="default"/>
                <w:sz w:val="21"/>
                <w:szCs w:val="21"/>
              </w:rPr>
              <w:t>%</w:t>
            </w:r>
            <w:r>
              <w:rPr>
                <w:rFonts w:ascii="宋体" w:hAnsi="宋体" w:cs="宋体" w:eastAsia="宋体" w:hint="default"/>
                <w:sz w:val="21"/>
                <w:szCs w:val="21"/>
              </w:rPr>
              <w:t>）</w:t>
            </w:r>
          </w:p>
        </w:tc>
      </w:tr>
      <w:tr>
        <w:trPr>
          <w:trHeight w:val="283" w:hRule="exact"/>
        </w:trPr>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中压电缆分支箱</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11,377.06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5,235.18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53.98%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14.31%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19.95%</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3.24%</w:t>
            </w:r>
          </w:p>
        </w:tc>
      </w:tr>
      <w:tr>
        <w:trPr>
          <w:trHeight w:val="282" w:hRule="exact"/>
        </w:trPr>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中压电缆对接箱</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w w:val="95"/>
                <w:sz w:val="21"/>
              </w:rPr>
              <w:t>573.60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247.06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56.93%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35.05%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52.11%</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15.34%</w:t>
            </w:r>
          </w:p>
        </w:tc>
      </w:tr>
      <w:tr>
        <w:trPr>
          <w:trHeight w:val="282" w:hRule="exact"/>
        </w:trPr>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低压电缆分支箱</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10,868.57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7,258.89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33.21%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14.57%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60.20%</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19.02%</w:t>
            </w:r>
          </w:p>
        </w:tc>
      </w:tr>
      <w:tr>
        <w:trPr>
          <w:trHeight w:val="282" w:hRule="exact"/>
        </w:trPr>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电气设备箱体</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Calibri" w:hAnsi="Calibri" w:cs="Calibri" w:eastAsia="Calibri" w:hint="default"/>
                <w:sz w:val="21"/>
                <w:szCs w:val="21"/>
              </w:rPr>
            </w:pPr>
            <w:r>
              <w:rPr>
                <w:rFonts w:ascii="Calibri"/>
                <w:spacing w:val="-1"/>
                <w:sz w:val="21"/>
              </w:rPr>
              <w:t>2,829.67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2"/>
                <w:sz w:val="21"/>
              </w:rPr>
              <w:t>1,872.62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33.82%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65.95%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sz w:val="21"/>
              </w:rPr>
              <w:t>94.01%</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9.57%</w:t>
            </w:r>
          </w:p>
        </w:tc>
      </w:tr>
      <w:tr>
        <w:trPr>
          <w:trHeight w:val="283" w:hRule="exact"/>
        </w:trPr>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电缆附件及插头</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Calibri" w:hAnsi="Calibri" w:cs="Calibri" w:eastAsia="Calibri" w:hint="default"/>
                <w:sz w:val="21"/>
                <w:szCs w:val="21"/>
              </w:rPr>
            </w:pPr>
            <w:r>
              <w:rPr>
                <w:rFonts w:ascii="Calibri"/>
                <w:spacing w:val="-1"/>
                <w:sz w:val="21"/>
              </w:rPr>
              <w:t>2,960.27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1,461.58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50.63%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6.09%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9.12%</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1.65%</w:t>
            </w:r>
          </w:p>
        </w:tc>
      </w:tr>
      <w:tr>
        <w:trPr>
          <w:trHeight w:val="282" w:hRule="exact"/>
        </w:trPr>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绝缘母线（管母线）</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Calibri" w:hAnsi="Calibri" w:cs="Calibri" w:eastAsia="Calibri" w:hint="default"/>
                <w:sz w:val="21"/>
                <w:szCs w:val="21"/>
              </w:rPr>
            </w:pPr>
            <w:r>
              <w:rPr>
                <w:rFonts w:ascii="Calibri"/>
                <w:sz w:val="21"/>
              </w:rPr>
              <w:t>739.71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2"/>
                <w:sz w:val="21"/>
              </w:rPr>
              <w:t>478.26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35.34%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2.34%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z w:val="21"/>
              </w:rPr>
              <w:t>15.77%</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7.50%</w:t>
            </w:r>
          </w:p>
        </w:tc>
      </w:tr>
      <w:tr>
        <w:trPr>
          <w:trHeight w:val="282" w:hRule="exact"/>
        </w:trPr>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开关</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1,745.99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z w:val="21"/>
              </w:rPr>
              <w:t>804.65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53.91%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45.28%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47.68%</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2.11%</w:t>
            </w:r>
          </w:p>
        </w:tc>
      </w:tr>
      <w:tr>
        <w:trPr>
          <w:trHeight w:val="283" w:hRule="exact"/>
        </w:trPr>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真空开关</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1,613.04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742.16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53.99%</w:t>
            </w:r>
          </w:p>
        </w:tc>
        <w:tc>
          <w:tcPr>
            <w:tcW w:w="1300"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79"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特种工程材料</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Calibri" w:hAnsi="Calibri" w:cs="Calibri" w:eastAsia="Calibri" w:hint="default"/>
                <w:sz w:val="21"/>
                <w:szCs w:val="21"/>
              </w:rPr>
            </w:pPr>
            <w:r>
              <w:rPr>
                <w:rFonts w:ascii="Calibri"/>
                <w:spacing w:val="-1"/>
                <w:w w:val="95"/>
                <w:sz w:val="21"/>
              </w:rPr>
              <w:t>275.68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2"/>
                <w:sz w:val="21"/>
              </w:rPr>
              <w:t>257.62</w:t>
            </w:r>
            <w:r>
              <w:rPr>
                <w:rFonts w:ascii="Calibri"/>
                <w:sz w:val="21"/>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Calibri" w:hAnsi="Calibri" w:cs="Calibri" w:eastAsia="Calibri" w:hint="default"/>
                <w:sz w:val="21"/>
                <w:szCs w:val="21"/>
              </w:rPr>
            </w:pPr>
            <w:r>
              <w:rPr>
                <w:rFonts w:ascii="Calibri"/>
                <w:spacing w:val="-1"/>
                <w:sz w:val="21"/>
              </w:rPr>
              <w:t>6.55%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15.52%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sz w:val="21"/>
              </w:rPr>
              <w:t>129.89%</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hAnsi="Calibri" w:cs="Calibri" w:eastAsia="Calibri" w:hint="default"/>
                <w:spacing w:val="-1"/>
                <w:sz w:val="21"/>
                <w:szCs w:val="21"/>
              </w:rPr>
              <w:t>‐</w:t>
            </w:r>
            <w:r>
              <w:rPr>
                <w:rFonts w:ascii="Calibri" w:hAnsi="Calibri" w:cs="Calibri" w:eastAsia="Calibri" w:hint="default"/>
                <w:spacing w:val="-1"/>
                <w:sz w:val="21"/>
                <w:szCs w:val="21"/>
              </w:rPr>
              <w:t>46.49%</w:t>
            </w:r>
          </w:p>
        </w:tc>
      </w:tr>
      <w:tr>
        <w:trPr>
          <w:trHeight w:val="282" w:hRule="exact"/>
        </w:trPr>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聚酰材料</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286.09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z w:val="21"/>
              </w:rPr>
              <w:t>286.13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0.01%</w:t>
            </w:r>
          </w:p>
        </w:tc>
        <w:tc>
          <w:tcPr>
            <w:tcW w:w="1300"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7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3,295.59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Calibri" w:hAnsi="Calibri" w:cs="Calibri" w:eastAsia="Calibri" w:hint="default"/>
                <w:sz w:val="21"/>
                <w:szCs w:val="21"/>
              </w:rPr>
            </w:pPr>
            <w:r>
              <w:rPr>
                <w:rFonts w:ascii="Calibri"/>
                <w:spacing w:val="-1"/>
                <w:sz w:val="21"/>
              </w:rPr>
              <w:t>1,794.81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z w:val="21"/>
              </w:rPr>
              <w:t>45.54%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spacing w:val="-1"/>
                <w:sz w:val="21"/>
              </w:rPr>
              <w:t>98.02%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Calibri" w:hAnsi="Calibri" w:cs="Calibri" w:eastAsia="Calibri" w:hint="default"/>
                <w:sz w:val="21"/>
                <w:szCs w:val="21"/>
              </w:rPr>
            </w:pPr>
            <w:r>
              <w:rPr>
                <w:rFonts w:ascii="Calibri"/>
                <w:sz w:val="21"/>
              </w:rPr>
              <w:t>124.83%</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6.49%</w:t>
            </w:r>
          </w:p>
        </w:tc>
      </w:tr>
    </w:tbl>
    <w:p>
      <w:pPr>
        <w:spacing w:line="234" w:lineRule="exact" w:before="32"/>
        <w:ind w:left="258" w:right="1027"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4"/>
          <w:sz w:val="18"/>
          <w:szCs w:val="18"/>
        </w:rPr>
        <w:t> </w:t>
      </w:r>
      <w:r>
        <w:rPr>
          <w:rFonts w:ascii="宋体" w:hAnsi="宋体" w:cs="宋体" w:eastAsia="宋体" w:hint="default"/>
          <w:sz w:val="18"/>
          <w:szCs w:val="18"/>
        </w:rPr>
        <w:t>年，由于中压产品市场竞争激烈，导致销售略有下降，通过销售策略调整，带动低压产品较大幅度的销 售增长。</w:t>
      </w:r>
    </w:p>
    <w:p>
      <w:pPr>
        <w:spacing w:line="240" w:lineRule="auto" w:before="5"/>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1910" w:h="16840"/>
          <w:pgMar w:header="470" w:footer="1266" w:top="900" w:bottom="1460" w:left="1160" w:right="540"/>
        </w:sectPr>
      </w:pPr>
    </w:p>
    <w:p>
      <w:pPr>
        <w:pStyle w:val="BodyText"/>
        <w:spacing w:line="240" w:lineRule="auto" w:before="26"/>
        <w:ind w:left="724" w:right="-20"/>
        <w:jc w:val="left"/>
      </w:pPr>
      <w:r>
        <w:rPr/>
        <w:t>（</w:t>
      </w:r>
      <w:r>
        <w:rPr>
          <w:rFonts w:ascii="Times New Roman" w:hAnsi="Times New Roman" w:cs="Times New Roman" w:eastAsia="Times New Roman" w:hint="default"/>
        </w:rPr>
        <w:t>4</w:t>
      </w:r>
      <w:r>
        <w:rPr/>
        <w:t>）按地区划分，公司主营业务收入构成情况</w:t>
      </w:r>
    </w:p>
    <w:p>
      <w:pPr>
        <w:spacing w:line="240" w:lineRule="auto" w:before="0"/>
        <w:rPr>
          <w:rFonts w:ascii="宋体" w:hAnsi="宋体" w:cs="宋体" w:eastAsia="宋体" w:hint="default"/>
          <w:sz w:val="18"/>
          <w:szCs w:val="18"/>
        </w:rPr>
      </w:pPr>
      <w:r>
        <w:rPr/>
        <w:br w:type="column"/>
      </w:r>
      <w:r>
        <w:rPr>
          <w:rFonts w:ascii="宋体"/>
          <w:sz w:val="18"/>
        </w:rPr>
      </w:r>
    </w:p>
    <w:p>
      <w:pPr>
        <w:spacing w:before="151"/>
        <w:ind w:left="723"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90"/>
          <w:sz w:val="18"/>
          <w:szCs w:val="18"/>
        </w:rPr>
        <w:t>：</w:t>
      </w:r>
      <w:r>
        <w:rPr>
          <w:rFonts w:ascii="宋体" w:hAnsi="宋体" w:cs="宋体" w:eastAsia="宋体" w:hint="default"/>
          <w:sz w:val="18"/>
          <w:szCs w:val="18"/>
        </w:rPr>
        <w:t>（人民币）万元</w:t>
      </w:r>
    </w:p>
    <w:p>
      <w:pPr>
        <w:spacing w:after="0"/>
        <w:jc w:val="left"/>
        <w:rPr>
          <w:rFonts w:ascii="宋体" w:hAnsi="宋体" w:cs="宋体" w:eastAsia="宋体" w:hint="default"/>
          <w:sz w:val="18"/>
          <w:szCs w:val="18"/>
        </w:rPr>
        <w:sectPr>
          <w:type w:val="continuous"/>
          <w:pgSz w:w="11910" w:h="16840"/>
          <w:pgMar w:top="900" w:bottom="1460" w:left="1160" w:right="540"/>
          <w:cols w:num="2" w:equalWidth="0">
            <w:col w:w="5645" w:space="1030"/>
            <w:col w:w="3535"/>
          </w:cols>
        </w:sectPr>
      </w:pPr>
    </w:p>
    <w:p>
      <w:pPr>
        <w:spacing w:line="240" w:lineRule="auto" w:before="3"/>
        <w:rPr>
          <w:rFonts w:ascii="宋体" w:hAnsi="宋体" w:cs="宋体" w:eastAsia="宋体" w:hint="default"/>
          <w:sz w:val="5"/>
          <w:szCs w:val="5"/>
        </w:rPr>
      </w:pPr>
    </w:p>
    <w:tbl>
      <w:tblPr>
        <w:tblW w:w="0" w:type="auto"/>
        <w:jc w:val="left"/>
        <w:tblInd w:w="253" w:type="dxa"/>
        <w:tblLayout w:type="fixed"/>
        <w:tblCellMar>
          <w:top w:w="0" w:type="dxa"/>
          <w:left w:w="0" w:type="dxa"/>
          <w:bottom w:w="0" w:type="dxa"/>
          <w:right w:w="0" w:type="dxa"/>
        </w:tblCellMar>
        <w:tblLook w:val="01E0"/>
      </w:tblPr>
      <w:tblGrid>
        <w:gridCol w:w="4159"/>
        <w:gridCol w:w="2858"/>
        <w:gridCol w:w="2808"/>
      </w:tblGrid>
      <w:tr>
        <w:trPr>
          <w:trHeight w:val="282" w:hRule="exact"/>
        </w:trPr>
        <w:tc>
          <w:tcPr>
            <w:tcW w:w="41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地区</w:t>
            </w:r>
          </w:p>
        </w:tc>
        <w:tc>
          <w:tcPr>
            <w:tcW w:w="28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28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6" w:lineRule="exact"/>
              <w:ind w:left="168" w:right="0"/>
              <w:jc w:val="left"/>
              <w:rPr>
                <w:rFonts w:ascii="宋体" w:hAnsi="宋体" w:cs="宋体" w:eastAsia="宋体" w:hint="default"/>
                <w:sz w:val="21"/>
                <w:szCs w:val="21"/>
              </w:rPr>
            </w:pPr>
            <w:r>
              <w:rPr>
                <w:rFonts w:ascii="宋体" w:hAnsi="宋体" w:cs="宋体" w:eastAsia="宋体" w:hint="default"/>
                <w:sz w:val="21"/>
                <w:szCs w:val="21"/>
              </w:rPr>
              <w:t>营业收入比上年增减（</w:t>
            </w:r>
            <w:r>
              <w:rPr>
                <w:rFonts w:ascii="Calibri" w:hAnsi="Calibri" w:cs="Calibri" w:eastAsia="Calibri" w:hint="default"/>
                <w:sz w:val="21"/>
                <w:szCs w:val="21"/>
              </w:rPr>
              <w:t>%</w:t>
            </w:r>
            <w:r>
              <w:rPr>
                <w:rFonts w:ascii="宋体" w:hAnsi="宋体" w:cs="宋体" w:eastAsia="宋体" w:hint="default"/>
                <w:sz w:val="21"/>
                <w:szCs w:val="21"/>
              </w:rPr>
              <w:t>）</w:t>
            </w:r>
          </w:p>
        </w:tc>
      </w:tr>
      <w:tr>
        <w:trPr>
          <w:trHeight w:val="324" w:hRule="exact"/>
        </w:trPr>
        <w:tc>
          <w:tcPr>
            <w:tcW w:w="4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华中地区</w:t>
            </w:r>
          </w:p>
        </w:tc>
        <w:tc>
          <w:tcPr>
            <w:tcW w:w="2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2,026.72</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w w:val="95"/>
                <w:sz w:val="18"/>
              </w:rPr>
              <w:t>5.52%</w:t>
            </w:r>
            <w:r>
              <w:rPr>
                <w:rFonts w:ascii="Times New Roman"/>
                <w:sz w:val="18"/>
              </w:rPr>
            </w:r>
          </w:p>
        </w:tc>
      </w:tr>
      <w:tr>
        <w:trPr>
          <w:trHeight w:val="323" w:hRule="exact"/>
        </w:trPr>
        <w:tc>
          <w:tcPr>
            <w:tcW w:w="4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华南地区</w:t>
            </w:r>
          </w:p>
        </w:tc>
        <w:tc>
          <w:tcPr>
            <w:tcW w:w="2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14,320.21</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2"/>
                <w:sz w:val="18"/>
              </w:rPr>
              <w:t>11.90%</w:t>
            </w:r>
          </w:p>
        </w:tc>
      </w:tr>
      <w:tr>
        <w:trPr>
          <w:trHeight w:val="324" w:hRule="exact"/>
        </w:trPr>
        <w:tc>
          <w:tcPr>
            <w:tcW w:w="4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2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2,930.02</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w w:val="95"/>
                <w:sz w:val="18"/>
              </w:rPr>
              <w:t>10.44%</w:t>
            </w:r>
            <w:r>
              <w:rPr>
                <w:rFonts w:ascii="Times New Roman"/>
                <w:sz w:val="18"/>
              </w:rPr>
            </w:r>
          </w:p>
        </w:tc>
      </w:tr>
      <w:tr>
        <w:trPr>
          <w:trHeight w:val="323" w:hRule="exact"/>
        </w:trPr>
        <w:tc>
          <w:tcPr>
            <w:tcW w:w="4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东北地区</w:t>
            </w:r>
          </w:p>
        </w:tc>
        <w:tc>
          <w:tcPr>
            <w:tcW w:w="2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w w:val="95"/>
                <w:sz w:val="18"/>
              </w:rPr>
              <w:t>1,484.11</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-4.42%</w:t>
            </w:r>
            <w:r>
              <w:rPr>
                <w:rFonts w:ascii="Times New Roman"/>
                <w:sz w:val="18"/>
              </w:rPr>
            </w:r>
          </w:p>
        </w:tc>
      </w:tr>
      <w:tr>
        <w:trPr>
          <w:trHeight w:val="324" w:hRule="exact"/>
        </w:trPr>
        <w:tc>
          <w:tcPr>
            <w:tcW w:w="4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2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10,140.81</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w w:val="95"/>
                <w:sz w:val="18"/>
              </w:rPr>
              <w:t>5.50%</w:t>
            </w:r>
            <w:r>
              <w:rPr>
                <w:rFonts w:ascii="Times New Roman"/>
                <w:sz w:val="18"/>
              </w:rPr>
            </w:r>
          </w:p>
        </w:tc>
      </w:tr>
      <w:tr>
        <w:trPr>
          <w:trHeight w:val="323" w:hRule="exact"/>
        </w:trPr>
        <w:tc>
          <w:tcPr>
            <w:tcW w:w="4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西南及西北地区</w:t>
            </w:r>
          </w:p>
        </w:tc>
        <w:tc>
          <w:tcPr>
            <w:tcW w:w="2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5,238.30</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-6.83%</w:t>
            </w:r>
            <w:r>
              <w:rPr>
                <w:rFonts w:ascii="Times New Roman"/>
                <w:sz w:val="18"/>
              </w:rPr>
            </w:r>
          </w:p>
        </w:tc>
      </w:tr>
      <w:tr>
        <w:trPr>
          <w:trHeight w:val="324" w:hRule="exact"/>
        </w:trPr>
        <w:tc>
          <w:tcPr>
            <w:tcW w:w="4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出口</w:t>
            </w:r>
          </w:p>
        </w:tc>
        <w:tc>
          <w:tcPr>
            <w:tcW w:w="2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2"/>
                <w:sz w:val="18"/>
              </w:rPr>
              <w:t>425.11</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w w:val="95"/>
                <w:sz w:val="18"/>
              </w:rPr>
              <w:t>161.91%</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900" w:bottom="1460" w:left="1160" w:right="54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spacing w:before="0"/>
        <w:ind w:left="258" w:right="1043" w:firstLine="360"/>
        <w:jc w:val="left"/>
        <w:rPr>
          <w:rFonts w:ascii="宋体" w:hAnsi="宋体" w:cs="宋体" w:eastAsia="宋体" w:hint="default"/>
          <w:sz w:val="18"/>
          <w:szCs w:val="18"/>
        </w:rPr>
      </w:pPr>
      <w:r>
        <w:rPr>
          <w:rFonts w:ascii="宋体" w:hAnsi="宋体" w:cs="宋体" w:eastAsia="宋体" w:hint="default"/>
          <w:sz w:val="18"/>
          <w:szCs w:val="18"/>
        </w:rPr>
        <w:t>公司加大市场营销力度，保证华南、华东等各个主要市场销售持续增长，本年加大国际业务开拓，出口增长</w:t>
      </w:r>
      <w:r>
        <w:rPr>
          <w:rFonts w:ascii="宋体" w:hAnsi="宋体" w:cs="宋体" w:eastAsia="宋体" w:hint="default"/>
          <w:spacing w:val="1"/>
          <w:sz w:val="18"/>
          <w:szCs w:val="18"/>
        </w:rPr>
        <w:t> </w:t>
      </w:r>
      <w:r>
        <w:rPr>
          <w:rFonts w:ascii="宋体" w:hAnsi="宋体" w:cs="宋体" w:eastAsia="宋体" w:hint="default"/>
          <w:sz w:val="18"/>
          <w:szCs w:val="18"/>
        </w:rPr>
        <w:t>幅度较大。</w:t>
      </w:r>
    </w:p>
    <w:p>
      <w:pPr>
        <w:spacing w:line="240" w:lineRule="auto" w:before="2"/>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10" w:h="16840"/>
          <w:pgMar w:header="470" w:footer="1266" w:top="900" w:bottom="1460" w:left="1160" w:right="540"/>
        </w:sectPr>
      </w:pPr>
    </w:p>
    <w:p>
      <w:pPr>
        <w:pStyle w:val="BodyText"/>
        <w:spacing w:line="240" w:lineRule="auto" w:before="26"/>
        <w:ind w:left="724" w:right="-20"/>
        <w:jc w:val="left"/>
      </w:pPr>
      <w:r>
        <w:rPr/>
        <w:t>（</w:t>
      </w:r>
      <w:r>
        <w:rPr>
          <w:rFonts w:ascii="Times New Roman" w:hAnsi="Times New Roman" w:cs="Times New Roman" w:eastAsia="Times New Roman" w:hint="default"/>
        </w:rPr>
        <w:t>5</w:t>
      </w:r>
      <w:r>
        <w:rPr/>
        <w:t>）近三年主要财务指标变动情况及变动原因：</w:t>
      </w:r>
    </w:p>
    <w:p>
      <w:pPr>
        <w:spacing w:line="240" w:lineRule="auto" w:before="0"/>
        <w:rPr>
          <w:rFonts w:ascii="宋体" w:hAnsi="宋体" w:cs="宋体" w:eastAsia="宋体" w:hint="default"/>
          <w:sz w:val="18"/>
          <w:szCs w:val="18"/>
        </w:rPr>
      </w:pPr>
      <w:r>
        <w:rPr/>
        <w:br w:type="column"/>
      </w:r>
      <w:r>
        <w:rPr>
          <w:rFonts w:ascii="宋体"/>
          <w:sz w:val="18"/>
        </w:rPr>
      </w:r>
    </w:p>
    <w:p>
      <w:pPr>
        <w:spacing w:before="151"/>
        <w:ind w:left="723"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90"/>
          <w:sz w:val="18"/>
          <w:szCs w:val="18"/>
        </w:rPr>
        <w:t>：</w:t>
      </w: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900" w:bottom="1460" w:left="1160" w:right="540"/>
          <w:cols w:num="2" w:equalWidth="0">
            <w:col w:w="5885" w:space="1021"/>
            <w:col w:w="3304"/>
          </w:cols>
        </w:sectPr>
      </w:pPr>
    </w:p>
    <w:p>
      <w:pPr>
        <w:spacing w:line="240" w:lineRule="auto" w:before="2"/>
        <w:rPr>
          <w:rFonts w:ascii="宋体" w:hAnsi="宋体" w:cs="宋体" w:eastAsia="宋体" w:hint="default"/>
          <w:sz w:val="5"/>
          <w:szCs w:val="5"/>
        </w:rPr>
      </w:pPr>
    </w:p>
    <w:tbl>
      <w:tblPr>
        <w:tblW w:w="0" w:type="auto"/>
        <w:jc w:val="left"/>
        <w:tblInd w:w="264" w:type="dxa"/>
        <w:tblLayout w:type="fixed"/>
        <w:tblCellMar>
          <w:top w:w="0" w:type="dxa"/>
          <w:left w:w="0" w:type="dxa"/>
          <w:bottom w:w="0" w:type="dxa"/>
          <w:right w:w="0" w:type="dxa"/>
        </w:tblCellMar>
        <w:tblLook w:val="01E0"/>
      </w:tblPr>
      <w:tblGrid>
        <w:gridCol w:w="2104"/>
        <w:gridCol w:w="1628"/>
        <w:gridCol w:w="2027"/>
        <w:gridCol w:w="2027"/>
        <w:gridCol w:w="2028"/>
      </w:tblGrid>
      <w:tr>
        <w:trPr>
          <w:trHeight w:val="283"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8" w:lineRule="exact"/>
              <w:ind w:left="470"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w:t>
            </w:r>
          </w:p>
        </w:tc>
        <w:tc>
          <w:tcPr>
            <w:tcW w:w="20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8" w:lineRule="exact"/>
              <w:ind w:left="664"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p>
        </w:tc>
        <w:tc>
          <w:tcPr>
            <w:tcW w:w="20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pacing w:val="-3"/>
                <w:sz w:val="21"/>
                <w:szCs w:val="21"/>
              </w:rPr>
              <w:t>本年比上年增减（％</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tabs>
                <w:tab w:pos="664" w:val="left" w:leader="none"/>
              </w:tabs>
              <w:spacing w:line="268" w:lineRule="exact"/>
              <w:ind w:left="-139" w:right="0"/>
              <w:jc w:val="left"/>
              <w:rPr>
                <w:rFonts w:ascii="宋体" w:hAnsi="宋体" w:cs="宋体" w:eastAsia="宋体" w:hint="default"/>
                <w:sz w:val="21"/>
                <w:szCs w:val="21"/>
              </w:rPr>
            </w:pPr>
            <w:r>
              <w:rPr>
                <w:rFonts w:ascii="宋体" w:hAnsi="宋体" w:cs="宋体" w:eastAsia="宋体" w:hint="default"/>
                <w:sz w:val="21"/>
                <w:szCs w:val="21"/>
              </w:rPr>
              <w:t>）</w:t>
              <w:tab/>
            </w: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p>
        </w:tc>
      </w:tr>
      <w:tr>
        <w:trPr>
          <w:trHeight w:val="269"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0" w:lineRule="exact"/>
              <w:ind w:left="11" w:right="0"/>
              <w:jc w:val="left"/>
              <w:rPr>
                <w:rFonts w:ascii="宋体" w:hAnsi="宋体" w:cs="宋体" w:eastAsia="宋体" w:hint="default"/>
                <w:sz w:val="20"/>
                <w:szCs w:val="20"/>
              </w:rPr>
            </w:pPr>
            <w:r>
              <w:rPr>
                <w:rFonts w:ascii="宋体" w:hAnsi="宋体" w:cs="宋体" w:eastAsia="宋体" w:hint="default"/>
                <w:sz w:val="20"/>
                <w:szCs w:val="20"/>
              </w:rPr>
              <w:t>营业总收入</w:t>
            </w:r>
          </w:p>
        </w:tc>
        <w:tc>
          <w:tcPr>
            <w:tcW w:w="162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21"/>
              <w:jc w:val="right"/>
              <w:rPr>
                <w:rFonts w:ascii="Calibri" w:hAnsi="Calibri" w:cs="Calibri" w:eastAsia="Calibri" w:hint="default"/>
                <w:sz w:val="21"/>
                <w:szCs w:val="21"/>
              </w:rPr>
            </w:pPr>
            <w:r>
              <w:rPr>
                <w:rFonts w:ascii="Calibri"/>
                <w:spacing w:val="-2"/>
                <w:sz w:val="21"/>
              </w:rPr>
              <w:t>370,142,507.50</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20"/>
              <w:jc w:val="right"/>
              <w:rPr>
                <w:rFonts w:ascii="Calibri" w:hAnsi="Calibri" w:cs="Calibri" w:eastAsia="Calibri" w:hint="default"/>
                <w:sz w:val="21"/>
                <w:szCs w:val="21"/>
              </w:rPr>
            </w:pPr>
            <w:r>
              <w:rPr>
                <w:rFonts w:ascii="Calibri"/>
                <w:spacing w:val="-1"/>
                <w:sz w:val="21"/>
              </w:rPr>
              <w:t>352,977,268.97</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8"/>
              <w:jc w:val="right"/>
              <w:rPr>
                <w:rFonts w:ascii="Calibri" w:hAnsi="Calibri" w:cs="Calibri" w:eastAsia="Calibri" w:hint="default"/>
                <w:sz w:val="21"/>
                <w:szCs w:val="21"/>
              </w:rPr>
            </w:pPr>
            <w:r>
              <w:rPr>
                <w:rFonts w:ascii="Calibri"/>
                <w:sz w:val="21"/>
              </w:rPr>
              <w:t>4.86%</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22"/>
              <w:jc w:val="right"/>
              <w:rPr>
                <w:rFonts w:ascii="Calibri" w:hAnsi="Calibri" w:cs="Calibri" w:eastAsia="Calibri" w:hint="default"/>
                <w:sz w:val="21"/>
                <w:szCs w:val="21"/>
              </w:rPr>
            </w:pPr>
            <w:r>
              <w:rPr>
                <w:rFonts w:ascii="Calibri"/>
                <w:spacing w:val="-1"/>
                <w:sz w:val="21"/>
              </w:rPr>
              <w:t>314,340,387.61</w:t>
            </w:r>
          </w:p>
        </w:tc>
      </w:tr>
      <w:tr>
        <w:trPr>
          <w:trHeight w:val="270"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1" w:lineRule="exact"/>
              <w:ind w:left="11" w:right="0"/>
              <w:jc w:val="left"/>
              <w:rPr>
                <w:rFonts w:ascii="宋体" w:hAnsi="宋体" w:cs="宋体" w:eastAsia="宋体" w:hint="default"/>
                <w:sz w:val="20"/>
                <w:szCs w:val="20"/>
              </w:rPr>
            </w:pPr>
            <w:r>
              <w:rPr>
                <w:rFonts w:ascii="宋体" w:hAnsi="宋体" w:cs="宋体" w:eastAsia="宋体" w:hint="default"/>
                <w:sz w:val="20"/>
                <w:szCs w:val="20"/>
              </w:rPr>
              <w:t>营业利润</w:t>
            </w:r>
          </w:p>
        </w:tc>
        <w:tc>
          <w:tcPr>
            <w:tcW w:w="162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20"/>
              <w:jc w:val="right"/>
              <w:rPr>
                <w:rFonts w:ascii="Calibri" w:hAnsi="Calibri" w:cs="Calibri" w:eastAsia="Calibri" w:hint="default"/>
                <w:sz w:val="21"/>
                <w:szCs w:val="21"/>
              </w:rPr>
            </w:pPr>
            <w:r>
              <w:rPr>
                <w:rFonts w:ascii="Calibri"/>
                <w:spacing w:val="-1"/>
                <w:sz w:val="21"/>
              </w:rPr>
              <w:t>54,518,245.26</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9"/>
              <w:jc w:val="right"/>
              <w:rPr>
                <w:rFonts w:ascii="Calibri" w:hAnsi="Calibri" w:cs="Calibri" w:eastAsia="Calibri" w:hint="default"/>
                <w:sz w:val="21"/>
                <w:szCs w:val="21"/>
              </w:rPr>
            </w:pPr>
            <w:r>
              <w:rPr>
                <w:rFonts w:ascii="Calibri"/>
                <w:spacing w:val="-1"/>
                <w:sz w:val="21"/>
              </w:rPr>
              <w:t>77,112,314.65</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29.30%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20"/>
              <w:jc w:val="right"/>
              <w:rPr>
                <w:rFonts w:ascii="Calibri" w:hAnsi="Calibri" w:cs="Calibri" w:eastAsia="Calibri" w:hint="default"/>
                <w:sz w:val="21"/>
                <w:szCs w:val="21"/>
              </w:rPr>
            </w:pPr>
            <w:r>
              <w:rPr>
                <w:rFonts w:ascii="Calibri"/>
                <w:spacing w:val="-1"/>
                <w:sz w:val="21"/>
              </w:rPr>
              <w:t>81,490,265.05</w:t>
            </w:r>
          </w:p>
        </w:tc>
      </w:tr>
      <w:tr>
        <w:trPr>
          <w:trHeight w:val="269"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0" w:lineRule="exact"/>
              <w:ind w:left="11" w:right="0"/>
              <w:jc w:val="left"/>
              <w:rPr>
                <w:rFonts w:ascii="宋体" w:hAnsi="宋体" w:cs="宋体" w:eastAsia="宋体" w:hint="default"/>
                <w:sz w:val="20"/>
                <w:szCs w:val="20"/>
              </w:rPr>
            </w:pPr>
            <w:r>
              <w:rPr>
                <w:rFonts w:ascii="宋体" w:hAnsi="宋体" w:cs="宋体" w:eastAsia="宋体" w:hint="default"/>
                <w:sz w:val="20"/>
                <w:szCs w:val="20"/>
              </w:rPr>
              <w:t>利润总额</w:t>
            </w:r>
          </w:p>
        </w:tc>
        <w:tc>
          <w:tcPr>
            <w:tcW w:w="162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20"/>
              <w:jc w:val="right"/>
              <w:rPr>
                <w:rFonts w:ascii="Calibri" w:hAnsi="Calibri" w:cs="Calibri" w:eastAsia="Calibri" w:hint="default"/>
                <w:sz w:val="21"/>
                <w:szCs w:val="21"/>
              </w:rPr>
            </w:pPr>
            <w:r>
              <w:rPr>
                <w:rFonts w:ascii="Calibri"/>
                <w:spacing w:val="-1"/>
                <w:sz w:val="21"/>
              </w:rPr>
              <w:t>81,903,868.31</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9"/>
              <w:jc w:val="right"/>
              <w:rPr>
                <w:rFonts w:ascii="Calibri" w:hAnsi="Calibri" w:cs="Calibri" w:eastAsia="Calibri" w:hint="default"/>
                <w:sz w:val="21"/>
                <w:szCs w:val="21"/>
              </w:rPr>
            </w:pPr>
            <w:r>
              <w:rPr>
                <w:rFonts w:ascii="Calibri"/>
                <w:spacing w:val="-1"/>
                <w:sz w:val="21"/>
              </w:rPr>
              <w:t>80,667,454.65</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9"/>
              <w:jc w:val="right"/>
              <w:rPr>
                <w:rFonts w:ascii="Calibri" w:hAnsi="Calibri" w:cs="Calibri" w:eastAsia="Calibri" w:hint="default"/>
                <w:sz w:val="21"/>
                <w:szCs w:val="21"/>
              </w:rPr>
            </w:pPr>
            <w:r>
              <w:rPr>
                <w:rFonts w:ascii="Calibri"/>
                <w:spacing w:val="-1"/>
                <w:sz w:val="21"/>
              </w:rPr>
              <w:t>1.53%</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20"/>
              <w:jc w:val="right"/>
              <w:rPr>
                <w:rFonts w:ascii="Calibri" w:hAnsi="Calibri" w:cs="Calibri" w:eastAsia="Calibri" w:hint="default"/>
                <w:sz w:val="21"/>
                <w:szCs w:val="21"/>
              </w:rPr>
            </w:pPr>
            <w:r>
              <w:rPr>
                <w:rFonts w:ascii="Calibri"/>
                <w:spacing w:val="-1"/>
                <w:sz w:val="21"/>
              </w:rPr>
              <w:t>84,308,424.32</w:t>
            </w:r>
          </w:p>
        </w:tc>
      </w:tr>
      <w:tr>
        <w:trPr>
          <w:trHeight w:val="529"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0" w:lineRule="exact"/>
              <w:ind w:left="11" w:right="0"/>
              <w:jc w:val="left"/>
              <w:rPr>
                <w:rFonts w:ascii="宋体" w:hAnsi="宋体" w:cs="宋体" w:eastAsia="宋体" w:hint="default"/>
                <w:sz w:val="20"/>
                <w:szCs w:val="20"/>
              </w:rPr>
            </w:pPr>
            <w:r>
              <w:rPr>
                <w:rFonts w:ascii="宋体" w:hAnsi="宋体" w:cs="宋体" w:eastAsia="宋体" w:hint="default"/>
                <w:sz w:val="20"/>
                <w:szCs w:val="20"/>
              </w:rPr>
              <w:t>归属于上市公司股东的</w:t>
            </w:r>
          </w:p>
          <w:p>
            <w:pPr>
              <w:pStyle w:val="TableParagraph"/>
              <w:spacing w:line="260" w:lineRule="exact"/>
              <w:ind w:left="11" w:right="0"/>
              <w:jc w:val="left"/>
              <w:rPr>
                <w:rFonts w:ascii="宋体" w:hAnsi="宋体" w:cs="宋体" w:eastAsia="宋体" w:hint="default"/>
                <w:sz w:val="20"/>
                <w:szCs w:val="20"/>
              </w:rPr>
            </w:pPr>
            <w:r>
              <w:rPr>
                <w:rFonts w:ascii="宋体" w:hAnsi="宋体" w:cs="宋体" w:eastAsia="宋体" w:hint="default"/>
                <w:sz w:val="20"/>
                <w:szCs w:val="20"/>
              </w:rPr>
              <w:t>净利润</w:t>
            </w:r>
          </w:p>
        </w:tc>
        <w:tc>
          <w:tcPr>
            <w:tcW w:w="162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31"/>
              <w:ind w:right="20"/>
              <w:jc w:val="right"/>
              <w:rPr>
                <w:rFonts w:ascii="Calibri" w:hAnsi="Calibri" w:cs="Calibri" w:eastAsia="Calibri" w:hint="default"/>
                <w:sz w:val="21"/>
                <w:szCs w:val="21"/>
              </w:rPr>
            </w:pPr>
            <w:r>
              <w:rPr>
                <w:rFonts w:ascii="Calibri"/>
                <w:spacing w:val="-2"/>
                <w:sz w:val="21"/>
              </w:rPr>
              <w:t>70,590,817.47</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right="19"/>
              <w:jc w:val="right"/>
              <w:rPr>
                <w:rFonts w:ascii="Calibri" w:hAnsi="Calibri" w:cs="Calibri" w:eastAsia="Calibri" w:hint="default"/>
                <w:sz w:val="21"/>
                <w:szCs w:val="21"/>
              </w:rPr>
            </w:pPr>
            <w:r>
              <w:rPr>
                <w:rFonts w:ascii="Calibri"/>
                <w:spacing w:val="-2"/>
                <w:sz w:val="21"/>
              </w:rPr>
              <w:t>70,257,925.69</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right="20"/>
              <w:jc w:val="right"/>
              <w:rPr>
                <w:rFonts w:ascii="Calibri" w:hAnsi="Calibri" w:cs="Calibri" w:eastAsia="Calibri" w:hint="default"/>
                <w:sz w:val="21"/>
                <w:szCs w:val="21"/>
              </w:rPr>
            </w:pPr>
            <w:r>
              <w:rPr>
                <w:rFonts w:ascii="Calibri"/>
                <w:spacing w:val="-1"/>
                <w:sz w:val="21"/>
              </w:rPr>
              <w:t>0.47%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right="20"/>
              <w:jc w:val="right"/>
              <w:rPr>
                <w:rFonts w:ascii="Calibri" w:hAnsi="Calibri" w:cs="Calibri" w:eastAsia="Calibri" w:hint="default"/>
                <w:sz w:val="21"/>
                <w:szCs w:val="21"/>
              </w:rPr>
            </w:pPr>
            <w:r>
              <w:rPr>
                <w:rFonts w:ascii="Calibri"/>
                <w:spacing w:val="-2"/>
                <w:sz w:val="21"/>
              </w:rPr>
              <w:t>74,949,976.36</w:t>
            </w:r>
          </w:p>
        </w:tc>
      </w:tr>
      <w:tr>
        <w:trPr>
          <w:trHeight w:val="264" w:hRule="exact"/>
        </w:trPr>
        <w:tc>
          <w:tcPr>
            <w:tcW w:w="2104"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30" w:lineRule="exact"/>
              <w:ind w:left="11" w:right="0"/>
              <w:jc w:val="left"/>
              <w:rPr>
                <w:rFonts w:ascii="宋体" w:hAnsi="宋体" w:cs="宋体" w:eastAsia="宋体" w:hint="default"/>
                <w:sz w:val="20"/>
                <w:szCs w:val="20"/>
              </w:rPr>
            </w:pPr>
            <w:r>
              <w:rPr>
                <w:rFonts w:ascii="宋体" w:hAnsi="宋体" w:cs="宋体" w:eastAsia="宋体" w:hint="default"/>
                <w:sz w:val="20"/>
                <w:szCs w:val="20"/>
              </w:rPr>
              <w:t>归属于上市公司股东的</w:t>
            </w:r>
          </w:p>
        </w:tc>
        <w:tc>
          <w:tcPr>
            <w:tcW w:w="1628" w:type="dxa"/>
            <w:tcBorders>
              <w:top w:val="single" w:sz="4" w:space="0" w:color="000000"/>
              <w:left w:val="single" w:sz="13" w:space="0" w:color="DCDCDC"/>
              <w:bottom w:val="nil" w:sz="6" w:space="0" w:color="auto"/>
              <w:right w:val="single" w:sz="4" w:space="0" w:color="000000"/>
            </w:tcBorders>
          </w:tcPr>
          <w:p>
            <w:pPr/>
          </w:p>
        </w:tc>
        <w:tc>
          <w:tcPr>
            <w:tcW w:w="2027" w:type="dxa"/>
            <w:tcBorders>
              <w:top w:val="single" w:sz="4" w:space="0" w:color="000000"/>
              <w:left w:val="single" w:sz="4" w:space="0" w:color="000000"/>
              <w:bottom w:val="nil" w:sz="6" w:space="0" w:color="auto"/>
              <w:right w:val="single" w:sz="4" w:space="0" w:color="000000"/>
            </w:tcBorders>
          </w:tcPr>
          <w:p>
            <w:pPr/>
          </w:p>
        </w:tc>
        <w:tc>
          <w:tcPr>
            <w:tcW w:w="2027" w:type="dxa"/>
            <w:tcBorders>
              <w:top w:val="single" w:sz="4" w:space="0" w:color="000000"/>
              <w:left w:val="single" w:sz="4" w:space="0" w:color="000000"/>
              <w:bottom w:val="nil" w:sz="6" w:space="0" w:color="auto"/>
              <w:right w:val="single" w:sz="4" w:space="0" w:color="000000"/>
            </w:tcBorders>
          </w:tcPr>
          <w:p>
            <w:pPr/>
          </w:p>
        </w:tc>
        <w:tc>
          <w:tcPr>
            <w:tcW w:w="2028" w:type="dxa"/>
            <w:tcBorders>
              <w:top w:val="single" w:sz="4" w:space="0" w:color="000000"/>
              <w:left w:val="single" w:sz="4" w:space="0" w:color="000000"/>
              <w:bottom w:val="nil" w:sz="6" w:space="0" w:color="auto"/>
              <w:right w:val="single" w:sz="4" w:space="0" w:color="000000"/>
            </w:tcBorders>
          </w:tcPr>
          <w:p>
            <w:pPr/>
          </w:p>
        </w:tc>
      </w:tr>
      <w:tr>
        <w:trPr>
          <w:trHeight w:val="271" w:hRule="exact"/>
        </w:trPr>
        <w:tc>
          <w:tcPr>
            <w:tcW w:w="210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0" w:lineRule="exact"/>
              <w:ind w:left="11" w:right="0"/>
              <w:jc w:val="left"/>
              <w:rPr>
                <w:rFonts w:ascii="宋体" w:hAnsi="宋体" w:cs="宋体" w:eastAsia="宋体" w:hint="default"/>
                <w:sz w:val="20"/>
                <w:szCs w:val="20"/>
              </w:rPr>
            </w:pPr>
            <w:r>
              <w:rPr>
                <w:rFonts w:ascii="宋体" w:hAnsi="宋体" w:cs="宋体" w:eastAsia="宋体" w:hint="default"/>
                <w:sz w:val="20"/>
                <w:szCs w:val="20"/>
              </w:rPr>
              <w:t>扣除非经常性损益的净</w:t>
            </w:r>
          </w:p>
        </w:tc>
        <w:tc>
          <w:tcPr>
            <w:tcW w:w="1628" w:type="dxa"/>
            <w:tcBorders>
              <w:top w:val="nil" w:sz="6" w:space="0" w:color="auto"/>
              <w:left w:val="single" w:sz="13" w:space="0" w:color="DCDCDC"/>
              <w:bottom w:val="nil" w:sz="6" w:space="0" w:color="auto"/>
              <w:right w:val="single" w:sz="4" w:space="0" w:color="000000"/>
            </w:tcBorders>
          </w:tcPr>
          <w:p>
            <w:pPr>
              <w:pStyle w:val="TableParagraph"/>
              <w:spacing w:line="240" w:lineRule="auto" w:before="1"/>
              <w:ind w:right="20"/>
              <w:jc w:val="right"/>
              <w:rPr>
                <w:rFonts w:ascii="Calibri" w:hAnsi="Calibri" w:cs="Calibri" w:eastAsia="Calibri" w:hint="default"/>
                <w:sz w:val="21"/>
                <w:szCs w:val="21"/>
              </w:rPr>
            </w:pPr>
            <w:r>
              <w:rPr>
                <w:rFonts w:ascii="Calibri"/>
                <w:spacing w:val="-1"/>
                <w:sz w:val="21"/>
              </w:rPr>
              <w:t>48,333,021.65</w:t>
            </w:r>
          </w:p>
        </w:tc>
        <w:tc>
          <w:tcPr>
            <w:tcW w:w="202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9"/>
              <w:jc w:val="right"/>
              <w:rPr>
                <w:rFonts w:ascii="Calibri" w:hAnsi="Calibri" w:cs="Calibri" w:eastAsia="Calibri" w:hint="default"/>
                <w:sz w:val="21"/>
                <w:szCs w:val="21"/>
              </w:rPr>
            </w:pPr>
            <w:r>
              <w:rPr>
                <w:rFonts w:ascii="Calibri"/>
                <w:spacing w:val="-1"/>
                <w:sz w:val="21"/>
              </w:rPr>
              <w:t>73,477,496.38</w:t>
            </w:r>
          </w:p>
        </w:tc>
        <w:tc>
          <w:tcPr>
            <w:tcW w:w="202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8"/>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34.22%</w:t>
            </w:r>
          </w:p>
        </w:tc>
        <w:tc>
          <w:tcPr>
            <w:tcW w:w="202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20"/>
              <w:jc w:val="right"/>
              <w:rPr>
                <w:rFonts w:ascii="Calibri" w:hAnsi="Calibri" w:cs="Calibri" w:eastAsia="Calibri" w:hint="default"/>
                <w:sz w:val="21"/>
                <w:szCs w:val="21"/>
              </w:rPr>
            </w:pPr>
            <w:r>
              <w:rPr>
                <w:rFonts w:ascii="Calibri"/>
                <w:spacing w:val="-1"/>
                <w:sz w:val="21"/>
              </w:rPr>
              <w:t>62,555,318.68</w:t>
            </w:r>
          </w:p>
        </w:tc>
      </w:tr>
      <w:tr>
        <w:trPr>
          <w:trHeight w:val="253" w:hRule="exact"/>
        </w:trPr>
        <w:tc>
          <w:tcPr>
            <w:tcW w:w="2104"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18" w:lineRule="exact"/>
              <w:ind w:left="11" w:right="0"/>
              <w:jc w:val="left"/>
              <w:rPr>
                <w:rFonts w:ascii="宋体" w:hAnsi="宋体" w:cs="宋体" w:eastAsia="宋体" w:hint="default"/>
                <w:sz w:val="20"/>
                <w:szCs w:val="20"/>
              </w:rPr>
            </w:pPr>
            <w:r>
              <w:rPr>
                <w:rFonts w:ascii="宋体" w:hAnsi="宋体" w:cs="宋体" w:eastAsia="宋体" w:hint="default"/>
                <w:sz w:val="20"/>
                <w:szCs w:val="20"/>
              </w:rPr>
              <w:t>利润</w:t>
            </w:r>
          </w:p>
        </w:tc>
        <w:tc>
          <w:tcPr>
            <w:tcW w:w="1628" w:type="dxa"/>
            <w:tcBorders>
              <w:top w:val="nil" w:sz="6" w:space="0" w:color="auto"/>
              <w:left w:val="single" w:sz="13" w:space="0" w:color="DCDCDC"/>
              <w:bottom w:val="single" w:sz="4" w:space="0" w:color="000000"/>
              <w:right w:val="single" w:sz="4" w:space="0" w:color="000000"/>
            </w:tcBorders>
          </w:tcPr>
          <w:p>
            <w:pPr/>
          </w:p>
        </w:tc>
        <w:tc>
          <w:tcPr>
            <w:tcW w:w="2027" w:type="dxa"/>
            <w:tcBorders>
              <w:top w:val="nil" w:sz="6" w:space="0" w:color="auto"/>
              <w:left w:val="single" w:sz="4" w:space="0" w:color="000000"/>
              <w:bottom w:val="single" w:sz="4" w:space="0" w:color="000000"/>
              <w:right w:val="single" w:sz="4" w:space="0" w:color="000000"/>
            </w:tcBorders>
          </w:tcPr>
          <w:p>
            <w:pPr/>
          </w:p>
        </w:tc>
        <w:tc>
          <w:tcPr>
            <w:tcW w:w="2027" w:type="dxa"/>
            <w:tcBorders>
              <w:top w:val="nil" w:sz="6" w:space="0" w:color="auto"/>
              <w:left w:val="single" w:sz="4" w:space="0" w:color="000000"/>
              <w:bottom w:val="single" w:sz="4" w:space="0" w:color="000000"/>
              <w:right w:val="single" w:sz="4" w:space="0" w:color="000000"/>
            </w:tcBorders>
          </w:tcPr>
          <w:p>
            <w:pPr/>
          </w:p>
        </w:tc>
        <w:tc>
          <w:tcPr>
            <w:tcW w:w="2028" w:type="dxa"/>
            <w:tcBorders>
              <w:top w:val="nil" w:sz="6" w:space="0" w:color="auto"/>
              <w:left w:val="single" w:sz="4" w:space="0" w:color="000000"/>
              <w:bottom w:val="single" w:sz="4" w:space="0" w:color="000000"/>
              <w:right w:val="single" w:sz="4" w:space="0" w:color="000000"/>
            </w:tcBorders>
          </w:tcPr>
          <w:p>
            <w:pPr/>
          </w:p>
        </w:tc>
      </w:tr>
      <w:tr>
        <w:trPr>
          <w:trHeight w:val="528"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8" w:lineRule="exact"/>
              <w:ind w:left="11" w:right="0"/>
              <w:jc w:val="left"/>
              <w:rPr>
                <w:rFonts w:ascii="宋体" w:hAnsi="宋体" w:cs="宋体" w:eastAsia="宋体" w:hint="default"/>
                <w:sz w:val="20"/>
                <w:szCs w:val="20"/>
              </w:rPr>
            </w:pPr>
            <w:r>
              <w:rPr>
                <w:rFonts w:ascii="宋体" w:hAnsi="宋体" w:cs="宋体" w:eastAsia="宋体" w:hint="default"/>
                <w:sz w:val="20"/>
                <w:szCs w:val="20"/>
              </w:rPr>
              <w:t>经营活动产生的现金流</w:t>
            </w:r>
          </w:p>
          <w:p>
            <w:pPr>
              <w:pStyle w:val="TableParagraph"/>
              <w:spacing w:line="260" w:lineRule="exact"/>
              <w:ind w:left="11" w:right="0"/>
              <w:jc w:val="left"/>
              <w:rPr>
                <w:rFonts w:ascii="宋体" w:hAnsi="宋体" w:cs="宋体" w:eastAsia="宋体" w:hint="default"/>
                <w:sz w:val="20"/>
                <w:szCs w:val="20"/>
              </w:rPr>
            </w:pPr>
            <w:r>
              <w:rPr>
                <w:rFonts w:ascii="宋体" w:hAnsi="宋体" w:cs="宋体" w:eastAsia="宋体" w:hint="default"/>
                <w:sz w:val="20"/>
                <w:szCs w:val="20"/>
              </w:rPr>
              <w:t>量净额</w:t>
            </w:r>
          </w:p>
        </w:tc>
        <w:tc>
          <w:tcPr>
            <w:tcW w:w="162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30"/>
              <w:ind w:right="21"/>
              <w:jc w:val="right"/>
              <w:rPr>
                <w:rFonts w:ascii="Calibri" w:hAnsi="Calibri" w:cs="Calibri" w:eastAsia="Calibri" w:hint="default"/>
                <w:sz w:val="21"/>
                <w:szCs w:val="21"/>
              </w:rPr>
            </w:pPr>
            <w:r>
              <w:rPr>
                <w:rFonts w:ascii="Calibri"/>
                <w:spacing w:val="-1"/>
                <w:sz w:val="21"/>
              </w:rPr>
              <w:t>107,808,671.43</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9"/>
              <w:jc w:val="right"/>
              <w:rPr>
                <w:rFonts w:ascii="Calibri" w:hAnsi="Calibri" w:cs="Calibri" w:eastAsia="Calibri" w:hint="default"/>
                <w:sz w:val="21"/>
                <w:szCs w:val="21"/>
              </w:rPr>
            </w:pPr>
            <w:r>
              <w:rPr>
                <w:rFonts w:ascii="Calibri"/>
                <w:spacing w:val="-1"/>
                <w:sz w:val="21"/>
              </w:rPr>
              <w:t>50,970,688.55</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9"/>
              <w:jc w:val="right"/>
              <w:rPr>
                <w:rFonts w:ascii="Calibri" w:hAnsi="Calibri" w:cs="Calibri" w:eastAsia="Calibri" w:hint="default"/>
                <w:sz w:val="21"/>
                <w:szCs w:val="21"/>
              </w:rPr>
            </w:pPr>
            <w:r>
              <w:rPr>
                <w:rFonts w:ascii="Calibri"/>
                <w:spacing w:val="-1"/>
                <w:sz w:val="21"/>
              </w:rPr>
              <w:t>111.51%</w:t>
            </w:r>
          </w:p>
        </w:tc>
        <w:tc>
          <w:tcPr>
            <w:tcW w:w="2028" w:type="dxa"/>
            <w:tcBorders>
              <w:top w:val="single" w:sz="4" w:space="0" w:color="000000"/>
              <w:left w:val="single" w:sz="4" w:space="0" w:color="000000"/>
              <w:bottom w:val="single" w:sz="58" w:space="0" w:color="DCDCDC"/>
              <w:right w:val="single" w:sz="4" w:space="0" w:color="000000"/>
            </w:tcBorders>
          </w:tcPr>
          <w:p>
            <w:pPr>
              <w:pStyle w:val="TableParagraph"/>
              <w:spacing w:line="240" w:lineRule="auto" w:before="130"/>
              <w:ind w:right="20"/>
              <w:jc w:val="right"/>
              <w:rPr>
                <w:rFonts w:ascii="Calibri" w:hAnsi="Calibri" w:cs="Calibri" w:eastAsia="Calibri" w:hint="default"/>
                <w:sz w:val="21"/>
                <w:szCs w:val="21"/>
              </w:rPr>
            </w:pPr>
            <w:r>
              <w:rPr>
                <w:rFonts w:ascii="Calibri"/>
                <w:spacing w:val="-1"/>
                <w:sz w:val="21"/>
              </w:rPr>
              <w:t>45,432,606.08</w:t>
            </w:r>
          </w:p>
        </w:tc>
      </w:tr>
      <w:tr>
        <w:trPr>
          <w:trHeight w:val="149" w:hRule="exact"/>
        </w:trPr>
        <w:tc>
          <w:tcPr>
            <w:tcW w:w="2104" w:type="dxa"/>
            <w:tcBorders>
              <w:top w:val="single" w:sz="4" w:space="0" w:color="000000"/>
              <w:left w:val="single" w:sz="4" w:space="0" w:color="000000"/>
              <w:bottom w:val="nil" w:sz="6" w:space="0" w:color="auto"/>
              <w:right w:val="single" w:sz="4" w:space="0" w:color="000000"/>
            </w:tcBorders>
            <w:shd w:val="clear" w:color="auto" w:fill="DCDCDC"/>
          </w:tcPr>
          <w:p>
            <w:pPr/>
          </w:p>
        </w:tc>
        <w:tc>
          <w:tcPr>
            <w:tcW w:w="1628" w:type="dxa"/>
            <w:tcBorders>
              <w:top w:val="single" w:sz="4" w:space="0" w:color="000000"/>
              <w:left w:val="single" w:sz="4" w:space="0" w:color="000000"/>
              <w:bottom w:val="nil" w:sz="6" w:space="0" w:color="auto"/>
              <w:right w:val="single" w:sz="4" w:space="0" w:color="000000"/>
            </w:tcBorders>
            <w:shd w:val="clear" w:color="auto" w:fill="DCDCDC"/>
          </w:tcPr>
          <w:p>
            <w:pPr/>
          </w:p>
        </w:tc>
        <w:tc>
          <w:tcPr>
            <w:tcW w:w="2027" w:type="dxa"/>
            <w:tcBorders>
              <w:top w:val="single" w:sz="4" w:space="0" w:color="000000"/>
              <w:left w:val="single" w:sz="4" w:space="0" w:color="000000"/>
              <w:bottom w:val="nil" w:sz="6" w:space="0" w:color="auto"/>
              <w:right w:val="single" w:sz="4" w:space="0" w:color="000000"/>
            </w:tcBorders>
            <w:shd w:val="clear" w:color="auto" w:fill="DCDCDC"/>
          </w:tcPr>
          <w:p>
            <w:pPr/>
          </w:p>
        </w:tc>
        <w:tc>
          <w:tcPr>
            <w:tcW w:w="2027" w:type="dxa"/>
            <w:vMerge w:val="restart"/>
            <w:tcBorders>
              <w:top w:val="single" w:sz="4" w:space="0" w:color="000000"/>
              <w:left w:val="single" w:sz="4" w:space="0" w:color="000000"/>
              <w:right w:val="single" w:sz="4" w:space="0" w:color="000000"/>
            </w:tcBorders>
            <w:shd w:val="clear" w:color="auto" w:fill="DCDCDC"/>
          </w:tcPr>
          <w:p>
            <w:pPr>
              <w:pStyle w:val="TableParagraph"/>
              <w:spacing w:line="241" w:lineRule="exact"/>
              <w:ind w:left="63" w:right="0"/>
              <w:jc w:val="left"/>
              <w:rPr>
                <w:rFonts w:ascii="宋体" w:hAnsi="宋体" w:cs="宋体" w:eastAsia="宋体" w:hint="default"/>
                <w:sz w:val="21"/>
                <w:szCs w:val="21"/>
              </w:rPr>
            </w:pPr>
            <w:r>
              <w:rPr>
                <w:rFonts w:ascii="宋体" w:hAnsi="宋体" w:cs="宋体" w:eastAsia="宋体" w:hint="default"/>
                <w:sz w:val="21"/>
                <w:szCs w:val="21"/>
              </w:rPr>
              <w:t>本年末比上年末增减</w:t>
            </w:r>
          </w:p>
        </w:tc>
        <w:tc>
          <w:tcPr>
            <w:tcW w:w="2028"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27" w:hRule="exact"/>
        </w:trPr>
        <w:tc>
          <w:tcPr>
            <w:tcW w:w="2104" w:type="dxa"/>
            <w:vMerge w:val="restart"/>
            <w:tcBorders>
              <w:top w:val="nil" w:sz="6" w:space="0" w:color="auto"/>
              <w:left w:val="single" w:sz="4" w:space="0" w:color="000000"/>
              <w:right w:val="single" w:sz="4" w:space="0" w:color="000000"/>
            </w:tcBorders>
            <w:shd w:val="clear" w:color="auto" w:fill="DCDCDC"/>
          </w:tcPr>
          <w:p>
            <w:pPr/>
          </w:p>
        </w:tc>
        <w:tc>
          <w:tcPr>
            <w:tcW w:w="1628" w:type="dxa"/>
            <w:vMerge w:val="restart"/>
            <w:tcBorders>
              <w:top w:val="nil" w:sz="6" w:space="0" w:color="auto"/>
              <w:left w:val="single" w:sz="4" w:space="0" w:color="000000"/>
              <w:right w:val="single" w:sz="4" w:space="0" w:color="000000"/>
            </w:tcBorders>
            <w:shd w:val="clear" w:color="auto" w:fill="DCDCDC"/>
          </w:tcPr>
          <w:p>
            <w:pPr>
              <w:pStyle w:val="TableParagraph"/>
              <w:spacing w:line="259" w:lineRule="exact"/>
              <w:ind w:left="364"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年末</w:t>
            </w:r>
          </w:p>
        </w:tc>
        <w:tc>
          <w:tcPr>
            <w:tcW w:w="2027" w:type="dxa"/>
            <w:vMerge w:val="restart"/>
            <w:tcBorders>
              <w:top w:val="nil" w:sz="6" w:space="0" w:color="auto"/>
              <w:left w:val="single" w:sz="4" w:space="0" w:color="000000"/>
              <w:right w:val="single" w:sz="4" w:space="0" w:color="000000"/>
            </w:tcBorders>
            <w:shd w:val="clear" w:color="auto" w:fill="DCDCDC"/>
          </w:tcPr>
          <w:p>
            <w:pPr>
              <w:pStyle w:val="TableParagraph"/>
              <w:spacing w:line="259" w:lineRule="exact"/>
              <w:ind w:left="559"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年末</w:t>
            </w:r>
          </w:p>
        </w:tc>
        <w:tc>
          <w:tcPr>
            <w:tcW w:w="2027" w:type="dxa"/>
            <w:vMerge/>
            <w:tcBorders>
              <w:left w:val="single" w:sz="4" w:space="0" w:color="000000"/>
              <w:bottom w:val="nil" w:sz="6" w:space="0" w:color="auto"/>
              <w:right w:val="single" w:sz="4" w:space="0" w:color="000000"/>
            </w:tcBorders>
            <w:shd w:val="clear" w:color="auto" w:fill="DCDCDC"/>
          </w:tcPr>
          <w:p>
            <w:pPr/>
          </w:p>
        </w:tc>
        <w:tc>
          <w:tcPr>
            <w:tcW w:w="2028" w:type="dxa"/>
            <w:vMerge w:val="restart"/>
            <w:tcBorders>
              <w:top w:val="nil" w:sz="6" w:space="0" w:color="auto"/>
              <w:left w:val="single" w:sz="4" w:space="0" w:color="000000"/>
              <w:right w:val="single" w:sz="4" w:space="0" w:color="000000"/>
            </w:tcBorders>
            <w:shd w:val="clear" w:color="auto" w:fill="DCDCDC"/>
          </w:tcPr>
          <w:p>
            <w:pPr>
              <w:pStyle w:val="TableParagraph"/>
              <w:spacing w:line="259" w:lineRule="exact"/>
              <w:ind w:left="559"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年末</w:t>
            </w:r>
          </w:p>
        </w:tc>
      </w:tr>
      <w:tr>
        <w:trPr>
          <w:trHeight w:val="123" w:hRule="exact"/>
        </w:trPr>
        <w:tc>
          <w:tcPr>
            <w:tcW w:w="2104" w:type="dxa"/>
            <w:vMerge/>
            <w:tcBorders>
              <w:left w:val="single" w:sz="4" w:space="0" w:color="000000"/>
              <w:bottom w:val="nil" w:sz="6" w:space="0" w:color="auto"/>
              <w:right w:val="single" w:sz="4" w:space="0" w:color="000000"/>
            </w:tcBorders>
            <w:shd w:val="clear" w:color="auto" w:fill="DCDCDC"/>
          </w:tcPr>
          <w:p>
            <w:pPr/>
          </w:p>
        </w:tc>
        <w:tc>
          <w:tcPr>
            <w:tcW w:w="1628" w:type="dxa"/>
            <w:vMerge/>
            <w:tcBorders>
              <w:left w:val="single" w:sz="4" w:space="0" w:color="000000"/>
              <w:bottom w:val="nil" w:sz="6" w:space="0" w:color="auto"/>
              <w:right w:val="single" w:sz="4" w:space="0" w:color="000000"/>
            </w:tcBorders>
            <w:shd w:val="clear" w:color="auto" w:fill="DCDCDC"/>
          </w:tcPr>
          <w:p>
            <w:pPr/>
          </w:p>
        </w:tc>
        <w:tc>
          <w:tcPr>
            <w:tcW w:w="2027" w:type="dxa"/>
            <w:vMerge/>
            <w:tcBorders>
              <w:left w:val="single" w:sz="4" w:space="0" w:color="000000"/>
              <w:bottom w:val="nil" w:sz="6" w:space="0" w:color="auto"/>
              <w:right w:val="single" w:sz="4" w:space="0" w:color="000000"/>
            </w:tcBorders>
            <w:shd w:val="clear" w:color="auto" w:fill="DCDCDC"/>
          </w:tcPr>
          <w:p>
            <w:pPr/>
          </w:p>
        </w:tc>
        <w:tc>
          <w:tcPr>
            <w:tcW w:w="2027" w:type="dxa"/>
            <w:vMerge w:val="restart"/>
            <w:tcBorders>
              <w:top w:val="nil" w:sz="6" w:space="0" w:color="auto"/>
              <w:left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w:t>
            </w:r>
          </w:p>
        </w:tc>
        <w:tc>
          <w:tcPr>
            <w:tcW w:w="2028" w:type="dxa"/>
            <w:vMerge/>
            <w:tcBorders>
              <w:left w:val="single" w:sz="4" w:space="0" w:color="000000"/>
              <w:right w:val="single" w:sz="4" w:space="0" w:color="000000"/>
            </w:tcBorders>
            <w:shd w:val="clear" w:color="auto" w:fill="DCDCDC"/>
          </w:tcPr>
          <w:p>
            <w:pPr/>
          </w:p>
        </w:tc>
      </w:tr>
      <w:tr>
        <w:trPr>
          <w:trHeight w:val="156" w:hRule="exact"/>
        </w:trPr>
        <w:tc>
          <w:tcPr>
            <w:tcW w:w="2104" w:type="dxa"/>
            <w:tcBorders>
              <w:top w:val="nil" w:sz="6" w:space="0" w:color="auto"/>
              <w:left w:val="single" w:sz="4" w:space="0" w:color="000000"/>
              <w:bottom w:val="single" w:sz="4" w:space="0" w:color="000000"/>
              <w:right w:val="single" w:sz="4" w:space="0" w:color="000000"/>
            </w:tcBorders>
            <w:shd w:val="clear" w:color="auto" w:fill="DCDCDC"/>
          </w:tcPr>
          <w:p>
            <w:pPr/>
          </w:p>
        </w:tc>
        <w:tc>
          <w:tcPr>
            <w:tcW w:w="1628" w:type="dxa"/>
            <w:tcBorders>
              <w:top w:val="nil" w:sz="6" w:space="0" w:color="auto"/>
              <w:left w:val="single" w:sz="4" w:space="0" w:color="000000"/>
              <w:bottom w:val="single" w:sz="4" w:space="0" w:color="000000"/>
              <w:right w:val="single" w:sz="4" w:space="0" w:color="000000"/>
            </w:tcBorders>
            <w:shd w:val="clear" w:color="auto" w:fill="DCDCDC"/>
          </w:tcPr>
          <w:p>
            <w:pPr/>
          </w:p>
        </w:tc>
        <w:tc>
          <w:tcPr>
            <w:tcW w:w="2027" w:type="dxa"/>
            <w:tcBorders>
              <w:top w:val="nil" w:sz="6" w:space="0" w:color="auto"/>
              <w:left w:val="single" w:sz="4" w:space="0" w:color="000000"/>
              <w:bottom w:val="single" w:sz="4" w:space="0" w:color="000000"/>
              <w:right w:val="single" w:sz="4" w:space="0" w:color="000000"/>
            </w:tcBorders>
            <w:shd w:val="clear" w:color="auto" w:fill="DCDCDC"/>
          </w:tcPr>
          <w:p>
            <w:pPr/>
          </w:p>
        </w:tc>
        <w:tc>
          <w:tcPr>
            <w:tcW w:w="2027" w:type="dxa"/>
            <w:vMerge/>
            <w:tcBorders>
              <w:left w:val="single" w:sz="4" w:space="0" w:color="000000"/>
              <w:bottom w:val="single" w:sz="4" w:space="0" w:color="000000"/>
              <w:right w:val="single" w:sz="4" w:space="0" w:color="000000"/>
            </w:tcBorders>
            <w:shd w:val="clear" w:color="auto" w:fill="DCDCDC"/>
          </w:tcPr>
          <w:p>
            <w:pPr/>
          </w:p>
        </w:tc>
        <w:tc>
          <w:tcPr>
            <w:tcW w:w="2028" w:type="dxa"/>
            <w:vMerge/>
            <w:tcBorders>
              <w:left w:val="single" w:sz="4" w:space="0" w:color="000000"/>
              <w:bottom w:val="single" w:sz="4" w:space="0" w:color="000000"/>
              <w:right w:val="single" w:sz="4" w:space="0" w:color="000000"/>
            </w:tcBorders>
            <w:shd w:val="clear" w:color="auto" w:fill="DCDCDC"/>
          </w:tcPr>
          <w:p>
            <w:pPr/>
          </w:p>
        </w:tc>
      </w:tr>
      <w:tr>
        <w:trPr>
          <w:trHeight w:val="270"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1" w:lineRule="exact"/>
              <w:ind w:left="11" w:right="0"/>
              <w:jc w:val="left"/>
              <w:rPr>
                <w:rFonts w:ascii="宋体" w:hAnsi="宋体" w:cs="宋体" w:eastAsia="宋体" w:hint="default"/>
                <w:sz w:val="20"/>
                <w:szCs w:val="20"/>
              </w:rPr>
            </w:pPr>
            <w:r>
              <w:rPr>
                <w:rFonts w:ascii="宋体" w:hAnsi="宋体" w:cs="宋体" w:eastAsia="宋体" w:hint="default"/>
                <w:sz w:val="20"/>
                <w:szCs w:val="20"/>
              </w:rPr>
              <w:t>资产总额</w:t>
            </w:r>
          </w:p>
        </w:tc>
        <w:tc>
          <w:tcPr>
            <w:tcW w:w="162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21"/>
              <w:jc w:val="right"/>
              <w:rPr>
                <w:rFonts w:ascii="Calibri" w:hAnsi="Calibri" w:cs="Calibri" w:eastAsia="Calibri" w:hint="default"/>
                <w:sz w:val="21"/>
                <w:szCs w:val="21"/>
              </w:rPr>
            </w:pPr>
            <w:r>
              <w:rPr>
                <w:rFonts w:ascii="Calibri"/>
                <w:spacing w:val="-1"/>
                <w:sz w:val="21"/>
              </w:rPr>
              <w:t>1,384,069,164.31</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20"/>
              <w:jc w:val="right"/>
              <w:rPr>
                <w:rFonts w:ascii="Calibri" w:hAnsi="Calibri" w:cs="Calibri" w:eastAsia="Calibri" w:hint="default"/>
                <w:sz w:val="21"/>
                <w:szCs w:val="21"/>
              </w:rPr>
            </w:pPr>
            <w:r>
              <w:rPr>
                <w:rFonts w:ascii="Calibri"/>
                <w:spacing w:val="-1"/>
                <w:sz w:val="21"/>
              </w:rPr>
              <w:t>1,360,279,571.07</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
              <w:jc w:val="right"/>
              <w:rPr>
                <w:rFonts w:ascii="Calibri" w:hAnsi="Calibri" w:cs="Calibri" w:eastAsia="Calibri" w:hint="default"/>
                <w:sz w:val="21"/>
                <w:szCs w:val="21"/>
              </w:rPr>
            </w:pPr>
            <w:r>
              <w:rPr>
                <w:rFonts w:ascii="Calibri"/>
                <w:sz w:val="21"/>
              </w:rPr>
              <w:t>1.75%</w:t>
            </w:r>
          </w:p>
        </w:tc>
        <w:tc>
          <w:tcPr>
            <w:tcW w:w="2028" w:type="dxa"/>
            <w:tcBorders>
              <w:top w:val="single" w:sz="58" w:space="0" w:color="DCDCDC"/>
              <w:left w:val="single" w:sz="4" w:space="0" w:color="000000"/>
              <w:bottom w:val="single" w:sz="4" w:space="0" w:color="000000"/>
              <w:right w:val="single" w:sz="4" w:space="0" w:color="000000"/>
            </w:tcBorders>
          </w:tcPr>
          <w:p>
            <w:pPr>
              <w:pStyle w:val="TableParagraph"/>
              <w:spacing w:line="191" w:lineRule="exact"/>
              <w:ind w:right="21"/>
              <w:jc w:val="right"/>
              <w:rPr>
                <w:rFonts w:ascii="Calibri" w:hAnsi="Calibri" w:cs="Calibri" w:eastAsia="Calibri" w:hint="default"/>
                <w:sz w:val="21"/>
                <w:szCs w:val="21"/>
              </w:rPr>
            </w:pPr>
            <w:r>
              <w:rPr>
                <w:rFonts w:ascii="Calibri"/>
                <w:spacing w:val="-1"/>
                <w:sz w:val="21"/>
              </w:rPr>
              <w:t>824,823,165.81</w:t>
            </w:r>
          </w:p>
        </w:tc>
      </w:tr>
      <w:tr>
        <w:trPr>
          <w:trHeight w:val="269"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0" w:lineRule="exact"/>
              <w:ind w:left="11" w:right="0"/>
              <w:jc w:val="left"/>
              <w:rPr>
                <w:rFonts w:ascii="宋体" w:hAnsi="宋体" w:cs="宋体" w:eastAsia="宋体" w:hint="default"/>
                <w:sz w:val="20"/>
                <w:szCs w:val="20"/>
              </w:rPr>
            </w:pPr>
            <w:r>
              <w:rPr>
                <w:rFonts w:ascii="宋体" w:hAnsi="宋体" w:cs="宋体" w:eastAsia="宋体" w:hint="default"/>
                <w:sz w:val="20"/>
                <w:szCs w:val="20"/>
              </w:rPr>
              <w:t>负债总额</w:t>
            </w:r>
          </w:p>
        </w:tc>
        <w:tc>
          <w:tcPr>
            <w:tcW w:w="162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21"/>
              <w:jc w:val="right"/>
              <w:rPr>
                <w:rFonts w:ascii="Calibri" w:hAnsi="Calibri" w:cs="Calibri" w:eastAsia="Calibri" w:hint="default"/>
                <w:sz w:val="21"/>
                <w:szCs w:val="21"/>
              </w:rPr>
            </w:pPr>
            <w:r>
              <w:rPr>
                <w:rFonts w:ascii="Calibri"/>
                <w:spacing w:val="-1"/>
                <w:sz w:val="21"/>
              </w:rPr>
              <w:t>214,662,216.85</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20"/>
              <w:jc w:val="right"/>
              <w:rPr>
                <w:rFonts w:ascii="Calibri" w:hAnsi="Calibri" w:cs="Calibri" w:eastAsia="Calibri" w:hint="default"/>
                <w:sz w:val="21"/>
                <w:szCs w:val="21"/>
              </w:rPr>
            </w:pPr>
            <w:r>
              <w:rPr>
                <w:rFonts w:ascii="Calibri"/>
                <w:spacing w:val="-1"/>
                <w:sz w:val="21"/>
              </w:rPr>
              <w:t>304,964,081.71</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
              <w:jc w:val="right"/>
              <w:rPr>
                <w:rFonts w:ascii="Calibri" w:hAnsi="Calibri" w:cs="Calibri" w:eastAsia="Calibri" w:hint="default"/>
                <w:sz w:val="21"/>
                <w:szCs w:val="21"/>
              </w:rPr>
            </w:pPr>
            <w:r>
              <w:rPr>
                <w:rFonts w:ascii="Calibri" w:hAnsi="Calibri" w:cs="Calibri" w:eastAsia="Calibri" w:hint="default"/>
                <w:w w:val="95"/>
                <w:sz w:val="21"/>
                <w:szCs w:val="21"/>
              </w:rPr>
              <w:t>‐</w:t>
            </w:r>
            <w:r>
              <w:rPr>
                <w:rFonts w:ascii="Calibri" w:hAnsi="Calibri" w:cs="Calibri" w:eastAsia="Calibri" w:hint="default"/>
                <w:w w:val="95"/>
                <w:sz w:val="21"/>
                <w:szCs w:val="21"/>
              </w:rPr>
              <w:t>29.61%</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22"/>
              <w:jc w:val="right"/>
              <w:rPr>
                <w:rFonts w:ascii="Calibri" w:hAnsi="Calibri" w:cs="Calibri" w:eastAsia="Calibri" w:hint="default"/>
                <w:sz w:val="21"/>
                <w:szCs w:val="21"/>
              </w:rPr>
            </w:pPr>
            <w:r>
              <w:rPr>
                <w:rFonts w:ascii="Calibri"/>
                <w:spacing w:val="-1"/>
                <w:sz w:val="21"/>
              </w:rPr>
              <w:t>235,399,947.70</w:t>
            </w:r>
          </w:p>
        </w:tc>
      </w:tr>
      <w:tr>
        <w:trPr>
          <w:trHeight w:val="529"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0" w:lineRule="exact"/>
              <w:ind w:left="11" w:right="0"/>
              <w:jc w:val="left"/>
              <w:rPr>
                <w:rFonts w:ascii="宋体" w:hAnsi="宋体" w:cs="宋体" w:eastAsia="宋体" w:hint="default"/>
                <w:sz w:val="20"/>
                <w:szCs w:val="20"/>
              </w:rPr>
            </w:pPr>
            <w:r>
              <w:rPr>
                <w:rFonts w:ascii="宋体" w:hAnsi="宋体" w:cs="宋体" w:eastAsia="宋体" w:hint="default"/>
                <w:sz w:val="20"/>
                <w:szCs w:val="20"/>
              </w:rPr>
              <w:t>归属于上市公司股东的</w:t>
            </w:r>
          </w:p>
          <w:p>
            <w:pPr>
              <w:pStyle w:val="TableParagraph"/>
              <w:spacing w:line="260" w:lineRule="exact"/>
              <w:ind w:left="11" w:right="0"/>
              <w:jc w:val="left"/>
              <w:rPr>
                <w:rFonts w:ascii="宋体" w:hAnsi="宋体" w:cs="宋体" w:eastAsia="宋体" w:hint="default"/>
                <w:sz w:val="20"/>
                <w:szCs w:val="20"/>
              </w:rPr>
            </w:pPr>
            <w:r>
              <w:rPr>
                <w:rFonts w:ascii="宋体" w:hAnsi="宋体" w:cs="宋体" w:eastAsia="宋体" w:hint="default"/>
                <w:sz w:val="20"/>
                <w:szCs w:val="20"/>
              </w:rPr>
              <w:t>所有者权益</w:t>
            </w:r>
          </w:p>
        </w:tc>
        <w:tc>
          <w:tcPr>
            <w:tcW w:w="162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31"/>
              <w:ind w:right="21"/>
              <w:jc w:val="right"/>
              <w:rPr>
                <w:rFonts w:ascii="Calibri" w:hAnsi="Calibri" w:cs="Calibri" w:eastAsia="Calibri" w:hint="default"/>
                <w:sz w:val="21"/>
                <w:szCs w:val="21"/>
              </w:rPr>
            </w:pPr>
            <w:r>
              <w:rPr>
                <w:rFonts w:ascii="Calibri"/>
                <w:spacing w:val="-1"/>
                <w:sz w:val="21"/>
              </w:rPr>
              <w:t>1,067,736,211.32</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right="20"/>
              <w:jc w:val="right"/>
              <w:rPr>
                <w:rFonts w:ascii="Calibri" w:hAnsi="Calibri" w:cs="Calibri" w:eastAsia="Calibri" w:hint="default"/>
                <w:sz w:val="21"/>
                <w:szCs w:val="21"/>
              </w:rPr>
            </w:pPr>
            <w:r>
              <w:rPr>
                <w:rFonts w:ascii="Calibri"/>
                <w:spacing w:val="-1"/>
                <w:sz w:val="21"/>
              </w:rPr>
              <w:t>1,003,785,868.55</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right="19"/>
              <w:jc w:val="right"/>
              <w:rPr>
                <w:rFonts w:ascii="Calibri" w:hAnsi="Calibri" w:cs="Calibri" w:eastAsia="Calibri" w:hint="default"/>
                <w:sz w:val="21"/>
                <w:szCs w:val="21"/>
              </w:rPr>
            </w:pPr>
            <w:r>
              <w:rPr>
                <w:rFonts w:ascii="Calibri"/>
                <w:spacing w:val="-1"/>
                <w:sz w:val="21"/>
              </w:rPr>
              <w:t>6.37%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right="21"/>
              <w:jc w:val="right"/>
              <w:rPr>
                <w:rFonts w:ascii="Calibri" w:hAnsi="Calibri" w:cs="Calibri" w:eastAsia="Calibri" w:hint="default"/>
                <w:sz w:val="21"/>
                <w:szCs w:val="21"/>
              </w:rPr>
            </w:pPr>
            <w:r>
              <w:rPr>
                <w:rFonts w:ascii="Calibri"/>
                <w:spacing w:val="-1"/>
                <w:sz w:val="21"/>
              </w:rPr>
              <w:t>536,657,019.78</w:t>
            </w:r>
          </w:p>
        </w:tc>
      </w:tr>
      <w:tr>
        <w:trPr>
          <w:trHeight w:val="270"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0" w:lineRule="exact"/>
              <w:ind w:left="11" w:right="0"/>
              <w:jc w:val="left"/>
              <w:rPr>
                <w:rFonts w:ascii="宋体" w:hAnsi="宋体" w:cs="宋体" w:eastAsia="宋体" w:hint="default"/>
                <w:sz w:val="20"/>
                <w:szCs w:val="20"/>
              </w:rPr>
            </w:pPr>
            <w:r>
              <w:rPr>
                <w:rFonts w:ascii="宋体" w:hAnsi="宋体" w:cs="宋体" w:eastAsia="宋体" w:hint="default"/>
                <w:sz w:val="20"/>
                <w:szCs w:val="20"/>
              </w:rPr>
              <w:t>总股本（股）</w:t>
            </w:r>
          </w:p>
        </w:tc>
        <w:tc>
          <w:tcPr>
            <w:tcW w:w="162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20"/>
              <w:jc w:val="right"/>
              <w:rPr>
                <w:rFonts w:ascii="Calibri" w:hAnsi="Calibri" w:cs="Calibri" w:eastAsia="Calibri" w:hint="default"/>
                <w:sz w:val="21"/>
                <w:szCs w:val="21"/>
              </w:rPr>
            </w:pPr>
            <w:r>
              <w:rPr>
                <w:rFonts w:ascii="Calibri"/>
                <w:spacing w:val="-1"/>
                <w:sz w:val="21"/>
              </w:rPr>
              <w:t>630,920,640</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9"/>
              <w:jc w:val="right"/>
              <w:rPr>
                <w:rFonts w:ascii="Calibri" w:hAnsi="Calibri" w:cs="Calibri" w:eastAsia="Calibri" w:hint="default"/>
                <w:sz w:val="21"/>
                <w:szCs w:val="21"/>
              </w:rPr>
            </w:pPr>
            <w:r>
              <w:rPr>
                <w:rFonts w:ascii="Calibri"/>
                <w:spacing w:val="-1"/>
                <w:sz w:val="21"/>
              </w:rPr>
              <w:t>315,460,320</w:t>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9"/>
              <w:jc w:val="right"/>
              <w:rPr>
                <w:rFonts w:ascii="Calibri" w:hAnsi="Calibri" w:cs="Calibri" w:eastAsia="Calibri" w:hint="default"/>
                <w:sz w:val="21"/>
                <w:szCs w:val="21"/>
              </w:rPr>
            </w:pPr>
            <w:r>
              <w:rPr>
                <w:rFonts w:ascii="Calibri"/>
                <w:sz w:val="21"/>
              </w:rPr>
              <w:t>100%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20"/>
              <w:jc w:val="right"/>
              <w:rPr>
                <w:rFonts w:ascii="Calibri" w:hAnsi="Calibri" w:cs="Calibri" w:eastAsia="Calibri" w:hint="default"/>
                <w:sz w:val="21"/>
                <w:szCs w:val="21"/>
              </w:rPr>
            </w:pPr>
            <w:r>
              <w:rPr>
                <w:rFonts w:ascii="Calibri"/>
                <w:spacing w:val="-1"/>
                <w:sz w:val="21"/>
              </w:rPr>
              <w:t>200,292,480</w:t>
            </w:r>
          </w:p>
        </w:tc>
      </w:tr>
    </w:tbl>
    <w:p>
      <w:pPr>
        <w:spacing w:line="230" w:lineRule="auto" w:before="17"/>
        <w:ind w:left="258" w:right="946" w:firstLine="465"/>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年度营业利润较</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年度下降</w:t>
      </w:r>
      <w:r>
        <w:rPr>
          <w:rFonts w:ascii="宋体" w:hAnsi="宋体" w:cs="宋体" w:eastAsia="宋体" w:hint="default"/>
          <w:spacing w:val="-44"/>
          <w:sz w:val="18"/>
          <w:szCs w:val="18"/>
        </w:rPr>
        <w:t> </w:t>
      </w:r>
      <w:r>
        <w:rPr>
          <w:rFonts w:ascii="Times New Roman" w:hAnsi="Times New Roman" w:cs="Times New Roman" w:eastAsia="Times New Roman" w:hint="default"/>
          <w:spacing w:val="-7"/>
          <w:sz w:val="18"/>
          <w:szCs w:val="18"/>
        </w:rPr>
        <w:t>29.3%</w:t>
      </w:r>
      <w:r>
        <w:rPr>
          <w:rFonts w:ascii="宋体" w:hAnsi="宋体" w:cs="宋体" w:eastAsia="宋体" w:hint="default"/>
          <w:spacing w:val="-7"/>
          <w:sz w:val="18"/>
          <w:szCs w:val="18"/>
        </w:rPr>
        <w:t>、利润总额增长</w:t>
      </w:r>
      <w:r>
        <w:rPr>
          <w:rFonts w:ascii="宋体" w:hAnsi="宋体" w:cs="宋体" w:eastAsia="宋体" w:hint="default"/>
          <w:spacing w:val="-44"/>
          <w:sz w:val="18"/>
          <w:szCs w:val="18"/>
        </w:rPr>
        <w:t> </w:t>
      </w:r>
      <w:r>
        <w:rPr>
          <w:rFonts w:ascii="Times New Roman" w:hAnsi="Times New Roman" w:cs="Times New Roman" w:eastAsia="Times New Roman" w:hint="default"/>
          <w:spacing w:val="-4"/>
          <w:sz w:val="18"/>
          <w:szCs w:val="18"/>
        </w:rPr>
        <w:t>1.53%</w:t>
      </w:r>
      <w:r>
        <w:rPr>
          <w:rFonts w:ascii="宋体" w:hAnsi="宋体" w:cs="宋体" w:eastAsia="宋体" w:hint="default"/>
          <w:spacing w:val="-4"/>
          <w:sz w:val="18"/>
          <w:szCs w:val="18"/>
        </w:rPr>
        <w:t>、归属于上市公司股东的净利润增长</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0.47%</w:t>
      </w:r>
      <w:r>
        <w:rPr>
          <w:rFonts w:ascii="宋体" w:hAnsi="宋体" w:cs="宋体" w:eastAsia="宋体" w:hint="default"/>
          <w:sz w:val="18"/>
          <w:szCs w:val="18"/>
        </w:rPr>
        <w:t>， 主要原因系：</w:t>
      </w:r>
      <w:r>
        <w:rPr>
          <w:rFonts w:ascii="Times New Roman" w:hAnsi="Times New Roman" w:cs="Times New Roman" w:eastAsia="Times New Roman" w:hint="default"/>
          <w:sz w:val="18"/>
          <w:szCs w:val="18"/>
        </w:rPr>
        <w:t>1</w:t>
      </w:r>
      <w:r>
        <w:rPr>
          <w:rFonts w:ascii="宋体" w:hAnsi="宋体" w:cs="宋体" w:eastAsia="宋体" w:hint="default"/>
          <w:sz w:val="18"/>
          <w:szCs w:val="18"/>
        </w:rPr>
        <w:t>、由于市场竞争激烈，导致销售价格有所下降，材料成本、人工成本上涨，导致成本增加，子公司 处于研发阶段，研发费用及日常开销增大等因素导致营业利润有较大幅度的下降，但由于母、子公司本期收到的</w:t>
      </w:r>
      <w:r>
        <w:rPr>
          <w:rFonts w:ascii="宋体" w:hAnsi="宋体" w:cs="宋体" w:eastAsia="宋体" w:hint="default"/>
          <w:spacing w:val="-24"/>
          <w:sz w:val="18"/>
          <w:szCs w:val="18"/>
        </w:rPr>
        <w:t> </w:t>
      </w:r>
      <w:r>
        <w:rPr>
          <w:rFonts w:ascii="宋体" w:hAnsi="宋体" w:cs="宋体" w:eastAsia="宋体" w:hint="default"/>
          <w:spacing w:val="-24"/>
          <w:sz w:val="18"/>
          <w:szCs w:val="18"/>
        </w:rPr>
      </w:r>
      <w:r>
        <w:rPr>
          <w:rFonts w:ascii="宋体" w:hAnsi="宋体" w:cs="宋体" w:eastAsia="宋体" w:hint="default"/>
          <w:sz w:val="18"/>
          <w:szCs w:val="18"/>
        </w:rPr>
        <w:t>政府补助计入当期损益，导致利润总额增长及归属于上市公司股东的净利润有小幅上涨。</w:t>
      </w:r>
    </w:p>
    <w:p>
      <w:pPr>
        <w:pStyle w:val="BodyText"/>
        <w:spacing w:line="240" w:lineRule="auto" w:before="109"/>
        <w:ind w:left="738" w:right="1043"/>
        <w:jc w:val="left"/>
      </w:pPr>
      <w:r>
        <w:rPr/>
        <w:t>（</w:t>
      </w:r>
      <w:r>
        <w:rPr>
          <w:rFonts w:ascii="Times New Roman" w:hAnsi="Times New Roman" w:cs="Times New Roman" w:eastAsia="Times New Roman" w:hint="default"/>
        </w:rPr>
        <w:t>6</w:t>
      </w:r>
      <w:r>
        <w:rPr/>
        <w:t>）报告期内，公司主营业务及其结构、主营业务盈利能力未发生重大变化。</w:t>
      </w:r>
    </w:p>
    <w:p>
      <w:pPr>
        <w:pStyle w:val="BodyText"/>
        <w:spacing w:line="240" w:lineRule="auto" w:before="107"/>
        <w:ind w:left="738" w:right="1043"/>
        <w:jc w:val="left"/>
      </w:pPr>
      <w:r>
        <w:rPr/>
        <w:t>（</w:t>
      </w:r>
      <w:r>
        <w:rPr>
          <w:rFonts w:ascii="Times New Roman" w:hAnsi="Times New Roman" w:cs="Times New Roman" w:eastAsia="Times New Roman" w:hint="default"/>
        </w:rPr>
        <w:t>7</w:t>
      </w:r>
      <w:r>
        <w:rPr/>
        <w:t>）报告期内，公司主营业务市场、主营业务成本构成未发生显著变化。</w:t>
      </w:r>
    </w:p>
    <w:p>
      <w:pPr>
        <w:pStyle w:val="BodyText"/>
        <w:spacing w:line="240" w:lineRule="auto" w:before="108"/>
        <w:ind w:left="738" w:right="1043"/>
        <w:jc w:val="left"/>
      </w:pPr>
      <w:r>
        <w:rPr/>
        <w:t>（</w:t>
      </w:r>
      <w:r>
        <w:rPr>
          <w:rFonts w:ascii="Times New Roman" w:hAnsi="Times New Roman" w:cs="Times New Roman" w:eastAsia="Times New Roman" w:hint="default"/>
        </w:rPr>
        <w:t>8</w:t>
      </w:r>
      <w:r>
        <w:rPr/>
        <w:t>）主要产品价格及主要原材料价格未发生明显变化。</w:t>
      </w:r>
    </w:p>
    <w:p>
      <w:pPr>
        <w:pStyle w:val="BodyText"/>
        <w:spacing w:line="240" w:lineRule="auto" w:before="108"/>
        <w:ind w:left="738" w:right="1043"/>
        <w:jc w:val="left"/>
      </w:pPr>
      <w:r>
        <w:rPr/>
        <w:t>（</w:t>
      </w:r>
      <w:r>
        <w:rPr>
          <w:rFonts w:ascii="Times New Roman" w:hAnsi="Times New Roman" w:cs="Times New Roman" w:eastAsia="Times New Roman" w:hint="default"/>
        </w:rPr>
        <w:t>9</w:t>
      </w:r>
      <w:r>
        <w:rPr/>
        <w:t>）订单的签署及执行情况</w:t>
      </w:r>
    </w:p>
    <w:p>
      <w:pPr>
        <w:pStyle w:val="BodyText"/>
        <w:spacing w:line="240" w:lineRule="auto" w:before="27"/>
        <w:ind w:left="0" w:right="1042"/>
        <w:jc w:val="right"/>
      </w:pPr>
      <w:r>
        <w:rPr/>
        <w:t>单位：台/套</w:t>
      </w:r>
    </w:p>
    <w:p>
      <w:pPr>
        <w:spacing w:line="240" w:lineRule="auto" w:before="12"/>
        <w:rPr>
          <w:rFonts w:ascii="宋体" w:hAnsi="宋体" w:cs="宋体" w:eastAsia="宋体" w:hint="default"/>
          <w:sz w:val="5"/>
          <w:szCs w:val="5"/>
        </w:rPr>
      </w:pPr>
    </w:p>
    <w:tbl>
      <w:tblPr>
        <w:tblW w:w="0" w:type="auto"/>
        <w:jc w:val="left"/>
        <w:tblInd w:w="107" w:type="dxa"/>
        <w:tblLayout w:type="fixed"/>
        <w:tblCellMar>
          <w:top w:w="0" w:type="dxa"/>
          <w:left w:w="0" w:type="dxa"/>
          <w:bottom w:w="0" w:type="dxa"/>
          <w:right w:w="0" w:type="dxa"/>
        </w:tblCellMar>
        <w:tblLook w:val="01E0"/>
      </w:tblPr>
      <w:tblGrid>
        <w:gridCol w:w="2269"/>
        <w:gridCol w:w="1559"/>
        <w:gridCol w:w="1843"/>
        <w:gridCol w:w="2408"/>
        <w:gridCol w:w="1276"/>
      </w:tblGrid>
      <w:tr>
        <w:trPr>
          <w:trHeight w:val="333" w:hRule="exact"/>
        </w:trPr>
        <w:tc>
          <w:tcPr>
            <w:tcW w:w="2269"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1"/>
              <w:ind w:left="853" w:right="0"/>
              <w:jc w:val="left"/>
              <w:rPr>
                <w:rFonts w:ascii="宋体" w:hAnsi="宋体" w:cs="宋体" w:eastAsia="宋体" w:hint="default"/>
                <w:sz w:val="18"/>
                <w:szCs w:val="18"/>
              </w:rPr>
            </w:pPr>
            <w:r>
              <w:rPr>
                <w:rFonts w:ascii="宋体" w:hAnsi="宋体" w:cs="宋体" w:eastAsia="宋体" w:hint="default"/>
                <w:sz w:val="18"/>
                <w:szCs w:val="18"/>
              </w:rPr>
              <w:t>订单情况</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1"/>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843" w:type="dxa"/>
            <w:tcBorders>
              <w:top w:val="single" w:sz="8" w:space="0" w:color="000000"/>
              <w:left w:val="single" w:sz="8" w:space="0" w:color="000000"/>
              <w:bottom w:val="single" w:sz="8" w:space="0" w:color="000000"/>
              <w:right w:val="single" w:sz="6" w:space="0" w:color="000000"/>
            </w:tcBorders>
            <w:shd w:val="clear" w:color="auto" w:fill="D9D9D9"/>
          </w:tcPr>
          <w:p>
            <w:pPr>
              <w:pStyle w:val="TableParagraph"/>
              <w:spacing w:line="240" w:lineRule="auto" w:before="11"/>
              <w:ind w:left="6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08" w:type="dxa"/>
            <w:tcBorders>
              <w:top w:val="single" w:sz="8" w:space="0" w:color="000000"/>
              <w:left w:val="single" w:sz="6" w:space="0" w:color="000000"/>
              <w:bottom w:val="single" w:sz="8" w:space="0" w:color="000000"/>
              <w:right w:val="single" w:sz="8" w:space="0" w:color="000000"/>
            </w:tcBorders>
            <w:shd w:val="clear" w:color="auto" w:fill="D9D9D9"/>
          </w:tcPr>
          <w:p>
            <w:pPr>
              <w:pStyle w:val="TableParagraph"/>
              <w:spacing w:line="240" w:lineRule="auto" w:before="11"/>
              <w:ind w:left="90" w:right="0"/>
              <w:jc w:val="center"/>
              <w:rPr>
                <w:rFonts w:ascii="宋体" w:hAnsi="宋体" w:cs="宋体" w:eastAsia="宋体" w:hint="default"/>
                <w:sz w:val="18"/>
                <w:szCs w:val="18"/>
              </w:rPr>
            </w:pPr>
            <w:r>
              <w:rPr>
                <w:rFonts w:ascii="宋体" w:hAnsi="宋体" w:cs="宋体" w:eastAsia="宋体" w:hint="default"/>
                <w:sz w:val="18"/>
                <w:szCs w:val="18"/>
              </w:rPr>
              <w:t>本年比上年订单增减幅度</w:t>
            </w:r>
          </w:p>
        </w:tc>
        <w:tc>
          <w:tcPr>
            <w:tcW w:w="1276"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1"/>
              <w:ind w:left="1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34" w:hRule="exact"/>
        </w:trPr>
        <w:tc>
          <w:tcPr>
            <w:tcW w:w="2269"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1"/>
              <w:ind w:left="97" w:right="0"/>
              <w:jc w:val="left"/>
              <w:rPr>
                <w:rFonts w:ascii="宋体" w:hAnsi="宋体" w:cs="宋体" w:eastAsia="宋体" w:hint="default"/>
                <w:sz w:val="18"/>
                <w:szCs w:val="18"/>
              </w:rPr>
            </w:pPr>
            <w:r>
              <w:rPr>
                <w:rFonts w:ascii="宋体" w:hAnsi="宋体" w:cs="宋体" w:eastAsia="宋体" w:hint="default"/>
                <w:sz w:val="18"/>
                <w:szCs w:val="18"/>
              </w:rPr>
              <w:t>当年度签订的订单</w:t>
            </w:r>
          </w:p>
        </w:tc>
        <w:tc>
          <w:tcPr>
            <w:tcW w:w="155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332,800</w:t>
            </w:r>
          </w:p>
        </w:tc>
        <w:tc>
          <w:tcPr>
            <w:tcW w:w="1843" w:type="dxa"/>
            <w:tcBorders>
              <w:top w:val="single" w:sz="8" w:space="0" w:color="000000"/>
              <w:left w:val="single" w:sz="8" w:space="0" w:color="000000"/>
              <w:bottom w:val="single" w:sz="8" w:space="0" w:color="000000"/>
              <w:right w:val="single" w:sz="6" w:space="0" w:color="000000"/>
            </w:tcBorders>
          </w:tcPr>
          <w:p>
            <w:pPr>
              <w:pStyle w:val="TableParagraph"/>
              <w:spacing w:line="240" w:lineRule="auto" w:before="50"/>
              <w:ind w:left="617" w:right="0"/>
              <w:jc w:val="left"/>
              <w:rPr>
                <w:rFonts w:ascii="Times New Roman" w:hAnsi="Times New Roman" w:cs="Times New Roman" w:eastAsia="Times New Roman" w:hint="default"/>
                <w:sz w:val="18"/>
                <w:szCs w:val="18"/>
              </w:rPr>
            </w:pPr>
            <w:r>
              <w:rPr>
                <w:rFonts w:ascii="Times New Roman"/>
                <w:sz w:val="18"/>
              </w:rPr>
              <w:t>240,833</w:t>
            </w:r>
          </w:p>
        </w:tc>
        <w:tc>
          <w:tcPr>
            <w:tcW w:w="2408" w:type="dxa"/>
            <w:tcBorders>
              <w:top w:val="single" w:sz="8" w:space="0" w:color="000000"/>
              <w:left w:val="single" w:sz="6"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38.19%</w:t>
            </w:r>
          </w:p>
        </w:tc>
        <w:tc>
          <w:tcPr>
            <w:tcW w:w="12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7"/>
              <w:ind w:right="332"/>
              <w:jc w:val="right"/>
              <w:rPr>
                <w:rFonts w:ascii="Times New Roman" w:hAnsi="Times New Roman" w:cs="Times New Roman" w:eastAsia="Times New Roman" w:hint="default"/>
                <w:sz w:val="18"/>
                <w:szCs w:val="18"/>
              </w:rPr>
            </w:pPr>
            <w:r>
              <w:rPr>
                <w:rFonts w:ascii="Times New Roman"/>
                <w:sz w:val="18"/>
              </w:rPr>
              <w:t>190,740</w:t>
            </w:r>
          </w:p>
        </w:tc>
      </w:tr>
      <w:tr>
        <w:trPr>
          <w:trHeight w:val="334" w:hRule="exact"/>
        </w:trPr>
        <w:tc>
          <w:tcPr>
            <w:tcW w:w="2269"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0"/>
              <w:ind w:left="97" w:right="0"/>
              <w:jc w:val="left"/>
              <w:rPr>
                <w:rFonts w:ascii="宋体" w:hAnsi="宋体" w:cs="宋体" w:eastAsia="宋体" w:hint="default"/>
                <w:sz w:val="18"/>
                <w:szCs w:val="18"/>
              </w:rPr>
            </w:pPr>
            <w:r>
              <w:rPr>
                <w:rFonts w:ascii="宋体" w:hAnsi="宋体" w:cs="宋体" w:eastAsia="宋体" w:hint="default"/>
                <w:sz w:val="18"/>
                <w:szCs w:val="18"/>
              </w:rPr>
              <w:t>跨年度订单实际完成情况</w:t>
            </w:r>
          </w:p>
        </w:tc>
        <w:tc>
          <w:tcPr>
            <w:tcW w:w="155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98.75%</w:t>
            </w:r>
          </w:p>
        </w:tc>
        <w:tc>
          <w:tcPr>
            <w:tcW w:w="1843" w:type="dxa"/>
            <w:tcBorders>
              <w:top w:val="single" w:sz="8" w:space="0" w:color="000000"/>
              <w:left w:val="single" w:sz="8" w:space="0" w:color="000000"/>
              <w:bottom w:val="single" w:sz="8" w:space="0" w:color="000000"/>
              <w:right w:val="single" w:sz="6" w:space="0" w:color="000000"/>
            </w:tcBorders>
          </w:tcPr>
          <w:p>
            <w:pPr>
              <w:pStyle w:val="TableParagraph"/>
              <w:spacing w:line="240" w:lineRule="auto" w:before="49"/>
              <w:ind w:left="633" w:right="0"/>
              <w:jc w:val="left"/>
              <w:rPr>
                <w:rFonts w:ascii="Times New Roman" w:hAnsi="Times New Roman" w:cs="Times New Roman" w:eastAsia="Times New Roman" w:hint="default"/>
                <w:sz w:val="18"/>
                <w:szCs w:val="18"/>
              </w:rPr>
            </w:pPr>
            <w:r>
              <w:rPr>
                <w:rFonts w:ascii="Times New Roman"/>
                <w:sz w:val="18"/>
              </w:rPr>
              <w:t>99.94%</w:t>
            </w:r>
          </w:p>
        </w:tc>
        <w:tc>
          <w:tcPr>
            <w:tcW w:w="2408" w:type="dxa"/>
            <w:tcBorders>
              <w:top w:val="single" w:sz="8" w:space="0" w:color="000000"/>
              <w:left w:val="single" w:sz="6" w:space="0" w:color="000000"/>
              <w:bottom w:val="single" w:sz="8" w:space="0" w:color="000000"/>
              <w:right w:val="single" w:sz="8"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-1.19%</w:t>
            </w:r>
          </w:p>
        </w:tc>
        <w:tc>
          <w:tcPr>
            <w:tcW w:w="12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348"/>
              <w:jc w:val="right"/>
              <w:rPr>
                <w:rFonts w:ascii="Times New Roman" w:hAnsi="Times New Roman" w:cs="Times New Roman" w:eastAsia="Times New Roman" w:hint="default"/>
                <w:sz w:val="18"/>
                <w:szCs w:val="18"/>
              </w:rPr>
            </w:pPr>
            <w:r>
              <w:rPr>
                <w:rFonts w:ascii="Times New Roman"/>
                <w:sz w:val="18"/>
              </w:rPr>
              <w:t>99.32%</w:t>
            </w:r>
          </w:p>
        </w:tc>
      </w:tr>
    </w:tbl>
    <w:p>
      <w:pPr>
        <w:spacing w:before="10"/>
        <w:ind w:left="618" w:right="104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年公司签订订单增加 </w:t>
      </w:r>
      <w:r>
        <w:rPr>
          <w:rFonts w:ascii="Times New Roman" w:hAnsi="Times New Roman" w:cs="Times New Roman" w:eastAsia="Times New Roman" w:hint="default"/>
          <w:sz w:val="18"/>
          <w:szCs w:val="18"/>
        </w:rPr>
        <w:t>38.19</w:t>
      </w:r>
      <w:r>
        <w:rPr>
          <w:rFonts w:ascii="Times New Roman" w:hAnsi="Times New Roman" w:cs="Times New Roman" w:eastAsia="Times New Roman" w:hint="default"/>
          <w:spacing w:val="-14"/>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的原因系加大市场营销的力度，客户数量增加所致。</w:t>
      </w:r>
    </w:p>
    <w:p>
      <w:pPr>
        <w:spacing w:line="240" w:lineRule="auto" w:before="13"/>
        <w:rPr>
          <w:rFonts w:ascii="宋体" w:hAnsi="宋体" w:cs="宋体" w:eastAsia="宋体" w:hint="default"/>
          <w:sz w:val="19"/>
          <w:szCs w:val="19"/>
        </w:rPr>
      </w:pPr>
    </w:p>
    <w:p>
      <w:pPr>
        <w:pStyle w:val="BodyText"/>
        <w:spacing w:line="240" w:lineRule="auto"/>
        <w:ind w:left="724" w:right="1043"/>
        <w:jc w:val="left"/>
      </w:pPr>
      <w:r>
        <w:rPr/>
        <w:t>（</w:t>
      </w:r>
      <w:r>
        <w:rPr>
          <w:rFonts w:ascii="Times New Roman" w:hAnsi="Times New Roman" w:cs="Times New Roman" w:eastAsia="Times New Roman" w:hint="default"/>
        </w:rPr>
        <w:t>10</w:t>
      </w:r>
      <w:r>
        <w:rPr/>
        <w:t>）近三年销售毛利率变动情况</w:t>
      </w:r>
    </w:p>
    <w:p>
      <w:pPr>
        <w:spacing w:line="240" w:lineRule="auto" w:before="8"/>
        <w:rPr>
          <w:rFonts w:ascii="宋体" w:hAnsi="宋体" w:cs="宋体" w:eastAsia="宋体" w:hint="default"/>
          <w:sz w:val="14"/>
          <w:szCs w:val="14"/>
        </w:rPr>
      </w:pPr>
    </w:p>
    <w:tbl>
      <w:tblPr>
        <w:tblW w:w="0" w:type="auto"/>
        <w:jc w:val="left"/>
        <w:tblInd w:w="140" w:type="dxa"/>
        <w:tblLayout w:type="fixed"/>
        <w:tblCellMar>
          <w:top w:w="0" w:type="dxa"/>
          <w:left w:w="0" w:type="dxa"/>
          <w:bottom w:w="0" w:type="dxa"/>
          <w:right w:w="0" w:type="dxa"/>
        </w:tblCellMar>
        <w:tblLook w:val="01E0"/>
      </w:tblPr>
      <w:tblGrid>
        <w:gridCol w:w="2268"/>
        <w:gridCol w:w="1560"/>
        <w:gridCol w:w="1417"/>
        <w:gridCol w:w="2503"/>
        <w:gridCol w:w="1465"/>
      </w:tblGrid>
      <w:tr>
        <w:trPr>
          <w:trHeight w:val="333" w:hRule="exact"/>
        </w:trPr>
        <w:tc>
          <w:tcPr>
            <w:tcW w:w="2268"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06" w:lineRule="exact"/>
              <w:ind w:right="0"/>
              <w:jc w:val="center"/>
              <w:rPr>
                <w:rFonts w:ascii="黑体" w:hAnsi="黑体" w:cs="黑体" w:eastAsia="黑体" w:hint="default"/>
                <w:sz w:val="18"/>
                <w:szCs w:val="18"/>
              </w:rPr>
            </w:pPr>
            <w:r>
              <w:rPr>
                <w:rFonts w:ascii="黑体" w:hAnsi="黑体" w:cs="黑体" w:eastAsia="黑体" w:hint="default"/>
                <w:sz w:val="18"/>
                <w:szCs w:val="18"/>
              </w:rPr>
              <w:t>项目</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年度</w:t>
            </w:r>
          </w:p>
        </w:tc>
        <w:tc>
          <w:tcPr>
            <w:tcW w:w="1417"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503"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本年度比上年度增减（％）</w:t>
            </w:r>
          </w:p>
        </w:tc>
        <w:tc>
          <w:tcPr>
            <w:tcW w:w="1465"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度</w:t>
            </w:r>
          </w:p>
        </w:tc>
      </w:tr>
      <w:tr>
        <w:trPr>
          <w:trHeight w:val="254" w:hRule="exact"/>
        </w:trPr>
        <w:tc>
          <w:tcPr>
            <w:tcW w:w="2268" w:type="dxa"/>
            <w:tcBorders>
              <w:top w:val="single" w:sz="8" w:space="0" w:color="000000"/>
              <w:left w:val="single" w:sz="8" w:space="0" w:color="000000"/>
              <w:bottom w:val="single" w:sz="8" w:space="0" w:color="000000"/>
              <w:right w:val="single" w:sz="8" w:space="0" w:color="000000"/>
            </w:tcBorders>
          </w:tcPr>
          <w:p>
            <w:pPr>
              <w:pStyle w:val="TableParagraph"/>
              <w:spacing w:line="207" w:lineRule="exact"/>
              <w:ind w:right="1"/>
              <w:jc w:val="center"/>
              <w:rPr>
                <w:rFonts w:ascii="黑体" w:hAnsi="黑体" w:cs="黑体" w:eastAsia="黑体" w:hint="default"/>
                <w:sz w:val="18"/>
                <w:szCs w:val="18"/>
              </w:rPr>
            </w:pPr>
            <w:r>
              <w:rPr>
                <w:rFonts w:ascii="黑体" w:hAnsi="黑体" w:cs="黑体" w:eastAsia="黑体" w:hint="default"/>
                <w:sz w:val="18"/>
                <w:szCs w:val="18"/>
              </w:rPr>
              <w:t>销售毛利率（%）</w:t>
            </w:r>
          </w:p>
        </w:tc>
        <w:tc>
          <w:tcPr>
            <w:tcW w:w="1560" w:type="dxa"/>
            <w:tcBorders>
              <w:top w:val="single" w:sz="8" w:space="0" w:color="000000"/>
              <w:left w:val="single" w:sz="8" w:space="0" w:color="000000"/>
              <w:bottom w:val="single" w:sz="8" w:space="0" w:color="000000"/>
              <w:right w:val="single" w:sz="8" w:space="0" w:color="000000"/>
            </w:tcBorders>
          </w:tcPr>
          <w:p>
            <w:pPr>
              <w:pStyle w:val="TableParagraph"/>
              <w:spacing w:line="203" w:lineRule="exact"/>
              <w:ind w:right="0"/>
              <w:jc w:val="center"/>
              <w:rPr>
                <w:rFonts w:ascii="Times New Roman" w:hAnsi="Times New Roman" w:cs="Times New Roman" w:eastAsia="Times New Roman" w:hint="default"/>
                <w:sz w:val="18"/>
                <w:szCs w:val="18"/>
              </w:rPr>
            </w:pPr>
            <w:r>
              <w:rPr>
                <w:rFonts w:ascii="Times New Roman"/>
                <w:sz w:val="18"/>
              </w:rPr>
              <w:t>44.10</w:t>
            </w:r>
          </w:p>
        </w:tc>
        <w:tc>
          <w:tcPr>
            <w:tcW w:w="1417" w:type="dxa"/>
            <w:tcBorders>
              <w:top w:val="single" w:sz="8" w:space="0" w:color="000000"/>
              <w:left w:val="single" w:sz="8" w:space="0" w:color="000000"/>
              <w:bottom w:val="single" w:sz="8" w:space="0" w:color="000000"/>
              <w:right w:val="single" w:sz="8" w:space="0" w:color="000000"/>
            </w:tcBorders>
          </w:tcPr>
          <w:p>
            <w:pPr>
              <w:pStyle w:val="TableParagraph"/>
              <w:spacing w:line="203" w:lineRule="exact"/>
              <w:ind w:right="1"/>
              <w:jc w:val="center"/>
              <w:rPr>
                <w:rFonts w:ascii="Times New Roman" w:hAnsi="Times New Roman" w:cs="Times New Roman" w:eastAsia="Times New Roman" w:hint="default"/>
                <w:sz w:val="18"/>
                <w:szCs w:val="18"/>
              </w:rPr>
            </w:pPr>
            <w:r>
              <w:rPr>
                <w:rFonts w:ascii="Times New Roman"/>
                <w:sz w:val="18"/>
              </w:rPr>
              <w:t>49.86</w:t>
            </w:r>
          </w:p>
        </w:tc>
        <w:tc>
          <w:tcPr>
            <w:tcW w:w="2503" w:type="dxa"/>
            <w:tcBorders>
              <w:top w:val="single" w:sz="8" w:space="0" w:color="000000"/>
              <w:left w:val="single" w:sz="8" w:space="0" w:color="000000"/>
              <w:bottom w:val="single" w:sz="8" w:space="0" w:color="000000"/>
              <w:right w:val="single" w:sz="8" w:space="0" w:color="000000"/>
            </w:tcBorders>
          </w:tcPr>
          <w:p>
            <w:pPr>
              <w:pStyle w:val="TableParagraph"/>
              <w:spacing w:line="203" w:lineRule="exact"/>
              <w:ind w:right="1"/>
              <w:jc w:val="center"/>
              <w:rPr>
                <w:rFonts w:ascii="Times New Roman" w:hAnsi="Times New Roman" w:cs="Times New Roman" w:eastAsia="Times New Roman" w:hint="default"/>
                <w:sz w:val="18"/>
                <w:szCs w:val="18"/>
              </w:rPr>
            </w:pPr>
            <w:r>
              <w:rPr>
                <w:rFonts w:ascii="Times New Roman"/>
                <w:sz w:val="18"/>
              </w:rPr>
              <w:t>-5.76</w:t>
            </w:r>
          </w:p>
        </w:tc>
        <w:tc>
          <w:tcPr>
            <w:tcW w:w="1465" w:type="dxa"/>
            <w:tcBorders>
              <w:top w:val="single" w:sz="8" w:space="0" w:color="000000"/>
              <w:left w:val="single" w:sz="8" w:space="0" w:color="000000"/>
              <w:bottom w:val="single" w:sz="8" w:space="0" w:color="000000"/>
              <w:right w:val="single" w:sz="8" w:space="0" w:color="000000"/>
            </w:tcBorders>
          </w:tcPr>
          <w:p>
            <w:pPr>
              <w:pStyle w:val="TableParagraph"/>
              <w:spacing w:line="203" w:lineRule="exact"/>
              <w:ind w:right="1"/>
              <w:jc w:val="center"/>
              <w:rPr>
                <w:rFonts w:ascii="Times New Roman" w:hAnsi="Times New Roman" w:cs="Times New Roman" w:eastAsia="Times New Roman" w:hint="default"/>
                <w:sz w:val="18"/>
                <w:szCs w:val="18"/>
              </w:rPr>
            </w:pPr>
            <w:r>
              <w:rPr>
                <w:rFonts w:ascii="Times New Roman"/>
                <w:sz w:val="18"/>
              </w:rPr>
              <w:t>45.97</w:t>
            </w:r>
          </w:p>
        </w:tc>
      </w:tr>
    </w:tbl>
    <w:p>
      <w:pPr>
        <w:spacing w:before="9"/>
        <w:ind w:left="258" w:right="1106" w:firstLine="360"/>
        <w:jc w:val="left"/>
        <w:rPr>
          <w:rFonts w:ascii="宋体" w:hAnsi="宋体" w:cs="宋体" w:eastAsia="宋体" w:hint="default"/>
          <w:sz w:val="18"/>
          <w:szCs w:val="18"/>
        </w:rPr>
      </w:pPr>
      <w:r>
        <w:rPr>
          <w:rFonts w:ascii="宋体" w:hAnsi="宋体" w:cs="宋体" w:eastAsia="宋体" w:hint="default"/>
          <w:sz w:val="18"/>
          <w:szCs w:val="18"/>
        </w:rPr>
        <w:t>报告期内公司产品毛利率与上年相比未发生重大变化，但有一定下降，主要原因是：由于市场竞争激烈，导 致销售价格有所下降，材料成本上涨，导致生产成本增加。</w:t>
      </w:r>
    </w:p>
    <w:p>
      <w:pPr>
        <w:spacing w:line="240" w:lineRule="auto" w:before="0"/>
        <w:rPr>
          <w:rFonts w:ascii="宋体" w:hAnsi="宋体" w:cs="宋体" w:eastAsia="宋体" w:hint="default"/>
          <w:sz w:val="18"/>
          <w:szCs w:val="18"/>
        </w:rPr>
      </w:pPr>
    </w:p>
    <w:p>
      <w:pPr>
        <w:pStyle w:val="BodyText"/>
        <w:spacing w:line="240" w:lineRule="auto" w:before="119"/>
        <w:ind w:left="738" w:right="1043"/>
        <w:jc w:val="left"/>
      </w:pPr>
      <w:r>
        <w:rPr/>
        <w:t>（</w:t>
      </w:r>
      <w:r>
        <w:rPr>
          <w:rFonts w:ascii="Times New Roman" w:hAnsi="Times New Roman" w:cs="Times New Roman" w:eastAsia="Times New Roman" w:hint="default"/>
        </w:rPr>
        <w:t>11</w:t>
      </w:r>
      <w:r>
        <w:rPr/>
        <w:t>）主要供应商、客户情况及对公司的影响</w:t>
      </w:r>
    </w:p>
    <w:p>
      <w:pPr>
        <w:pStyle w:val="BodyText"/>
        <w:spacing w:line="240" w:lineRule="auto" w:before="108"/>
        <w:ind w:left="738" w:right="1043"/>
        <w:jc w:val="left"/>
      </w:pPr>
      <w:r>
        <w:rPr>
          <w:spacing w:val="-180"/>
        </w:rPr>
        <w:t>○</w:t>
      </w:r>
      <w:r>
        <w:rPr>
          <w:rFonts w:ascii="Times New Roman" w:hAnsi="Times New Roman" w:cs="Times New Roman" w:eastAsia="Times New Roman" w:hint="default"/>
        </w:rPr>
        <w:t>1 </w:t>
      </w:r>
      <w:r>
        <w:rPr/>
        <w:t>公司主要供应商情况</w:t>
      </w:r>
    </w:p>
    <w:p>
      <w:pPr>
        <w:spacing w:after="0" w:line="240" w:lineRule="auto"/>
        <w:jc w:val="left"/>
        <w:sectPr>
          <w:type w:val="continuous"/>
          <w:pgSz w:w="11910" w:h="16840"/>
          <w:pgMar w:top="900" w:bottom="1460" w:left="1160" w:right="5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240" w:lineRule="auto" w:before="26"/>
        <w:ind w:left="738" w:right="0"/>
        <w:jc w:val="left"/>
      </w:pPr>
      <w:r>
        <w:rPr/>
        <w:t>报告期内本公司向前五名供应商采购金额为</w:t>
      </w:r>
      <w:r>
        <w:rPr>
          <w:rFonts w:ascii="Times New Roman" w:hAnsi="Times New Roman" w:cs="Times New Roman" w:eastAsia="Times New Roman" w:hint="default"/>
        </w:rPr>
        <w:t>38,555,878.73</w:t>
      </w:r>
      <w:r>
        <w:rPr/>
        <w:t>元，占年度采购总额的</w:t>
      </w:r>
    </w:p>
    <w:p>
      <w:pPr>
        <w:pStyle w:val="BodyText"/>
        <w:spacing w:line="240" w:lineRule="auto" w:before="67"/>
        <w:ind w:right="0"/>
        <w:jc w:val="left"/>
      </w:pPr>
      <w:r>
        <w:rPr>
          <w:rFonts w:ascii="Times New Roman" w:hAnsi="Times New Roman" w:cs="Times New Roman" w:eastAsia="Times New Roman" w:hint="default"/>
        </w:rPr>
        <w:t>18.70%</w:t>
      </w:r>
      <w:r>
        <w:rPr>
          <w:rFonts w:ascii="Times New Roman" w:hAnsi="Times New Roman" w:cs="Times New Roman" w:eastAsia="Times New Roman" w:hint="default"/>
          <w:spacing w:val="60"/>
        </w:rPr>
        <w:t> </w:t>
      </w:r>
      <w:r>
        <w:rPr/>
        <w:t>。</w:t>
      </w:r>
    </w:p>
    <w:p>
      <w:pPr>
        <w:spacing w:line="240" w:lineRule="auto" w:before="3"/>
        <w:rPr>
          <w:rFonts w:ascii="宋体" w:hAnsi="宋体" w:cs="宋体" w:eastAsia="宋体" w:hint="default"/>
          <w:sz w:val="5"/>
          <w:szCs w:val="5"/>
        </w:rPr>
      </w:pPr>
    </w:p>
    <w:tbl>
      <w:tblPr>
        <w:tblW w:w="0" w:type="auto"/>
        <w:jc w:val="left"/>
        <w:tblInd w:w="145" w:type="dxa"/>
        <w:tblLayout w:type="fixed"/>
        <w:tblCellMar>
          <w:top w:w="0" w:type="dxa"/>
          <w:left w:w="0" w:type="dxa"/>
          <w:bottom w:w="0" w:type="dxa"/>
          <w:right w:w="0" w:type="dxa"/>
        </w:tblCellMar>
        <w:tblLook w:val="01E0"/>
      </w:tblPr>
      <w:tblGrid>
        <w:gridCol w:w="2944"/>
        <w:gridCol w:w="1700"/>
        <w:gridCol w:w="1418"/>
        <w:gridCol w:w="1417"/>
        <w:gridCol w:w="992"/>
      </w:tblGrid>
      <w:tr>
        <w:trPr>
          <w:trHeight w:val="1074" w:hRule="exact"/>
        </w:trPr>
        <w:tc>
          <w:tcPr>
            <w:tcW w:w="29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left="926"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名供应商</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right="1"/>
              <w:jc w:val="center"/>
              <w:rPr>
                <w:rFonts w:ascii="宋体" w:hAnsi="宋体" w:cs="宋体" w:eastAsia="宋体" w:hint="default"/>
                <w:sz w:val="18"/>
                <w:szCs w:val="18"/>
              </w:rPr>
            </w:pPr>
            <w:r>
              <w:rPr>
                <w:rFonts w:ascii="宋体" w:hAnsi="宋体" w:cs="宋体" w:eastAsia="宋体" w:hint="default"/>
                <w:sz w:val="18"/>
                <w:szCs w:val="18"/>
              </w:rPr>
              <w:t>采购金额</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54" w:right="162" w:hanging="90"/>
              <w:jc w:val="left"/>
              <w:rPr>
                <w:rFonts w:ascii="宋体" w:hAnsi="宋体" w:cs="宋体" w:eastAsia="宋体" w:hint="default"/>
                <w:sz w:val="18"/>
                <w:szCs w:val="18"/>
              </w:rPr>
            </w:pPr>
            <w:r>
              <w:rPr>
                <w:rFonts w:ascii="宋体" w:hAnsi="宋体" w:cs="宋体" w:eastAsia="宋体" w:hint="default"/>
                <w:sz w:val="18"/>
                <w:szCs w:val="18"/>
              </w:rPr>
              <w:t>占年度采购总 金额的比例</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right="1"/>
              <w:jc w:val="center"/>
              <w:rPr>
                <w:rFonts w:ascii="宋体" w:hAnsi="宋体" w:cs="宋体" w:eastAsia="宋体" w:hint="default"/>
                <w:sz w:val="18"/>
                <w:szCs w:val="18"/>
              </w:rPr>
            </w:pPr>
            <w:r>
              <w:rPr>
                <w:rFonts w:ascii="宋体" w:hAnsi="宋体" w:cs="宋体" w:eastAsia="宋体" w:hint="default"/>
                <w:sz w:val="18"/>
                <w:szCs w:val="18"/>
              </w:rPr>
              <w:t>预付账款余额</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30" w:right="131"/>
              <w:jc w:val="left"/>
              <w:rPr>
                <w:rFonts w:ascii="宋体" w:hAnsi="宋体" w:cs="宋体" w:eastAsia="宋体" w:hint="default"/>
                <w:sz w:val="18"/>
                <w:szCs w:val="18"/>
              </w:rPr>
            </w:pPr>
            <w:r>
              <w:rPr>
                <w:rFonts w:ascii="宋体" w:hAnsi="宋体" w:cs="宋体" w:eastAsia="宋体" w:hint="default"/>
                <w:sz w:val="18"/>
                <w:szCs w:val="18"/>
              </w:rPr>
              <w:t>是否存在 关联关系</w:t>
            </w:r>
          </w:p>
        </w:tc>
      </w:tr>
      <w:tr>
        <w:trPr>
          <w:trHeight w:val="598" w:hRule="exact"/>
        </w:trPr>
        <w:tc>
          <w:tcPr>
            <w:tcW w:w="2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0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0"/>
              <w:jc w:val="center"/>
              <w:rPr>
                <w:rFonts w:ascii="宋体" w:hAnsi="宋体" w:cs="宋体" w:eastAsia="宋体" w:hint="default"/>
                <w:sz w:val="18"/>
                <w:szCs w:val="18"/>
              </w:rPr>
            </w:pPr>
            <w:r>
              <w:rPr>
                <w:rFonts w:ascii="宋体"/>
                <w:sz w:val="18"/>
              </w:rPr>
              <w:t>15,210,757.92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
              <w:jc w:val="center"/>
              <w:rPr>
                <w:rFonts w:ascii="宋体" w:hAnsi="宋体" w:cs="宋体" w:eastAsia="宋体" w:hint="default"/>
                <w:sz w:val="18"/>
                <w:szCs w:val="18"/>
              </w:rPr>
            </w:pPr>
            <w:r>
              <w:rPr>
                <w:rFonts w:ascii="宋体"/>
                <w:sz w:val="18"/>
              </w:rPr>
              <w:t>7.38%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
              <w:jc w:val="center"/>
              <w:rPr>
                <w:rFonts w:ascii="宋体" w:hAnsi="宋体" w:cs="宋体" w:eastAsia="宋体" w:hint="default"/>
                <w:sz w:val="18"/>
                <w:szCs w:val="18"/>
              </w:rPr>
            </w:pPr>
            <w:r>
              <w:rPr>
                <w:rFonts w:ascii="宋体"/>
                <w:sz w:val="18"/>
              </w:rPr>
              <w:t>159,913.30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2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7,074,814.56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3.43%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104,592.52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2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sz w:val="18"/>
              </w:rPr>
              <w:t>6,398,288.35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sz w:val="18"/>
              </w:rPr>
              <w:t>3.10%</w:t>
            </w:r>
          </w:p>
        </w:tc>
        <w:tc>
          <w:tcPr>
            <w:tcW w:w="141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96" w:hRule="exact"/>
        </w:trPr>
        <w:tc>
          <w:tcPr>
            <w:tcW w:w="2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left="10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
              <w:jc w:val="center"/>
              <w:rPr>
                <w:rFonts w:ascii="宋体" w:hAnsi="宋体" w:cs="宋体" w:eastAsia="宋体" w:hint="default"/>
                <w:sz w:val="18"/>
                <w:szCs w:val="18"/>
              </w:rPr>
            </w:pPr>
            <w:r>
              <w:rPr>
                <w:rFonts w:ascii="宋体"/>
                <w:sz w:val="18"/>
              </w:rPr>
              <w:t>5,297,945.21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
              <w:jc w:val="center"/>
              <w:rPr>
                <w:rFonts w:ascii="宋体" w:hAnsi="宋体" w:cs="宋体" w:eastAsia="宋体" w:hint="default"/>
                <w:sz w:val="18"/>
                <w:szCs w:val="18"/>
              </w:rPr>
            </w:pPr>
            <w:r>
              <w:rPr>
                <w:rFonts w:ascii="宋体"/>
                <w:sz w:val="18"/>
              </w:rPr>
              <w:t>2.57%</w:t>
            </w:r>
          </w:p>
        </w:tc>
        <w:tc>
          <w:tcPr>
            <w:tcW w:w="141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2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sz w:val="18"/>
              </w:rPr>
              <w:t>4,574,072.68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sz w:val="18"/>
              </w:rPr>
              <w:t>2.22%</w:t>
            </w:r>
          </w:p>
        </w:tc>
        <w:tc>
          <w:tcPr>
            <w:tcW w:w="141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29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539" w:val="left" w:leader="none"/>
              </w:tabs>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38,555,878.73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18.70%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264,505.82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r>
    </w:tbl>
    <w:p>
      <w:pPr>
        <w:pStyle w:val="BodyText"/>
        <w:spacing w:line="240" w:lineRule="auto" w:before="81"/>
        <w:ind w:left="738" w:right="0"/>
        <w:jc w:val="left"/>
      </w:pPr>
      <w:r>
        <w:rPr>
          <w:spacing w:val="-180"/>
        </w:rPr>
        <w:t>○</w:t>
      </w:r>
      <w:r>
        <w:rPr>
          <w:rFonts w:ascii="Times New Roman" w:hAnsi="Times New Roman" w:cs="Times New Roman" w:eastAsia="Times New Roman" w:hint="default"/>
        </w:rPr>
        <w:t>2 </w:t>
      </w:r>
      <w:r>
        <w:rPr/>
        <w:t>公司主要客户情况</w:t>
      </w:r>
    </w:p>
    <w:p>
      <w:pPr>
        <w:pStyle w:val="BodyText"/>
        <w:spacing w:line="240" w:lineRule="auto" w:before="107"/>
        <w:ind w:left="738" w:right="0"/>
        <w:jc w:val="left"/>
      </w:pPr>
      <w:r>
        <w:rPr/>
        <w:t>报告期内本公司向前五名客户销售金额合计为 </w:t>
      </w:r>
      <w:r>
        <w:rPr>
          <w:rFonts w:ascii="Times New Roman" w:hAnsi="Times New Roman" w:cs="Times New Roman" w:eastAsia="Times New Roman" w:hint="default"/>
        </w:rPr>
        <w:t>17,869.4  </w:t>
      </w:r>
      <w:r>
        <w:rPr/>
        <w:t>万元</w:t>
      </w:r>
      <w:r>
        <w:rPr>
          <w:spacing w:val="-99"/>
        </w:rPr>
        <w:t>，</w:t>
      </w:r>
      <w:r>
        <w:rPr>
          <w:spacing w:val="-1"/>
        </w:rPr>
        <w:t>占公司年度销售总</w:t>
      </w:r>
      <w:r>
        <w:rPr/>
      </w:r>
    </w:p>
    <w:p>
      <w:pPr>
        <w:pStyle w:val="BodyText"/>
        <w:spacing w:line="240" w:lineRule="auto" w:before="67"/>
        <w:ind w:right="0"/>
        <w:jc w:val="left"/>
      </w:pPr>
      <w:r>
        <w:rPr/>
        <w:t>额的 </w:t>
      </w:r>
      <w:r>
        <w:rPr>
          <w:rFonts w:ascii="Times New Roman" w:hAnsi="Times New Roman" w:cs="Times New Roman" w:eastAsia="Times New Roman" w:hint="default"/>
        </w:rPr>
        <w:t>48.27 %</w:t>
      </w:r>
      <w:r>
        <w:rPr/>
        <w:t>。</w:t>
      </w:r>
    </w:p>
    <w:p>
      <w:pPr>
        <w:spacing w:line="240" w:lineRule="auto" w:before="3"/>
        <w:rPr>
          <w:rFonts w:ascii="宋体" w:hAnsi="宋体" w:cs="宋体" w:eastAsia="宋体" w:hint="default"/>
          <w:sz w:val="5"/>
          <w:szCs w:val="5"/>
        </w:rPr>
      </w:pPr>
    </w:p>
    <w:tbl>
      <w:tblPr>
        <w:tblW w:w="0" w:type="auto"/>
        <w:jc w:val="left"/>
        <w:tblInd w:w="253" w:type="dxa"/>
        <w:tblLayout w:type="fixed"/>
        <w:tblCellMar>
          <w:top w:w="0" w:type="dxa"/>
          <w:left w:w="0" w:type="dxa"/>
          <w:bottom w:w="0" w:type="dxa"/>
          <w:right w:w="0" w:type="dxa"/>
        </w:tblCellMar>
        <w:tblLook w:val="01E0"/>
      </w:tblPr>
      <w:tblGrid>
        <w:gridCol w:w="2494"/>
        <w:gridCol w:w="1574"/>
        <w:gridCol w:w="1321"/>
        <w:gridCol w:w="1525"/>
        <w:gridCol w:w="1228"/>
        <w:gridCol w:w="1038"/>
      </w:tblGrid>
      <w:tr>
        <w:trPr>
          <w:trHeight w:val="789" w:hRule="exact"/>
        </w:trPr>
        <w:tc>
          <w:tcPr>
            <w:tcW w:w="24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91"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名客户</w:t>
            </w:r>
          </w:p>
        </w:tc>
        <w:tc>
          <w:tcPr>
            <w:tcW w:w="15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5"/>
              <w:ind w:left="295" w:right="114" w:hanging="180"/>
              <w:jc w:val="left"/>
              <w:rPr>
                <w:rFonts w:ascii="宋体" w:hAnsi="宋体" w:cs="宋体" w:eastAsia="宋体" w:hint="default"/>
                <w:sz w:val="18"/>
                <w:szCs w:val="18"/>
              </w:rPr>
            </w:pPr>
            <w:r>
              <w:rPr>
                <w:rFonts w:ascii="宋体" w:hAnsi="宋体" w:cs="宋体" w:eastAsia="宋体" w:hint="default"/>
                <w:sz w:val="18"/>
                <w:szCs w:val="18"/>
              </w:rPr>
              <w:t>占年度销售收 入的比例</w:t>
            </w:r>
          </w:p>
        </w:tc>
        <w:tc>
          <w:tcPr>
            <w:tcW w:w="15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15" w:right="0"/>
              <w:jc w:val="left"/>
              <w:rPr>
                <w:rFonts w:ascii="宋体" w:hAnsi="宋体" w:cs="宋体" w:eastAsia="宋体" w:hint="default"/>
                <w:sz w:val="18"/>
                <w:szCs w:val="18"/>
              </w:rPr>
            </w:pPr>
            <w:r>
              <w:rPr>
                <w:rFonts w:ascii="宋体" w:hAnsi="宋体" w:cs="宋体" w:eastAsia="宋体" w:hint="default"/>
                <w:sz w:val="18"/>
                <w:szCs w:val="18"/>
              </w:rPr>
              <w:t>应收账款余额</w:t>
            </w:r>
          </w:p>
        </w:tc>
        <w:tc>
          <w:tcPr>
            <w:tcW w:w="12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11"/>
              <w:ind w:left="157" w:right="158"/>
              <w:jc w:val="center"/>
              <w:rPr>
                <w:rFonts w:ascii="宋体" w:hAnsi="宋体" w:cs="宋体" w:eastAsia="宋体" w:hint="default"/>
                <w:sz w:val="18"/>
                <w:szCs w:val="18"/>
              </w:rPr>
            </w:pPr>
            <w:r>
              <w:rPr>
                <w:rFonts w:ascii="宋体" w:hAnsi="宋体" w:cs="宋体" w:eastAsia="宋体" w:hint="default"/>
                <w:sz w:val="18"/>
                <w:szCs w:val="18"/>
              </w:rPr>
              <w:t>占公司应收 账款总余额 比例</w:t>
            </w:r>
          </w:p>
        </w:tc>
        <w:tc>
          <w:tcPr>
            <w:tcW w:w="10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2"/>
              <w:ind w:left="153" w:right="152"/>
              <w:jc w:val="center"/>
              <w:rPr>
                <w:rFonts w:ascii="宋体" w:hAnsi="宋体" w:cs="宋体" w:eastAsia="宋体" w:hint="default"/>
                <w:sz w:val="18"/>
                <w:szCs w:val="18"/>
              </w:rPr>
            </w:pPr>
            <w:r>
              <w:rPr>
                <w:rFonts w:ascii="宋体" w:hAnsi="宋体" w:cs="宋体" w:eastAsia="宋体" w:hint="default"/>
                <w:sz w:val="18"/>
                <w:szCs w:val="18"/>
              </w:rPr>
              <w:t>是否存在 关联关系</w:t>
            </w:r>
          </w:p>
          <w:p>
            <w:pPr>
              <w:pStyle w:val="TableParagraph"/>
              <w:spacing w:line="240" w:lineRule="auto" w:before="22"/>
              <w:ind w:right="90"/>
              <w:jc w:val="center"/>
              <w:rPr>
                <w:rFonts w:ascii="Microsoft Sans Serif" w:hAnsi="Microsoft Sans Serif" w:cs="Microsoft Sans Serif" w:eastAsia="Microsoft Sans Serif" w:hint="default"/>
                <w:sz w:val="18"/>
                <w:szCs w:val="18"/>
              </w:rPr>
            </w:pPr>
            <w:r>
              <w:rPr>
                <w:rFonts w:ascii="Microsoft Sans Serif"/>
                <w:sz w:val="18"/>
              </w:rPr>
              <w:t> </w:t>
            </w:r>
          </w:p>
        </w:tc>
      </w:tr>
      <w:tr>
        <w:trPr>
          <w:trHeight w:val="324" w:hRule="exact"/>
        </w:trPr>
        <w:tc>
          <w:tcPr>
            <w:tcW w:w="2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112,448,939.76</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w w:val="95"/>
                <w:sz w:val="18"/>
              </w:rPr>
              <w:t>31.23%</w:t>
            </w:r>
            <w:r>
              <w:rPr>
                <w:rFonts w:asci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20,764,751.67</w:t>
            </w:r>
          </w:p>
        </w:tc>
        <w:tc>
          <w:tcPr>
            <w:tcW w:w="12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pacing w:val="-2"/>
                <w:sz w:val="18"/>
              </w:rPr>
              <w:t>11.05%</w:t>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2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pacing w:val="-1"/>
                <w:sz w:val="18"/>
              </w:rPr>
              <w:t>38,191,293.75</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10.61%</w:t>
            </w:r>
            <w:r>
              <w:rPr>
                <w:rFonts w:asci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13,228,668.56</w:t>
            </w:r>
          </w:p>
        </w:tc>
        <w:tc>
          <w:tcPr>
            <w:tcW w:w="12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w w:val="95"/>
                <w:sz w:val="18"/>
              </w:rPr>
              <w:t>7.04%</w:t>
            </w:r>
            <w:r>
              <w:rPr>
                <w:rFonts w:ascii="Times New Roman"/>
                <w:sz w:val="18"/>
              </w:rPr>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91" w:hRule="exact"/>
        </w:trPr>
        <w:tc>
          <w:tcPr>
            <w:tcW w:w="2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0"/>
              <w:jc w:val="right"/>
              <w:rPr>
                <w:rFonts w:ascii="Times New Roman" w:hAnsi="Times New Roman" w:cs="Times New Roman" w:eastAsia="Times New Roman" w:hint="default"/>
                <w:sz w:val="18"/>
                <w:szCs w:val="18"/>
              </w:rPr>
            </w:pPr>
            <w:r>
              <w:rPr>
                <w:rFonts w:ascii="Times New Roman"/>
                <w:spacing w:val="-1"/>
                <w:sz w:val="18"/>
              </w:rPr>
              <w:t>13,415,223.23</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0"/>
              <w:jc w:val="right"/>
              <w:rPr>
                <w:rFonts w:ascii="Times New Roman" w:hAnsi="Times New Roman" w:cs="Times New Roman" w:eastAsia="Times New Roman" w:hint="default"/>
                <w:sz w:val="18"/>
                <w:szCs w:val="18"/>
              </w:rPr>
            </w:pPr>
            <w:r>
              <w:rPr>
                <w:rFonts w:ascii="Times New Roman"/>
                <w:sz w:val="18"/>
              </w:rPr>
              <w:t>3.73%</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1"/>
              <w:jc w:val="right"/>
              <w:rPr>
                <w:rFonts w:ascii="Times New Roman" w:hAnsi="Times New Roman" w:cs="Times New Roman" w:eastAsia="Times New Roman" w:hint="default"/>
                <w:sz w:val="18"/>
                <w:szCs w:val="18"/>
              </w:rPr>
            </w:pPr>
            <w:r>
              <w:rPr>
                <w:rFonts w:ascii="Times New Roman"/>
                <w:spacing w:val="-1"/>
                <w:sz w:val="18"/>
              </w:rPr>
              <w:t>6,554,418.70</w:t>
            </w:r>
          </w:p>
        </w:tc>
        <w:tc>
          <w:tcPr>
            <w:tcW w:w="12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1"/>
              <w:jc w:val="right"/>
              <w:rPr>
                <w:rFonts w:ascii="Times New Roman" w:hAnsi="Times New Roman" w:cs="Times New Roman" w:eastAsia="Times New Roman" w:hint="default"/>
                <w:sz w:val="18"/>
                <w:szCs w:val="18"/>
              </w:rPr>
            </w:pPr>
            <w:r>
              <w:rPr>
                <w:rFonts w:ascii="Times New Roman"/>
                <w:w w:val="95"/>
                <w:sz w:val="18"/>
              </w:rPr>
              <w:t>3.49%</w:t>
            </w:r>
            <w:r>
              <w:rPr>
                <w:rFonts w:ascii="Times New Roman"/>
                <w:sz w:val="18"/>
              </w:rPr>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2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pacing w:val="-1"/>
                <w:sz w:val="18"/>
              </w:rPr>
              <w:t>8,003,025.64</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z w:val="18"/>
              </w:rPr>
              <w:t>2.22%</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z w:val="18"/>
              </w:rPr>
              <w:t>898</w:t>
            </w:r>
            <w:r>
              <w:rPr>
                <w:rFonts w:ascii="Times New Roman"/>
                <w:spacing w:val="-8"/>
                <w:sz w:val="18"/>
              </w:rPr>
              <w:t> </w:t>
            </w:r>
            <w:r>
              <w:rPr>
                <w:rFonts w:ascii="Times New Roman"/>
                <w:sz w:val="18"/>
              </w:rPr>
              <w:t>115.00</w:t>
            </w:r>
          </w:p>
        </w:tc>
        <w:tc>
          <w:tcPr>
            <w:tcW w:w="12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w w:val="95"/>
                <w:sz w:val="18"/>
              </w:rPr>
              <w:t>0.48%</w:t>
            </w:r>
            <w:r>
              <w:rPr>
                <w:rFonts w:ascii="Times New Roman"/>
                <w:sz w:val="18"/>
              </w:rPr>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2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6,635,257.35</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1.84%</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802,877.10</w:t>
            </w:r>
          </w:p>
        </w:tc>
        <w:tc>
          <w:tcPr>
            <w:tcW w:w="12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w w:val="95"/>
                <w:sz w:val="18"/>
              </w:rPr>
              <w:t>0.43%</w:t>
            </w:r>
            <w:r>
              <w:rPr>
                <w:rFonts w:ascii="Times New Roman"/>
                <w:sz w:val="18"/>
              </w:rPr>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24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pacing w:val="-1"/>
                <w:sz w:val="18"/>
              </w:rPr>
              <w:t>178,693,739.73</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49.63%</w:t>
            </w:r>
            <w:r>
              <w:rPr>
                <w:rFonts w:asci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41,350,716.03</w:t>
            </w:r>
          </w:p>
        </w:tc>
        <w:tc>
          <w:tcPr>
            <w:tcW w:w="12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z w:val="18"/>
              </w:rPr>
              <w:t>22.00%</w:t>
            </w:r>
          </w:p>
        </w:tc>
        <w:tc>
          <w:tcPr>
            <w:tcW w:w="103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28"/>
          <w:szCs w:val="28"/>
        </w:rPr>
      </w:pPr>
    </w:p>
    <w:p>
      <w:pPr>
        <w:pStyle w:val="BodyText"/>
        <w:spacing w:line="240" w:lineRule="auto" w:before="26"/>
        <w:ind w:left="738" w:right="0"/>
        <w:jc w:val="left"/>
      </w:pPr>
      <w:r>
        <w:rPr/>
        <w:t>（</w:t>
      </w:r>
      <w:r>
        <w:rPr>
          <w:rFonts w:ascii="Times New Roman" w:hAnsi="Times New Roman" w:cs="Times New Roman" w:eastAsia="Times New Roman" w:hint="default"/>
        </w:rPr>
        <w:t>12</w:t>
      </w:r>
      <w:r>
        <w:rPr/>
        <w:t>）非经常性损益情况</w:t>
      </w:r>
    </w:p>
    <w:p>
      <w:pPr>
        <w:spacing w:line="240" w:lineRule="auto" w:before="3"/>
        <w:rPr>
          <w:rFonts w:ascii="宋体" w:hAnsi="宋体" w:cs="宋体" w:eastAsia="宋体" w:hint="default"/>
          <w:sz w:val="5"/>
          <w:szCs w:val="5"/>
        </w:rPr>
      </w:pPr>
    </w:p>
    <w:tbl>
      <w:tblPr>
        <w:tblW w:w="0" w:type="auto"/>
        <w:jc w:val="left"/>
        <w:tblInd w:w="145" w:type="dxa"/>
        <w:tblLayout w:type="fixed"/>
        <w:tblCellMar>
          <w:top w:w="0" w:type="dxa"/>
          <w:left w:w="0" w:type="dxa"/>
          <w:bottom w:w="0" w:type="dxa"/>
          <w:right w:w="0" w:type="dxa"/>
        </w:tblCellMar>
        <w:tblLook w:val="01E0"/>
      </w:tblPr>
      <w:tblGrid>
        <w:gridCol w:w="4078"/>
        <w:gridCol w:w="1430"/>
        <w:gridCol w:w="3814"/>
      </w:tblGrid>
      <w:tr>
        <w:trPr>
          <w:trHeight w:val="324" w:hRule="exact"/>
        </w:trPr>
        <w:tc>
          <w:tcPr>
            <w:tcW w:w="40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313" w:right="0"/>
              <w:jc w:val="left"/>
              <w:rPr>
                <w:rFonts w:ascii="宋体" w:hAnsi="宋体" w:cs="宋体" w:eastAsia="宋体" w:hint="default"/>
                <w:sz w:val="18"/>
                <w:szCs w:val="18"/>
              </w:rPr>
            </w:pPr>
            <w:r>
              <w:rPr>
                <w:rFonts w:ascii="宋体" w:hAnsi="宋体" w:cs="宋体" w:eastAsia="宋体" w:hint="default"/>
                <w:sz w:val="18"/>
                <w:szCs w:val="18"/>
              </w:rPr>
              <w:t>非经常性损益项目</w:t>
            </w:r>
          </w:p>
        </w:tc>
        <w:tc>
          <w:tcPr>
            <w:tcW w:w="14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69"/>
              <w:jc w:val="right"/>
              <w:rPr>
                <w:rFonts w:ascii="宋体" w:hAnsi="宋体" w:cs="宋体" w:eastAsia="宋体" w:hint="default"/>
                <w:sz w:val="18"/>
                <w:szCs w:val="18"/>
              </w:rPr>
            </w:pPr>
            <w:r>
              <w:rPr>
                <w:rFonts w:ascii="宋体" w:hAnsi="宋体" w:cs="宋体" w:eastAsia="宋体" w:hint="default"/>
                <w:sz w:val="18"/>
                <w:szCs w:val="18"/>
              </w:rPr>
              <w:t>金额（万元）</w:t>
            </w:r>
          </w:p>
        </w:tc>
        <w:tc>
          <w:tcPr>
            <w:tcW w:w="38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323" w:hRule="exact"/>
        </w:trPr>
        <w:tc>
          <w:tcPr>
            <w:tcW w:w="4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-329,030.18</w:t>
            </w:r>
            <w:r>
              <w:rPr>
                <w:rFonts w:ascii="Times New Roman"/>
                <w:sz w:val="18"/>
              </w:rPr>
            </w:r>
          </w:p>
        </w:tc>
        <w:tc>
          <w:tcPr>
            <w:tcW w:w="3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主要系出售固定资产损失</w:t>
            </w:r>
          </w:p>
        </w:tc>
      </w:tr>
      <w:tr>
        <w:trPr>
          <w:trHeight w:val="791" w:hRule="exact"/>
        </w:trPr>
        <w:tc>
          <w:tcPr>
            <w:tcW w:w="4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99"/>
              <w:jc w:val="both"/>
              <w:rPr>
                <w:rFonts w:ascii="宋体" w:hAnsi="宋体" w:cs="宋体" w:eastAsia="宋体" w:hint="default"/>
                <w:sz w:val="18"/>
                <w:szCs w:val="18"/>
              </w:rPr>
            </w:pPr>
            <w:r>
              <w:rPr>
                <w:rFonts w:ascii="宋体" w:hAnsi="宋体" w:cs="宋体" w:eastAsia="宋体" w:hint="default"/>
                <w:spacing w:val="3"/>
                <w:sz w:val="18"/>
                <w:szCs w:val="18"/>
              </w:rPr>
              <w:t>计入当期损益的政府补助，但与公司正常经营业</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务密切相关，符合国家政策规定、按照一定标准</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定额或定量持续享受的政府补助除外</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25,716,594.98</w:t>
            </w:r>
          </w:p>
        </w:tc>
        <w:tc>
          <w:tcPr>
            <w:tcW w:w="3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3" w:right="278"/>
              <w:jc w:val="left"/>
              <w:rPr>
                <w:rFonts w:ascii="宋体" w:hAnsi="宋体" w:cs="宋体" w:eastAsia="宋体" w:hint="default"/>
                <w:sz w:val="18"/>
                <w:szCs w:val="18"/>
              </w:rPr>
            </w:pPr>
            <w:r>
              <w:rPr>
                <w:rFonts w:ascii="宋体" w:hAnsi="宋体" w:cs="宋体" w:eastAsia="宋体" w:hint="default"/>
                <w:sz w:val="18"/>
                <w:szCs w:val="18"/>
              </w:rPr>
              <w:t>主要系母公司及子公司所获政府补助计入当 期损益</w:t>
            </w:r>
          </w:p>
        </w:tc>
      </w:tr>
      <w:tr>
        <w:trPr>
          <w:trHeight w:val="277" w:hRule="exact"/>
        </w:trPr>
        <w:tc>
          <w:tcPr>
            <w:tcW w:w="407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pacing w:val="3"/>
                <w:sz w:val="18"/>
                <w:szCs w:val="18"/>
              </w:rPr>
              <w:t>除同公司正常经营业务相关的有效套期保值业务</w:t>
            </w:r>
            <w:r>
              <w:rPr>
                <w:rFonts w:ascii="宋体" w:hAnsi="宋体" w:cs="宋体" w:eastAsia="宋体" w:hint="default"/>
                <w:sz w:val="18"/>
                <w:szCs w:val="18"/>
              </w:rPr>
            </w:r>
          </w:p>
        </w:tc>
        <w:tc>
          <w:tcPr>
            <w:tcW w:w="1430" w:type="dxa"/>
            <w:tcBorders>
              <w:top w:val="single" w:sz="4" w:space="0" w:color="000000"/>
              <w:left w:val="single" w:sz="4" w:space="0" w:color="000000"/>
              <w:bottom w:val="nil" w:sz="6" w:space="0" w:color="auto"/>
              <w:right w:val="single" w:sz="4" w:space="0" w:color="000000"/>
            </w:tcBorders>
          </w:tcPr>
          <w:p>
            <w:pPr/>
          </w:p>
        </w:tc>
        <w:tc>
          <w:tcPr>
            <w:tcW w:w="3814"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4078"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外，持有交易性金融资产、交易性金融负债产生</w:t>
            </w:r>
            <w:r>
              <w:rPr>
                <w:rFonts w:ascii="宋体" w:hAnsi="宋体" w:cs="宋体" w:eastAsia="宋体" w:hint="default"/>
                <w:sz w:val="18"/>
                <w:szCs w:val="18"/>
              </w:rPr>
            </w:r>
          </w:p>
        </w:tc>
        <w:tc>
          <w:tcPr>
            <w:tcW w:w="1430" w:type="dxa"/>
            <w:tcBorders>
              <w:top w:val="nil" w:sz="6" w:space="0" w:color="auto"/>
              <w:left w:val="single" w:sz="4" w:space="0" w:color="000000"/>
              <w:bottom w:val="nil" w:sz="6" w:space="0" w:color="auto"/>
              <w:right w:val="single" w:sz="4" w:space="0" w:color="000000"/>
            </w:tcBorders>
          </w:tcPr>
          <w:p>
            <w:pPr/>
          </w:p>
        </w:tc>
        <w:tc>
          <w:tcPr>
            <w:tcW w:w="3814" w:type="dxa"/>
            <w:tcBorders>
              <w:top w:val="nil" w:sz="6" w:space="0" w:color="auto"/>
              <w:left w:val="single" w:sz="4" w:space="0" w:color="000000"/>
              <w:bottom w:val="nil" w:sz="6" w:space="0" w:color="auto"/>
              <w:right w:val="single" w:sz="4" w:space="0" w:color="000000"/>
            </w:tcBorders>
          </w:tcPr>
          <w:p>
            <w:pPr/>
          </w:p>
        </w:tc>
      </w:tr>
      <w:tr>
        <w:trPr>
          <w:trHeight w:val="237" w:hRule="exact"/>
        </w:trPr>
        <w:tc>
          <w:tcPr>
            <w:tcW w:w="407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的公允价值变动损益，以及处置交易性金融资产、</w:t>
            </w:r>
          </w:p>
        </w:tc>
        <w:tc>
          <w:tcPr>
            <w:tcW w:w="14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8"/>
                <w:szCs w:val="18"/>
              </w:rPr>
            </w:pPr>
            <w:r>
              <w:rPr>
                <w:rFonts w:ascii="Times New Roman"/>
                <w:spacing w:val="-1"/>
                <w:sz w:val="18"/>
              </w:rPr>
              <w:t>1,293,630.97</w:t>
            </w:r>
          </w:p>
        </w:tc>
        <w:tc>
          <w:tcPr>
            <w:tcW w:w="3814"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购买理财产品获得的收益</w:t>
            </w:r>
          </w:p>
        </w:tc>
      </w:tr>
      <w:tr>
        <w:trPr>
          <w:trHeight w:val="230" w:hRule="exact"/>
        </w:trPr>
        <w:tc>
          <w:tcPr>
            <w:tcW w:w="4078" w:type="dxa"/>
            <w:tcBorders>
              <w:top w:val="nil" w:sz="6" w:space="0" w:color="auto"/>
              <w:left w:val="single" w:sz="4" w:space="0" w:color="000000"/>
              <w:bottom w:val="nil" w:sz="6" w:space="0" w:color="auto"/>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交易性金融负债和可供出售金融资产取得的投资</w:t>
            </w:r>
            <w:r>
              <w:rPr>
                <w:rFonts w:ascii="宋体" w:hAnsi="宋体" w:cs="宋体" w:eastAsia="宋体" w:hint="default"/>
                <w:sz w:val="18"/>
                <w:szCs w:val="18"/>
              </w:rPr>
            </w:r>
          </w:p>
        </w:tc>
        <w:tc>
          <w:tcPr>
            <w:tcW w:w="1430" w:type="dxa"/>
            <w:tcBorders>
              <w:top w:val="nil" w:sz="6" w:space="0" w:color="auto"/>
              <w:left w:val="single" w:sz="4" w:space="0" w:color="000000"/>
              <w:bottom w:val="nil" w:sz="6" w:space="0" w:color="auto"/>
              <w:right w:val="single" w:sz="4" w:space="0" w:color="000000"/>
            </w:tcBorders>
          </w:tcPr>
          <w:p>
            <w:pPr/>
          </w:p>
        </w:tc>
        <w:tc>
          <w:tcPr>
            <w:tcW w:w="3814" w:type="dxa"/>
            <w:tcBorders>
              <w:top w:val="nil" w:sz="6" w:space="0" w:color="auto"/>
              <w:left w:val="single" w:sz="4" w:space="0" w:color="000000"/>
              <w:bottom w:val="nil" w:sz="6" w:space="0" w:color="auto"/>
              <w:right w:val="single" w:sz="4" w:space="0" w:color="000000"/>
            </w:tcBorders>
          </w:tcPr>
          <w:p>
            <w:pPr/>
          </w:p>
        </w:tc>
      </w:tr>
      <w:tr>
        <w:trPr>
          <w:trHeight w:val="280" w:hRule="exact"/>
        </w:trPr>
        <w:tc>
          <w:tcPr>
            <w:tcW w:w="4078"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收益</w:t>
            </w:r>
          </w:p>
        </w:tc>
        <w:tc>
          <w:tcPr>
            <w:tcW w:w="1430" w:type="dxa"/>
            <w:tcBorders>
              <w:top w:val="nil" w:sz="6" w:space="0" w:color="auto"/>
              <w:left w:val="single" w:sz="4" w:space="0" w:color="000000"/>
              <w:bottom w:val="single" w:sz="4" w:space="0" w:color="000000"/>
              <w:right w:val="single" w:sz="4" w:space="0" w:color="000000"/>
            </w:tcBorders>
          </w:tcPr>
          <w:p>
            <w:pPr/>
          </w:p>
        </w:tc>
        <w:tc>
          <w:tcPr>
            <w:tcW w:w="3814" w:type="dxa"/>
            <w:tcBorders>
              <w:top w:val="nil" w:sz="6" w:space="0" w:color="auto"/>
              <w:left w:val="single" w:sz="4" w:space="0" w:color="000000"/>
              <w:bottom w:val="single" w:sz="4" w:space="0" w:color="000000"/>
              <w:right w:val="single" w:sz="4" w:space="0" w:color="000000"/>
            </w:tcBorders>
          </w:tcPr>
          <w:p>
            <w:pPr/>
          </w:p>
        </w:tc>
      </w:tr>
      <w:tr>
        <w:trPr>
          <w:trHeight w:val="324" w:hRule="exact"/>
        </w:trPr>
        <w:tc>
          <w:tcPr>
            <w:tcW w:w="4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1,998,058.25</w:t>
            </w:r>
          </w:p>
        </w:tc>
        <w:tc>
          <w:tcPr>
            <w:tcW w:w="3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主要为收到的罚款</w:t>
            </w:r>
          </w:p>
        </w:tc>
      </w:tr>
      <w:tr>
        <w:trPr>
          <w:trHeight w:val="323" w:hRule="exact"/>
        </w:trPr>
        <w:tc>
          <w:tcPr>
            <w:tcW w:w="4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9"/>
              <w:jc w:val="right"/>
              <w:rPr>
                <w:rFonts w:ascii="Times New Roman" w:hAnsi="Times New Roman" w:cs="Times New Roman" w:eastAsia="Times New Roman" w:hint="default"/>
                <w:sz w:val="18"/>
                <w:szCs w:val="18"/>
              </w:rPr>
            </w:pPr>
            <w:r>
              <w:rPr>
                <w:rFonts w:ascii="Times New Roman"/>
                <w:spacing w:val="-1"/>
                <w:sz w:val="18"/>
              </w:rPr>
              <w:t>-4,503,362.21</w:t>
            </w:r>
          </w:p>
        </w:tc>
        <w:tc>
          <w:tcPr>
            <w:tcW w:w="3814"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-1,918,095.99</w:t>
            </w:r>
          </w:p>
        </w:tc>
        <w:tc>
          <w:tcPr>
            <w:tcW w:w="3814"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pacing w:val="-1"/>
                <w:sz w:val="18"/>
              </w:rPr>
              <w:t>22,257,795.82</w:t>
            </w:r>
          </w:p>
        </w:tc>
        <w:tc>
          <w:tcPr>
            <w:tcW w:w="3814"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81"/>
        <w:ind w:left="738" w:right="0"/>
        <w:jc w:val="left"/>
      </w:pPr>
      <w:r>
        <w:rPr/>
        <w:t>（</w:t>
      </w:r>
      <w:r>
        <w:rPr>
          <w:rFonts w:ascii="Times New Roman" w:hAnsi="Times New Roman" w:cs="Times New Roman" w:eastAsia="Times New Roman" w:hint="default"/>
        </w:rPr>
        <w:t>13</w:t>
      </w:r>
      <w:r>
        <w:rPr/>
        <w:t>）近三年期间费用和所得税费用变动分析</w:t>
      </w:r>
    </w:p>
    <w:p>
      <w:pPr>
        <w:spacing w:after="0" w:line="240" w:lineRule="auto"/>
        <w:jc w:val="left"/>
        <w:sectPr>
          <w:footerReference w:type="default" r:id="rId20"/>
          <w:pgSz w:w="11910" w:h="16840"/>
          <w:pgMar w:footer="1266" w:header="470" w:top="900" w:bottom="1460" w:left="1160" w:right="1160"/>
          <w:pgNumType w:start="43"/>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tbl>
      <w:tblPr>
        <w:tblW w:w="0" w:type="auto"/>
        <w:jc w:val="left"/>
        <w:tblInd w:w="237" w:type="dxa"/>
        <w:tblLayout w:type="fixed"/>
        <w:tblCellMar>
          <w:top w:w="0" w:type="dxa"/>
          <w:left w:w="0" w:type="dxa"/>
          <w:bottom w:w="0" w:type="dxa"/>
          <w:right w:w="0" w:type="dxa"/>
        </w:tblCellMar>
        <w:tblLook w:val="01E0"/>
      </w:tblPr>
      <w:tblGrid>
        <w:gridCol w:w="1859"/>
        <w:gridCol w:w="1843"/>
        <w:gridCol w:w="1843"/>
        <w:gridCol w:w="1416"/>
        <w:gridCol w:w="1789"/>
      </w:tblGrid>
      <w:tr>
        <w:trPr>
          <w:trHeight w:val="557" w:hRule="exact"/>
        </w:trPr>
        <w:tc>
          <w:tcPr>
            <w:tcW w:w="18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left="463" w:right="0"/>
              <w:jc w:val="left"/>
              <w:rPr>
                <w:rFonts w:ascii="宋体" w:hAnsi="宋体" w:cs="宋体" w:eastAsia="宋体" w:hint="default"/>
                <w:sz w:val="18"/>
                <w:szCs w:val="18"/>
              </w:rPr>
            </w:pPr>
            <w:r>
              <w:rPr>
                <w:rFonts w:ascii="宋体" w:hAnsi="宋体" w:cs="宋体" w:eastAsia="宋体" w:hint="default"/>
                <w:sz w:val="18"/>
                <w:szCs w:val="18"/>
              </w:rPr>
              <w:t>费用项目</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left="461" w:right="0"/>
              <w:jc w:val="left"/>
              <w:rPr>
                <w:rFonts w:ascii="宋体" w:hAnsi="宋体" w:cs="宋体" w:eastAsia="宋体" w:hint="default"/>
                <w:sz w:val="18"/>
                <w:szCs w:val="18"/>
              </w:rPr>
            </w:pPr>
            <w:r>
              <w:rPr>
                <w:rFonts w:ascii="宋体" w:hAnsi="宋体" w:cs="宋体" w:eastAsia="宋体" w:hint="default"/>
                <w:sz w:val="18"/>
                <w:szCs w:val="18"/>
              </w:rPr>
              <w:t>2011年</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left="461" w:right="0"/>
              <w:jc w:val="left"/>
              <w:rPr>
                <w:rFonts w:ascii="宋体" w:hAnsi="宋体" w:cs="宋体" w:eastAsia="宋体" w:hint="default"/>
                <w:sz w:val="18"/>
                <w:szCs w:val="18"/>
              </w:rPr>
            </w:pPr>
            <w:r>
              <w:rPr>
                <w:rFonts w:ascii="宋体" w:hAnsi="宋体" w:cs="宋体" w:eastAsia="宋体" w:hint="default"/>
                <w:sz w:val="18"/>
                <w:szCs w:val="18"/>
              </w:rPr>
              <w:t>2010年</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left="101" w:right="222" w:firstLine="360"/>
              <w:jc w:val="left"/>
              <w:rPr>
                <w:rFonts w:ascii="宋体" w:hAnsi="宋体" w:cs="宋体" w:eastAsia="宋体" w:hint="default"/>
                <w:sz w:val="18"/>
                <w:szCs w:val="18"/>
              </w:rPr>
            </w:pPr>
            <w:r>
              <w:rPr>
                <w:rFonts w:ascii="宋体" w:hAnsi="宋体" w:cs="宋体" w:eastAsia="宋体" w:hint="default"/>
                <w:sz w:val="18"/>
                <w:szCs w:val="18"/>
              </w:rPr>
              <w:t>本年度比 上年增减</w:t>
            </w:r>
          </w:p>
        </w:tc>
        <w:tc>
          <w:tcPr>
            <w:tcW w:w="17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left="463" w:right="0"/>
              <w:jc w:val="left"/>
              <w:rPr>
                <w:rFonts w:ascii="宋体" w:hAnsi="宋体" w:cs="宋体" w:eastAsia="宋体" w:hint="default"/>
                <w:sz w:val="18"/>
                <w:szCs w:val="18"/>
              </w:rPr>
            </w:pPr>
            <w:r>
              <w:rPr>
                <w:rFonts w:ascii="宋体" w:hAnsi="宋体" w:cs="宋体" w:eastAsia="宋体" w:hint="default"/>
                <w:sz w:val="18"/>
                <w:szCs w:val="18"/>
              </w:rPr>
              <w:t>2009年</w:t>
            </w:r>
          </w:p>
        </w:tc>
      </w:tr>
      <w:tr>
        <w:trPr>
          <w:trHeight w:val="323" w:hRule="exact"/>
        </w:trPr>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47,523,744.14</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32,694,245.27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45.36%</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39,821,744.84</w:t>
            </w:r>
          </w:p>
        </w:tc>
      </w:tr>
      <w:tr>
        <w:trPr>
          <w:trHeight w:val="324" w:hRule="exact"/>
        </w:trPr>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5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2"/>
              <w:jc w:val="right"/>
              <w:rPr>
                <w:rFonts w:ascii="宋体" w:hAnsi="宋体" w:cs="宋体" w:eastAsia="宋体" w:hint="default"/>
                <w:sz w:val="18"/>
                <w:szCs w:val="18"/>
              </w:rPr>
            </w:pPr>
            <w:r>
              <w:rPr>
                <w:rFonts w:ascii="宋体"/>
                <w:sz w:val="18"/>
              </w:rPr>
              <w:t>57,832,690.87</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2"/>
              <w:jc w:val="right"/>
              <w:rPr>
                <w:rFonts w:ascii="宋体" w:hAnsi="宋体" w:cs="宋体" w:eastAsia="宋体" w:hint="default"/>
                <w:sz w:val="18"/>
                <w:szCs w:val="18"/>
              </w:rPr>
            </w:pPr>
            <w:r>
              <w:rPr>
                <w:rFonts w:ascii="宋体"/>
                <w:sz w:val="18"/>
              </w:rPr>
              <w:t>45,137,506.63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28.13%</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29,617,548.28</w:t>
            </w:r>
          </w:p>
        </w:tc>
      </w:tr>
      <w:tr>
        <w:trPr>
          <w:trHeight w:val="323" w:hRule="exact"/>
        </w:trPr>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2,318,705.99</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8,284,698.83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-72.01%</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2,644,089.00</w:t>
            </w:r>
          </w:p>
        </w:tc>
      </w:tr>
      <w:tr>
        <w:trPr>
          <w:trHeight w:val="324" w:hRule="exact"/>
        </w:trPr>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5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2"/>
              <w:jc w:val="right"/>
              <w:rPr>
                <w:rFonts w:ascii="宋体" w:hAnsi="宋体" w:cs="宋体" w:eastAsia="宋体" w:hint="default"/>
                <w:sz w:val="18"/>
                <w:szCs w:val="18"/>
              </w:rPr>
            </w:pPr>
            <w:r>
              <w:rPr>
                <w:rFonts w:ascii="宋体"/>
                <w:sz w:val="18"/>
              </w:rPr>
              <w:t>11,984,652.35</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2"/>
              <w:jc w:val="right"/>
              <w:rPr>
                <w:rFonts w:ascii="宋体" w:hAnsi="宋体" w:cs="宋体" w:eastAsia="宋体" w:hint="default"/>
                <w:sz w:val="18"/>
                <w:szCs w:val="18"/>
              </w:rPr>
            </w:pPr>
            <w:r>
              <w:rPr>
                <w:rFonts w:ascii="宋体"/>
                <w:sz w:val="18"/>
              </w:rPr>
              <w:t>12,296,351.74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-2.53%</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10,106,412.54</w:t>
            </w:r>
          </w:p>
        </w:tc>
      </w:tr>
      <w:tr>
        <w:trPr>
          <w:trHeight w:val="324" w:hRule="exact"/>
        </w:trPr>
        <w:tc>
          <w:tcPr>
            <w:tcW w:w="18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119,659,793.35</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98,412,802.47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21.59%</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82,189,794.66</w:t>
            </w:r>
          </w:p>
        </w:tc>
      </w:tr>
    </w:tbl>
    <w:p>
      <w:pPr>
        <w:spacing w:before="9"/>
        <w:ind w:left="258" w:right="926" w:firstLine="360"/>
        <w:jc w:val="left"/>
        <w:rPr>
          <w:rFonts w:ascii="宋体" w:hAnsi="宋体" w:cs="宋体" w:eastAsia="宋体" w:hint="default"/>
          <w:sz w:val="18"/>
          <w:szCs w:val="18"/>
        </w:rPr>
      </w:pPr>
      <w:r>
        <w:rPr>
          <w:rFonts w:ascii="宋体" w:hAnsi="宋体" w:cs="宋体" w:eastAsia="宋体" w:hint="default"/>
          <w:sz w:val="18"/>
          <w:szCs w:val="18"/>
        </w:rPr>
        <w:t>销售费用增长的原因系本年度由于市场竞争激烈而加大营销力度所增加的投入。管理费用增加的原因系本年 度母公司和子公司加大研发投入所致。财务费用减少原因系本年度归还了大部分借款所致。</w:t>
      </w: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470" w:footer="1266" w:top="900" w:bottom="1460" w:left="1160" w:right="720"/>
        </w:sectPr>
      </w:pPr>
    </w:p>
    <w:p>
      <w:pPr>
        <w:pStyle w:val="BodyText"/>
        <w:spacing w:line="240" w:lineRule="auto" w:before="162"/>
        <w:ind w:left="738" w:right="-20"/>
        <w:jc w:val="left"/>
      </w:pPr>
      <w:r>
        <w:rPr/>
        <w:t>（</w:t>
      </w:r>
      <w:r>
        <w:rPr>
          <w:rFonts w:ascii="Times New Roman" w:hAnsi="Times New Roman" w:cs="Times New Roman" w:eastAsia="Times New Roman" w:hint="default"/>
        </w:rPr>
        <w:t>14</w:t>
      </w:r>
      <w:r>
        <w:rPr/>
        <w:t>）董事、监事和高管薪酬情况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8"/>
        <w:rPr>
          <w:rFonts w:ascii="宋体" w:hAnsi="宋体" w:cs="宋体" w:eastAsia="宋体" w:hint="default"/>
          <w:sz w:val="22"/>
          <w:szCs w:val="22"/>
        </w:rPr>
      </w:pPr>
    </w:p>
    <w:p>
      <w:pPr>
        <w:spacing w:before="0"/>
        <w:ind w:left="738" w:right="0" w:firstLine="0"/>
        <w:jc w:val="left"/>
        <w:rPr>
          <w:rFonts w:ascii="宋体" w:hAnsi="宋体" w:cs="宋体" w:eastAsia="宋体" w:hint="default"/>
          <w:sz w:val="18"/>
          <w:szCs w:val="18"/>
        </w:rPr>
      </w:pPr>
      <w:r>
        <w:rPr>
          <w:rFonts w:ascii="宋体" w:hAnsi="宋体" w:cs="宋体" w:eastAsia="宋体" w:hint="default"/>
          <w:sz w:val="18"/>
          <w:szCs w:val="18"/>
        </w:rPr>
        <w:t>单位：万元</w:t>
      </w:r>
    </w:p>
    <w:p>
      <w:pPr>
        <w:spacing w:after="0"/>
        <w:jc w:val="left"/>
        <w:rPr>
          <w:rFonts w:ascii="宋体" w:hAnsi="宋体" w:cs="宋体" w:eastAsia="宋体" w:hint="default"/>
          <w:sz w:val="18"/>
          <w:szCs w:val="18"/>
        </w:rPr>
        <w:sectPr>
          <w:type w:val="continuous"/>
          <w:pgSz w:w="11910" w:h="16840"/>
          <w:pgMar w:top="900" w:bottom="1460" w:left="1160" w:right="720"/>
          <w:cols w:num="2" w:equalWidth="0">
            <w:col w:w="4339" w:space="2321"/>
            <w:col w:w="3370"/>
          </w:cols>
        </w:sectPr>
      </w:pPr>
    </w:p>
    <w:p>
      <w:pPr>
        <w:spacing w:line="240" w:lineRule="auto" w:before="3"/>
        <w:rPr>
          <w:rFonts w:ascii="宋体" w:hAnsi="宋体" w:cs="宋体" w:eastAsia="宋体" w:hint="default"/>
          <w:sz w:val="5"/>
          <w:szCs w:val="5"/>
        </w:rPr>
      </w:pPr>
    </w:p>
    <w:tbl>
      <w:tblPr>
        <w:tblW w:w="0" w:type="auto"/>
        <w:jc w:val="left"/>
        <w:tblInd w:w="236" w:type="dxa"/>
        <w:tblLayout w:type="fixed"/>
        <w:tblCellMar>
          <w:top w:w="0" w:type="dxa"/>
          <w:left w:w="0" w:type="dxa"/>
          <w:bottom w:w="0" w:type="dxa"/>
          <w:right w:w="0" w:type="dxa"/>
        </w:tblCellMar>
        <w:tblLook w:val="01E0"/>
      </w:tblPr>
      <w:tblGrid>
        <w:gridCol w:w="1480"/>
        <w:gridCol w:w="1536"/>
        <w:gridCol w:w="1254"/>
        <w:gridCol w:w="1417"/>
        <w:gridCol w:w="1134"/>
        <w:gridCol w:w="2836"/>
      </w:tblGrid>
      <w:tr>
        <w:trPr>
          <w:trHeight w:val="1151" w:hRule="exact"/>
        </w:trPr>
        <w:tc>
          <w:tcPr>
            <w:tcW w:w="14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1"/>
              <w:jc w:val="center"/>
              <w:rPr>
                <w:rFonts w:ascii="宋体" w:hAnsi="宋体" w:cs="宋体" w:eastAsia="宋体" w:hint="default"/>
                <w:sz w:val="21"/>
                <w:szCs w:val="21"/>
              </w:rPr>
            </w:pPr>
            <w:r>
              <w:rPr>
                <w:rFonts w:ascii="宋体" w:hAnsi="宋体" w:cs="宋体" w:eastAsia="宋体" w:hint="default"/>
                <w:sz w:val="21"/>
                <w:szCs w:val="21"/>
              </w:rPr>
              <w:t>姓名</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0"/>
              <w:jc w:val="center"/>
              <w:rPr>
                <w:rFonts w:ascii="宋体" w:hAnsi="宋体" w:cs="宋体" w:eastAsia="宋体" w:hint="default"/>
                <w:sz w:val="21"/>
                <w:szCs w:val="21"/>
              </w:rPr>
            </w:pPr>
            <w:r>
              <w:rPr>
                <w:rFonts w:ascii="宋体" w:hAnsi="宋体" w:cs="宋体" w:eastAsia="宋体" w:hint="default"/>
                <w:sz w:val="21"/>
                <w:szCs w:val="21"/>
              </w:rPr>
              <w:t>职务</w:t>
            </w:r>
          </w:p>
        </w:tc>
        <w:tc>
          <w:tcPr>
            <w:tcW w:w="12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left="175"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20"/>
                <w:szCs w:val="20"/>
              </w:rPr>
            </w:pP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增减幅度</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w:t>
            </w:r>
          </w:p>
        </w:tc>
        <w:tc>
          <w:tcPr>
            <w:tcW w:w="28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1"/>
              <w:jc w:val="center"/>
              <w:rPr>
                <w:rFonts w:ascii="宋体" w:hAnsi="宋体" w:cs="宋体" w:eastAsia="宋体" w:hint="default"/>
                <w:sz w:val="21"/>
                <w:szCs w:val="21"/>
              </w:rPr>
            </w:pPr>
            <w:r>
              <w:rPr>
                <w:rFonts w:ascii="宋体" w:hAnsi="宋体" w:cs="宋体" w:eastAsia="宋体" w:hint="default"/>
                <w:sz w:val="21"/>
                <w:szCs w:val="21"/>
              </w:rPr>
              <w:t>说明</w:t>
            </w:r>
          </w:p>
        </w:tc>
      </w:tr>
      <w:tr>
        <w:trPr>
          <w:trHeight w:val="324"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吕晓义</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38</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38</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22"/>
                <w:szCs w:val="22"/>
              </w:rPr>
            </w:pPr>
            <w:r>
              <w:rPr>
                <w:rFonts w:ascii="Times New Roman"/>
                <w:w w:val="95"/>
                <w:sz w:val="22"/>
              </w:rPr>
              <w:t>0.00%</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何平</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Times New Roman" w:hAnsi="Times New Roman" w:cs="Times New Roman" w:eastAsia="Times New Roman" w:hint="default"/>
                <w:sz w:val="22"/>
                <w:szCs w:val="22"/>
              </w:rPr>
            </w:pPr>
            <w:r>
              <w:rPr>
                <w:rFonts w:ascii="Times New Roman"/>
                <w:w w:val="95"/>
                <w:sz w:val="22"/>
              </w:rPr>
              <w:t>38</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Times New Roman" w:hAnsi="Times New Roman" w:cs="Times New Roman" w:eastAsia="Times New Roman" w:hint="default"/>
                <w:sz w:val="22"/>
                <w:szCs w:val="22"/>
              </w:rPr>
            </w:pPr>
            <w:r>
              <w:rPr>
                <w:rFonts w:ascii="Times New Roman"/>
                <w:w w:val="95"/>
                <w:sz w:val="22"/>
              </w:rPr>
              <w:t>38</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22"/>
                <w:szCs w:val="22"/>
              </w:rPr>
            </w:pPr>
            <w:r>
              <w:rPr>
                <w:rFonts w:ascii="Times New Roman"/>
                <w:w w:val="95"/>
                <w:sz w:val="22"/>
              </w:rPr>
              <w:t>0.00%</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匡晓明</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spacing w:val="-1"/>
                <w:sz w:val="22"/>
              </w:rPr>
              <w:t>11.15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spacing w:val="-1"/>
                <w:sz w:val="22"/>
              </w:rPr>
              <w:t>24.76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8"/>
              <w:jc w:val="right"/>
              <w:rPr>
                <w:rFonts w:ascii="Times New Roman" w:hAnsi="Times New Roman" w:cs="Times New Roman" w:eastAsia="Times New Roman" w:hint="default"/>
                <w:sz w:val="22"/>
                <w:szCs w:val="22"/>
              </w:rPr>
            </w:pPr>
            <w:r>
              <w:rPr>
                <w:rFonts w:ascii="Times New Roman"/>
                <w:w w:val="95"/>
                <w:sz w:val="22"/>
              </w:rPr>
              <w:t>-54.97%</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pacing w:val="14"/>
                <w:sz w:val="18"/>
                <w:szCs w:val="18"/>
              </w:rPr>
              <w:t>2011年5</w:t>
            </w:r>
            <w:r>
              <w:rPr>
                <w:rFonts w:ascii="宋体" w:hAnsi="宋体" w:cs="宋体" w:eastAsia="宋体" w:hint="default"/>
                <w:spacing w:val="-42"/>
                <w:sz w:val="18"/>
                <w:szCs w:val="18"/>
              </w:rPr>
              <w:t> </w:t>
            </w:r>
            <w:r>
              <w:rPr>
                <w:rFonts w:ascii="宋体" w:hAnsi="宋体" w:cs="宋体" w:eastAsia="宋体" w:hint="default"/>
                <w:sz w:val="18"/>
                <w:szCs w:val="18"/>
              </w:rPr>
              <w:t>月辞去高管职务</w:t>
            </w:r>
          </w:p>
        </w:tc>
      </w:tr>
      <w:tr>
        <w:trPr>
          <w:trHeight w:val="325"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任金生</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22"/>
                <w:szCs w:val="22"/>
              </w:rPr>
            </w:pPr>
            <w:r>
              <w:rPr>
                <w:rFonts w:ascii="Times New Roman"/>
                <w:w w:val="99"/>
                <w:sz w:val="22"/>
              </w:rPr>
              <w:t>6</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22"/>
                <w:szCs w:val="22"/>
              </w:rPr>
            </w:pPr>
            <w:r>
              <w:rPr>
                <w:rFonts w:ascii="Times New Roman"/>
                <w:w w:val="95"/>
                <w:sz w:val="22"/>
              </w:rPr>
              <w:t>11.2</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8"/>
              <w:jc w:val="right"/>
              <w:rPr>
                <w:rFonts w:ascii="Times New Roman" w:hAnsi="Times New Roman" w:cs="Times New Roman" w:eastAsia="Times New Roman" w:hint="default"/>
                <w:sz w:val="22"/>
                <w:szCs w:val="22"/>
              </w:rPr>
            </w:pPr>
            <w:r>
              <w:rPr>
                <w:rFonts w:ascii="Times New Roman"/>
                <w:w w:val="95"/>
                <w:sz w:val="22"/>
              </w:rPr>
              <w:t>-46.43%</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在公司担任董事</w:t>
            </w:r>
          </w:p>
        </w:tc>
      </w:tr>
      <w:tr>
        <w:trPr>
          <w:trHeight w:val="325"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朱天培</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22"/>
                <w:szCs w:val="22"/>
              </w:rPr>
            </w:pPr>
            <w:r>
              <w:rPr>
                <w:rFonts w:ascii="Times New Roman"/>
                <w:w w:val="99"/>
                <w:sz w:val="22"/>
              </w:rPr>
              <w:t>6</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22"/>
                <w:szCs w:val="22"/>
              </w:rPr>
            </w:pPr>
            <w:r>
              <w:rPr>
                <w:rFonts w:ascii="Times New Roman"/>
                <w:w w:val="99"/>
                <w:sz w:val="22"/>
              </w:rPr>
              <w:t>6</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0.00%</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325"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王天广</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22"/>
                <w:szCs w:val="22"/>
              </w:rPr>
            </w:pPr>
            <w:r>
              <w:rPr>
                <w:rFonts w:ascii="Times New Roman"/>
                <w:w w:val="99"/>
                <w:sz w:val="22"/>
              </w:rPr>
              <w:t>6</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Times New Roman" w:hAnsi="Times New Roman" w:cs="Times New Roman" w:eastAsia="Times New Roman" w:hint="default"/>
                <w:sz w:val="22"/>
                <w:szCs w:val="22"/>
              </w:rPr>
            </w:pPr>
            <w:r>
              <w:rPr>
                <w:rFonts w:ascii="Times New Roman"/>
                <w:w w:val="95"/>
                <w:sz w:val="22"/>
              </w:rPr>
              <w:t>2.11</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spacing w:val="-1"/>
                <w:sz w:val="22"/>
              </w:rPr>
              <w:t>184.36%</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月任独立董事</w:t>
            </w:r>
          </w:p>
        </w:tc>
      </w:tr>
      <w:tr>
        <w:trPr>
          <w:trHeight w:val="324"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潘成东</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22"/>
                <w:szCs w:val="22"/>
              </w:rPr>
            </w:pPr>
            <w:r>
              <w:rPr>
                <w:rFonts w:ascii="Times New Roman"/>
                <w:w w:val="99"/>
                <w:sz w:val="22"/>
              </w:rPr>
              <w:t>6</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22"/>
                <w:szCs w:val="22"/>
              </w:rPr>
            </w:pPr>
            <w:r>
              <w:rPr>
                <w:rFonts w:ascii="Times New Roman"/>
                <w:w w:val="99"/>
                <w:sz w:val="22"/>
              </w:rPr>
              <w:t>6</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0.00%</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325"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桑玉贵</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Times New Roman" w:hAnsi="Times New Roman" w:cs="Times New Roman" w:eastAsia="Times New Roman" w:hint="default"/>
                <w:sz w:val="22"/>
                <w:szCs w:val="22"/>
              </w:rPr>
            </w:pPr>
            <w:r>
              <w:rPr>
                <w:rFonts w:ascii="Times New Roman"/>
                <w:w w:val="95"/>
                <w:sz w:val="22"/>
              </w:rPr>
              <w:t>22</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22"/>
                <w:szCs w:val="22"/>
              </w:rPr>
            </w:pPr>
            <w:r>
              <w:rPr>
                <w:rFonts w:ascii="Times New Roman"/>
                <w:w w:val="99"/>
                <w:sz w:val="22"/>
              </w:rPr>
              <w:t>0</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right="101"/>
              <w:jc w:val="righ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pacing w:val="14"/>
                <w:sz w:val="18"/>
                <w:szCs w:val="18"/>
              </w:rPr>
              <w:t>2011年5</w:t>
            </w:r>
            <w:r>
              <w:rPr>
                <w:rFonts w:ascii="宋体" w:hAnsi="宋体" w:cs="宋体" w:eastAsia="宋体" w:hint="default"/>
                <w:spacing w:val="-42"/>
                <w:sz w:val="18"/>
                <w:szCs w:val="18"/>
              </w:rPr>
              <w:t> </w:t>
            </w:r>
            <w:r>
              <w:rPr>
                <w:rFonts w:ascii="宋体" w:hAnsi="宋体" w:cs="宋体" w:eastAsia="宋体" w:hint="default"/>
                <w:sz w:val="18"/>
                <w:szCs w:val="18"/>
              </w:rPr>
              <w:t>月任公司副总经理</w:t>
            </w:r>
          </w:p>
        </w:tc>
      </w:tr>
      <w:tr>
        <w:trPr>
          <w:trHeight w:val="325"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何芳</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24.4</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24.4</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0.00%</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安国华</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24.4</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24.4</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0.00%</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祁锦波</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24.4</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24.4</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0.00%</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张国刚</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24.4</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24.4</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0.00%</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
        </w:tc>
      </w:tr>
      <w:tr>
        <w:trPr>
          <w:trHeight w:val="263"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1" w:right="0"/>
              <w:jc w:val="left"/>
              <w:rPr>
                <w:rFonts w:ascii="宋体" w:hAnsi="宋体" w:cs="宋体" w:eastAsia="宋体" w:hint="default"/>
                <w:sz w:val="18"/>
                <w:szCs w:val="18"/>
              </w:rPr>
            </w:pPr>
            <w:r>
              <w:rPr>
                <w:rFonts w:ascii="宋体" w:hAnsi="宋体" w:cs="宋体" w:eastAsia="宋体" w:hint="default"/>
                <w:sz w:val="18"/>
                <w:szCs w:val="18"/>
              </w:rPr>
              <w:t>何峰</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z w:val="18"/>
                <w:szCs w:val="18"/>
              </w:rPr>
              <w:t>历任副总经理</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1"/>
              <w:jc w:val="right"/>
              <w:rPr>
                <w:rFonts w:ascii="Times New Roman" w:hAnsi="Times New Roman" w:cs="Times New Roman" w:eastAsia="Times New Roman" w:hint="default"/>
                <w:sz w:val="22"/>
                <w:szCs w:val="22"/>
              </w:rPr>
            </w:pPr>
            <w:r>
              <w:rPr>
                <w:rFonts w:ascii="Times New Roman"/>
                <w:w w:val="99"/>
                <w:sz w:val="22"/>
              </w:rPr>
              <w:t>6</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1"/>
              <w:jc w:val="right"/>
              <w:rPr>
                <w:rFonts w:ascii="Times New Roman" w:hAnsi="Times New Roman" w:cs="Times New Roman" w:eastAsia="Times New Roman" w:hint="default"/>
                <w:sz w:val="22"/>
                <w:szCs w:val="22"/>
              </w:rPr>
            </w:pPr>
            <w:r>
              <w:rPr>
                <w:rFonts w:ascii="Times New Roman"/>
                <w:w w:val="95"/>
                <w:sz w:val="22"/>
              </w:rPr>
              <w:t>24.4</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98"/>
              <w:jc w:val="right"/>
              <w:rPr>
                <w:rFonts w:ascii="Times New Roman" w:hAnsi="Times New Roman" w:cs="Times New Roman" w:eastAsia="Times New Roman" w:hint="default"/>
                <w:sz w:val="22"/>
                <w:szCs w:val="22"/>
              </w:rPr>
            </w:pPr>
            <w:r>
              <w:rPr>
                <w:rFonts w:ascii="Times New Roman"/>
                <w:w w:val="95"/>
                <w:sz w:val="22"/>
              </w:rPr>
              <w:t>-75.41%</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pacing w:val="14"/>
                <w:sz w:val="18"/>
                <w:szCs w:val="18"/>
              </w:rPr>
              <w:t>2011年5</w:t>
            </w:r>
            <w:r>
              <w:rPr>
                <w:rFonts w:ascii="宋体" w:hAnsi="宋体" w:cs="宋体" w:eastAsia="宋体" w:hint="default"/>
                <w:spacing w:val="-42"/>
                <w:sz w:val="18"/>
                <w:szCs w:val="18"/>
              </w:rPr>
              <w:t> </w:t>
            </w:r>
            <w:r>
              <w:rPr>
                <w:rFonts w:ascii="宋体" w:hAnsi="宋体" w:cs="宋体" w:eastAsia="宋体" w:hint="default"/>
                <w:sz w:val="18"/>
                <w:szCs w:val="18"/>
              </w:rPr>
              <w:t>月辞去高管职务</w:t>
            </w:r>
          </w:p>
        </w:tc>
      </w:tr>
      <w:tr>
        <w:trPr>
          <w:trHeight w:val="325"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印曦</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14.4</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13.2</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9.09%</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易频</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14.4</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15.4</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-6.49%</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1" w:right="0"/>
              <w:jc w:val="left"/>
              <w:rPr>
                <w:rFonts w:ascii="宋体" w:hAnsi="宋体" w:cs="宋体" w:eastAsia="宋体" w:hint="default"/>
                <w:sz w:val="18"/>
                <w:szCs w:val="18"/>
              </w:rPr>
            </w:pPr>
            <w:r>
              <w:rPr>
                <w:rFonts w:ascii="宋体" w:hAnsi="宋体" w:cs="宋体" w:eastAsia="宋体" w:hint="default"/>
                <w:sz w:val="18"/>
                <w:szCs w:val="18"/>
              </w:rPr>
              <w:t>陈明春</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Times New Roman" w:hAnsi="Times New Roman" w:cs="Times New Roman" w:eastAsia="Times New Roman" w:hint="default"/>
                <w:sz w:val="22"/>
                <w:szCs w:val="22"/>
              </w:rPr>
            </w:pPr>
            <w:r>
              <w:rPr>
                <w:rFonts w:ascii="Times New Roman"/>
                <w:w w:val="95"/>
                <w:sz w:val="22"/>
              </w:rPr>
              <w:t>24.4</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Times New Roman" w:hAnsi="Times New Roman" w:cs="Times New Roman" w:eastAsia="Times New Roman" w:hint="default"/>
                <w:sz w:val="22"/>
                <w:szCs w:val="22"/>
              </w:rPr>
            </w:pPr>
            <w:r>
              <w:rPr>
                <w:rFonts w:ascii="Times New Roman"/>
                <w:w w:val="95"/>
                <w:sz w:val="22"/>
              </w:rPr>
              <w:t>14.4</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Times New Roman" w:hAnsi="Times New Roman" w:cs="Times New Roman" w:eastAsia="Times New Roman" w:hint="default"/>
                <w:sz w:val="22"/>
                <w:szCs w:val="22"/>
              </w:rPr>
            </w:pPr>
            <w:r>
              <w:rPr>
                <w:rFonts w:ascii="Times New Roman"/>
                <w:spacing w:val="-1"/>
                <w:sz w:val="22"/>
              </w:rPr>
              <w:t>69.44%</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职务升迁，2010</w:t>
            </w:r>
            <w:r>
              <w:rPr>
                <w:rFonts w:ascii="宋体" w:hAnsi="宋体" w:cs="宋体" w:eastAsia="宋体" w:hint="default"/>
                <w:spacing w:val="-46"/>
                <w:sz w:val="18"/>
                <w:szCs w:val="18"/>
              </w:rPr>
              <w:t> </w:t>
            </w:r>
            <w:r>
              <w:rPr>
                <w:rFonts w:ascii="宋体" w:hAnsi="宋体" w:cs="宋体" w:eastAsia="宋体" w:hint="default"/>
                <w:sz w:val="18"/>
                <w:szCs w:val="18"/>
              </w:rPr>
              <w:t>年承担职责范围</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较小</w:t>
            </w:r>
          </w:p>
        </w:tc>
      </w:tr>
      <w:tr>
        <w:trPr>
          <w:trHeight w:val="325"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刘心</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财务负责人</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22"/>
                <w:szCs w:val="22"/>
              </w:rPr>
            </w:pPr>
            <w:r>
              <w:rPr>
                <w:rFonts w:ascii="Times New Roman"/>
                <w:w w:val="95"/>
                <w:sz w:val="22"/>
              </w:rPr>
              <w:t>9.18</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22"/>
                <w:szCs w:val="22"/>
              </w:rPr>
            </w:pPr>
            <w:r>
              <w:rPr>
                <w:rFonts w:ascii="Times New Roman"/>
                <w:w w:val="99"/>
                <w:sz w:val="22"/>
              </w:rPr>
              <w:t>0</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right="101"/>
              <w:jc w:val="righ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14"/>
                <w:sz w:val="18"/>
                <w:szCs w:val="18"/>
              </w:rPr>
              <w:t>2011年5</w:t>
            </w:r>
            <w:r>
              <w:rPr>
                <w:rFonts w:ascii="宋体" w:hAnsi="宋体" w:cs="宋体" w:eastAsia="宋体" w:hint="default"/>
                <w:spacing w:val="-42"/>
                <w:sz w:val="18"/>
                <w:szCs w:val="18"/>
              </w:rPr>
              <w:t> </w:t>
            </w:r>
            <w:r>
              <w:rPr>
                <w:rFonts w:ascii="宋体" w:hAnsi="宋体" w:cs="宋体" w:eastAsia="宋体" w:hint="default"/>
                <w:sz w:val="18"/>
                <w:szCs w:val="18"/>
              </w:rPr>
              <w:t>月任公司财务负责人</w:t>
            </w:r>
          </w:p>
        </w:tc>
      </w:tr>
      <w:tr>
        <w:trPr>
          <w:trHeight w:val="325"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赵玉梅</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7.2</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Times New Roman" w:hAnsi="Times New Roman" w:cs="Times New Roman" w:eastAsia="Times New Roman" w:hint="default"/>
                <w:sz w:val="22"/>
                <w:szCs w:val="22"/>
              </w:rPr>
            </w:pPr>
            <w:r>
              <w:rPr>
                <w:rFonts w:ascii="Times New Roman"/>
                <w:w w:val="95"/>
                <w:sz w:val="22"/>
              </w:rPr>
              <w:t>7.2</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0.00%</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鲁小林</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3.93</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w w:val="95"/>
                <w:sz w:val="22"/>
              </w:rPr>
              <w:t>5.46</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8"/>
              <w:jc w:val="right"/>
              <w:rPr>
                <w:rFonts w:ascii="Times New Roman" w:hAnsi="Times New Roman" w:cs="Times New Roman" w:eastAsia="Times New Roman" w:hint="default"/>
                <w:sz w:val="22"/>
                <w:szCs w:val="22"/>
              </w:rPr>
            </w:pPr>
            <w:r>
              <w:rPr>
                <w:rFonts w:ascii="Times New Roman"/>
                <w:w w:val="95"/>
                <w:sz w:val="22"/>
              </w:rPr>
              <w:t>-28.02%</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姜宏华</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Times New Roman" w:hAnsi="Times New Roman" w:cs="Times New Roman" w:eastAsia="Times New Roman" w:hint="default"/>
                <w:sz w:val="22"/>
                <w:szCs w:val="22"/>
              </w:rPr>
            </w:pPr>
            <w:r>
              <w:rPr>
                <w:rFonts w:ascii="Times New Roman"/>
                <w:w w:val="95"/>
                <w:sz w:val="22"/>
              </w:rPr>
              <w:t>6.79</w:t>
            </w:r>
            <w:r>
              <w:rPr>
                <w:rFonts w:ascii="Times New Roman"/>
                <w:sz w:val="22"/>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Times New Roman" w:hAnsi="Times New Roman" w:cs="Times New Roman" w:eastAsia="Times New Roman" w:hint="default"/>
                <w:sz w:val="22"/>
                <w:szCs w:val="22"/>
              </w:rPr>
            </w:pPr>
            <w:r>
              <w:rPr>
                <w:rFonts w:ascii="Times New Roman"/>
                <w:w w:val="95"/>
                <w:sz w:val="22"/>
              </w:rPr>
              <w:t>6.84</w:t>
            </w:r>
            <w:r>
              <w:rPr>
                <w:rFonts w:ascii="Times New Roman"/>
                <w:sz w:val="22"/>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Times New Roman" w:hAnsi="Times New Roman" w:cs="Times New Roman" w:eastAsia="Times New Roman" w:hint="default"/>
                <w:sz w:val="22"/>
                <w:szCs w:val="22"/>
              </w:rPr>
            </w:pPr>
            <w:r>
              <w:rPr>
                <w:rFonts w:ascii="Times New Roman"/>
                <w:w w:val="95"/>
                <w:sz w:val="22"/>
              </w:rPr>
              <w:t>-0.73%</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3016"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7" w:lineRule="exact"/>
              <w:ind w:right="1"/>
              <w:jc w:val="center"/>
              <w:rPr>
                <w:rFonts w:ascii="宋体" w:hAnsi="宋体" w:cs="宋体" w:eastAsia="宋体" w:hint="default"/>
                <w:sz w:val="22"/>
                <w:szCs w:val="22"/>
              </w:rPr>
            </w:pPr>
            <w:r>
              <w:rPr>
                <w:rFonts w:ascii="宋体" w:hAnsi="宋体" w:cs="宋体" w:eastAsia="宋体" w:hint="default"/>
                <w:sz w:val="22"/>
                <w:szCs w:val="22"/>
              </w:rPr>
              <w:t>合计</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spacing w:val="-1"/>
                <w:sz w:val="22"/>
              </w:rPr>
              <w:t>317.05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Times New Roman" w:hAnsi="Times New Roman" w:cs="Times New Roman" w:eastAsia="Times New Roman" w:hint="default"/>
                <w:sz w:val="22"/>
                <w:szCs w:val="22"/>
              </w:rPr>
            </w:pPr>
            <w:r>
              <w:rPr>
                <w:rFonts w:ascii="Times New Roman"/>
                <w:spacing w:val="-1"/>
                <w:sz w:val="22"/>
              </w:rPr>
              <w:t>321.66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Times New Roman" w:hAnsi="Times New Roman" w:cs="Times New Roman" w:eastAsia="Times New Roman" w:hint="default"/>
                <w:sz w:val="22"/>
                <w:szCs w:val="22"/>
              </w:rPr>
            </w:pPr>
            <w:r>
              <w:rPr>
                <w:rFonts w:ascii="Times New Roman"/>
                <w:w w:val="95"/>
                <w:sz w:val="22"/>
              </w:rPr>
              <w:t>-1.43%</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3016" w:type="dxa"/>
            <w:gridSpan w:val="2"/>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line="267" w:lineRule="exact"/>
              <w:ind w:left="101" w:right="0"/>
              <w:jc w:val="left"/>
              <w:rPr>
                <w:rFonts w:ascii="宋体" w:hAnsi="宋体" w:cs="宋体" w:eastAsia="宋体" w:hint="default"/>
                <w:sz w:val="22"/>
                <w:szCs w:val="22"/>
              </w:rPr>
            </w:pPr>
            <w:r>
              <w:rPr>
                <w:rFonts w:ascii="宋体" w:hAnsi="宋体" w:cs="宋体" w:eastAsia="宋体" w:hint="default"/>
                <w:sz w:val="22"/>
                <w:szCs w:val="22"/>
              </w:rPr>
              <w:t>归属于上市公司股东净利润</w:t>
            </w:r>
          </w:p>
        </w:tc>
        <w:tc>
          <w:tcPr>
            <w:tcW w:w="1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Times New Roman" w:hAnsi="Times New Roman" w:cs="Times New Roman" w:eastAsia="Times New Roman" w:hint="default"/>
                <w:sz w:val="22"/>
                <w:szCs w:val="22"/>
              </w:rPr>
            </w:pPr>
            <w:r>
              <w:rPr>
                <w:rFonts w:ascii="Times New Roman"/>
                <w:spacing w:val="-1"/>
                <w:sz w:val="22"/>
              </w:rPr>
              <w:t>7,059.08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Times New Roman" w:hAnsi="Times New Roman" w:cs="Times New Roman" w:eastAsia="Times New Roman" w:hint="default"/>
                <w:sz w:val="22"/>
                <w:szCs w:val="22"/>
              </w:rPr>
            </w:pPr>
            <w:r>
              <w:rPr>
                <w:rFonts w:ascii="Times New Roman"/>
                <w:spacing w:val="-1"/>
                <w:sz w:val="22"/>
              </w:rPr>
              <w:t>7025.79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Times New Roman" w:hAnsi="Times New Roman" w:cs="Times New Roman" w:eastAsia="Times New Roman" w:hint="default"/>
                <w:sz w:val="22"/>
                <w:szCs w:val="22"/>
              </w:rPr>
            </w:pPr>
            <w:r>
              <w:rPr>
                <w:rFonts w:ascii="Times New Roman"/>
                <w:w w:val="95"/>
                <w:sz w:val="22"/>
              </w:rPr>
              <w:t>0.47%</w:t>
            </w:r>
            <w:r>
              <w:rPr>
                <w:rFonts w:ascii="Times New Roman"/>
                <w:sz w:val="22"/>
              </w:rPr>
            </w:r>
          </w:p>
        </w:tc>
        <w:tc>
          <w:tcPr>
            <w:tcW w:w="283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900" w:bottom="1460" w:left="1160" w:right="720"/>
        </w:sectPr>
      </w:pPr>
    </w:p>
    <w:p>
      <w:pPr>
        <w:pStyle w:val="BodyText"/>
        <w:spacing w:line="240" w:lineRule="auto" w:before="175"/>
        <w:ind w:left="738" w:right="-8"/>
        <w:jc w:val="left"/>
      </w:pPr>
      <w:r>
        <w:rPr>
          <w:spacing w:val="-1"/>
        </w:rPr>
        <w:t>（</w:t>
      </w:r>
      <w:r>
        <w:rPr>
          <w:rFonts w:ascii="Times New Roman" w:hAnsi="Times New Roman" w:cs="Times New Roman" w:eastAsia="Times New Roman" w:hint="default"/>
          <w:spacing w:val="-1"/>
        </w:rPr>
        <w:t>15</w:t>
      </w:r>
      <w:r>
        <w:rPr>
          <w:spacing w:val="-1"/>
        </w:rPr>
        <w:t>）公司</w:t>
      </w:r>
      <w:r>
        <w:rPr>
          <w:rFonts w:ascii="Times New Roman" w:hAnsi="Times New Roman" w:cs="Times New Roman" w:eastAsia="Times New Roman" w:hint="default"/>
          <w:spacing w:val="-1"/>
        </w:rPr>
        <w:t>2011</w:t>
      </w:r>
      <w:r>
        <w:rPr>
          <w:spacing w:val="-1"/>
        </w:rPr>
        <w:t>年度经营计划完成情况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9"/>
        <w:rPr>
          <w:rFonts w:ascii="宋体" w:hAnsi="宋体" w:cs="宋体" w:eastAsia="宋体" w:hint="default"/>
          <w:sz w:val="23"/>
          <w:szCs w:val="23"/>
        </w:rPr>
      </w:pPr>
    </w:p>
    <w:p>
      <w:pPr>
        <w:spacing w:before="0"/>
        <w:ind w:left="738" w:right="0" w:firstLine="0"/>
        <w:jc w:val="left"/>
        <w:rPr>
          <w:rFonts w:ascii="宋体" w:hAnsi="宋体" w:cs="宋体" w:eastAsia="宋体" w:hint="default"/>
          <w:sz w:val="18"/>
          <w:szCs w:val="18"/>
        </w:rPr>
      </w:pPr>
      <w:r>
        <w:rPr>
          <w:rFonts w:ascii="宋体" w:hAnsi="宋体" w:cs="宋体" w:eastAsia="宋体" w:hint="default"/>
          <w:sz w:val="18"/>
          <w:szCs w:val="18"/>
        </w:rPr>
        <w:t>单位：万元</w:t>
      </w:r>
    </w:p>
    <w:p>
      <w:pPr>
        <w:spacing w:after="0"/>
        <w:jc w:val="left"/>
        <w:rPr>
          <w:rFonts w:ascii="宋体" w:hAnsi="宋体" w:cs="宋体" w:eastAsia="宋体" w:hint="default"/>
          <w:sz w:val="18"/>
          <w:szCs w:val="18"/>
        </w:rPr>
        <w:sectPr>
          <w:type w:val="continuous"/>
          <w:pgSz w:w="11910" w:h="16840"/>
          <w:pgMar w:top="900" w:bottom="1460" w:left="1160" w:right="720"/>
          <w:cols w:num="2" w:equalWidth="0">
            <w:col w:w="4811" w:space="1849"/>
            <w:col w:w="3370"/>
          </w:cols>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6"/>
          <w:szCs w:val="26"/>
        </w:rPr>
      </w:pPr>
    </w:p>
    <w:tbl>
      <w:tblPr>
        <w:tblW w:w="0" w:type="auto"/>
        <w:jc w:val="left"/>
        <w:tblInd w:w="140" w:type="dxa"/>
        <w:tblLayout w:type="fixed"/>
        <w:tblCellMar>
          <w:top w:w="0" w:type="dxa"/>
          <w:left w:w="0" w:type="dxa"/>
          <w:bottom w:w="0" w:type="dxa"/>
          <w:right w:w="0" w:type="dxa"/>
        </w:tblCellMar>
        <w:tblLook w:val="01E0"/>
      </w:tblPr>
      <w:tblGrid>
        <w:gridCol w:w="3370"/>
        <w:gridCol w:w="1842"/>
        <w:gridCol w:w="1700"/>
        <w:gridCol w:w="1843"/>
      </w:tblGrid>
      <w:tr>
        <w:trPr>
          <w:trHeight w:val="305" w:hRule="exact"/>
        </w:trPr>
        <w:tc>
          <w:tcPr>
            <w:tcW w:w="3370"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52" w:lineRule="exact"/>
              <w:ind w:right="0"/>
              <w:jc w:val="center"/>
              <w:rPr>
                <w:rFonts w:ascii="宋体" w:hAnsi="宋体" w:cs="宋体" w:eastAsia="宋体" w:hint="default"/>
                <w:sz w:val="22"/>
                <w:szCs w:val="22"/>
              </w:rPr>
            </w:pPr>
            <w:r>
              <w:rPr>
                <w:rFonts w:ascii="宋体" w:hAnsi="宋体" w:cs="宋体" w:eastAsia="宋体" w:hint="default"/>
                <w:sz w:val="22"/>
                <w:szCs w:val="22"/>
              </w:rPr>
              <w:t>项目</w:t>
            </w:r>
          </w:p>
        </w:tc>
        <w:tc>
          <w:tcPr>
            <w:tcW w:w="184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52" w:lineRule="exact"/>
              <w:ind w:left="470" w:right="0"/>
              <w:jc w:val="left"/>
              <w:rPr>
                <w:rFonts w:ascii="宋体" w:hAnsi="宋体" w:cs="宋体" w:eastAsia="宋体" w:hint="default"/>
                <w:sz w:val="22"/>
                <w:szCs w:val="22"/>
              </w:rPr>
            </w:pPr>
            <w:r>
              <w:rPr>
                <w:rFonts w:ascii="宋体" w:hAnsi="宋体" w:cs="宋体" w:eastAsia="宋体" w:hint="default"/>
                <w:sz w:val="22"/>
                <w:szCs w:val="22"/>
              </w:rPr>
              <w:t>预算指标</w:t>
            </w:r>
          </w:p>
        </w:tc>
        <w:tc>
          <w:tcPr>
            <w:tcW w:w="1700"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52" w:lineRule="exact"/>
              <w:ind w:left="400" w:right="0"/>
              <w:jc w:val="left"/>
              <w:rPr>
                <w:rFonts w:ascii="宋体" w:hAnsi="宋体" w:cs="宋体" w:eastAsia="宋体" w:hint="default"/>
                <w:sz w:val="22"/>
                <w:szCs w:val="22"/>
              </w:rPr>
            </w:pPr>
            <w:r>
              <w:rPr>
                <w:rFonts w:ascii="宋体" w:hAnsi="宋体" w:cs="宋体" w:eastAsia="宋体" w:hint="default"/>
                <w:sz w:val="22"/>
                <w:szCs w:val="22"/>
              </w:rPr>
              <w:t>完成情况</w:t>
            </w:r>
          </w:p>
        </w:tc>
        <w:tc>
          <w:tcPr>
            <w:tcW w:w="1843"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52" w:lineRule="exact"/>
              <w:ind w:left="196" w:right="0"/>
              <w:jc w:val="left"/>
              <w:rPr>
                <w:rFonts w:ascii="宋体" w:hAnsi="宋体" w:cs="宋体" w:eastAsia="宋体" w:hint="default"/>
                <w:sz w:val="22"/>
                <w:szCs w:val="22"/>
              </w:rPr>
            </w:pPr>
            <w:r>
              <w:rPr>
                <w:rFonts w:ascii="宋体" w:hAnsi="宋体" w:cs="宋体" w:eastAsia="宋体" w:hint="default"/>
                <w:sz w:val="22"/>
                <w:szCs w:val="22"/>
              </w:rPr>
              <w:t>完成情况（%）</w:t>
            </w:r>
          </w:p>
        </w:tc>
      </w:tr>
      <w:tr>
        <w:trPr>
          <w:trHeight w:val="307" w:hRule="exact"/>
        </w:trPr>
        <w:tc>
          <w:tcPr>
            <w:tcW w:w="3370"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96"/>
              <w:jc w:val="right"/>
              <w:rPr>
                <w:rFonts w:ascii="Times New Roman" w:hAnsi="Times New Roman" w:cs="Times New Roman" w:eastAsia="Times New Roman" w:hint="default"/>
                <w:sz w:val="18"/>
                <w:szCs w:val="18"/>
              </w:rPr>
            </w:pPr>
            <w:r>
              <w:rPr>
                <w:rFonts w:ascii="Times New Roman"/>
                <w:sz w:val="18"/>
              </w:rPr>
              <w:t>43,000</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7"/>
              <w:ind w:right="95"/>
              <w:jc w:val="right"/>
              <w:rPr>
                <w:rFonts w:ascii="Times New Roman" w:hAnsi="Times New Roman" w:cs="Times New Roman" w:eastAsia="Times New Roman" w:hint="default"/>
                <w:sz w:val="18"/>
                <w:szCs w:val="18"/>
              </w:rPr>
            </w:pPr>
            <w:r>
              <w:rPr>
                <w:rFonts w:ascii="Times New Roman"/>
                <w:sz w:val="18"/>
              </w:rPr>
              <w:t>37,014</w:t>
            </w:r>
          </w:p>
        </w:tc>
        <w:tc>
          <w:tcPr>
            <w:tcW w:w="184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7"/>
              <w:ind w:right="95"/>
              <w:jc w:val="right"/>
              <w:rPr>
                <w:rFonts w:ascii="Times New Roman" w:hAnsi="Times New Roman" w:cs="Times New Roman" w:eastAsia="Times New Roman" w:hint="default"/>
                <w:sz w:val="18"/>
                <w:szCs w:val="18"/>
              </w:rPr>
            </w:pPr>
            <w:r>
              <w:rPr>
                <w:rFonts w:ascii="Times New Roman"/>
                <w:w w:val="95"/>
                <w:sz w:val="18"/>
              </w:rPr>
              <w:t>86.08%</w:t>
            </w:r>
            <w:r>
              <w:rPr>
                <w:rFonts w:ascii="Times New Roman"/>
                <w:sz w:val="18"/>
              </w:rPr>
            </w:r>
          </w:p>
        </w:tc>
      </w:tr>
      <w:tr>
        <w:trPr>
          <w:trHeight w:val="307" w:hRule="exact"/>
        </w:trPr>
        <w:tc>
          <w:tcPr>
            <w:tcW w:w="3370"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1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96"/>
              <w:jc w:val="right"/>
              <w:rPr>
                <w:rFonts w:ascii="Times New Roman" w:hAnsi="Times New Roman" w:cs="Times New Roman" w:eastAsia="Times New Roman" w:hint="default"/>
                <w:sz w:val="18"/>
                <w:szCs w:val="18"/>
              </w:rPr>
            </w:pPr>
            <w:r>
              <w:rPr>
                <w:rFonts w:ascii="Times New Roman"/>
                <w:sz w:val="18"/>
              </w:rPr>
              <w:t>9,200</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7"/>
              <w:ind w:right="95"/>
              <w:jc w:val="right"/>
              <w:rPr>
                <w:rFonts w:ascii="Times New Roman" w:hAnsi="Times New Roman" w:cs="Times New Roman" w:eastAsia="Times New Roman" w:hint="default"/>
                <w:sz w:val="18"/>
                <w:szCs w:val="18"/>
              </w:rPr>
            </w:pPr>
            <w:r>
              <w:rPr>
                <w:rFonts w:ascii="Times New Roman"/>
                <w:sz w:val="18"/>
              </w:rPr>
              <w:t>6,992</w:t>
            </w:r>
          </w:p>
        </w:tc>
        <w:tc>
          <w:tcPr>
            <w:tcW w:w="184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7"/>
              <w:ind w:right="95"/>
              <w:jc w:val="right"/>
              <w:rPr>
                <w:rFonts w:ascii="Times New Roman" w:hAnsi="Times New Roman" w:cs="Times New Roman" w:eastAsia="Times New Roman" w:hint="default"/>
                <w:sz w:val="18"/>
                <w:szCs w:val="18"/>
              </w:rPr>
            </w:pPr>
            <w:r>
              <w:rPr>
                <w:rFonts w:ascii="Times New Roman"/>
                <w:w w:val="95"/>
                <w:sz w:val="18"/>
              </w:rPr>
              <w:t>76.00%</w:t>
            </w:r>
            <w:r>
              <w:rPr>
                <w:rFonts w:ascii="Times New Roman"/>
                <w:sz w:val="18"/>
              </w:rPr>
            </w:r>
          </w:p>
        </w:tc>
      </w:tr>
    </w:tbl>
    <w:p>
      <w:pPr>
        <w:spacing w:before="9"/>
        <w:ind w:left="258" w:right="0" w:firstLine="465"/>
        <w:jc w:val="left"/>
        <w:rPr>
          <w:rFonts w:ascii="宋体" w:hAnsi="宋体" w:cs="宋体" w:eastAsia="宋体" w:hint="default"/>
          <w:sz w:val="18"/>
          <w:szCs w:val="18"/>
        </w:rPr>
      </w:pPr>
      <w:r>
        <w:rPr>
          <w:rFonts w:ascii="宋体" w:hAnsi="宋体" w:cs="宋体" w:eastAsia="宋体" w:hint="default"/>
          <w:spacing w:val="-1"/>
          <w:sz w:val="18"/>
          <w:szCs w:val="18"/>
        </w:rPr>
        <w:t>报告期内，公司未完成年初制订的经营计划，主要原因系由于电力系统普遍实行集中招标后，价格竞争愈演</w:t>
      </w:r>
      <w:r>
        <w:rPr>
          <w:rFonts w:ascii="宋体" w:hAnsi="宋体" w:cs="宋体" w:eastAsia="宋体" w:hint="default"/>
          <w:sz w:val="18"/>
          <w:szCs w:val="18"/>
        </w:rPr>
        <w:t> 愈烈，产品毛利持续降低，销售收入未达到预期。</w:t>
      </w:r>
    </w:p>
    <w:p>
      <w:pPr>
        <w:spacing w:line="240" w:lineRule="auto" w:before="0"/>
        <w:rPr>
          <w:rFonts w:ascii="宋体" w:hAnsi="宋体" w:cs="宋体" w:eastAsia="宋体" w:hint="default"/>
          <w:sz w:val="18"/>
          <w:szCs w:val="18"/>
        </w:rPr>
      </w:pPr>
    </w:p>
    <w:p>
      <w:pPr>
        <w:pStyle w:val="BodyText"/>
        <w:spacing w:line="240" w:lineRule="auto" w:before="120"/>
        <w:ind w:left="738" w:right="0"/>
        <w:jc w:val="left"/>
      </w:pPr>
      <w:r>
        <w:rPr/>
        <w:t>（</w:t>
      </w:r>
      <w:r>
        <w:rPr>
          <w:rFonts w:ascii="Times New Roman" w:hAnsi="Times New Roman" w:cs="Times New Roman" w:eastAsia="Times New Roman" w:hint="default"/>
        </w:rPr>
        <w:t>16</w:t>
      </w:r>
      <w:r>
        <w:rPr/>
        <w:t>）主要会计政策、会计估计及核算方法无变更和重大前期会计差错。</w:t>
      </w:r>
    </w:p>
    <w:p>
      <w:pPr>
        <w:pStyle w:val="BodyText"/>
        <w:spacing w:line="240" w:lineRule="auto" w:before="108"/>
        <w:ind w:left="738" w:right="0"/>
        <w:jc w:val="left"/>
      </w:pPr>
      <w:r>
        <w:rPr/>
        <w:t>（</w:t>
      </w:r>
      <w:r>
        <w:rPr>
          <w:rFonts w:ascii="Times New Roman" w:hAnsi="Times New Roman" w:cs="Times New Roman" w:eastAsia="Times New Roman" w:hint="default"/>
        </w:rPr>
        <w:t>17</w:t>
      </w:r>
      <w:r>
        <w:rPr/>
        <w:t>）报告期内，公司无会计估计变更事项发生。</w:t>
      </w:r>
    </w:p>
    <w:p>
      <w:pPr>
        <w:pStyle w:val="BodyText"/>
        <w:spacing w:line="240" w:lineRule="auto" w:before="107"/>
        <w:ind w:left="738" w:right="0"/>
        <w:jc w:val="left"/>
      </w:pPr>
      <w:r>
        <w:rPr/>
        <w:t>（</w:t>
      </w:r>
      <w:r>
        <w:rPr>
          <w:rFonts w:ascii="Times New Roman" w:hAnsi="Times New Roman" w:cs="Times New Roman" w:eastAsia="Times New Roman" w:hint="default"/>
        </w:rPr>
        <w:t>18</w:t>
      </w:r>
      <w:r>
        <w:rPr/>
        <w:t>）报告期内，公司无核算方法变更事项发生。</w:t>
      </w:r>
    </w:p>
    <w:p>
      <w:pPr>
        <w:pStyle w:val="BodyText"/>
        <w:spacing w:line="240" w:lineRule="auto" w:before="108"/>
        <w:ind w:left="738" w:right="0"/>
        <w:jc w:val="left"/>
      </w:pPr>
      <w:r>
        <w:rPr/>
        <w:t>（</w:t>
      </w:r>
      <w:r>
        <w:rPr>
          <w:rFonts w:ascii="Times New Roman" w:hAnsi="Times New Roman" w:cs="Times New Roman" w:eastAsia="Times New Roman" w:hint="default"/>
        </w:rPr>
        <w:t>19</w:t>
      </w:r>
      <w:r>
        <w:rPr/>
        <w:t>）报告期内，公司无重大前期会计差错发生的情况。</w:t>
      </w:r>
    </w:p>
    <w:p>
      <w:pPr>
        <w:pStyle w:val="BodyText"/>
        <w:spacing w:line="240" w:lineRule="auto" w:before="108"/>
        <w:ind w:left="738" w:right="0"/>
        <w:jc w:val="left"/>
      </w:pPr>
      <w:r>
        <w:rPr/>
        <w:t>（</w:t>
      </w:r>
      <w:r>
        <w:rPr>
          <w:rFonts w:ascii="Times New Roman" w:hAnsi="Times New Roman" w:cs="Times New Roman" w:eastAsia="Times New Roman" w:hint="default"/>
        </w:rPr>
        <w:t>20</w:t>
      </w:r>
      <w:r>
        <w:rPr/>
        <w:t>）公司的主要资产情况</w:t>
      </w:r>
    </w:p>
    <w:p>
      <w:pPr>
        <w:pStyle w:val="BodyText"/>
        <w:spacing w:line="240" w:lineRule="auto" w:before="107"/>
        <w:ind w:left="738" w:right="0"/>
        <w:jc w:val="left"/>
      </w:pPr>
      <w:r>
        <w:rPr>
          <w:spacing w:val="-180"/>
        </w:rPr>
        <w:t>○</w:t>
      </w:r>
      <w:r>
        <w:rPr>
          <w:rFonts w:ascii="Times New Roman" w:hAnsi="Times New Roman" w:cs="Times New Roman" w:eastAsia="Times New Roman" w:hint="default"/>
        </w:rPr>
        <w:t>1 </w:t>
      </w:r>
      <w:r>
        <w:rPr/>
        <w:t>公司的主要资产情况</w:t>
      </w:r>
    </w:p>
    <w:p>
      <w:pPr>
        <w:spacing w:line="240" w:lineRule="auto" w:before="3"/>
        <w:rPr>
          <w:rFonts w:ascii="宋体" w:hAnsi="宋体" w:cs="宋体" w:eastAsia="宋体" w:hint="default"/>
          <w:sz w:val="5"/>
          <w:szCs w:val="5"/>
        </w:rPr>
      </w:pPr>
    </w:p>
    <w:tbl>
      <w:tblPr>
        <w:tblW w:w="0" w:type="auto"/>
        <w:jc w:val="left"/>
        <w:tblInd w:w="237" w:type="dxa"/>
        <w:tblLayout w:type="fixed"/>
        <w:tblCellMar>
          <w:top w:w="0" w:type="dxa"/>
          <w:left w:w="0" w:type="dxa"/>
          <w:bottom w:w="0" w:type="dxa"/>
          <w:right w:w="0" w:type="dxa"/>
        </w:tblCellMar>
        <w:tblLook w:val="01E0"/>
      </w:tblPr>
      <w:tblGrid>
        <w:gridCol w:w="2143"/>
        <w:gridCol w:w="2550"/>
        <w:gridCol w:w="2552"/>
        <w:gridCol w:w="1590"/>
      </w:tblGrid>
      <w:tr>
        <w:trPr>
          <w:trHeight w:val="323" w:hRule="exact"/>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705" w:right="0"/>
              <w:jc w:val="left"/>
              <w:rPr>
                <w:rFonts w:ascii="宋体" w:hAnsi="宋体" w:cs="宋体" w:eastAsia="宋体" w:hint="default"/>
                <w:sz w:val="18"/>
                <w:szCs w:val="18"/>
              </w:rPr>
            </w:pPr>
            <w:r>
              <w:rPr>
                <w:rFonts w:ascii="宋体" w:hAnsi="宋体" w:cs="宋体" w:eastAsia="宋体" w:hint="default"/>
                <w:sz w:val="18"/>
                <w:szCs w:val="18"/>
              </w:rPr>
              <w:t>资产项目</w:t>
            </w:r>
          </w:p>
        </w:tc>
        <w:tc>
          <w:tcPr>
            <w:tcW w:w="2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年末占总资产的比例</w:t>
            </w:r>
          </w:p>
        </w:tc>
        <w:tc>
          <w:tcPr>
            <w:tcW w:w="25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5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年末占总资产的比例</w:t>
            </w:r>
          </w:p>
        </w:tc>
        <w:tc>
          <w:tcPr>
            <w:tcW w:w="15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429"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324" w:hRule="exact"/>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w w:val="95"/>
                <w:sz w:val="18"/>
              </w:rPr>
              <w:t>35.34%</w:t>
            </w:r>
            <w:r>
              <w:rPr>
                <w:rFonts w:ascii="Times New Roman"/>
                <w:sz w:val="18"/>
              </w:rPr>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w w:val="95"/>
                <w:sz w:val="18"/>
              </w:rPr>
              <w:t>46.61%</w:t>
            </w:r>
            <w:r>
              <w:rPr>
                <w:rFonts w:ascii="Times New Roman"/>
                <w:sz w:val="18"/>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2"/>
                <w:sz w:val="18"/>
              </w:rPr>
              <w:t>-11.27%</w:t>
            </w:r>
          </w:p>
        </w:tc>
      </w:tr>
      <w:tr>
        <w:trPr>
          <w:trHeight w:val="324" w:hRule="exact"/>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应收款项</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12.63%</w:t>
            </w:r>
            <w:r>
              <w:rPr>
                <w:rFonts w:ascii="Times New Roman"/>
                <w:sz w:val="18"/>
              </w:rPr>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13.65%</w:t>
            </w:r>
            <w:r>
              <w:rPr>
                <w:rFonts w:ascii="Times New Roman"/>
                <w:sz w:val="18"/>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-1.02%</w:t>
            </w:r>
            <w:r>
              <w:rPr>
                <w:rFonts w:ascii="Times New Roman"/>
                <w:sz w:val="18"/>
              </w:rPr>
            </w:r>
          </w:p>
        </w:tc>
      </w:tr>
      <w:tr>
        <w:trPr>
          <w:trHeight w:val="323" w:hRule="exact"/>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8.27%</w:t>
            </w:r>
            <w:r>
              <w:rPr>
                <w:rFonts w:ascii="Times New Roman"/>
                <w:sz w:val="18"/>
              </w:rPr>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5.74%</w:t>
            </w:r>
            <w:r>
              <w:rPr>
                <w:rFonts w:ascii="Times New Roman"/>
                <w:sz w:val="18"/>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2.53%</w:t>
            </w:r>
            <w:r>
              <w:rPr>
                <w:rFonts w:ascii="Times New Roman"/>
                <w:sz w:val="18"/>
              </w:rPr>
            </w:r>
          </w:p>
        </w:tc>
      </w:tr>
      <w:tr>
        <w:trPr>
          <w:trHeight w:val="324" w:hRule="exact"/>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0.56%</w:t>
            </w:r>
            <w:r>
              <w:rPr>
                <w:rFonts w:ascii="Times New Roman"/>
                <w:sz w:val="18"/>
              </w:rPr>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0.60%</w:t>
            </w:r>
            <w:r>
              <w:rPr>
                <w:rFonts w:ascii="Times New Roman"/>
                <w:sz w:val="18"/>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-0.05%</w:t>
            </w:r>
            <w:r>
              <w:rPr>
                <w:rFonts w:ascii="Times New Roman"/>
                <w:sz w:val="18"/>
              </w:rPr>
            </w:r>
          </w:p>
        </w:tc>
      </w:tr>
      <w:tr>
        <w:trPr>
          <w:trHeight w:val="323" w:hRule="exact"/>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22.17%</w:t>
            </w:r>
            <w:r>
              <w:rPr>
                <w:rFonts w:ascii="Times New Roman"/>
                <w:sz w:val="18"/>
              </w:rPr>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19.80%</w:t>
            </w:r>
            <w:r>
              <w:rPr>
                <w:rFonts w:ascii="Times New Roman"/>
                <w:sz w:val="18"/>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2.37%</w:t>
            </w:r>
            <w:r>
              <w:rPr>
                <w:rFonts w:ascii="Times New Roman"/>
                <w:sz w:val="18"/>
              </w:rPr>
            </w:r>
          </w:p>
        </w:tc>
      </w:tr>
      <w:tr>
        <w:trPr>
          <w:trHeight w:val="324" w:hRule="exact"/>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5.76%</w:t>
            </w:r>
            <w:r>
              <w:rPr>
                <w:rFonts w:ascii="Times New Roman"/>
                <w:sz w:val="18"/>
              </w:rPr>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2.42%</w:t>
            </w:r>
            <w:r>
              <w:rPr>
                <w:rFonts w:ascii="Times New Roman"/>
                <w:sz w:val="18"/>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w w:val="95"/>
                <w:sz w:val="18"/>
              </w:rPr>
              <w:t>3.34%</w:t>
            </w:r>
            <w:r>
              <w:rPr>
                <w:rFonts w:ascii="Times New Roman"/>
                <w:sz w:val="18"/>
              </w:rPr>
            </w:r>
          </w:p>
        </w:tc>
      </w:tr>
    </w:tbl>
    <w:p>
      <w:pPr>
        <w:spacing w:line="240" w:lineRule="auto" w:before="4"/>
        <w:rPr>
          <w:rFonts w:ascii="宋体" w:hAnsi="宋体" w:cs="宋体" w:eastAsia="宋体" w:hint="default"/>
          <w:sz w:val="28"/>
          <w:szCs w:val="28"/>
        </w:rPr>
      </w:pPr>
    </w:p>
    <w:p>
      <w:pPr>
        <w:pStyle w:val="BodyText"/>
        <w:spacing w:line="240" w:lineRule="auto" w:before="26"/>
        <w:ind w:left="738" w:right="0"/>
        <w:jc w:val="left"/>
      </w:pPr>
      <w:r>
        <w:rPr>
          <w:spacing w:val="-180"/>
        </w:rPr>
        <w:t>○</w:t>
      </w:r>
      <w:r>
        <w:rPr>
          <w:rFonts w:ascii="Times New Roman" w:hAnsi="Times New Roman" w:cs="Times New Roman" w:eastAsia="Times New Roman" w:hint="default"/>
        </w:rPr>
        <w:t>2 </w:t>
      </w:r>
      <w:r>
        <w:rPr/>
        <w:t>重要资产情况</w:t>
      </w:r>
    </w:p>
    <w:p>
      <w:pPr>
        <w:spacing w:line="240" w:lineRule="auto" w:before="2"/>
        <w:rPr>
          <w:rFonts w:ascii="宋体" w:hAnsi="宋体" w:cs="宋体" w:eastAsia="宋体" w:hint="default"/>
          <w:sz w:val="5"/>
          <w:szCs w:val="5"/>
        </w:rPr>
      </w:pPr>
    </w:p>
    <w:tbl>
      <w:tblPr>
        <w:tblW w:w="0" w:type="auto"/>
        <w:jc w:val="left"/>
        <w:tblInd w:w="237" w:type="dxa"/>
        <w:tblLayout w:type="fixed"/>
        <w:tblCellMar>
          <w:top w:w="0" w:type="dxa"/>
          <w:left w:w="0" w:type="dxa"/>
          <w:bottom w:w="0" w:type="dxa"/>
          <w:right w:w="0" w:type="dxa"/>
        </w:tblCellMar>
        <w:tblLook w:val="01E0"/>
      </w:tblPr>
      <w:tblGrid>
        <w:gridCol w:w="2851"/>
        <w:gridCol w:w="1700"/>
        <w:gridCol w:w="1044"/>
        <w:gridCol w:w="1440"/>
        <w:gridCol w:w="1820"/>
      </w:tblGrid>
      <w:tr>
        <w:trPr>
          <w:trHeight w:val="752" w:hRule="exact"/>
        </w:trPr>
        <w:tc>
          <w:tcPr>
            <w:tcW w:w="28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8" w:lineRule="auto" w:before="87"/>
              <w:ind w:left="1239" w:right="1241"/>
              <w:jc w:val="center"/>
              <w:rPr>
                <w:rFonts w:ascii="宋体" w:hAnsi="宋体" w:cs="宋体" w:eastAsia="宋体" w:hint="default"/>
                <w:sz w:val="18"/>
                <w:szCs w:val="18"/>
              </w:rPr>
            </w:pPr>
            <w:r>
              <w:rPr>
                <w:rFonts w:ascii="宋体" w:hAnsi="宋体" w:cs="宋体" w:eastAsia="宋体" w:hint="default"/>
                <w:sz w:val="18"/>
                <w:szCs w:val="18"/>
              </w:rPr>
              <w:t>资产 类别</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存放状态</w:t>
            </w:r>
          </w:p>
        </w:tc>
        <w:tc>
          <w:tcPr>
            <w:tcW w:w="10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性质</w:t>
            </w:r>
          </w:p>
        </w:tc>
        <w:tc>
          <w:tcPr>
            <w:tcW w:w="1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使用情况</w:t>
            </w:r>
          </w:p>
        </w:tc>
        <w:tc>
          <w:tcPr>
            <w:tcW w:w="18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44" w:right="102" w:hanging="442"/>
              <w:jc w:val="left"/>
              <w:rPr>
                <w:rFonts w:ascii="宋体" w:hAnsi="宋体" w:cs="宋体" w:eastAsia="宋体" w:hint="default"/>
                <w:sz w:val="18"/>
                <w:szCs w:val="18"/>
              </w:rPr>
            </w:pPr>
            <w:r>
              <w:rPr>
                <w:rFonts w:ascii="宋体" w:hAnsi="宋体" w:cs="宋体" w:eastAsia="宋体" w:hint="default"/>
                <w:spacing w:val="-2"/>
                <w:sz w:val="18"/>
                <w:szCs w:val="18"/>
              </w:rPr>
              <w:t>相关担保、诉讼、仲</w:t>
            </w:r>
            <w:r>
              <w:rPr>
                <w:rFonts w:ascii="宋体" w:hAnsi="宋体" w:cs="宋体" w:eastAsia="宋体" w:hint="default"/>
                <w:sz w:val="18"/>
                <w:szCs w:val="18"/>
              </w:rPr>
              <w:t> 裁等情况</w:t>
            </w:r>
          </w:p>
        </w:tc>
      </w:tr>
      <w:tr>
        <w:trPr>
          <w:trHeight w:val="520"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大工业区惠程科技工业园（一期）</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01" w:right="0"/>
              <w:jc w:val="left"/>
              <w:rPr>
                <w:rFonts w:ascii="宋体" w:hAnsi="宋体" w:cs="宋体" w:eastAsia="宋体" w:hint="default"/>
                <w:sz w:val="18"/>
                <w:szCs w:val="18"/>
              </w:rPr>
            </w:pPr>
            <w:r>
              <w:rPr>
                <w:rFonts w:ascii="宋体" w:hAnsi="宋体" w:cs="宋体" w:eastAsia="宋体" w:hint="default"/>
                <w:sz w:val="18"/>
                <w:szCs w:val="18"/>
              </w:rPr>
              <w:t>惠程工业园区</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二期生产厂房</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惠程工业园区</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3"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二期宿舍楼</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惠程工业园区</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上海绥德路物流仓库</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在用、出租</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3"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联东国际工业城厂房</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氦气检漏充气设备</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电气部门</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3"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氦气检漏仪充气机</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电气部门</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激光切割机</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电气部门</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激光切割机</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电气部门</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3"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伺服马达数控转塔冲床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电气部门</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玻璃钢液压机</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SMC</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制品部门</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5"/>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3"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塑料热成型机</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SMC</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制品部门</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5"/>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数控冲床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电气部门</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3"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橡胶注射成型机</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硅胶生产部门</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硅橡胶注射成型机</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硅胶生产部门</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龙门式加工中心</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工装部门</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bl>
    <w:p>
      <w:pPr>
        <w:spacing w:after="0" w:line="240" w:lineRule="auto"/>
        <w:jc w:val="right"/>
        <w:rPr>
          <w:rFonts w:ascii="宋体" w:hAnsi="宋体" w:cs="宋体" w:eastAsia="宋体" w:hint="default"/>
          <w:sz w:val="18"/>
          <w:szCs w:val="18"/>
        </w:rPr>
        <w:sectPr>
          <w:pgSz w:w="11910" w:h="16840"/>
          <w:pgMar w:header="470" w:footer="1266" w:top="900" w:bottom="1460" w:left="1160" w:right="14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tbl>
      <w:tblPr>
        <w:tblW w:w="0" w:type="auto"/>
        <w:jc w:val="left"/>
        <w:tblInd w:w="237" w:type="dxa"/>
        <w:tblLayout w:type="fixed"/>
        <w:tblCellMar>
          <w:top w:w="0" w:type="dxa"/>
          <w:left w:w="0" w:type="dxa"/>
          <w:bottom w:w="0" w:type="dxa"/>
          <w:right w:w="0" w:type="dxa"/>
        </w:tblCellMar>
        <w:tblLook w:val="01E0"/>
      </w:tblPr>
      <w:tblGrid>
        <w:gridCol w:w="2851"/>
        <w:gridCol w:w="1700"/>
        <w:gridCol w:w="1044"/>
        <w:gridCol w:w="1440"/>
        <w:gridCol w:w="1820"/>
      </w:tblGrid>
      <w:tr>
        <w:trPr>
          <w:trHeight w:val="323"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管母线生产线</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管母线部门</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33"/>
              <w:jc w:val="right"/>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供料注射系统</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硅胶生产部门</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533"/>
              <w:jc w:val="right"/>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3"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型铜配件成型机</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管母线部门</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33"/>
              <w:jc w:val="right"/>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5"/>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三层共挤冷喂料橡胶机组</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硅胶生产部门</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533"/>
              <w:jc w:val="right"/>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3"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铜塑包覆双层共挤复合管材线</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管母线部门</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33"/>
              <w:jc w:val="right"/>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长春高琦厂房</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长春中俄科技园</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533"/>
              <w:jc w:val="right"/>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3"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长春高琦办公楼</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长春中俄科技园</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33"/>
              <w:jc w:val="right"/>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吉林高琦综合楼</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吉林市</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533"/>
              <w:jc w:val="right"/>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3"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吉林高琦车间</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吉林市</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33"/>
              <w:jc w:val="right"/>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吉林高琦成品库</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吉林市</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533"/>
              <w:jc w:val="right"/>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氯代苯酑装置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吉林市</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权属清晰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33"/>
              <w:jc w:val="right"/>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4"/>
              <w:jc w:val="right"/>
              <w:rPr>
                <w:rFonts w:ascii="宋体" w:hAnsi="宋体" w:cs="宋体" w:eastAsia="宋体" w:hint="default"/>
                <w:sz w:val="18"/>
                <w:szCs w:val="18"/>
              </w:rPr>
            </w:pPr>
            <w:r>
              <w:rPr>
                <w:rFonts w:ascii="宋体" w:hAnsi="宋体" w:cs="宋体" w:eastAsia="宋体" w:hint="default"/>
                <w:sz w:val="18"/>
                <w:szCs w:val="18"/>
              </w:rPr>
              <w:t>无担保无抵押</w:t>
            </w:r>
          </w:p>
        </w:tc>
      </w:tr>
    </w:tbl>
    <w:p>
      <w:pPr>
        <w:spacing w:before="9"/>
        <w:ind w:left="258" w:right="205" w:firstLine="465"/>
        <w:jc w:val="left"/>
        <w:rPr>
          <w:rFonts w:ascii="宋体" w:hAnsi="宋体" w:cs="宋体" w:eastAsia="宋体" w:hint="default"/>
          <w:sz w:val="18"/>
          <w:szCs w:val="18"/>
        </w:rPr>
      </w:pPr>
      <w:r>
        <w:rPr>
          <w:rFonts w:ascii="宋体" w:hAnsi="宋体" w:cs="宋体" w:eastAsia="宋体" w:hint="default"/>
          <w:sz w:val="18"/>
          <w:szCs w:val="18"/>
        </w:rPr>
        <w:t>公司核心资产的使用效率正常，产能未低于</w:t>
      </w:r>
      <w:r>
        <w:rPr>
          <w:rFonts w:ascii="宋体" w:hAnsi="宋体" w:cs="宋体" w:eastAsia="宋体" w:hint="default"/>
          <w:spacing w:val="-24"/>
          <w:sz w:val="18"/>
          <w:szCs w:val="18"/>
        </w:rPr>
        <w:t> </w:t>
      </w:r>
      <w:r>
        <w:rPr>
          <w:rFonts w:ascii="宋体" w:hAnsi="宋体" w:cs="宋体" w:eastAsia="宋体" w:hint="default"/>
          <w:sz w:val="18"/>
          <w:szCs w:val="18"/>
        </w:rPr>
        <w:t>70%，未出现替代资产或资产升级换代导致公司核心资产盈利能</w:t>
      </w:r>
      <w:r>
        <w:rPr>
          <w:rFonts w:ascii="宋体" w:hAnsi="宋体" w:cs="宋体" w:eastAsia="宋体" w:hint="default"/>
          <w:sz w:val="18"/>
          <w:szCs w:val="18"/>
        </w:rPr>
        <w:t> 力降低的情形，不存在减值迹象。</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4"/>
          <w:szCs w:val="14"/>
        </w:rPr>
      </w:pPr>
    </w:p>
    <w:p>
      <w:pPr>
        <w:pStyle w:val="BodyText"/>
        <w:spacing w:line="240" w:lineRule="auto"/>
        <w:ind w:left="738" w:right="235"/>
        <w:jc w:val="left"/>
      </w:pPr>
      <w:r>
        <w:rPr/>
        <w:t>（</w:t>
      </w:r>
      <w:r>
        <w:rPr>
          <w:rFonts w:ascii="Times New Roman" w:hAnsi="Times New Roman" w:cs="Times New Roman" w:eastAsia="Times New Roman" w:hint="default"/>
        </w:rPr>
        <w:t>21</w:t>
      </w:r>
      <w:r>
        <w:rPr/>
        <w:t>）主要存货分析</w:t>
      </w:r>
    </w:p>
    <w:p>
      <w:pPr>
        <w:spacing w:line="240" w:lineRule="auto" w:before="3"/>
        <w:rPr>
          <w:rFonts w:ascii="宋体" w:hAnsi="宋体" w:cs="宋体" w:eastAsia="宋体" w:hint="default"/>
          <w:sz w:val="5"/>
          <w:szCs w:val="5"/>
        </w:rPr>
      </w:pPr>
    </w:p>
    <w:tbl>
      <w:tblPr>
        <w:tblW w:w="0" w:type="auto"/>
        <w:jc w:val="left"/>
        <w:tblInd w:w="233" w:type="dxa"/>
        <w:tblLayout w:type="fixed"/>
        <w:tblCellMar>
          <w:top w:w="0" w:type="dxa"/>
          <w:left w:w="0" w:type="dxa"/>
          <w:bottom w:w="0" w:type="dxa"/>
          <w:right w:w="0" w:type="dxa"/>
        </w:tblCellMar>
        <w:tblLook w:val="01E0"/>
      </w:tblPr>
      <w:tblGrid>
        <w:gridCol w:w="2005"/>
        <w:gridCol w:w="2411"/>
        <w:gridCol w:w="2408"/>
        <w:gridCol w:w="2016"/>
      </w:tblGrid>
      <w:tr>
        <w:trPr>
          <w:trHeight w:val="557" w:hRule="exact"/>
        </w:trPr>
        <w:tc>
          <w:tcPr>
            <w:tcW w:w="20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4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left="637"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年末余额</w:t>
            </w:r>
          </w:p>
        </w:tc>
        <w:tc>
          <w:tcPr>
            <w:tcW w:w="24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占</w:t>
            </w:r>
            <w:r>
              <w:rPr>
                <w:rFonts w:ascii="宋体" w:hAnsi="宋体" w:cs="宋体" w:eastAsia="宋体" w:hint="default"/>
                <w:spacing w:val="-46"/>
                <w:sz w:val="18"/>
                <w:szCs w:val="18"/>
              </w:rPr>
              <w:t> </w:t>
            </w: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年末总资产的 %</w:t>
            </w:r>
          </w:p>
        </w:tc>
        <w:tc>
          <w:tcPr>
            <w:tcW w:w="20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left="913" w:right="101" w:hanging="810"/>
              <w:jc w:val="left"/>
              <w:rPr>
                <w:rFonts w:ascii="宋体" w:hAnsi="宋体" w:cs="宋体" w:eastAsia="宋体" w:hint="default"/>
                <w:sz w:val="18"/>
                <w:szCs w:val="18"/>
              </w:rPr>
            </w:pPr>
            <w:r>
              <w:rPr>
                <w:rFonts w:ascii="宋体" w:hAnsi="宋体" w:cs="宋体" w:eastAsia="宋体" w:hint="default"/>
                <w:sz w:val="18"/>
                <w:szCs w:val="18"/>
              </w:rPr>
              <w:t>存货跌价准备的计提情 况</w:t>
            </w:r>
          </w:p>
        </w:tc>
      </w:tr>
      <w:tr>
        <w:trPr>
          <w:trHeight w:val="323" w:hRule="exact"/>
        </w:trPr>
        <w:tc>
          <w:tcPr>
            <w:tcW w:w="20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53,945,581.15</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3.90%</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92" w:right="0"/>
              <w:jc w:val="left"/>
              <w:rPr>
                <w:rFonts w:ascii="Times New Roman" w:hAnsi="Times New Roman" w:cs="Times New Roman" w:eastAsia="Times New Roman" w:hint="default"/>
                <w:sz w:val="18"/>
                <w:szCs w:val="18"/>
              </w:rPr>
            </w:pPr>
            <w:r>
              <w:rPr>
                <w:rFonts w:ascii="Times New Roman"/>
                <w:sz w:val="18"/>
              </w:rPr>
              <w:t>651,782.12</w:t>
            </w:r>
          </w:p>
        </w:tc>
      </w:tr>
      <w:tr>
        <w:trPr>
          <w:trHeight w:val="324" w:hRule="exact"/>
        </w:trPr>
        <w:tc>
          <w:tcPr>
            <w:tcW w:w="20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28,538.44</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0.00%</w:t>
            </w:r>
          </w:p>
        </w:tc>
        <w:tc>
          <w:tcPr>
            <w:tcW w:w="201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0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6,876,750.56</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0.50%</w:t>
            </w:r>
          </w:p>
        </w:tc>
        <w:tc>
          <w:tcPr>
            <w:tcW w:w="2016"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0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pacing w:val="-1"/>
                <w:sz w:val="18"/>
              </w:rPr>
              <w:t>17,223,093.11</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1.24%</w:t>
            </w:r>
          </w:p>
        </w:tc>
        <w:tc>
          <w:tcPr>
            <w:tcW w:w="201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0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自制半成品</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24,047,295.45</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1.74%</w:t>
            </w:r>
          </w:p>
        </w:tc>
        <w:tc>
          <w:tcPr>
            <w:tcW w:w="2016"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0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12,390,364.53</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0.90%</w:t>
            </w:r>
          </w:p>
        </w:tc>
        <w:tc>
          <w:tcPr>
            <w:tcW w:w="2016" w:type="dxa"/>
            <w:tcBorders>
              <w:top w:val="single" w:sz="4" w:space="0" w:color="000000"/>
              <w:left w:val="single" w:sz="4" w:space="0" w:color="000000"/>
              <w:bottom w:val="single" w:sz="4" w:space="0" w:color="000000"/>
              <w:right w:val="single" w:sz="4" w:space="0" w:color="000000"/>
            </w:tcBorders>
          </w:tcPr>
          <w:p>
            <w:pPr/>
          </w:p>
        </w:tc>
      </w:tr>
    </w:tbl>
    <w:p>
      <w:pPr>
        <w:spacing w:before="9"/>
        <w:ind w:left="258" w:right="205" w:firstLine="465"/>
        <w:jc w:val="left"/>
        <w:rPr>
          <w:rFonts w:ascii="宋体" w:hAnsi="宋体" w:cs="宋体" w:eastAsia="宋体" w:hint="default"/>
          <w:sz w:val="18"/>
          <w:szCs w:val="18"/>
        </w:rPr>
      </w:pPr>
      <w:r>
        <w:rPr>
          <w:rFonts w:ascii="宋体" w:hAnsi="宋体" w:cs="宋体" w:eastAsia="宋体" w:hint="default"/>
          <w:spacing w:val="-1"/>
          <w:sz w:val="18"/>
          <w:szCs w:val="18"/>
        </w:rPr>
        <w:t>报告期末，公司对存货进行了减值测试，根据减值测试的结果，针对部分存货成本高于其可变现净值的情形</w:t>
      </w:r>
      <w:r>
        <w:rPr>
          <w:rFonts w:ascii="宋体" w:hAnsi="宋体" w:cs="宋体" w:eastAsia="宋体" w:hint="default"/>
          <w:sz w:val="18"/>
          <w:szCs w:val="18"/>
        </w:rPr>
        <w:t> 计提了存货跌价准备。报告期内，原材料供求情况正常，价格总体呈平稳趋势。</w:t>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3"/>
          <w:szCs w:val="13"/>
        </w:rPr>
      </w:pPr>
    </w:p>
    <w:p>
      <w:pPr>
        <w:pStyle w:val="BodyText"/>
        <w:spacing w:line="316" w:lineRule="auto"/>
        <w:ind w:left="738" w:right="646"/>
        <w:jc w:val="left"/>
      </w:pPr>
      <w:r>
        <w:rPr/>
        <w:t>（</w:t>
      </w:r>
      <w:r>
        <w:rPr>
          <w:rFonts w:ascii="Times New Roman" w:hAnsi="Times New Roman" w:cs="Times New Roman" w:eastAsia="Times New Roman" w:hint="default"/>
        </w:rPr>
        <w:t>22</w:t>
      </w:r>
      <w:r>
        <w:rPr/>
        <w:t>）截止报告期末，公司金融资产、委托理财等财务性投资等相关业务。 报告期末本公司子公司江西先材购买的银行理财产品余额人民币</w:t>
      </w:r>
      <w:r>
        <w:rPr>
          <w:rFonts w:ascii="Times New Roman" w:hAnsi="Times New Roman" w:cs="Times New Roman" w:eastAsia="Times New Roman" w:hint="default"/>
        </w:rPr>
        <w:t>3,000</w:t>
      </w:r>
      <w:r>
        <w:rPr/>
        <w:t>万元。</w:t>
      </w:r>
    </w:p>
    <w:p>
      <w:pPr>
        <w:pStyle w:val="BodyText"/>
        <w:spacing w:line="240" w:lineRule="auto" w:before="23"/>
        <w:ind w:left="738" w:right="235"/>
        <w:jc w:val="left"/>
      </w:pPr>
      <w:r>
        <w:rPr/>
        <w:t>（</w:t>
      </w:r>
      <w:r>
        <w:rPr>
          <w:rFonts w:ascii="Times New Roman" w:hAnsi="Times New Roman" w:cs="Times New Roman" w:eastAsia="Times New Roman" w:hint="default"/>
        </w:rPr>
        <w:t>23</w:t>
      </w:r>
      <w:r>
        <w:rPr/>
        <w:t>）截止报告期末，公司没有持有任何外币金融资产。</w:t>
      </w:r>
    </w:p>
    <w:p>
      <w:pPr>
        <w:pStyle w:val="BodyText"/>
        <w:spacing w:line="288" w:lineRule="auto" w:before="108"/>
        <w:ind w:right="205" w:firstLine="480"/>
        <w:jc w:val="left"/>
      </w:pPr>
      <w:r>
        <w:rPr/>
        <w:t>（</w:t>
      </w:r>
      <w:r>
        <w:rPr>
          <w:rFonts w:ascii="Times New Roman" w:hAnsi="Times New Roman" w:cs="Times New Roman" w:eastAsia="Times New Roman" w:hint="default"/>
        </w:rPr>
        <w:t>24</w:t>
      </w:r>
      <w:r>
        <w:rPr/>
        <w:t>）主要资产的计量情况：报告期内公司主要资产采用实际成本计量；主要资 产计量属性在报告期内未发生重大变化。</w:t>
      </w:r>
    </w:p>
    <w:p>
      <w:pPr>
        <w:pStyle w:val="BodyText"/>
        <w:spacing w:line="240" w:lineRule="auto" w:before="78"/>
        <w:ind w:left="738" w:right="235"/>
        <w:jc w:val="left"/>
      </w:pPr>
      <w:r>
        <w:rPr/>
        <w:t>（</w:t>
      </w:r>
      <w:r>
        <w:rPr>
          <w:rFonts w:ascii="Times New Roman" w:hAnsi="Times New Roman" w:cs="Times New Roman" w:eastAsia="Times New Roman" w:hint="default"/>
        </w:rPr>
        <w:t>25</w:t>
      </w:r>
      <w:r>
        <w:rPr/>
        <w:t>）研发支出情况</w:t>
      </w:r>
    </w:p>
    <w:p>
      <w:pPr>
        <w:spacing w:before="36"/>
        <w:ind w:left="0" w:right="1073"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3"/>
        <w:rPr>
          <w:rFonts w:ascii="宋体" w:hAnsi="宋体" w:cs="宋体" w:eastAsia="宋体" w:hint="default"/>
          <w:sz w:val="5"/>
          <w:szCs w:val="5"/>
        </w:rPr>
      </w:pPr>
    </w:p>
    <w:tbl>
      <w:tblPr>
        <w:tblW w:w="0" w:type="auto"/>
        <w:jc w:val="left"/>
        <w:tblInd w:w="237" w:type="dxa"/>
        <w:tblLayout w:type="fixed"/>
        <w:tblCellMar>
          <w:top w:w="0" w:type="dxa"/>
          <w:left w:w="0" w:type="dxa"/>
          <w:bottom w:w="0" w:type="dxa"/>
          <w:right w:w="0" w:type="dxa"/>
        </w:tblCellMar>
        <w:tblLook w:val="01E0"/>
      </w:tblPr>
      <w:tblGrid>
        <w:gridCol w:w="2141"/>
        <w:gridCol w:w="2200"/>
        <w:gridCol w:w="2100"/>
        <w:gridCol w:w="1920"/>
      </w:tblGrid>
      <w:tr>
        <w:trPr>
          <w:trHeight w:val="324" w:hRule="exact"/>
        </w:trPr>
        <w:tc>
          <w:tcPr>
            <w:tcW w:w="21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22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21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3" w:hRule="exact"/>
        </w:trPr>
        <w:tc>
          <w:tcPr>
            <w:tcW w:w="21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37,014.25</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sz w:val="18"/>
              </w:rPr>
              <w:t>35,297.73</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sz w:val="18"/>
              </w:rPr>
              <w:t>31,434.04</w:t>
            </w:r>
          </w:p>
        </w:tc>
      </w:tr>
      <w:tr>
        <w:trPr>
          <w:trHeight w:val="324" w:hRule="exact"/>
        </w:trPr>
        <w:tc>
          <w:tcPr>
            <w:tcW w:w="21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研发支出</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2,691.02</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8"/>
                <w:szCs w:val="18"/>
              </w:rPr>
            </w:pPr>
            <w:r>
              <w:rPr>
                <w:rFonts w:ascii="Times New Roman"/>
                <w:sz w:val="18"/>
              </w:rPr>
              <w:t>1,782.54</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8"/>
                <w:szCs w:val="18"/>
              </w:rPr>
            </w:pPr>
            <w:r>
              <w:rPr>
                <w:rFonts w:ascii="Times New Roman"/>
                <w:sz w:val="18"/>
              </w:rPr>
              <w:t>1,555.98</w:t>
            </w:r>
          </w:p>
        </w:tc>
      </w:tr>
      <w:tr>
        <w:trPr>
          <w:trHeight w:val="324" w:hRule="exact"/>
        </w:trPr>
        <w:tc>
          <w:tcPr>
            <w:tcW w:w="21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占营业收入比例</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w w:val="95"/>
                <w:sz w:val="18"/>
              </w:rPr>
              <w:t>7.27%</w:t>
            </w:r>
            <w:r>
              <w:rPr>
                <w:rFonts w:ascii="Times New Roman"/>
                <w:sz w:val="18"/>
              </w:rPr>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w w:val="95"/>
                <w:sz w:val="18"/>
              </w:rPr>
              <w:t>5.05%</w:t>
            </w:r>
            <w:r>
              <w:rPr>
                <w:rFonts w:ascii="Times New Roman"/>
                <w:sz w:val="18"/>
              </w:rPr>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w w:val="95"/>
                <w:sz w:val="18"/>
              </w:rPr>
              <w:t>4.95%</w:t>
            </w:r>
            <w:r>
              <w:rPr>
                <w:rFonts w:ascii="Times New Roman"/>
                <w:sz w:val="18"/>
              </w:rPr>
            </w:r>
          </w:p>
        </w:tc>
      </w:tr>
    </w:tbl>
    <w:p>
      <w:pPr>
        <w:pStyle w:val="BodyText"/>
        <w:spacing w:line="240" w:lineRule="auto" w:before="81"/>
        <w:ind w:left="738" w:right="235"/>
        <w:jc w:val="left"/>
      </w:pPr>
      <w:r>
        <w:rPr/>
        <w:t>（</w:t>
      </w:r>
      <w:r>
        <w:rPr>
          <w:rFonts w:ascii="Times New Roman" w:hAnsi="Times New Roman" w:cs="Times New Roman" w:eastAsia="Times New Roman" w:hint="default"/>
        </w:rPr>
        <w:t>26</w:t>
      </w:r>
      <w:r>
        <w:rPr/>
        <w:t>）截止报告期末，公司不存在对创业企业投资的情形。</w:t>
      </w:r>
    </w:p>
    <w:p>
      <w:pPr>
        <w:spacing w:line="309" w:lineRule="auto" w:before="27"/>
        <w:ind w:left="738" w:right="94"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．报告期主要子公司经营情况及业绩分析</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公司子公司承担先进材料的开发及应用推广，报告期内各子公司产品线全面推进，</w:t>
      </w:r>
    </w:p>
    <w:p>
      <w:pPr>
        <w:spacing w:after="0" w:line="309" w:lineRule="auto"/>
        <w:jc w:val="left"/>
        <w:rPr>
          <w:rFonts w:ascii="宋体" w:hAnsi="宋体" w:cs="宋体" w:eastAsia="宋体" w:hint="default"/>
          <w:sz w:val="24"/>
          <w:szCs w:val="24"/>
        </w:rPr>
        <w:sectPr>
          <w:pgSz w:w="11910" w:h="16840"/>
          <w:pgMar w:header="470" w:footer="1266" w:top="900" w:bottom="1460" w:left="1160" w:right="13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240" w:lineRule="auto" w:before="26"/>
        <w:ind w:right="235"/>
        <w:jc w:val="left"/>
      </w:pPr>
      <w:r>
        <w:rPr/>
        <w:t>取得了系统性、决定性的全方位突破。具体如下：</w:t>
      </w:r>
    </w:p>
    <w:p>
      <w:pPr>
        <w:spacing w:line="319" w:lineRule="auto" w:before="125"/>
        <w:ind w:left="738" w:right="205" w:firstLine="2"/>
        <w:jc w:val="left"/>
        <w:rPr>
          <w:rFonts w:ascii="宋体" w:hAnsi="宋体" w:cs="宋体" w:eastAsia="宋体" w:hint="default"/>
          <w:sz w:val="24"/>
          <w:szCs w:val="24"/>
        </w:rPr>
      </w:pPr>
      <w:r>
        <w:rPr>
          <w:rFonts w:ascii="宋体" w:hAnsi="宋体" w:cs="宋体" w:eastAsia="宋体" w:hint="default"/>
          <w:b/>
          <w:bCs/>
          <w:spacing w:val="-10"/>
          <w:w w:val="99"/>
          <w:sz w:val="24"/>
          <w:szCs w:val="24"/>
        </w:rPr>
        <w:t>（</w:t>
      </w:r>
      <w:r>
        <w:rPr>
          <w:rFonts w:ascii="Times New Roman" w:hAnsi="Times New Roman" w:cs="Times New Roman" w:eastAsia="Times New Roman" w:hint="default"/>
          <w:b/>
          <w:bCs/>
          <w:spacing w:val="-10"/>
          <w:w w:val="99"/>
          <w:sz w:val="24"/>
          <w:szCs w:val="24"/>
        </w:rPr>
        <w:t>1</w:t>
      </w:r>
      <w:r>
        <w:rPr>
          <w:rFonts w:ascii="宋体" w:hAnsi="宋体" w:cs="宋体" w:eastAsia="宋体" w:hint="default"/>
          <w:b/>
          <w:bCs/>
          <w:spacing w:val="-10"/>
          <w:w w:val="99"/>
          <w:sz w:val="24"/>
          <w:szCs w:val="24"/>
        </w:rPr>
        <w:t>）长春高琦聚酰亚胺材料有限公司（“长春高琦”）</w:t>
      </w:r>
      <w:r>
        <w:rPr>
          <w:rFonts w:ascii="宋体" w:hAnsi="宋体" w:cs="宋体" w:eastAsia="宋体" w:hint="default"/>
          <w:b/>
          <w:bCs/>
          <w:spacing w:val="-98"/>
          <w:w w:val="99"/>
          <w:sz w:val="24"/>
          <w:szCs w:val="24"/>
        </w:rPr>
        <w:t> </w:t>
      </w:r>
      <w:r>
        <w:rPr>
          <w:rFonts w:ascii="宋体" w:hAnsi="宋体" w:cs="宋体" w:eastAsia="宋体" w:hint="default"/>
          <w:b/>
          <w:bCs/>
          <w:spacing w:val="-98"/>
          <w:w w:val="99"/>
          <w:sz w:val="24"/>
          <w:szCs w:val="24"/>
        </w:rPr>
      </w:r>
      <w:r>
        <w:rPr>
          <w:rFonts w:ascii="宋体" w:hAnsi="宋体" w:cs="宋体" w:eastAsia="宋体" w:hint="default"/>
          <w:sz w:val="24"/>
          <w:szCs w:val="24"/>
        </w:rPr>
        <w:t>长春高琦主营业务为聚酰亚胺纤维材料及制品、高分子材料、无石棉磨擦材料、</w:t>
      </w:r>
    </w:p>
    <w:p>
      <w:pPr>
        <w:pStyle w:val="BodyText"/>
        <w:spacing w:line="290" w:lineRule="auto" w:before="6"/>
        <w:ind w:right="205"/>
        <w:jc w:val="left"/>
      </w:pPr>
      <w:r>
        <w:rPr/>
        <w:t>特种工程塑料制品加工及技术咨询，注册资本为</w:t>
      </w:r>
      <w:r>
        <w:rPr>
          <w:spacing w:val="-5"/>
        </w:rPr>
        <w:t> </w:t>
      </w:r>
      <w:r>
        <w:rPr>
          <w:rFonts w:ascii="Times New Roman" w:hAnsi="Times New Roman" w:cs="Times New Roman" w:eastAsia="Times New Roman" w:hint="default"/>
        </w:rPr>
        <w:t>9,759.62</w:t>
      </w:r>
      <w:r>
        <w:rPr/>
        <w:t>万元，本公司持有的股权比 例为</w:t>
      </w:r>
      <w:r>
        <w:rPr>
          <w:rFonts w:ascii="Times New Roman" w:hAnsi="Times New Roman" w:cs="Times New Roman" w:eastAsia="Times New Roman" w:hint="default"/>
        </w:rPr>
        <w:t>84.63%</w:t>
      </w:r>
      <w:r>
        <w:rPr/>
        <w:t>。</w:t>
      </w:r>
    </w:p>
    <w:p>
      <w:pPr>
        <w:pStyle w:val="BodyText"/>
        <w:spacing w:line="240" w:lineRule="auto" w:before="51"/>
        <w:ind w:left="738" w:right="94"/>
        <w:jc w:val="left"/>
      </w:pPr>
      <w:r>
        <w:rPr>
          <w:spacing w:val="19"/>
        </w:rPr>
        <w:t>截至 </w:t>
      </w: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   </w:t>
      </w:r>
      <w:r>
        <w:rPr>
          <w:spacing w:val="33"/>
        </w:rPr>
        <w:t>日，长春高琦总资产 </w:t>
      </w:r>
      <w:r>
        <w:rPr>
          <w:rFonts w:ascii="Times New Roman" w:hAnsi="Times New Roman" w:cs="Times New Roman" w:eastAsia="Times New Roman" w:hint="default"/>
        </w:rPr>
        <w:t>549,010,619.25 </w:t>
      </w:r>
      <w:r>
        <w:rPr>
          <w:rFonts w:ascii="Times New Roman" w:hAnsi="Times New Roman" w:cs="Times New Roman" w:eastAsia="Times New Roman" w:hint="default"/>
          <w:spacing w:val="7"/>
        </w:rPr>
        <w:t> </w:t>
      </w:r>
      <w:r>
        <w:rPr>
          <w:spacing w:val="28"/>
        </w:rPr>
        <w:t>元、负债</w:t>
      </w:r>
      <w:r>
        <w:rPr>
          <w:spacing w:val="-82"/>
        </w:rPr>
        <w:t> </w:t>
      </w:r>
      <w:r>
        <w:rPr/>
      </w:r>
    </w:p>
    <w:p>
      <w:pPr>
        <w:pStyle w:val="BodyText"/>
        <w:tabs>
          <w:tab w:pos="4818" w:val="left" w:leader="none"/>
        </w:tabs>
        <w:spacing w:line="240" w:lineRule="auto" w:before="68"/>
        <w:ind w:right="94"/>
        <w:jc w:val="left"/>
      </w:pPr>
      <w:r>
        <w:rPr>
          <w:rFonts w:ascii="Times New Roman" w:hAnsi="Times New Roman" w:cs="Times New Roman" w:eastAsia="Times New Roman" w:hint="default"/>
        </w:rPr>
        <w:t>94,757,717.08  </w:t>
      </w:r>
      <w:r>
        <w:rPr/>
        <w:t>元、净资产 </w:t>
      </w:r>
      <w:r>
        <w:rPr>
          <w:rFonts w:ascii="Times New Roman" w:hAnsi="Times New Roman" w:cs="Times New Roman" w:eastAsia="Times New Roman" w:hint="default"/>
        </w:rPr>
        <w:t>454,252,902.17</w:t>
        <w:tab/>
      </w:r>
      <w:r>
        <w:rPr/>
        <w:t>元。</w:t>
      </w:r>
      <w:r>
        <w:rPr>
          <w:rFonts w:ascii="Times New Roman" w:hAnsi="Times New Roman" w:cs="Times New Roman" w:eastAsia="Times New Roman" w:hint="default"/>
        </w:rPr>
        <w:t>2010</w:t>
      </w:r>
      <w:r>
        <w:rPr/>
        <w:t>年度营业收入 </w:t>
      </w:r>
      <w:r>
        <w:rPr>
          <w:rFonts w:ascii="Times New Roman" w:hAnsi="Times New Roman" w:cs="Times New Roman" w:eastAsia="Times New Roman" w:hint="default"/>
        </w:rPr>
        <w:t>5,926,024.78  </w:t>
      </w:r>
      <w:r>
        <w:rPr/>
        <w:t>元，</w:t>
      </w:r>
    </w:p>
    <w:p>
      <w:pPr>
        <w:pStyle w:val="BodyText"/>
        <w:spacing w:line="240" w:lineRule="auto" w:before="67"/>
        <w:ind w:right="235"/>
        <w:jc w:val="left"/>
      </w:pPr>
      <w:r>
        <w:rPr/>
        <w:t>净利润 </w:t>
      </w:r>
      <w:r>
        <w:rPr>
          <w:rFonts w:ascii="Times New Roman" w:hAnsi="Times New Roman" w:cs="Times New Roman" w:eastAsia="Times New Roman" w:hint="default"/>
        </w:rPr>
        <w:t>-571,997.01  </w:t>
      </w:r>
      <w:r>
        <w:rPr/>
        <w:t>元。</w:t>
      </w:r>
    </w:p>
    <w:p>
      <w:pPr>
        <w:spacing w:line="288" w:lineRule="auto" w:before="108"/>
        <w:ind w:left="258" w:right="212" w:firstLine="482"/>
        <w:jc w:val="left"/>
        <w:rPr>
          <w:rFonts w:ascii="宋体" w:hAnsi="宋体" w:cs="宋体" w:eastAsia="宋体" w:hint="default"/>
          <w:sz w:val="24"/>
          <w:szCs w:val="24"/>
        </w:rPr>
      </w:pPr>
      <w:r>
        <w:rPr>
          <w:rFonts w:ascii="宋体" w:hAnsi="宋体" w:cs="宋体" w:eastAsia="宋体" w:hint="default"/>
          <w:b/>
          <w:bCs/>
          <w:spacing w:val="-3"/>
          <w:w w:val="99"/>
          <w:sz w:val="24"/>
          <w:szCs w:val="24"/>
        </w:rPr>
        <w:t>（</w:t>
      </w:r>
      <w:r>
        <w:rPr>
          <w:rFonts w:ascii="Times New Roman" w:hAnsi="Times New Roman" w:cs="Times New Roman" w:eastAsia="Times New Roman" w:hint="default"/>
          <w:b/>
          <w:bCs/>
          <w:spacing w:val="-3"/>
          <w:w w:val="99"/>
          <w:sz w:val="24"/>
          <w:szCs w:val="24"/>
        </w:rPr>
        <w:t>2</w:t>
      </w:r>
      <w:r>
        <w:rPr>
          <w:rFonts w:ascii="宋体" w:hAnsi="宋体" w:cs="宋体" w:eastAsia="宋体" w:hint="default"/>
          <w:b/>
          <w:bCs/>
          <w:spacing w:val="-3"/>
          <w:w w:val="99"/>
          <w:sz w:val="24"/>
          <w:szCs w:val="24"/>
        </w:rPr>
        <w:t>）吉林高琦聚酰亚胺材料有限公司（简称“吉林高琦”）：聚酰亚胺纤维、聚</w:t>
      </w:r>
      <w:r>
        <w:rPr>
          <w:rFonts w:ascii="宋体" w:hAnsi="宋体" w:cs="宋体" w:eastAsia="宋体" w:hint="default"/>
          <w:b/>
          <w:bCs/>
          <w:spacing w:val="4"/>
          <w:w w:val="99"/>
          <w:sz w:val="24"/>
          <w:szCs w:val="24"/>
        </w:rPr>
        <w:t> </w:t>
      </w:r>
      <w:r>
        <w:rPr>
          <w:rFonts w:ascii="宋体" w:hAnsi="宋体" w:cs="宋体" w:eastAsia="宋体" w:hint="default"/>
          <w:b/>
          <w:bCs/>
          <w:sz w:val="24"/>
          <w:szCs w:val="24"/>
        </w:rPr>
        <w:t>酰亚胺树脂</w:t>
      </w:r>
      <w:r>
        <w:rPr>
          <w:rFonts w:ascii="宋体" w:hAnsi="宋体" w:cs="宋体" w:eastAsia="宋体" w:hint="default"/>
          <w:sz w:val="24"/>
          <w:szCs w:val="24"/>
        </w:rPr>
      </w:r>
    </w:p>
    <w:p>
      <w:pPr>
        <w:pStyle w:val="BodyText"/>
        <w:spacing w:line="240" w:lineRule="auto" w:before="78"/>
        <w:ind w:left="738" w:right="235"/>
        <w:jc w:val="left"/>
      </w:pPr>
      <w:r>
        <w:rPr/>
        <w:t>吉林高琦现为长春高琦全资子公司，注册资本</w:t>
      </w:r>
      <w:r>
        <w:rPr>
          <w:spacing w:val="-60"/>
        </w:rPr>
        <w:t> </w:t>
      </w:r>
      <w:r>
        <w:rPr>
          <w:rFonts w:ascii="Times New Roman" w:hAnsi="Times New Roman" w:cs="Times New Roman" w:eastAsia="Times New Roman" w:hint="default"/>
        </w:rPr>
        <w:t>38,140.83 </w:t>
      </w:r>
      <w:r>
        <w:rPr/>
        <w:t>万元。</w:t>
      </w:r>
    </w:p>
    <w:p>
      <w:pPr>
        <w:pStyle w:val="BodyText"/>
        <w:tabs>
          <w:tab w:pos="1475" w:val="left" w:leader="none"/>
          <w:tab w:pos="2564" w:val="left" w:leader="none"/>
          <w:tab w:pos="3422" w:val="left" w:leader="none"/>
        </w:tabs>
        <w:spacing w:line="240" w:lineRule="auto" w:before="107"/>
        <w:ind w:left="738" w:right="94"/>
        <w:jc w:val="left"/>
      </w:pPr>
      <w:r>
        <w:rPr>
          <w:spacing w:val="22"/>
        </w:rPr>
        <w:t>截至</w:t>
        <w:tab/>
      </w:r>
      <w:r>
        <w:rPr>
          <w:rFonts w:ascii="Times New Roman" w:hAnsi="Times New Roman" w:cs="Times New Roman" w:eastAsia="Times New Roman" w:hint="default"/>
          <w:spacing w:val="-3"/>
        </w:rPr>
        <w:t>2011 </w:t>
      </w:r>
      <w:r>
        <w:rPr>
          <w:rFonts w:ascii="Times New Roman" w:hAnsi="Times New Roman" w:cs="Times New Roman" w:eastAsia="Times New Roman" w:hint="default"/>
          <w:spacing w:val="51"/>
        </w:rPr>
        <w:t> </w:t>
      </w:r>
      <w:r>
        <w:rPr/>
        <w:t>年</w:t>
        <w:tab/>
      </w:r>
      <w:r>
        <w:rPr>
          <w:rFonts w:ascii="Times New Roman" w:hAnsi="Times New Roman" w:cs="Times New Roman" w:eastAsia="Times New Roman" w:hint="default"/>
        </w:rPr>
        <w:t>12 </w:t>
      </w:r>
      <w:r>
        <w:rPr>
          <w:rFonts w:ascii="Times New Roman" w:hAnsi="Times New Roman" w:cs="Times New Roman" w:eastAsia="Times New Roman" w:hint="default"/>
          <w:spacing w:val="46"/>
        </w:rPr>
        <w:t> </w:t>
      </w:r>
      <w:r>
        <w:rPr/>
        <w:t>月</w:t>
        <w:tab/>
      </w:r>
      <w:r>
        <w:rPr>
          <w:rFonts w:ascii="Times New Roman" w:hAnsi="Times New Roman" w:cs="Times New Roman" w:eastAsia="Times New Roman" w:hint="default"/>
        </w:rPr>
        <w:t>31  </w:t>
      </w:r>
      <w:r>
        <w:rPr>
          <w:spacing w:val="40"/>
        </w:rPr>
        <w:t>日，吉林高琦总资产 </w:t>
      </w:r>
      <w:r>
        <w:rPr>
          <w:rFonts w:ascii="Times New Roman" w:hAnsi="Times New Roman" w:cs="Times New Roman" w:eastAsia="Times New Roman" w:hint="default"/>
        </w:rPr>
        <w:t>411,715,909.79</w:t>
      </w:r>
      <w:r>
        <w:rPr>
          <w:rFonts w:ascii="Times New Roman" w:hAnsi="Times New Roman" w:cs="Times New Roman" w:eastAsia="Times New Roman" w:hint="default"/>
          <w:spacing w:val="30"/>
        </w:rPr>
        <w:t> </w:t>
      </w:r>
      <w:r>
        <w:rPr>
          <w:spacing w:val="34"/>
        </w:rPr>
        <w:t>元、负债</w:t>
      </w:r>
      <w:r>
        <w:rPr>
          <w:spacing w:val="-74"/>
        </w:rPr>
        <w:t> </w:t>
      </w:r>
      <w:r>
        <w:rPr/>
      </w:r>
    </w:p>
    <w:p>
      <w:pPr>
        <w:pStyle w:val="BodyText"/>
        <w:spacing w:line="240" w:lineRule="auto" w:before="68"/>
        <w:ind w:right="94"/>
        <w:jc w:val="left"/>
      </w:pPr>
      <w:r>
        <w:rPr>
          <w:rFonts w:ascii="Times New Roman" w:hAnsi="Times New Roman" w:cs="Times New Roman" w:eastAsia="Times New Roman" w:hint="default"/>
        </w:rPr>
        <w:t>34,999,727.23  </w:t>
      </w:r>
      <w:r>
        <w:rPr/>
        <w:t>元、净资产 </w:t>
      </w:r>
      <w:r>
        <w:rPr>
          <w:rFonts w:ascii="Times New Roman" w:hAnsi="Times New Roman" w:cs="Times New Roman" w:eastAsia="Times New Roman" w:hint="default"/>
        </w:rPr>
        <w:t>376,716,182.56  </w:t>
      </w:r>
      <w:r>
        <w:rPr/>
        <w:t>元。</w:t>
      </w:r>
      <w:r>
        <w:rPr>
          <w:rFonts w:ascii="Times New Roman" w:hAnsi="Times New Roman" w:cs="Times New Roman" w:eastAsia="Times New Roman" w:hint="default"/>
        </w:rPr>
        <w:t>2011  </w:t>
      </w:r>
      <w:r>
        <w:rPr/>
        <w:t>年度营业收入 </w:t>
      </w:r>
      <w:r>
        <w:rPr>
          <w:rFonts w:ascii="Times New Roman" w:hAnsi="Times New Roman" w:cs="Times New Roman" w:eastAsia="Times New Roman" w:hint="default"/>
        </w:rPr>
        <w:t>2,468,402.38</w:t>
      </w:r>
      <w:r>
        <w:rPr>
          <w:rFonts w:ascii="Times New Roman" w:hAnsi="Times New Roman" w:cs="Times New Roman" w:eastAsia="Times New Roman" w:hint="default"/>
          <w:spacing w:val="51"/>
        </w:rPr>
        <w:t> </w:t>
      </w:r>
      <w:r>
        <w:rPr/>
        <w:t>元，</w:t>
      </w:r>
    </w:p>
    <w:p>
      <w:pPr>
        <w:pStyle w:val="BodyText"/>
        <w:spacing w:line="240" w:lineRule="auto" w:before="67"/>
        <w:ind w:right="235"/>
        <w:jc w:val="left"/>
      </w:pPr>
      <w:r>
        <w:rPr/>
        <w:t>净利润 </w:t>
      </w:r>
      <w:r>
        <w:rPr>
          <w:rFonts w:ascii="Times New Roman" w:hAnsi="Times New Roman" w:cs="Times New Roman" w:eastAsia="Times New Roman" w:hint="default"/>
        </w:rPr>
        <w:t>-2,138,540.53  </w:t>
      </w:r>
      <w:r>
        <w:rPr/>
        <w:t>元。</w:t>
      </w:r>
    </w:p>
    <w:p>
      <w:pPr>
        <w:spacing w:line="240" w:lineRule="auto" w:before="10"/>
        <w:rPr>
          <w:rFonts w:ascii="宋体" w:hAnsi="宋体" w:cs="宋体" w:eastAsia="宋体" w:hint="default"/>
          <w:sz w:val="35"/>
          <w:szCs w:val="35"/>
        </w:rPr>
      </w:pPr>
    </w:p>
    <w:p>
      <w:pPr>
        <w:spacing w:line="312" w:lineRule="auto" w:before="0"/>
        <w:ind w:left="738" w:right="205" w:hanging="9"/>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）聚酰亚胺纤维：</w:t>
      </w:r>
      <w:r>
        <w:rPr>
          <w:rFonts w:ascii="宋体" w:hAnsi="宋体" w:cs="宋体" w:eastAsia="宋体" w:hint="default"/>
          <w:b/>
          <w:bCs/>
          <w:spacing w:val="1"/>
          <w:w w:val="99"/>
          <w:sz w:val="24"/>
          <w:szCs w:val="24"/>
        </w:rPr>
        <w:t> </w:t>
      </w:r>
      <w:r>
        <w:rPr>
          <w:rFonts w:ascii="宋体" w:hAnsi="宋体" w:cs="宋体" w:eastAsia="宋体" w:hint="default"/>
          <w:sz w:val="24"/>
          <w:szCs w:val="24"/>
        </w:rPr>
        <w:t>公司</w:t>
      </w:r>
      <w:r>
        <w:rPr>
          <w:rFonts w:ascii="Times New Roman" w:hAnsi="Times New Roman" w:cs="Times New Roman" w:eastAsia="Times New Roman" w:hint="default"/>
          <w:sz w:val="24"/>
          <w:szCs w:val="24"/>
        </w:rPr>
        <w:t>2010</w:t>
      </w:r>
      <w:r>
        <w:rPr>
          <w:rFonts w:ascii="宋体" w:hAnsi="宋体" w:cs="宋体" w:eastAsia="宋体" w:hint="default"/>
          <w:sz w:val="24"/>
          <w:szCs w:val="24"/>
        </w:rPr>
        <w:t>年定向增发建设先进材料投资项目“高性能耐热聚酰亚胺纤维产业化项</w:t>
      </w:r>
    </w:p>
    <w:p>
      <w:pPr>
        <w:pStyle w:val="BodyText"/>
        <w:spacing w:line="302" w:lineRule="exact"/>
        <w:ind w:right="0"/>
        <w:jc w:val="left"/>
      </w:pPr>
      <w:r>
        <w:rPr>
          <w:spacing w:val="-3"/>
        </w:rPr>
        <w:t>目”在吉林高琦实施，目前在各个应用领域均做了大量的研发和市场工作，成效卓著。</w:t>
      </w:r>
    </w:p>
    <w:p>
      <w:pPr>
        <w:spacing w:line="240" w:lineRule="auto" w:before="8"/>
        <w:rPr>
          <w:rFonts w:ascii="宋体" w:hAnsi="宋体" w:cs="宋体" w:eastAsia="宋体" w:hint="default"/>
          <w:sz w:val="6"/>
          <w:szCs w:val="6"/>
        </w:rPr>
      </w:pPr>
    </w:p>
    <w:tbl>
      <w:tblPr>
        <w:tblW w:w="0" w:type="auto"/>
        <w:jc w:val="left"/>
        <w:tblInd w:w="280" w:type="dxa"/>
        <w:tblLayout w:type="fixed"/>
        <w:tblCellMar>
          <w:top w:w="0" w:type="dxa"/>
          <w:left w:w="0" w:type="dxa"/>
          <w:bottom w:w="0" w:type="dxa"/>
          <w:right w:w="0" w:type="dxa"/>
        </w:tblCellMar>
        <w:tblLook w:val="01E0"/>
      </w:tblPr>
      <w:tblGrid>
        <w:gridCol w:w="580"/>
        <w:gridCol w:w="1270"/>
        <w:gridCol w:w="397"/>
        <w:gridCol w:w="6574"/>
      </w:tblGrid>
      <w:tr>
        <w:trPr>
          <w:trHeight w:val="324" w:hRule="exact"/>
        </w:trPr>
        <w:tc>
          <w:tcPr>
            <w:tcW w:w="58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37"/>
              <w:ind w:left="178" w:right="179"/>
              <w:jc w:val="both"/>
              <w:rPr>
                <w:rFonts w:ascii="宋体" w:hAnsi="宋体" w:cs="宋体" w:eastAsia="宋体" w:hint="default"/>
                <w:sz w:val="21"/>
                <w:szCs w:val="21"/>
              </w:rPr>
            </w:pPr>
            <w:r>
              <w:rPr>
                <w:rFonts w:ascii="宋体" w:hAnsi="宋体" w:cs="宋体" w:eastAsia="宋体" w:hint="default"/>
                <w:sz w:val="21"/>
                <w:szCs w:val="21"/>
              </w:rPr>
              <w:t>纤 维 原 料</w:t>
            </w:r>
          </w:p>
        </w:tc>
        <w:tc>
          <w:tcPr>
            <w:tcW w:w="1270" w:type="dxa"/>
            <w:tcBorders>
              <w:top w:val="single" w:sz="4" w:space="0" w:color="000000"/>
              <w:left w:val="single" w:sz="4" w:space="0" w:color="000000"/>
              <w:bottom w:val="nil" w:sz="6" w:space="0" w:color="auto"/>
              <w:right w:val="single" w:sz="4" w:space="0" w:color="000000"/>
            </w:tcBorders>
            <w:shd w:val="clear" w:color="auto" w:fill="D9D9D9"/>
          </w:tcPr>
          <w:p>
            <w:pPr/>
          </w:p>
        </w:tc>
        <w:tc>
          <w:tcPr>
            <w:tcW w:w="397" w:type="dxa"/>
            <w:tcBorders>
              <w:top w:val="single" w:sz="4" w:space="0" w:color="000000"/>
              <w:left w:val="single" w:sz="4" w:space="0" w:color="000000"/>
              <w:bottom w:val="nil" w:sz="6" w:space="0" w:color="auto"/>
              <w:right w:val="nil" w:sz="6" w:space="0" w:color="auto"/>
            </w:tcBorders>
          </w:tcPr>
          <w:p>
            <w:pPr>
              <w:pStyle w:val="TableParagraph"/>
              <w:spacing w:line="240" w:lineRule="auto" w:before="114"/>
              <w:ind w:right="26"/>
              <w:jc w:val="center"/>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574" w:type="dxa"/>
            <w:tcBorders>
              <w:top w:val="single" w:sz="4" w:space="0" w:color="000000"/>
              <w:left w:val="nil" w:sz="6" w:space="0" w:color="auto"/>
              <w:bottom w:val="nil" w:sz="6" w:space="0" w:color="auto"/>
              <w:right w:val="single" w:sz="4" w:space="0" w:color="000000"/>
            </w:tcBorders>
          </w:tcPr>
          <w:p>
            <w:pPr>
              <w:pStyle w:val="TableParagraph"/>
              <w:spacing w:line="240" w:lineRule="auto" w:before="12"/>
              <w:ind w:left="131" w:right="0"/>
              <w:jc w:val="left"/>
              <w:rPr>
                <w:rFonts w:ascii="宋体" w:hAnsi="宋体" w:cs="宋体" w:eastAsia="宋体" w:hint="default"/>
                <w:sz w:val="21"/>
                <w:szCs w:val="21"/>
              </w:rPr>
            </w:pPr>
            <w:r>
              <w:rPr>
                <w:rFonts w:ascii="宋体" w:hAnsi="宋体" w:cs="宋体" w:eastAsia="宋体" w:hint="default"/>
                <w:spacing w:val="3"/>
                <w:sz w:val="21"/>
                <w:szCs w:val="21"/>
              </w:rPr>
              <w:t>轶纶</w:t>
            </w:r>
            <w:r>
              <w:rPr>
                <w:rFonts w:ascii="Times New Roman" w:hAnsi="Times New Roman" w:cs="Times New Roman" w:eastAsia="Times New Roman" w:hint="default"/>
                <w:spacing w:val="3"/>
                <w:position w:val="10"/>
                <w:sz w:val="14"/>
                <w:szCs w:val="14"/>
              </w:rPr>
              <w:t>®</w:t>
            </w:r>
            <w:r>
              <w:rPr>
                <w:rFonts w:ascii="宋体" w:hAnsi="宋体" w:cs="宋体" w:eastAsia="宋体" w:hint="default"/>
                <w:spacing w:val="3"/>
                <w:sz w:val="21"/>
                <w:szCs w:val="21"/>
              </w:rPr>
              <w:t>纤维已经完全具备大批量生产能力，新建生产线已安装调试完</w:t>
            </w:r>
            <w:r>
              <w:rPr>
                <w:rFonts w:ascii="宋体" w:hAnsi="宋体" w:cs="宋体" w:eastAsia="宋体" w:hint="default"/>
                <w:sz w:val="21"/>
                <w:szCs w:val="21"/>
              </w:rPr>
            </w:r>
          </w:p>
        </w:tc>
      </w:tr>
      <w:tr>
        <w:trPr>
          <w:trHeight w:val="817" w:hRule="exact"/>
        </w:trPr>
        <w:tc>
          <w:tcPr>
            <w:tcW w:w="580" w:type="dxa"/>
            <w:vMerge/>
            <w:tcBorders>
              <w:left w:val="single" w:sz="4" w:space="0" w:color="000000"/>
              <w:right w:val="single" w:sz="4" w:space="0" w:color="000000"/>
            </w:tcBorders>
            <w:shd w:val="clear" w:color="auto" w:fill="D9D9D9"/>
          </w:tcPr>
          <w:p>
            <w:pPr/>
          </w:p>
        </w:tc>
        <w:tc>
          <w:tcPr>
            <w:tcW w:w="127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72" w:lineRule="exact" w:before="129"/>
              <w:ind w:left="103" w:right="524"/>
              <w:jc w:val="left"/>
              <w:rPr>
                <w:rFonts w:ascii="宋体" w:hAnsi="宋体" w:cs="宋体" w:eastAsia="宋体" w:hint="default"/>
                <w:sz w:val="21"/>
                <w:szCs w:val="21"/>
              </w:rPr>
            </w:pPr>
            <w:r>
              <w:rPr>
                <w:rFonts w:ascii="宋体" w:hAnsi="宋体" w:cs="宋体" w:eastAsia="宋体" w:hint="default"/>
                <w:sz w:val="21"/>
                <w:szCs w:val="21"/>
              </w:rPr>
              <w:t>耐热 短纤维</w:t>
            </w:r>
          </w:p>
        </w:tc>
        <w:tc>
          <w:tcPr>
            <w:tcW w:w="397"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0"/>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p>
            <w:pPr>
              <w:pStyle w:val="TableParagraph"/>
              <w:spacing w:line="240" w:lineRule="auto" w:before="95"/>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574" w:type="dxa"/>
            <w:tcBorders>
              <w:top w:val="nil" w:sz="6" w:space="0" w:color="auto"/>
              <w:left w:val="nil" w:sz="6" w:space="0" w:color="auto"/>
              <w:bottom w:val="nil" w:sz="6" w:space="0" w:color="auto"/>
              <w:right w:val="single" w:sz="4" w:space="0" w:color="000000"/>
            </w:tcBorders>
          </w:tcPr>
          <w:p>
            <w:pPr>
              <w:pStyle w:val="TableParagraph"/>
              <w:spacing w:line="248" w:lineRule="exact"/>
              <w:ind w:left="131" w:right="0"/>
              <w:jc w:val="left"/>
              <w:rPr>
                <w:rFonts w:ascii="宋体" w:hAnsi="宋体" w:cs="宋体" w:eastAsia="宋体" w:hint="default"/>
                <w:sz w:val="21"/>
                <w:szCs w:val="21"/>
              </w:rPr>
            </w:pPr>
            <w:r>
              <w:rPr>
                <w:rFonts w:ascii="宋体" w:hAnsi="宋体" w:cs="宋体" w:eastAsia="宋体" w:hint="default"/>
                <w:sz w:val="21"/>
                <w:szCs w:val="21"/>
              </w:rPr>
              <w:t>毕，工艺十分稳定，成品率</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98%</w:t>
            </w:r>
            <w:r>
              <w:rPr>
                <w:rFonts w:ascii="宋体" w:hAnsi="宋体" w:cs="宋体" w:eastAsia="宋体" w:hint="default"/>
                <w:sz w:val="21"/>
                <w:szCs w:val="21"/>
              </w:rPr>
              <w:t>以上。</w:t>
            </w:r>
          </w:p>
          <w:p>
            <w:pPr>
              <w:pStyle w:val="TableParagraph"/>
              <w:spacing w:line="272" w:lineRule="exact" w:before="18"/>
              <w:ind w:left="131" w:right="100"/>
              <w:jc w:val="left"/>
              <w:rPr>
                <w:rFonts w:ascii="宋体" w:hAnsi="宋体" w:cs="宋体" w:eastAsia="宋体" w:hint="default"/>
                <w:sz w:val="21"/>
                <w:szCs w:val="21"/>
              </w:rPr>
            </w:pPr>
            <w:r>
              <w:rPr>
                <w:rFonts w:ascii="宋体" w:hAnsi="宋体" w:cs="宋体" w:eastAsia="宋体" w:hint="default"/>
                <w:sz w:val="21"/>
                <w:szCs w:val="21"/>
              </w:rPr>
              <w:t>已签订销售合同及意向订单近百吨。 开发了超细纤维和三叶型等异型截面纤维等新产品，已实现稳定连续</w:t>
            </w:r>
          </w:p>
        </w:tc>
      </w:tr>
      <w:tr>
        <w:trPr>
          <w:trHeight w:val="326" w:hRule="exact"/>
        </w:trPr>
        <w:tc>
          <w:tcPr>
            <w:tcW w:w="580" w:type="dxa"/>
            <w:vMerge/>
            <w:tcBorders>
              <w:left w:val="single" w:sz="4" w:space="0" w:color="000000"/>
              <w:right w:val="single" w:sz="4" w:space="0" w:color="000000"/>
            </w:tcBorders>
            <w:shd w:val="clear" w:color="auto" w:fill="D9D9D9"/>
          </w:tcPr>
          <w:p>
            <w:pPr/>
          </w:p>
        </w:tc>
        <w:tc>
          <w:tcPr>
            <w:tcW w:w="1270" w:type="dxa"/>
            <w:tcBorders>
              <w:top w:val="nil" w:sz="6" w:space="0" w:color="auto"/>
              <w:left w:val="single" w:sz="4" w:space="0" w:color="000000"/>
              <w:bottom w:val="single" w:sz="4" w:space="0" w:color="000000"/>
              <w:right w:val="single" w:sz="4" w:space="0" w:color="000000"/>
            </w:tcBorders>
            <w:shd w:val="clear" w:color="auto" w:fill="D9D9D9"/>
          </w:tcPr>
          <w:p>
            <w:pPr/>
          </w:p>
        </w:tc>
        <w:tc>
          <w:tcPr>
            <w:tcW w:w="397" w:type="dxa"/>
            <w:tcBorders>
              <w:top w:val="nil" w:sz="6" w:space="0" w:color="auto"/>
              <w:left w:val="single" w:sz="4" w:space="0" w:color="000000"/>
              <w:bottom w:val="single" w:sz="4" w:space="0" w:color="000000"/>
              <w:right w:val="nil" w:sz="6" w:space="0" w:color="auto"/>
            </w:tcBorders>
          </w:tcPr>
          <w:p>
            <w:pPr/>
          </w:p>
        </w:tc>
        <w:tc>
          <w:tcPr>
            <w:tcW w:w="6574" w:type="dxa"/>
            <w:tcBorders>
              <w:top w:val="nil" w:sz="6" w:space="0" w:color="auto"/>
              <w:left w:val="nil" w:sz="6" w:space="0" w:color="auto"/>
              <w:bottom w:val="single" w:sz="4" w:space="0" w:color="000000"/>
              <w:right w:val="single" w:sz="4" w:space="0" w:color="000000"/>
            </w:tcBorders>
          </w:tcPr>
          <w:p>
            <w:pPr>
              <w:pStyle w:val="TableParagraph"/>
              <w:spacing w:line="240" w:lineRule="exact"/>
              <w:ind w:left="131" w:right="0"/>
              <w:jc w:val="left"/>
              <w:rPr>
                <w:rFonts w:ascii="宋体" w:hAnsi="宋体" w:cs="宋体" w:eastAsia="宋体" w:hint="default"/>
                <w:sz w:val="21"/>
                <w:szCs w:val="21"/>
              </w:rPr>
            </w:pPr>
            <w:r>
              <w:rPr>
                <w:rFonts w:ascii="宋体" w:hAnsi="宋体" w:cs="宋体" w:eastAsia="宋体" w:hint="default"/>
                <w:sz w:val="21"/>
                <w:szCs w:val="21"/>
              </w:rPr>
              <w:t>生产，进入下游测试阶段。</w:t>
            </w:r>
          </w:p>
        </w:tc>
      </w:tr>
      <w:tr>
        <w:trPr>
          <w:trHeight w:val="331" w:hRule="exact"/>
        </w:trPr>
        <w:tc>
          <w:tcPr>
            <w:tcW w:w="580" w:type="dxa"/>
            <w:vMerge/>
            <w:tcBorders>
              <w:left w:val="single" w:sz="4" w:space="0" w:color="000000"/>
              <w:right w:val="single" w:sz="4" w:space="0" w:color="000000"/>
            </w:tcBorders>
            <w:shd w:val="clear" w:color="auto" w:fill="D9D9D9"/>
          </w:tcPr>
          <w:p>
            <w:pPr/>
          </w:p>
        </w:tc>
        <w:tc>
          <w:tcPr>
            <w:tcW w:w="1270" w:type="dxa"/>
            <w:tcBorders>
              <w:top w:val="single" w:sz="4" w:space="0" w:color="000000"/>
              <w:left w:val="single" w:sz="4" w:space="0" w:color="000000"/>
              <w:bottom w:val="nil" w:sz="6" w:space="0" w:color="auto"/>
              <w:right w:val="single" w:sz="4" w:space="0" w:color="000000"/>
            </w:tcBorders>
            <w:shd w:val="clear" w:color="auto" w:fill="D9D9D9"/>
          </w:tcPr>
          <w:p>
            <w:pPr/>
          </w:p>
        </w:tc>
        <w:tc>
          <w:tcPr>
            <w:tcW w:w="397" w:type="dxa"/>
            <w:tcBorders>
              <w:top w:val="single" w:sz="4" w:space="0" w:color="000000"/>
              <w:left w:val="single" w:sz="4" w:space="0" w:color="000000"/>
              <w:bottom w:val="nil" w:sz="6" w:space="0" w:color="auto"/>
              <w:right w:val="nil" w:sz="6" w:space="0" w:color="auto"/>
            </w:tcBorders>
          </w:tcPr>
          <w:p>
            <w:pPr>
              <w:pStyle w:val="TableParagraph"/>
              <w:spacing w:line="240" w:lineRule="auto" w:before="121"/>
              <w:ind w:right="26"/>
              <w:jc w:val="center"/>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574" w:type="dxa"/>
            <w:tcBorders>
              <w:top w:val="single" w:sz="4" w:space="0" w:color="000000"/>
              <w:left w:val="nil" w:sz="6" w:space="0" w:color="auto"/>
              <w:bottom w:val="nil" w:sz="6" w:space="0" w:color="auto"/>
              <w:right w:val="single" w:sz="4" w:space="0" w:color="000000"/>
            </w:tcBorders>
          </w:tcPr>
          <w:p>
            <w:pPr>
              <w:pStyle w:val="TableParagraph"/>
              <w:spacing w:line="240" w:lineRule="auto" w:before="20"/>
              <w:ind w:left="131" w:right="0"/>
              <w:jc w:val="left"/>
              <w:rPr>
                <w:rFonts w:ascii="宋体" w:hAnsi="宋体" w:cs="宋体" w:eastAsia="宋体" w:hint="default"/>
                <w:sz w:val="21"/>
                <w:szCs w:val="21"/>
              </w:rPr>
            </w:pPr>
            <w:r>
              <w:rPr>
                <w:rFonts w:ascii="宋体" w:hAnsi="宋体" w:cs="宋体" w:eastAsia="宋体" w:hint="default"/>
                <w:sz w:val="21"/>
                <w:szCs w:val="21"/>
              </w:rPr>
              <w:t>聚酰亚胺长纤维已形成小批量生产能力，主要用于电缆护套和滤材基</w:t>
            </w:r>
          </w:p>
        </w:tc>
      </w:tr>
      <w:tr>
        <w:trPr>
          <w:trHeight w:val="272" w:hRule="exact"/>
        </w:trPr>
        <w:tc>
          <w:tcPr>
            <w:tcW w:w="580" w:type="dxa"/>
            <w:vMerge/>
            <w:tcBorders>
              <w:left w:val="single" w:sz="4" w:space="0" w:color="000000"/>
              <w:right w:val="single" w:sz="4" w:space="0" w:color="000000"/>
            </w:tcBorders>
            <w:shd w:val="clear" w:color="auto" w:fill="D9D9D9"/>
          </w:tcPr>
          <w:p>
            <w:pPr/>
          </w:p>
        </w:tc>
        <w:tc>
          <w:tcPr>
            <w:tcW w:w="127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长纤维</w:t>
            </w:r>
          </w:p>
        </w:tc>
        <w:tc>
          <w:tcPr>
            <w:tcW w:w="397" w:type="dxa"/>
            <w:tcBorders>
              <w:top w:val="nil" w:sz="6" w:space="0" w:color="auto"/>
              <w:left w:val="single" w:sz="4" w:space="0" w:color="000000"/>
              <w:bottom w:val="nil" w:sz="6" w:space="0" w:color="auto"/>
              <w:right w:val="nil" w:sz="6" w:space="0" w:color="auto"/>
            </w:tcBorders>
          </w:tcPr>
          <w:p>
            <w:pPr/>
          </w:p>
        </w:tc>
        <w:tc>
          <w:tcPr>
            <w:tcW w:w="6574" w:type="dxa"/>
            <w:tcBorders>
              <w:top w:val="nil" w:sz="6" w:space="0" w:color="auto"/>
              <w:left w:val="nil" w:sz="6" w:space="0" w:color="auto"/>
              <w:bottom w:val="nil" w:sz="6" w:space="0" w:color="auto"/>
              <w:right w:val="single" w:sz="4" w:space="0" w:color="000000"/>
            </w:tcBorders>
          </w:tcPr>
          <w:p>
            <w:pPr>
              <w:pStyle w:val="TableParagraph"/>
              <w:spacing w:line="241" w:lineRule="exact"/>
              <w:ind w:left="131" w:right="0"/>
              <w:jc w:val="left"/>
              <w:rPr>
                <w:rFonts w:ascii="宋体" w:hAnsi="宋体" w:cs="宋体" w:eastAsia="宋体" w:hint="default"/>
                <w:sz w:val="21"/>
                <w:szCs w:val="21"/>
              </w:rPr>
            </w:pPr>
            <w:r>
              <w:rPr>
                <w:rFonts w:ascii="宋体" w:hAnsi="宋体" w:cs="宋体" w:eastAsia="宋体" w:hint="default"/>
                <w:sz w:val="21"/>
                <w:szCs w:val="21"/>
              </w:rPr>
              <w:t>布，性能指标全面超越进口。</w:t>
            </w:r>
          </w:p>
        </w:tc>
      </w:tr>
      <w:tr>
        <w:trPr>
          <w:trHeight w:val="334" w:hRule="exact"/>
        </w:trPr>
        <w:tc>
          <w:tcPr>
            <w:tcW w:w="580" w:type="dxa"/>
            <w:vMerge/>
            <w:tcBorders>
              <w:left w:val="single" w:sz="4" w:space="0" w:color="000000"/>
              <w:right w:val="single" w:sz="4" w:space="0" w:color="000000"/>
            </w:tcBorders>
            <w:shd w:val="clear" w:color="auto" w:fill="D9D9D9"/>
          </w:tcPr>
          <w:p>
            <w:pPr/>
          </w:p>
        </w:tc>
        <w:tc>
          <w:tcPr>
            <w:tcW w:w="1270" w:type="dxa"/>
            <w:tcBorders>
              <w:top w:val="nil" w:sz="6" w:space="0" w:color="auto"/>
              <w:left w:val="single" w:sz="4" w:space="0" w:color="000000"/>
              <w:bottom w:val="single" w:sz="4" w:space="0" w:color="000000"/>
              <w:right w:val="single" w:sz="4" w:space="0" w:color="000000"/>
            </w:tcBorders>
            <w:shd w:val="clear" w:color="auto" w:fill="D9D9D9"/>
          </w:tcPr>
          <w:p>
            <w:pPr/>
          </w:p>
        </w:tc>
        <w:tc>
          <w:tcPr>
            <w:tcW w:w="397" w:type="dxa"/>
            <w:tcBorders>
              <w:top w:val="nil" w:sz="6" w:space="0" w:color="auto"/>
              <w:left w:val="single" w:sz="4" w:space="0" w:color="000000"/>
              <w:bottom w:val="single" w:sz="4" w:space="0" w:color="000000"/>
              <w:right w:val="nil" w:sz="6" w:space="0" w:color="auto"/>
            </w:tcBorders>
          </w:tcPr>
          <w:p>
            <w:pPr>
              <w:pStyle w:val="TableParagraph"/>
              <w:spacing w:line="240" w:lineRule="auto" w:before="68"/>
              <w:ind w:right="26"/>
              <w:jc w:val="center"/>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574" w:type="dxa"/>
            <w:tcBorders>
              <w:top w:val="nil" w:sz="6" w:space="0" w:color="auto"/>
              <w:left w:val="nil" w:sz="6" w:space="0" w:color="auto"/>
              <w:bottom w:val="single" w:sz="4" w:space="0" w:color="000000"/>
              <w:right w:val="single" w:sz="4" w:space="0" w:color="000000"/>
            </w:tcBorders>
          </w:tcPr>
          <w:p>
            <w:pPr>
              <w:pStyle w:val="TableParagraph"/>
              <w:spacing w:line="241" w:lineRule="exact"/>
              <w:ind w:left="131" w:right="0"/>
              <w:jc w:val="left"/>
              <w:rPr>
                <w:rFonts w:ascii="宋体" w:hAnsi="宋体" w:cs="宋体" w:eastAsia="宋体" w:hint="default"/>
                <w:sz w:val="21"/>
                <w:szCs w:val="21"/>
              </w:rPr>
            </w:pPr>
            <w:r>
              <w:rPr>
                <w:rFonts w:ascii="宋体" w:hAnsi="宋体" w:cs="宋体" w:eastAsia="宋体" w:hint="default"/>
                <w:sz w:val="21"/>
                <w:szCs w:val="21"/>
              </w:rPr>
              <w:t>下游客户试用情况良好，已开始批量订货。</w:t>
            </w:r>
          </w:p>
        </w:tc>
      </w:tr>
      <w:tr>
        <w:trPr>
          <w:trHeight w:val="554" w:hRule="exact"/>
        </w:trPr>
        <w:tc>
          <w:tcPr>
            <w:tcW w:w="580" w:type="dxa"/>
            <w:vMerge/>
            <w:tcBorders>
              <w:left w:val="single" w:sz="4" w:space="0" w:color="000000"/>
              <w:bottom w:val="single" w:sz="4" w:space="0" w:color="000000"/>
              <w:right w:val="single" w:sz="4" w:space="0" w:color="000000"/>
            </w:tcBorders>
            <w:shd w:val="clear" w:color="auto" w:fill="D9D9D9"/>
          </w:tcPr>
          <w:p>
            <w:pPr/>
          </w:p>
        </w:tc>
        <w:tc>
          <w:tcPr>
            <w:tcW w:w="12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高强高模纤</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维</w:t>
            </w:r>
          </w:p>
        </w:tc>
        <w:tc>
          <w:tcPr>
            <w:tcW w:w="39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6"/>
              <w:jc w:val="center"/>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0"/>
              <w:ind w:left="131" w:right="0"/>
              <w:jc w:val="left"/>
              <w:rPr>
                <w:rFonts w:ascii="宋体" w:hAnsi="宋体" w:cs="宋体" w:eastAsia="宋体" w:hint="default"/>
                <w:sz w:val="21"/>
                <w:szCs w:val="21"/>
              </w:rPr>
            </w:pPr>
            <w:r>
              <w:rPr>
                <w:rFonts w:ascii="宋体" w:hAnsi="宋体" w:cs="宋体" w:eastAsia="宋体" w:hint="default"/>
                <w:sz w:val="21"/>
                <w:szCs w:val="21"/>
              </w:rPr>
              <w:t>研发进展顺利，即将进入中试。</w:t>
            </w:r>
          </w:p>
        </w:tc>
      </w:tr>
      <w:tr>
        <w:trPr>
          <w:trHeight w:val="631" w:hRule="exact"/>
        </w:trPr>
        <w:tc>
          <w:tcPr>
            <w:tcW w:w="58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5"/>
                <w:szCs w:val="25"/>
              </w:rPr>
            </w:pPr>
          </w:p>
          <w:p>
            <w:pPr>
              <w:pStyle w:val="TableParagraph"/>
              <w:spacing w:line="272" w:lineRule="exact"/>
              <w:ind w:left="178" w:right="179"/>
              <w:jc w:val="both"/>
              <w:rPr>
                <w:rFonts w:ascii="宋体" w:hAnsi="宋体" w:cs="宋体" w:eastAsia="宋体" w:hint="default"/>
                <w:sz w:val="21"/>
                <w:szCs w:val="21"/>
              </w:rPr>
            </w:pPr>
            <w:r>
              <w:rPr>
                <w:rFonts w:ascii="宋体" w:hAnsi="宋体" w:cs="宋体" w:eastAsia="宋体" w:hint="default"/>
                <w:sz w:val="21"/>
                <w:szCs w:val="21"/>
              </w:rPr>
              <w:t>应 用 产 品</w:t>
            </w:r>
          </w:p>
        </w:tc>
        <w:tc>
          <w:tcPr>
            <w:tcW w:w="12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0"/>
              <w:ind w:left="103" w:right="0"/>
              <w:jc w:val="left"/>
              <w:rPr>
                <w:rFonts w:ascii="宋体" w:hAnsi="宋体" w:cs="宋体" w:eastAsia="宋体" w:hint="default"/>
                <w:sz w:val="21"/>
                <w:szCs w:val="21"/>
              </w:rPr>
            </w:pPr>
            <w:r>
              <w:rPr>
                <w:rFonts w:ascii="宋体" w:hAnsi="宋体" w:cs="宋体" w:eastAsia="宋体" w:hint="default"/>
                <w:sz w:val="21"/>
                <w:szCs w:val="21"/>
              </w:rPr>
              <w:t>高温滤材</w:t>
            </w:r>
          </w:p>
        </w:tc>
        <w:tc>
          <w:tcPr>
            <w:tcW w:w="39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4"/>
              <w:ind w:right="26"/>
              <w:jc w:val="center"/>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574" w:type="dxa"/>
            <w:tcBorders>
              <w:top w:val="single" w:sz="4" w:space="0" w:color="000000"/>
              <w:left w:val="nil" w:sz="6" w:space="0" w:color="auto"/>
              <w:bottom w:val="single" w:sz="4" w:space="0" w:color="000000"/>
              <w:right w:val="single" w:sz="4" w:space="0" w:color="000000"/>
            </w:tcBorders>
          </w:tcPr>
          <w:p>
            <w:pPr>
              <w:pStyle w:val="TableParagraph"/>
              <w:spacing w:line="272" w:lineRule="exact" w:before="30"/>
              <w:ind w:left="131" w:right="102"/>
              <w:jc w:val="left"/>
              <w:rPr>
                <w:rFonts w:ascii="宋体" w:hAnsi="宋体" w:cs="宋体" w:eastAsia="宋体" w:hint="default"/>
                <w:sz w:val="21"/>
                <w:szCs w:val="21"/>
              </w:rPr>
            </w:pPr>
            <w:r>
              <w:rPr>
                <w:rFonts w:ascii="宋体" w:hAnsi="宋体" w:cs="宋体" w:eastAsia="宋体" w:hint="default"/>
                <w:spacing w:val="2"/>
                <w:sz w:val="21"/>
                <w:szCs w:val="21"/>
              </w:rPr>
              <w:t>纯轶纶</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纤维滤袋和混合纤维滤袋已批量应用于国内外钢厂、水泥厂</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的大规模生产线除尘系统，客户反馈良好。</w:t>
            </w:r>
          </w:p>
        </w:tc>
      </w:tr>
      <w:tr>
        <w:trPr>
          <w:trHeight w:val="277" w:hRule="exact"/>
        </w:trPr>
        <w:tc>
          <w:tcPr>
            <w:tcW w:w="580" w:type="dxa"/>
            <w:vMerge/>
            <w:tcBorders>
              <w:left w:val="single" w:sz="4" w:space="0" w:color="000000"/>
              <w:right w:val="single" w:sz="4" w:space="0" w:color="000000"/>
            </w:tcBorders>
            <w:shd w:val="clear" w:color="auto" w:fill="D9D9D9"/>
          </w:tcPr>
          <w:p>
            <w:pPr/>
          </w:p>
        </w:tc>
        <w:tc>
          <w:tcPr>
            <w:tcW w:w="1270" w:type="dxa"/>
            <w:tcBorders>
              <w:top w:val="single" w:sz="4" w:space="0" w:color="000000"/>
              <w:left w:val="single" w:sz="4" w:space="0" w:color="000000"/>
              <w:bottom w:val="nil" w:sz="6" w:space="0" w:color="auto"/>
              <w:right w:val="single" w:sz="4" w:space="0" w:color="000000"/>
            </w:tcBorders>
            <w:shd w:val="clear" w:color="auto" w:fill="D9D9D9"/>
          </w:tcPr>
          <w:p>
            <w:pPr/>
          </w:p>
        </w:tc>
        <w:tc>
          <w:tcPr>
            <w:tcW w:w="397"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right="26"/>
              <w:jc w:val="center"/>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574" w:type="dxa"/>
            <w:tcBorders>
              <w:top w:val="single" w:sz="4" w:space="0" w:color="000000"/>
              <w:left w:val="nil" w:sz="6" w:space="0" w:color="auto"/>
              <w:bottom w:val="nil" w:sz="6" w:space="0" w:color="auto"/>
              <w:right w:val="single" w:sz="4" w:space="0" w:color="000000"/>
            </w:tcBorders>
          </w:tcPr>
          <w:p>
            <w:pPr>
              <w:pStyle w:val="TableParagraph"/>
              <w:spacing w:line="241" w:lineRule="exact"/>
              <w:ind w:left="131" w:right="0"/>
              <w:jc w:val="left"/>
              <w:rPr>
                <w:rFonts w:ascii="宋体" w:hAnsi="宋体" w:cs="宋体" w:eastAsia="宋体" w:hint="default"/>
                <w:sz w:val="21"/>
                <w:szCs w:val="21"/>
              </w:rPr>
            </w:pPr>
            <w:r>
              <w:rPr>
                <w:rFonts w:ascii="宋体" w:hAnsi="宋体" w:cs="宋体" w:eastAsia="宋体" w:hint="default"/>
                <w:sz w:val="21"/>
                <w:szCs w:val="21"/>
              </w:rPr>
              <w:t>在特种防护等特种服装领域做了大量基础性工作。实验证明，聚酰亚</w:t>
            </w:r>
          </w:p>
        </w:tc>
      </w:tr>
      <w:tr>
        <w:trPr>
          <w:trHeight w:val="272" w:hRule="exact"/>
        </w:trPr>
        <w:tc>
          <w:tcPr>
            <w:tcW w:w="580" w:type="dxa"/>
            <w:vMerge/>
            <w:tcBorders>
              <w:left w:val="single" w:sz="4" w:space="0" w:color="000000"/>
              <w:right w:val="single" w:sz="4" w:space="0" w:color="000000"/>
            </w:tcBorders>
            <w:shd w:val="clear" w:color="auto" w:fill="D9D9D9"/>
          </w:tcPr>
          <w:p>
            <w:pPr/>
          </w:p>
        </w:tc>
        <w:tc>
          <w:tcPr>
            <w:tcW w:w="1270" w:type="dxa"/>
            <w:tcBorders>
              <w:top w:val="nil" w:sz="6" w:space="0" w:color="auto"/>
              <w:left w:val="single" w:sz="4" w:space="0" w:color="000000"/>
              <w:bottom w:val="nil" w:sz="6" w:space="0" w:color="auto"/>
              <w:right w:val="single" w:sz="4" w:space="0" w:color="000000"/>
            </w:tcBorders>
            <w:shd w:val="clear" w:color="auto" w:fill="D9D9D9"/>
          </w:tcPr>
          <w:p>
            <w:pPr/>
          </w:p>
        </w:tc>
        <w:tc>
          <w:tcPr>
            <w:tcW w:w="397" w:type="dxa"/>
            <w:tcBorders>
              <w:top w:val="nil" w:sz="6" w:space="0" w:color="auto"/>
              <w:left w:val="single" w:sz="4" w:space="0" w:color="000000"/>
              <w:bottom w:val="nil" w:sz="6" w:space="0" w:color="auto"/>
              <w:right w:val="nil" w:sz="6" w:space="0" w:color="auto"/>
            </w:tcBorders>
          </w:tcPr>
          <w:p>
            <w:pPr/>
          </w:p>
        </w:tc>
        <w:tc>
          <w:tcPr>
            <w:tcW w:w="6574" w:type="dxa"/>
            <w:tcBorders>
              <w:top w:val="nil" w:sz="6" w:space="0" w:color="auto"/>
              <w:left w:val="nil" w:sz="6" w:space="0" w:color="auto"/>
              <w:bottom w:val="nil" w:sz="6" w:space="0" w:color="auto"/>
              <w:right w:val="single" w:sz="4" w:space="0" w:color="000000"/>
            </w:tcBorders>
          </w:tcPr>
          <w:p>
            <w:pPr>
              <w:pStyle w:val="TableParagraph"/>
              <w:spacing w:line="241" w:lineRule="exact"/>
              <w:ind w:left="131" w:right="-1"/>
              <w:jc w:val="left"/>
              <w:rPr>
                <w:rFonts w:ascii="宋体" w:hAnsi="宋体" w:cs="宋体" w:eastAsia="宋体" w:hint="default"/>
                <w:sz w:val="21"/>
                <w:szCs w:val="21"/>
              </w:rPr>
            </w:pPr>
            <w:r>
              <w:rPr>
                <w:rFonts w:ascii="宋体" w:hAnsi="宋体" w:cs="宋体" w:eastAsia="宋体" w:hint="default"/>
                <w:spacing w:val="-3"/>
                <w:sz w:val="21"/>
                <w:szCs w:val="21"/>
              </w:rPr>
              <w:t>胺纤维具有更好的热防护性能、阻燃性能，紫外条件下长期的稳定性，</w:t>
            </w:r>
          </w:p>
        </w:tc>
      </w:tr>
      <w:tr>
        <w:trPr>
          <w:trHeight w:val="272" w:hRule="exact"/>
        </w:trPr>
        <w:tc>
          <w:tcPr>
            <w:tcW w:w="580" w:type="dxa"/>
            <w:vMerge/>
            <w:tcBorders>
              <w:left w:val="single" w:sz="4" w:space="0" w:color="000000"/>
              <w:right w:val="single" w:sz="4" w:space="0" w:color="000000"/>
            </w:tcBorders>
            <w:shd w:val="clear" w:color="auto" w:fill="D9D9D9"/>
          </w:tcPr>
          <w:p>
            <w:pPr/>
          </w:p>
        </w:tc>
        <w:tc>
          <w:tcPr>
            <w:tcW w:w="1270" w:type="dxa"/>
            <w:tcBorders>
              <w:top w:val="nil" w:sz="6" w:space="0" w:color="auto"/>
              <w:left w:val="single" w:sz="4" w:space="0" w:color="000000"/>
              <w:bottom w:val="nil" w:sz="6" w:space="0" w:color="auto"/>
              <w:right w:val="single" w:sz="4" w:space="0" w:color="000000"/>
            </w:tcBorders>
            <w:shd w:val="clear" w:color="auto" w:fill="D9D9D9"/>
          </w:tcPr>
          <w:p>
            <w:pPr/>
          </w:p>
        </w:tc>
        <w:tc>
          <w:tcPr>
            <w:tcW w:w="397" w:type="dxa"/>
            <w:tcBorders>
              <w:top w:val="nil" w:sz="6" w:space="0" w:color="auto"/>
              <w:left w:val="single" w:sz="4" w:space="0" w:color="000000"/>
              <w:bottom w:val="nil" w:sz="6" w:space="0" w:color="auto"/>
              <w:right w:val="nil" w:sz="6" w:space="0" w:color="auto"/>
            </w:tcBorders>
          </w:tcPr>
          <w:p>
            <w:pPr/>
          </w:p>
        </w:tc>
        <w:tc>
          <w:tcPr>
            <w:tcW w:w="6574" w:type="dxa"/>
            <w:tcBorders>
              <w:top w:val="nil" w:sz="6" w:space="0" w:color="auto"/>
              <w:left w:val="nil" w:sz="6" w:space="0" w:color="auto"/>
              <w:bottom w:val="nil" w:sz="6" w:space="0" w:color="auto"/>
              <w:right w:val="single" w:sz="4" w:space="0" w:color="000000"/>
            </w:tcBorders>
          </w:tcPr>
          <w:p>
            <w:pPr>
              <w:pStyle w:val="TableParagraph"/>
              <w:spacing w:line="241" w:lineRule="exact"/>
              <w:ind w:left="131" w:right="0"/>
              <w:jc w:val="left"/>
              <w:rPr>
                <w:rFonts w:ascii="宋体" w:hAnsi="宋体" w:cs="宋体" w:eastAsia="宋体" w:hint="default"/>
                <w:sz w:val="21"/>
                <w:szCs w:val="21"/>
              </w:rPr>
            </w:pPr>
            <w:r>
              <w:rPr>
                <w:rFonts w:ascii="宋体" w:hAnsi="宋体" w:cs="宋体" w:eastAsia="宋体" w:hint="default"/>
                <w:sz w:val="21"/>
                <w:szCs w:val="21"/>
              </w:rPr>
              <w:t>在该领域意义重大；</w:t>
            </w:r>
          </w:p>
        </w:tc>
      </w:tr>
      <w:tr>
        <w:trPr>
          <w:trHeight w:val="273" w:hRule="exact"/>
        </w:trPr>
        <w:tc>
          <w:tcPr>
            <w:tcW w:w="580" w:type="dxa"/>
            <w:vMerge/>
            <w:tcBorders>
              <w:left w:val="single" w:sz="4" w:space="0" w:color="000000"/>
              <w:right w:val="single" w:sz="4" w:space="0" w:color="000000"/>
            </w:tcBorders>
            <w:shd w:val="clear" w:color="auto" w:fill="D9D9D9"/>
          </w:tcPr>
          <w:p>
            <w:pPr/>
          </w:p>
        </w:tc>
        <w:tc>
          <w:tcPr>
            <w:tcW w:w="1270" w:type="dxa"/>
            <w:tcBorders>
              <w:top w:val="nil" w:sz="6" w:space="0" w:color="auto"/>
              <w:left w:val="single" w:sz="4" w:space="0" w:color="000000"/>
              <w:bottom w:val="nil" w:sz="6" w:space="0" w:color="auto"/>
              <w:right w:val="single" w:sz="4" w:space="0" w:color="000000"/>
            </w:tcBorders>
            <w:shd w:val="clear" w:color="auto" w:fill="D9D9D9"/>
          </w:tcPr>
          <w:p>
            <w:pPr/>
          </w:p>
        </w:tc>
        <w:tc>
          <w:tcPr>
            <w:tcW w:w="397"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26"/>
              <w:jc w:val="center"/>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574" w:type="dxa"/>
            <w:tcBorders>
              <w:top w:val="nil" w:sz="6" w:space="0" w:color="auto"/>
              <w:left w:val="nil" w:sz="6" w:space="0" w:color="auto"/>
              <w:bottom w:val="nil" w:sz="6" w:space="0" w:color="auto"/>
              <w:right w:val="single" w:sz="4" w:space="0" w:color="000000"/>
            </w:tcBorders>
          </w:tcPr>
          <w:p>
            <w:pPr>
              <w:pStyle w:val="TableParagraph"/>
              <w:spacing w:line="241" w:lineRule="exact"/>
              <w:ind w:left="131" w:right="0"/>
              <w:jc w:val="left"/>
              <w:rPr>
                <w:rFonts w:ascii="宋体" w:hAnsi="宋体" w:cs="宋体" w:eastAsia="宋体" w:hint="default"/>
                <w:sz w:val="21"/>
                <w:szCs w:val="21"/>
              </w:rPr>
            </w:pPr>
            <w:r>
              <w:rPr>
                <w:rFonts w:ascii="宋体" w:hAnsi="宋体" w:cs="宋体" w:eastAsia="宋体" w:hint="default"/>
                <w:sz w:val="21"/>
                <w:szCs w:val="21"/>
              </w:rPr>
              <w:t>首创聚酰亚胺抓绒面料，兼顾特种防护性能及可以媲美羊绒的舒适度</w:t>
            </w:r>
          </w:p>
        </w:tc>
      </w:tr>
      <w:tr>
        <w:trPr>
          <w:trHeight w:val="545" w:hRule="exact"/>
        </w:trPr>
        <w:tc>
          <w:tcPr>
            <w:tcW w:w="580" w:type="dxa"/>
            <w:vMerge/>
            <w:tcBorders>
              <w:left w:val="single" w:sz="4" w:space="0" w:color="000000"/>
              <w:right w:val="single" w:sz="4" w:space="0" w:color="000000"/>
            </w:tcBorders>
            <w:shd w:val="clear" w:color="auto" w:fill="D9D9D9"/>
          </w:tcPr>
          <w:p>
            <w:pPr/>
          </w:p>
        </w:tc>
        <w:tc>
          <w:tcPr>
            <w:tcW w:w="127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01"/>
              <w:ind w:left="103" w:right="0"/>
              <w:jc w:val="left"/>
              <w:rPr>
                <w:rFonts w:ascii="宋体" w:hAnsi="宋体" w:cs="宋体" w:eastAsia="宋体" w:hint="default"/>
                <w:sz w:val="21"/>
                <w:szCs w:val="21"/>
              </w:rPr>
            </w:pPr>
            <w:r>
              <w:rPr>
                <w:rFonts w:ascii="宋体" w:hAnsi="宋体" w:cs="宋体" w:eastAsia="宋体" w:hint="default"/>
                <w:sz w:val="21"/>
                <w:szCs w:val="21"/>
              </w:rPr>
              <w:t>特种防护</w:t>
            </w:r>
          </w:p>
        </w:tc>
        <w:tc>
          <w:tcPr>
            <w:tcW w:w="397"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0"/>
              <w:ind w:right="26"/>
              <w:jc w:val="center"/>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574" w:type="dxa"/>
            <w:tcBorders>
              <w:top w:val="nil" w:sz="6" w:space="0" w:color="auto"/>
              <w:left w:val="nil" w:sz="6" w:space="0" w:color="auto"/>
              <w:bottom w:val="nil" w:sz="6" w:space="0" w:color="auto"/>
              <w:right w:val="single" w:sz="4" w:space="0" w:color="000000"/>
            </w:tcBorders>
          </w:tcPr>
          <w:p>
            <w:pPr>
              <w:pStyle w:val="TableParagraph"/>
              <w:spacing w:line="240" w:lineRule="exact"/>
              <w:ind w:left="131" w:right="0"/>
              <w:jc w:val="left"/>
              <w:rPr>
                <w:rFonts w:ascii="宋体" w:hAnsi="宋体" w:cs="宋体" w:eastAsia="宋体" w:hint="default"/>
                <w:sz w:val="21"/>
                <w:szCs w:val="21"/>
              </w:rPr>
            </w:pPr>
            <w:r>
              <w:rPr>
                <w:rFonts w:ascii="宋体" w:hAnsi="宋体" w:cs="宋体" w:eastAsia="宋体" w:hint="default"/>
                <w:sz w:val="21"/>
                <w:szCs w:val="21"/>
              </w:rPr>
              <w:t>的双重性能。</w:t>
            </w:r>
          </w:p>
          <w:p>
            <w:pPr>
              <w:pStyle w:val="TableParagraph"/>
              <w:spacing w:line="274" w:lineRule="exact"/>
              <w:ind w:left="131" w:right="0"/>
              <w:jc w:val="left"/>
              <w:rPr>
                <w:rFonts w:ascii="宋体" w:hAnsi="宋体" w:cs="宋体" w:eastAsia="宋体" w:hint="default"/>
                <w:sz w:val="21"/>
                <w:szCs w:val="21"/>
              </w:rPr>
            </w:pPr>
            <w:r>
              <w:rPr>
                <w:rFonts w:ascii="宋体" w:hAnsi="宋体" w:cs="宋体" w:eastAsia="宋体" w:hint="default"/>
                <w:sz w:val="21"/>
                <w:szCs w:val="21"/>
              </w:rPr>
              <w:t>应用于家纺产品</w:t>
            </w:r>
          </w:p>
        </w:tc>
      </w:tr>
      <w:tr>
        <w:trPr>
          <w:trHeight w:val="277" w:hRule="exact"/>
        </w:trPr>
        <w:tc>
          <w:tcPr>
            <w:tcW w:w="580" w:type="dxa"/>
            <w:vMerge/>
            <w:tcBorders>
              <w:left w:val="single" w:sz="4" w:space="0" w:color="000000"/>
              <w:right w:val="single" w:sz="4" w:space="0" w:color="000000"/>
            </w:tcBorders>
            <w:shd w:val="clear" w:color="auto" w:fill="D9D9D9"/>
          </w:tcPr>
          <w:p>
            <w:pPr/>
          </w:p>
        </w:tc>
        <w:tc>
          <w:tcPr>
            <w:tcW w:w="1270" w:type="dxa"/>
            <w:tcBorders>
              <w:top w:val="nil" w:sz="6" w:space="0" w:color="auto"/>
              <w:left w:val="single" w:sz="4" w:space="0" w:color="000000"/>
              <w:bottom w:val="nil" w:sz="6" w:space="0" w:color="auto"/>
              <w:right w:val="single" w:sz="4" w:space="0" w:color="000000"/>
            </w:tcBorders>
            <w:shd w:val="clear" w:color="auto" w:fill="D9D9D9"/>
          </w:tcPr>
          <w:p>
            <w:pPr/>
          </w:p>
        </w:tc>
        <w:tc>
          <w:tcPr>
            <w:tcW w:w="397" w:type="dxa"/>
            <w:tcBorders>
              <w:top w:val="nil" w:sz="6" w:space="0" w:color="auto"/>
              <w:left w:val="single" w:sz="4" w:space="0" w:color="000000"/>
              <w:bottom w:val="nil" w:sz="6" w:space="0" w:color="auto"/>
              <w:right w:val="nil" w:sz="6" w:space="0" w:color="auto"/>
            </w:tcBorders>
          </w:tcPr>
          <w:p>
            <w:pPr/>
          </w:p>
        </w:tc>
        <w:tc>
          <w:tcPr>
            <w:tcW w:w="6574" w:type="dxa"/>
            <w:tcBorders>
              <w:top w:val="nil" w:sz="6" w:space="0" w:color="auto"/>
              <w:left w:val="nil" w:sz="6" w:space="0" w:color="auto"/>
              <w:bottom w:val="nil" w:sz="6" w:space="0" w:color="auto"/>
              <w:right w:val="single" w:sz="4" w:space="0" w:color="000000"/>
            </w:tcBorders>
          </w:tcPr>
          <w:p>
            <w:pPr>
              <w:pStyle w:val="TableParagraph"/>
              <w:spacing w:line="257" w:lineRule="exact"/>
              <w:ind w:left="131" w:right="-2"/>
              <w:jc w:val="left"/>
              <w:rPr>
                <w:rFonts w:ascii="宋体" w:hAnsi="宋体" w:cs="宋体" w:eastAsia="宋体" w:hint="default"/>
                <w:sz w:val="21"/>
                <w:szCs w:val="21"/>
              </w:rPr>
            </w:pPr>
            <w:r>
              <w:rPr>
                <w:rFonts w:ascii="宋体" w:hAnsi="宋体" w:cs="宋体" w:eastAsia="宋体" w:hint="default"/>
                <w:spacing w:val="-1"/>
                <w:sz w:val="21"/>
                <w:szCs w:val="21"/>
              </w:rPr>
              <w:t>利用轶纶</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纤维阻燃和防止烟雾扩散的特性，应用于高等级的保暖被、</w:t>
            </w:r>
          </w:p>
        </w:tc>
      </w:tr>
      <w:tr>
        <w:trPr>
          <w:trHeight w:val="266" w:hRule="exact"/>
        </w:trPr>
        <w:tc>
          <w:tcPr>
            <w:tcW w:w="580" w:type="dxa"/>
            <w:vMerge/>
            <w:tcBorders>
              <w:left w:val="single" w:sz="4" w:space="0" w:color="000000"/>
              <w:right w:val="single" w:sz="4" w:space="0" w:color="000000"/>
            </w:tcBorders>
            <w:shd w:val="clear" w:color="auto" w:fill="D9D9D9"/>
          </w:tcPr>
          <w:p>
            <w:pPr/>
          </w:p>
        </w:tc>
        <w:tc>
          <w:tcPr>
            <w:tcW w:w="1270" w:type="dxa"/>
            <w:tcBorders>
              <w:top w:val="nil" w:sz="6" w:space="0" w:color="auto"/>
              <w:left w:val="single" w:sz="4" w:space="0" w:color="000000"/>
              <w:bottom w:val="nil" w:sz="6" w:space="0" w:color="auto"/>
              <w:right w:val="single" w:sz="4" w:space="0" w:color="000000"/>
            </w:tcBorders>
            <w:shd w:val="clear" w:color="auto" w:fill="D9D9D9"/>
          </w:tcPr>
          <w:p>
            <w:pPr/>
          </w:p>
        </w:tc>
        <w:tc>
          <w:tcPr>
            <w:tcW w:w="397" w:type="dxa"/>
            <w:tcBorders>
              <w:top w:val="nil" w:sz="6" w:space="0" w:color="auto"/>
              <w:left w:val="single" w:sz="4" w:space="0" w:color="000000"/>
              <w:bottom w:val="nil" w:sz="6" w:space="0" w:color="auto"/>
              <w:right w:val="nil" w:sz="6" w:space="0" w:color="auto"/>
            </w:tcBorders>
          </w:tcPr>
          <w:p>
            <w:pPr/>
          </w:p>
        </w:tc>
        <w:tc>
          <w:tcPr>
            <w:tcW w:w="6574" w:type="dxa"/>
            <w:tcBorders>
              <w:top w:val="nil" w:sz="6" w:space="0" w:color="auto"/>
              <w:left w:val="nil" w:sz="6" w:space="0" w:color="auto"/>
              <w:bottom w:val="nil" w:sz="6" w:space="0" w:color="auto"/>
              <w:right w:val="single" w:sz="4" w:space="0" w:color="000000"/>
            </w:tcBorders>
          </w:tcPr>
          <w:p>
            <w:pPr>
              <w:pStyle w:val="TableParagraph"/>
              <w:spacing w:line="235" w:lineRule="exact"/>
              <w:ind w:left="131" w:right="0"/>
              <w:jc w:val="left"/>
              <w:rPr>
                <w:rFonts w:ascii="宋体" w:hAnsi="宋体" w:cs="宋体" w:eastAsia="宋体" w:hint="default"/>
                <w:sz w:val="21"/>
                <w:szCs w:val="21"/>
              </w:rPr>
            </w:pPr>
            <w:r>
              <w:rPr>
                <w:rFonts w:ascii="宋体" w:hAnsi="宋体" w:cs="宋体" w:eastAsia="宋体" w:hint="default"/>
                <w:sz w:val="21"/>
                <w:szCs w:val="21"/>
              </w:rPr>
              <w:t>褥垫、床垫等产品，成为超保暖且具防火阻燃的特种家纺产品。</w:t>
            </w:r>
          </w:p>
        </w:tc>
      </w:tr>
      <w:tr>
        <w:trPr>
          <w:trHeight w:val="273" w:hRule="exact"/>
        </w:trPr>
        <w:tc>
          <w:tcPr>
            <w:tcW w:w="580" w:type="dxa"/>
            <w:vMerge/>
            <w:tcBorders>
              <w:left w:val="single" w:sz="4" w:space="0" w:color="000000"/>
              <w:right w:val="single" w:sz="4" w:space="0" w:color="000000"/>
            </w:tcBorders>
            <w:shd w:val="clear" w:color="auto" w:fill="D9D9D9"/>
          </w:tcPr>
          <w:p>
            <w:pPr/>
          </w:p>
        </w:tc>
        <w:tc>
          <w:tcPr>
            <w:tcW w:w="1270" w:type="dxa"/>
            <w:tcBorders>
              <w:top w:val="nil" w:sz="6" w:space="0" w:color="auto"/>
              <w:left w:val="single" w:sz="4" w:space="0" w:color="000000"/>
              <w:bottom w:val="nil" w:sz="6" w:space="0" w:color="auto"/>
              <w:right w:val="single" w:sz="4" w:space="0" w:color="000000"/>
            </w:tcBorders>
            <w:shd w:val="clear" w:color="auto" w:fill="D9D9D9"/>
          </w:tcPr>
          <w:p>
            <w:pPr/>
          </w:p>
        </w:tc>
        <w:tc>
          <w:tcPr>
            <w:tcW w:w="397"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26"/>
              <w:jc w:val="center"/>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574" w:type="dxa"/>
            <w:tcBorders>
              <w:top w:val="nil" w:sz="6" w:space="0" w:color="auto"/>
              <w:left w:val="nil" w:sz="6" w:space="0" w:color="auto"/>
              <w:bottom w:val="nil" w:sz="6" w:space="0" w:color="auto"/>
              <w:right w:val="single" w:sz="4" w:space="0" w:color="000000"/>
            </w:tcBorders>
          </w:tcPr>
          <w:p>
            <w:pPr>
              <w:pStyle w:val="TableParagraph"/>
              <w:spacing w:line="241" w:lineRule="exact"/>
              <w:ind w:left="131" w:right="0"/>
              <w:jc w:val="left"/>
              <w:rPr>
                <w:rFonts w:ascii="宋体" w:hAnsi="宋体" w:cs="宋体" w:eastAsia="宋体" w:hint="default"/>
                <w:sz w:val="21"/>
                <w:szCs w:val="21"/>
              </w:rPr>
            </w:pPr>
            <w:r>
              <w:rPr>
                <w:rFonts w:ascii="宋体" w:hAnsi="宋体" w:cs="宋体" w:eastAsia="宋体" w:hint="default"/>
                <w:sz w:val="21"/>
                <w:szCs w:val="21"/>
              </w:rPr>
              <w:t>应用于户外装备、装具</w:t>
            </w:r>
          </w:p>
        </w:tc>
      </w:tr>
      <w:tr>
        <w:trPr>
          <w:trHeight w:val="280" w:hRule="exact"/>
        </w:trPr>
        <w:tc>
          <w:tcPr>
            <w:tcW w:w="580" w:type="dxa"/>
            <w:vMerge/>
            <w:tcBorders>
              <w:left w:val="single" w:sz="4" w:space="0" w:color="000000"/>
              <w:bottom w:val="single" w:sz="4" w:space="0" w:color="000000"/>
              <w:right w:val="single" w:sz="4" w:space="0" w:color="000000"/>
            </w:tcBorders>
            <w:shd w:val="clear" w:color="auto" w:fill="D9D9D9"/>
          </w:tcPr>
          <w:p>
            <w:pPr/>
          </w:p>
        </w:tc>
        <w:tc>
          <w:tcPr>
            <w:tcW w:w="1270" w:type="dxa"/>
            <w:tcBorders>
              <w:top w:val="nil" w:sz="6" w:space="0" w:color="auto"/>
              <w:left w:val="single" w:sz="4" w:space="0" w:color="000000"/>
              <w:bottom w:val="single" w:sz="4" w:space="0" w:color="000000"/>
              <w:right w:val="single" w:sz="4" w:space="0" w:color="000000"/>
            </w:tcBorders>
            <w:shd w:val="clear" w:color="auto" w:fill="D9D9D9"/>
          </w:tcPr>
          <w:p>
            <w:pPr/>
          </w:p>
        </w:tc>
        <w:tc>
          <w:tcPr>
            <w:tcW w:w="397" w:type="dxa"/>
            <w:tcBorders>
              <w:top w:val="nil" w:sz="6" w:space="0" w:color="auto"/>
              <w:left w:val="single" w:sz="4" w:space="0" w:color="000000"/>
              <w:bottom w:val="single" w:sz="4" w:space="0" w:color="000000"/>
              <w:right w:val="nil" w:sz="6" w:space="0" w:color="auto"/>
            </w:tcBorders>
          </w:tcPr>
          <w:p>
            <w:pPr/>
          </w:p>
        </w:tc>
        <w:tc>
          <w:tcPr>
            <w:tcW w:w="6574" w:type="dxa"/>
            <w:tcBorders>
              <w:top w:val="nil" w:sz="6" w:space="0" w:color="auto"/>
              <w:left w:val="nil" w:sz="6" w:space="0" w:color="auto"/>
              <w:bottom w:val="single" w:sz="4" w:space="0" w:color="000000"/>
              <w:right w:val="single" w:sz="4" w:space="0" w:color="000000"/>
            </w:tcBorders>
          </w:tcPr>
          <w:p>
            <w:pPr>
              <w:pStyle w:val="TableParagraph"/>
              <w:spacing w:line="257" w:lineRule="exact"/>
              <w:ind w:left="131" w:right="0"/>
              <w:jc w:val="left"/>
              <w:rPr>
                <w:rFonts w:ascii="宋体" w:hAnsi="宋体" w:cs="宋体" w:eastAsia="宋体" w:hint="default"/>
                <w:sz w:val="21"/>
                <w:szCs w:val="21"/>
              </w:rPr>
            </w:pPr>
            <w:r>
              <w:rPr>
                <w:rFonts w:ascii="宋体" w:hAnsi="宋体" w:cs="宋体" w:eastAsia="宋体" w:hint="default"/>
                <w:spacing w:val="2"/>
                <w:sz w:val="21"/>
                <w:szCs w:val="21"/>
              </w:rPr>
              <w:t>轶纶</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纤维具备优异的保暖、阻燃及抗磨洗性能，用于制备特种户外</w:t>
            </w:r>
            <w:r>
              <w:rPr>
                <w:rFonts w:ascii="宋体" w:hAnsi="宋体" w:cs="宋体" w:eastAsia="宋体" w:hint="default"/>
                <w:sz w:val="21"/>
                <w:szCs w:val="21"/>
              </w:rPr>
            </w:r>
          </w:p>
        </w:tc>
      </w:tr>
    </w:tbl>
    <w:p>
      <w:pPr>
        <w:spacing w:after="0" w:line="257" w:lineRule="exact"/>
        <w:jc w:val="left"/>
        <w:rPr>
          <w:rFonts w:ascii="宋体" w:hAnsi="宋体" w:cs="宋体" w:eastAsia="宋体" w:hint="default"/>
          <w:sz w:val="21"/>
          <w:szCs w:val="21"/>
        </w:rPr>
        <w:sectPr>
          <w:pgSz w:w="11910" w:h="16840"/>
          <w:pgMar w:header="470" w:footer="1266" w:top="900" w:bottom="1460" w:left="1160" w:right="13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tbl>
      <w:tblPr>
        <w:tblW w:w="0" w:type="auto"/>
        <w:jc w:val="left"/>
        <w:tblInd w:w="280" w:type="dxa"/>
        <w:tblLayout w:type="fixed"/>
        <w:tblCellMar>
          <w:top w:w="0" w:type="dxa"/>
          <w:left w:w="0" w:type="dxa"/>
          <w:bottom w:w="0" w:type="dxa"/>
          <w:right w:w="0" w:type="dxa"/>
        </w:tblCellMar>
        <w:tblLook w:val="01E0"/>
      </w:tblPr>
      <w:tblGrid>
        <w:gridCol w:w="580"/>
        <w:gridCol w:w="1270"/>
        <w:gridCol w:w="6971"/>
      </w:tblGrid>
      <w:tr>
        <w:trPr>
          <w:trHeight w:val="641" w:hRule="exact"/>
        </w:trPr>
        <w:tc>
          <w:tcPr>
            <w:tcW w:w="580" w:type="dxa"/>
            <w:vMerge w:val="restart"/>
            <w:tcBorders>
              <w:top w:val="single" w:sz="4" w:space="0" w:color="000000"/>
              <w:left w:val="single" w:sz="4" w:space="0" w:color="000000"/>
              <w:right w:val="single" w:sz="4" w:space="0" w:color="000000"/>
            </w:tcBorders>
            <w:shd w:val="clear" w:color="auto" w:fill="D9D9D9"/>
          </w:tcPr>
          <w:p>
            <w:pPr/>
          </w:p>
        </w:tc>
        <w:tc>
          <w:tcPr>
            <w:tcW w:w="127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697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3" w:right="0"/>
              <w:jc w:val="left"/>
              <w:rPr>
                <w:rFonts w:ascii="宋体" w:hAnsi="宋体" w:cs="宋体" w:eastAsia="宋体" w:hint="default"/>
                <w:sz w:val="21"/>
                <w:szCs w:val="21"/>
              </w:rPr>
            </w:pPr>
            <w:r>
              <w:rPr>
                <w:rFonts w:ascii="宋体" w:hAnsi="宋体" w:cs="宋体" w:eastAsia="宋体" w:hint="default"/>
                <w:sz w:val="21"/>
                <w:szCs w:val="21"/>
              </w:rPr>
              <w:t>用品：保暖服装、阻燃保暖睡袋、阻燃帐篷等。</w:t>
            </w:r>
          </w:p>
        </w:tc>
      </w:tr>
      <w:tr>
        <w:trPr>
          <w:trHeight w:val="641" w:hRule="exact"/>
        </w:trPr>
        <w:tc>
          <w:tcPr>
            <w:tcW w:w="580" w:type="dxa"/>
            <w:vMerge/>
            <w:tcBorders>
              <w:left w:val="single" w:sz="4" w:space="0" w:color="000000"/>
              <w:right w:val="single" w:sz="4" w:space="0" w:color="000000"/>
            </w:tcBorders>
            <w:shd w:val="clear" w:color="auto" w:fill="D9D9D9"/>
          </w:tcPr>
          <w:p>
            <w:pPr/>
          </w:p>
        </w:tc>
        <w:tc>
          <w:tcPr>
            <w:tcW w:w="12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4"/>
              <w:ind w:left="103" w:right="0"/>
              <w:jc w:val="left"/>
              <w:rPr>
                <w:rFonts w:ascii="宋体" w:hAnsi="宋体" w:cs="宋体" w:eastAsia="宋体" w:hint="default"/>
                <w:sz w:val="21"/>
                <w:szCs w:val="21"/>
              </w:rPr>
            </w:pPr>
            <w:r>
              <w:rPr>
                <w:rFonts w:ascii="宋体" w:hAnsi="宋体" w:cs="宋体" w:eastAsia="宋体" w:hint="default"/>
                <w:sz w:val="21"/>
                <w:szCs w:val="21"/>
              </w:rPr>
              <w:t>特种纸</w:t>
            </w:r>
          </w:p>
        </w:tc>
        <w:tc>
          <w:tcPr>
            <w:tcW w:w="6971" w:type="dxa"/>
            <w:tcBorders>
              <w:top w:val="single" w:sz="4" w:space="0" w:color="000000"/>
              <w:left w:val="single" w:sz="4" w:space="0" w:color="000000"/>
              <w:bottom w:val="single" w:sz="4" w:space="0" w:color="000000"/>
              <w:right w:val="single" w:sz="4" w:space="0" w:color="000000"/>
            </w:tcBorders>
          </w:tcPr>
          <w:p>
            <w:pPr>
              <w:pStyle w:val="TableParagraph"/>
              <w:tabs>
                <w:tab w:pos="523" w:val="left" w:leader="none"/>
              </w:tabs>
              <w:spacing w:line="276" w:lineRule="exact" w:before="8"/>
              <w:ind w:left="103" w:right="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z w:val="21"/>
                <w:szCs w:val="21"/>
              </w:rPr>
              <w:t>成功试制聚酰亚胺绝缘纸，为世界首创。</w:t>
            </w:r>
          </w:p>
          <w:p>
            <w:pPr>
              <w:pStyle w:val="TableParagraph"/>
              <w:tabs>
                <w:tab w:pos="523" w:val="left" w:leader="none"/>
              </w:tabs>
              <w:spacing w:line="276" w:lineRule="exact"/>
              <w:ind w:left="103" w:right="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z w:val="21"/>
                <w:szCs w:val="21"/>
              </w:rPr>
              <w:t>为开发高端绝缘材料、结构性蜂窝材料打好了基础。</w:t>
            </w:r>
          </w:p>
        </w:tc>
      </w:tr>
      <w:tr>
        <w:trPr>
          <w:trHeight w:val="827" w:hRule="exact"/>
        </w:trPr>
        <w:tc>
          <w:tcPr>
            <w:tcW w:w="580" w:type="dxa"/>
            <w:vMerge/>
            <w:tcBorders>
              <w:left w:val="single" w:sz="4" w:space="0" w:color="000000"/>
              <w:right w:val="single" w:sz="4" w:space="0" w:color="000000"/>
            </w:tcBorders>
            <w:shd w:val="clear" w:color="auto" w:fill="D9D9D9"/>
          </w:tcPr>
          <w:p>
            <w:pPr/>
          </w:p>
        </w:tc>
        <w:tc>
          <w:tcPr>
            <w:tcW w:w="12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2" w:lineRule="exact" w:before="129"/>
              <w:ind w:left="103" w:right="524"/>
              <w:jc w:val="left"/>
              <w:rPr>
                <w:rFonts w:ascii="宋体" w:hAnsi="宋体" w:cs="宋体" w:eastAsia="宋体" w:hint="default"/>
                <w:sz w:val="21"/>
                <w:szCs w:val="21"/>
              </w:rPr>
            </w:pPr>
            <w:r>
              <w:rPr>
                <w:rFonts w:ascii="宋体" w:hAnsi="宋体" w:cs="宋体" w:eastAsia="宋体" w:hint="default"/>
                <w:sz w:val="21"/>
                <w:szCs w:val="21"/>
              </w:rPr>
              <w:t>活性炭 纤维</w:t>
            </w:r>
          </w:p>
        </w:tc>
        <w:tc>
          <w:tcPr>
            <w:tcW w:w="6971" w:type="dxa"/>
            <w:tcBorders>
              <w:top w:val="single" w:sz="4" w:space="0" w:color="000000"/>
              <w:left w:val="single" w:sz="4" w:space="0" w:color="000000"/>
              <w:bottom w:val="single" w:sz="4" w:space="0" w:color="000000"/>
              <w:right w:val="single" w:sz="4" w:space="0" w:color="000000"/>
            </w:tcBorders>
          </w:tcPr>
          <w:p>
            <w:pPr>
              <w:pStyle w:val="TableParagraph"/>
              <w:tabs>
                <w:tab w:pos="523" w:val="left" w:leader="none"/>
              </w:tabs>
              <w:spacing w:line="240" w:lineRule="exact"/>
              <w:ind w:left="103" w:right="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z w:val="21"/>
                <w:szCs w:val="21"/>
              </w:rPr>
              <w:t>成功试制了高强度活性炭纤维。</w:t>
            </w:r>
          </w:p>
          <w:p>
            <w:pPr>
              <w:pStyle w:val="TableParagraph"/>
              <w:tabs>
                <w:tab w:pos="523" w:val="left" w:leader="none"/>
              </w:tabs>
              <w:spacing w:line="272" w:lineRule="exact" w:before="24"/>
              <w:ind w:left="523" w:right="103" w:hanging="42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z w:val="21"/>
                <w:szCs w:val="21"/>
              </w:rPr>
              <w:t>试验结果表明，产品强度是一般活性炭纤维的</w:t>
            </w:r>
            <w:r>
              <w:rPr>
                <w:rFonts w:ascii="宋体" w:hAnsi="宋体" w:cs="宋体" w:eastAsia="宋体" w:hint="default"/>
                <w:spacing w:val="-72"/>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0"/>
                <w:sz w:val="21"/>
                <w:szCs w:val="21"/>
              </w:rPr>
              <w:t> </w:t>
            </w:r>
            <w:r>
              <w:rPr>
                <w:rFonts w:ascii="宋体" w:hAnsi="宋体" w:cs="宋体" w:eastAsia="宋体" w:hint="default"/>
                <w:spacing w:val="-4"/>
                <w:sz w:val="21"/>
                <w:szCs w:val="21"/>
              </w:rPr>
              <w:t>倍左右，比表面积等</w:t>
            </w:r>
            <w:r>
              <w:rPr>
                <w:rFonts w:ascii="宋体" w:hAnsi="宋体" w:cs="宋体" w:eastAsia="宋体" w:hint="default"/>
                <w:sz w:val="21"/>
                <w:szCs w:val="21"/>
              </w:rPr>
              <w:t> 其他主要性能指标也优于市场现有材料。</w:t>
            </w:r>
          </w:p>
        </w:tc>
      </w:tr>
      <w:tr>
        <w:trPr>
          <w:trHeight w:val="1918" w:hRule="exact"/>
        </w:trPr>
        <w:tc>
          <w:tcPr>
            <w:tcW w:w="580" w:type="dxa"/>
            <w:vMerge/>
            <w:tcBorders>
              <w:left w:val="single" w:sz="4" w:space="0" w:color="000000"/>
              <w:bottom w:val="single" w:sz="4" w:space="0" w:color="000000"/>
              <w:right w:val="single" w:sz="4" w:space="0" w:color="000000"/>
            </w:tcBorders>
            <w:shd w:val="clear" w:color="auto" w:fill="D9D9D9"/>
          </w:tcPr>
          <w:p>
            <w:pPr/>
          </w:p>
        </w:tc>
        <w:tc>
          <w:tcPr>
            <w:tcW w:w="12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复合材料</w:t>
            </w:r>
          </w:p>
        </w:tc>
        <w:tc>
          <w:tcPr>
            <w:tcW w:w="6971" w:type="dxa"/>
            <w:tcBorders>
              <w:top w:val="single" w:sz="4" w:space="0" w:color="000000"/>
              <w:left w:val="single" w:sz="4" w:space="0" w:color="000000"/>
              <w:bottom w:val="single" w:sz="4" w:space="0" w:color="000000"/>
              <w:right w:val="single" w:sz="4" w:space="0" w:color="000000"/>
            </w:tcBorders>
          </w:tcPr>
          <w:p>
            <w:pPr>
              <w:pStyle w:val="TableParagraph"/>
              <w:tabs>
                <w:tab w:pos="523" w:val="left" w:leader="none"/>
              </w:tabs>
              <w:spacing w:line="247" w:lineRule="exact"/>
              <w:ind w:left="523" w:right="0" w:hanging="42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pacing w:val="2"/>
                <w:sz w:val="21"/>
                <w:szCs w:val="21"/>
              </w:rPr>
              <w:t>轶纶</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复合材料具有明显的重量和成本优势，它的制件质量轻应用在</w:t>
            </w:r>
            <w:r>
              <w:rPr>
                <w:rFonts w:ascii="宋体" w:hAnsi="宋体" w:cs="宋体" w:eastAsia="宋体" w:hint="default"/>
                <w:sz w:val="21"/>
                <w:szCs w:val="21"/>
              </w:rPr>
            </w:r>
          </w:p>
          <w:p>
            <w:pPr>
              <w:pStyle w:val="TableParagraph"/>
              <w:spacing w:line="272" w:lineRule="exact" w:before="18"/>
              <w:ind w:left="523" w:right="-2"/>
              <w:jc w:val="left"/>
              <w:rPr>
                <w:rFonts w:ascii="宋体" w:hAnsi="宋体" w:cs="宋体" w:eastAsia="宋体" w:hint="default"/>
                <w:sz w:val="21"/>
                <w:szCs w:val="21"/>
              </w:rPr>
            </w:pPr>
            <w:r>
              <w:rPr>
                <w:rFonts w:ascii="宋体" w:hAnsi="宋体" w:cs="宋体" w:eastAsia="宋体" w:hint="default"/>
                <w:sz w:val="21"/>
                <w:szCs w:val="21"/>
              </w:rPr>
              <w:t>航空领域，既可减轻了零件重量，从而节省燃料，而且还实现了其它</w:t>
            </w:r>
            <w:r>
              <w:rPr>
                <w:rFonts w:ascii="宋体" w:hAnsi="宋体" w:cs="宋体" w:eastAsia="宋体" w:hint="default"/>
                <w:spacing w:val="-76"/>
                <w:sz w:val="21"/>
                <w:szCs w:val="21"/>
              </w:rPr>
              <w:t> </w:t>
            </w:r>
            <w:r>
              <w:rPr>
                <w:rFonts w:ascii="宋体" w:hAnsi="宋体" w:cs="宋体" w:eastAsia="宋体" w:hint="default"/>
                <w:spacing w:val="-3"/>
                <w:sz w:val="21"/>
                <w:szCs w:val="21"/>
              </w:rPr>
              <w:t>高性能特性间的平衡，可以满足航空领域制造超音速飞机的材料要求。</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同时，全聚酰亚胺复合材料（即树脂和增强纤维都是聚酰亚胺）将在</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航空领域大有作为。</w:t>
            </w:r>
          </w:p>
          <w:p>
            <w:pPr>
              <w:pStyle w:val="TableParagraph"/>
              <w:tabs>
                <w:tab w:pos="523" w:val="left" w:leader="none"/>
              </w:tabs>
              <w:spacing w:line="272" w:lineRule="exact"/>
              <w:ind w:left="523" w:right="100" w:hanging="42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z w:val="21"/>
                <w:szCs w:val="21"/>
              </w:rPr>
              <w:t>民用领域，因其良好的编织性能及永不褪色的黄金颜色，可与通用树</w:t>
            </w:r>
            <w:r>
              <w:rPr>
                <w:rFonts w:ascii="宋体" w:hAnsi="宋体" w:cs="宋体" w:eastAsia="宋体" w:hint="default"/>
                <w:spacing w:val="-76"/>
                <w:sz w:val="21"/>
                <w:szCs w:val="21"/>
              </w:rPr>
              <w:t> </w:t>
            </w:r>
            <w:r>
              <w:rPr>
                <w:rFonts w:ascii="宋体" w:hAnsi="宋体" w:cs="宋体" w:eastAsia="宋体" w:hint="default"/>
                <w:sz w:val="21"/>
                <w:szCs w:val="21"/>
              </w:rPr>
              <w:t>脂复合制作高档装饰材料。</w:t>
            </w:r>
          </w:p>
        </w:tc>
      </w:tr>
    </w:tbl>
    <w:p>
      <w:pPr>
        <w:spacing w:line="240" w:lineRule="auto" w:before="2"/>
        <w:rPr>
          <w:rFonts w:ascii="宋体" w:hAnsi="宋体" w:cs="宋体" w:eastAsia="宋体" w:hint="default"/>
          <w:sz w:val="16"/>
          <w:szCs w:val="16"/>
        </w:rPr>
      </w:pPr>
    </w:p>
    <w:p>
      <w:pPr>
        <w:spacing w:line="309" w:lineRule="auto" w:before="26"/>
        <w:ind w:left="858" w:right="86" w:hanging="129"/>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）聚酰亚胺树脂：</w:t>
      </w:r>
      <w:r>
        <w:rPr>
          <w:rFonts w:ascii="宋体" w:hAnsi="宋体" w:cs="宋体" w:eastAsia="宋体" w:hint="default"/>
          <w:b/>
          <w:bCs/>
          <w:spacing w:val="1"/>
          <w:w w:val="99"/>
          <w:sz w:val="24"/>
          <w:szCs w:val="24"/>
        </w:rPr>
        <w:t> </w:t>
      </w:r>
      <w:r>
        <w:rPr>
          <w:rFonts w:ascii="宋体" w:hAnsi="宋体" w:cs="宋体" w:eastAsia="宋体" w:hint="default"/>
          <w:sz w:val="24"/>
          <w:szCs w:val="24"/>
        </w:rPr>
        <w:t>聚酰亚胺树脂项目在吉林高琦建设，目前已确立以氯代苯酐为核心的战略路线，</w:t>
      </w:r>
    </w:p>
    <w:p>
      <w:pPr>
        <w:pStyle w:val="BodyText"/>
        <w:spacing w:line="304" w:lineRule="auto" w:before="17"/>
        <w:ind w:right="201"/>
        <w:jc w:val="both"/>
      </w:pPr>
      <w:r>
        <w:rPr/>
        <w:t>经过艰苦努力，陆续攻克了设备防腐、连续生产、提高纯度等多个技术难关，改进了</w:t>
      </w:r>
      <w:r>
        <w:rPr>
          <w:spacing w:val="-117"/>
        </w:rPr>
        <w:t> </w:t>
      </w:r>
      <w:r>
        <w:rPr>
          <w:spacing w:val="-117"/>
        </w:rPr>
      </w:r>
      <w:r>
        <w:rPr/>
        <w:t>设备和操作工艺，合成和聚合工艺取得重大革新，生产路线已全面贯通，为大规模生</w:t>
      </w:r>
      <w:r>
        <w:rPr>
          <w:spacing w:val="-117"/>
        </w:rPr>
        <w:t> </w:t>
      </w:r>
      <w:r>
        <w:rPr>
          <w:spacing w:val="-117"/>
        </w:rPr>
      </w:r>
      <w:r>
        <w:rPr/>
        <w:t>产，合成异构型树脂，混合氯代苯酐制备树脂等后续发展打下了坚实了基础。</w:t>
      </w:r>
    </w:p>
    <w:p>
      <w:pPr>
        <w:spacing w:line="319" w:lineRule="auto" w:before="61"/>
        <w:ind w:left="738" w:right="186" w:firstLine="2"/>
        <w:jc w:val="left"/>
        <w:rPr>
          <w:rFonts w:ascii="宋体" w:hAnsi="宋体" w:cs="宋体" w:eastAsia="宋体" w:hint="default"/>
          <w:sz w:val="24"/>
          <w:szCs w:val="24"/>
        </w:rPr>
      </w:pPr>
      <w:r>
        <w:rPr>
          <w:rFonts w:ascii="宋体" w:hAnsi="宋体" w:cs="宋体" w:eastAsia="宋体" w:hint="default"/>
          <w:b/>
          <w:bCs/>
          <w:w w:val="99"/>
          <w:sz w:val="24"/>
          <w:szCs w:val="24"/>
        </w:rPr>
        <w:t>（</w:t>
      </w:r>
      <w:r>
        <w:rPr>
          <w:rFonts w:ascii="Times New Roman" w:hAnsi="Times New Roman" w:cs="Times New Roman" w:eastAsia="Times New Roman" w:hint="default"/>
          <w:b/>
          <w:bCs/>
          <w:w w:val="99"/>
          <w:sz w:val="24"/>
          <w:szCs w:val="24"/>
        </w:rPr>
        <w:t>3</w:t>
      </w:r>
      <w:r>
        <w:rPr>
          <w:rFonts w:ascii="宋体" w:hAnsi="宋体" w:cs="宋体" w:eastAsia="宋体" w:hint="default"/>
          <w:b/>
          <w:bCs/>
          <w:w w:val="99"/>
          <w:sz w:val="24"/>
          <w:szCs w:val="24"/>
        </w:rPr>
        <w:t>）北京高航复合材料有限公司 </w:t>
      </w:r>
      <w:r>
        <w:rPr>
          <w:rFonts w:ascii="Times New Roman" w:hAnsi="Times New Roman" w:cs="Times New Roman" w:eastAsia="Times New Roman" w:hint="default"/>
          <w:b/>
          <w:bCs/>
          <w:spacing w:val="-14"/>
          <w:w w:val="99"/>
          <w:sz w:val="24"/>
          <w:szCs w:val="24"/>
        </w:rPr>
        <w:t>(</w:t>
      </w:r>
      <w:r>
        <w:rPr>
          <w:rFonts w:ascii="宋体" w:hAnsi="宋体" w:cs="宋体" w:eastAsia="宋体" w:hint="default"/>
          <w:b/>
          <w:bCs/>
          <w:spacing w:val="-14"/>
          <w:w w:val="99"/>
          <w:sz w:val="24"/>
          <w:szCs w:val="24"/>
        </w:rPr>
        <w:t>简称“北京高航”）：聚酰亚胺泡沫</w:t>
      </w:r>
      <w:r>
        <w:rPr>
          <w:rFonts w:ascii="宋体" w:hAnsi="宋体" w:cs="宋体" w:eastAsia="宋体" w:hint="default"/>
          <w:b/>
          <w:bCs/>
          <w:spacing w:val="-108"/>
          <w:w w:val="99"/>
          <w:sz w:val="24"/>
          <w:szCs w:val="24"/>
        </w:rPr>
        <w:t> </w:t>
      </w:r>
      <w:r>
        <w:rPr>
          <w:rFonts w:ascii="宋体" w:hAnsi="宋体" w:cs="宋体" w:eastAsia="宋体" w:hint="default"/>
          <w:b/>
          <w:bCs/>
          <w:spacing w:val="-108"/>
          <w:w w:val="99"/>
          <w:sz w:val="24"/>
          <w:szCs w:val="24"/>
        </w:rPr>
      </w:r>
      <w:r>
        <w:rPr>
          <w:rFonts w:ascii="宋体" w:hAnsi="宋体" w:cs="宋体" w:eastAsia="宋体" w:hint="default"/>
          <w:sz w:val="24"/>
          <w:szCs w:val="24"/>
        </w:rPr>
        <w:t>北京高航成立于</w:t>
      </w:r>
      <w:r>
        <w:rPr>
          <w:rFonts w:ascii="宋体" w:hAnsi="宋体" w:cs="宋体" w:eastAsia="宋体" w:hint="default"/>
          <w:spacing w:val="-64"/>
          <w:sz w:val="24"/>
          <w:szCs w:val="24"/>
        </w:rPr>
        <w:t> </w:t>
      </w:r>
      <w:r>
        <w:rPr>
          <w:rFonts w:ascii="Times New Roman" w:hAnsi="Times New Roman" w:cs="Times New Roman" w:eastAsia="Times New Roman" w:hint="default"/>
          <w:spacing w:val="-3"/>
          <w:sz w:val="24"/>
          <w:szCs w:val="24"/>
        </w:rPr>
        <w:t>2011</w:t>
      </w:r>
      <w:r>
        <w:rPr>
          <w:rFonts w:ascii="Times New Roman" w:hAnsi="Times New Roman" w:cs="Times New Roman" w:eastAsia="Times New Roman" w:hint="default"/>
          <w:spacing w:val="-4"/>
          <w:sz w:val="24"/>
          <w:szCs w:val="24"/>
        </w:rPr>
        <w:t> </w:t>
      </w:r>
      <w:r>
        <w:rPr>
          <w:rFonts w:ascii="宋体" w:hAnsi="宋体" w:cs="宋体" w:eastAsia="宋体" w:hint="default"/>
          <w:sz w:val="24"/>
          <w:szCs w:val="24"/>
        </w:rPr>
        <w:t>年</w:t>
      </w:r>
      <w:r>
        <w:rPr>
          <w:rFonts w:ascii="宋体" w:hAnsi="宋体" w:cs="宋体" w:eastAsia="宋体" w:hint="default"/>
          <w:spacing w:val="-64"/>
          <w:sz w:val="24"/>
          <w:szCs w:val="24"/>
        </w:rPr>
        <w:t> </w:t>
      </w:r>
      <w:r>
        <w:rPr>
          <w:rFonts w:ascii="Times New Roman" w:hAnsi="Times New Roman" w:cs="Times New Roman" w:eastAsia="Times New Roman" w:hint="default"/>
          <w:sz w:val="24"/>
          <w:szCs w:val="24"/>
        </w:rPr>
        <w:t>4</w:t>
      </w:r>
      <w:r>
        <w:rPr>
          <w:rFonts w:ascii="Times New Roman" w:hAnsi="Times New Roman" w:cs="Times New Roman" w:eastAsia="Times New Roman" w:hint="default"/>
          <w:spacing w:val="-4"/>
          <w:sz w:val="24"/>
          <w:szCs w:val="24"/>
        </w:rPr>
        <w:t> </w:t>
      </w:r>
      <w:r>
        <w:rPr>
          <w:rFonts w:ascii="宋体" w:hAnsi="宋体" w:cs="宋体" w:eastAsia="宋体" w:hint="default"/>
          <w:sz w:val="24"/>
          <w:szCs w:val="24"/>
        </w:rPr>
        <w:t>月</w:t>
      </w:r>
      <w:r>
        <w:rPr>
          <w:rFonts w:ascii="宋体" w:hAnsi="宋体" w:cs="宋体" w:eastAsia="宋体" w:hint="default"/>
          <w:spacing w:val="-64"/>
          <w:sz w:val="24"/>
          <w:szCs w:val="24"/>
        </w:rPr>
        <w:t> </w:t>
      </w:r>
      <w:r>
        <w:rPr>
          <w:rFonts w:ascii="Times New Roman" w:hAnsi="Times New Roman" w:cs="Times New Roman" w:eastAsia="Times New Roman" w:hint="default"/>
          <w:sz w:val="24"/>
          <w:szCs w:val="24"/>
        </w:rPr>
        <w:t>12</w:t>
      </w:r>
      <w:r>
        <w:rPr>
          <w:rFonts w:ascii="Times New Roman" w:hAnsi="Times New Roman" w:cs="Times New Roman" w:eastAsia="Times New Roman" w:hint="default"/>
          <w:spacing w:val="52"/>
          <w:sz w:val="24"/>
          <w:szCs w:val="24"/>
        </w:rPr>
        <w:t> </w:t>
      </w:r>
      <w:r>
        <w:rPr>
          <w:rFonts w:ascii="宋体" w:hAnsi="宋体" w:cs="宋体" w:eastAsia="宋体" w:hint="default"/>
          <w:sz w:val="24"/>
          <w:szCs w:val="24"/>
        </w:rPr>
        <w:t>日，系深圳惠程与何峰、詹茂盛、王凯共同出资</w:t>
      </w:r>
    </w:p>
    <w:p>
      <w:pPr>
        <w:pStyle w:val="BodyText"/>
        <w:spacing w:line="312" w:lineRule="exact"/>
        <w:ind w:right="0"/>
        <w:jc w:val="both"/>
        <w:rPr>
          <w:rFonts w:ascii="Times New Roman" w:hAnsi="Times New Roman" w:cs="Times New Roman" w:eastAsia="Times New Roman" w:hint="default"/>
        </w:rPr>
      </w:pPr>
      <w:r>
        <w:rPr/>
        <w:t>组建。公司注册资本</w:t>
      </w:r>
      <w:r>
        <w:rPr>
          <w:spacing w:val="-60"/>
        </w:rPr>
        <w:t> </w:t>
      </w:r>
      <w:r>
        <w:rPr>
          <w:rFonts w:ascii="Times New Roman" w:hAnsi="Times New Roman" w:cs="Times New Roman" w:eastAsia="Times New Roman" w:hint="default"/>
        </w:rPr>
        <w:t>1000 </w:t>
      </w:r>
      <w:r>
        <w:rPr/>
        <w:t>万元，实收资本</w:t>
      </w:r>
      <w:r>
        <w:rPr>
          <w:spacing w:val="-60"/>
        </w:rPr>
        <w:t> </w:t>
      </w:r>
      <w:r>
        <w:rPr>
          <w:rFonts w:ascii="Times New Roman" w:hAnsi="Times New Roman" w:cs="Times New Roman" w:eastAsia="Times New Roman" w:hint="default"/>
        </w:rPr>
        <w:t>1000 </w:t>
      </w:r>
      <w:r>
        <w:rPr/>
        <w:t>万元，本公司出资</w:t>
      </w:r>
      <w:r>
        <w:rPr>
          <w:spacing w:val="-60"/>
        </w:rPr>
        <w:t> </w:t>
      </w:r>
      <w:r>
        <w:rPr>
          <w:rFonts w:ascii="Times New Roman" w:hAnsi="Times New Roman" w:cs="Times New Roman" w:eastAsia="Times New Roman" w:hint="default"/>
        </w:rPr>
        <w:t>630 </w:t>
      </w:r>
      <w:r>
        <w:rPr/>
        <w:t>万元，占</w:t>
      </w:r>
      <w:r>
        <w:rPr>
          <w:spacing w:val="-60"/>
        </w:rPr>
        <w:t> </w:t>
      </w:r>
      <w:r>
        <w:rPr>
          <w:rFonts w:ascii="Times New Roman" w:hAnsi="Times New Roman" w:cs="Times New Roman" w:eastAsia="Times New Roman" w:hint="default"/>
        </w:rPr>
        <w:t>63%</w:t>
      </w:r>
    </w:p>
    <w:p>
      <w:pPr>
        <w:pStyle w:val="BodyText"/>
        <w:spacing w:line="297" w:lineRule="auto" w:before="67"/>
        <w:ind w:right="201"/>
        <w:jc w:val="both"/>
      </w:pPr>
      <w:r>
        <w:rPr/>
        <w:t>的持股比例，何峰、詹茂盛、王凯出资</w:t>
      </w:r>
      <w:r>
        <w:rPr>
          <w:spacing w:val="-60"/>
        </w:rPr>
        <w:t> </w:t>
      </w:r>
      <w:r>
        <w:rPr>
          <w:rFonts w:ascii="Times New Roman" w:hAnsi="Times New Roman" w:cs="Times New Roman" w:eastAsia="Times New Roman" w:hint="default"/>
        </w:rPr>
        <w:t>370 </w:t>
      </w:r>
      <w:r>
        <w:rPr/>
        <w:t>万元，占</w:t>
      </w:r>
      <w:r>
        <w:rPr>
          <w:spacing w:val="-60"/>
        </w:rPr>
        <w:t> </w:t>
      </w:r>
      <w:r>
        <w:rPr>
          <w:rFonts w:ascii="Times New Roman" w:hAnsi="Times New Roman" w:cs="Times New Roman" w:eastAsia="Times New Roman" w:hint="default"/>
        </w:rPr>
        <w:t>37%</w:t>
      </w:r>
      <w:r>
        <w:rPr/>
        <w:t>的持股比例。经营范围为研 发、生产、销售聚酰亚胺泡沫、复合材料等先进轻质材料。经公司董事会批准，公司</w:t>
      </w:r>
      <w:r>
        <w:rPr>
          <w:spacing w:val="-117"/>
        </w:rPr>
        <w:t> </w:t>
      </w:r>
      <w:r>
        <w:rPr>
          <w:spacing w:val="-117"/>
        </w:rPr>
      </w:r>
      <w:r>
        <w:rPr/>
        <w:t>拟将所持</w:t>
      </w:r>
      <w:r>
        <w:rPr>
          <w:spacing w:val="-60"/>
        </w:rPr>
        <w:t> </w:t>
      </w:r>
      <w:r>
        <w:rPr>
          <w:rFonts w:ascii="Times New Roman" w:hAnsi="Times New Roman" w:cs="Times New Roman" w:eastAsia="Times New Roman" w:hint="default"/>
        </w:rPr>
        <w:t>63  %  </w:t>
      </w:r>
      <w:r>
        <w:rPr/>
        <w:t>北京高航股份以原价</w:t>
      </w:r>
      <w:r>
        <w:rPr>
          <w:spacing w:val="-60"/>
        </w:rPr>
        <w:t> </w:t>
      </w:r>
      <w:r>
        <w:rPr>
          <w:rFonts w:ascii="Times New Roman" w:hAnsi="Times New Roman" w:cs="Times New Roman" w:eastAsia="Times New Roman" w:hint="default"/>
        </w:rPr>
        <w:t>630 </w:t>
      </w:r>
      <w:r>
        <w:rPr/>
        <w:t>万元转让给控股子公司长春高琦。何峰拟将</w:t>
      </w:r>
    </w:p>
    <w:p>
      <w:pPr>
        <w:pStyle w:val="BodyText"/>
        <w:spacing w:line="240" w:lineRule="auto" w:before="3"/>
        <w:ind w:right="0"/>
        <w:jc w:val="both"/>
        <w:rPr>
          <w:rFonts w:ascii="Times New Roman" w:hAnsi="Times New Roman" w:cs="Times New Roman" w:eastAsia="Times New Roman" w:hint="default"/>
        </w:rPr>
      </w:pPr>
      <w:r>
        <w:rPr/>
        <w:t>所持 </w:t>
      </w:r>
      <w:r>
        <w:rPr>
          <w:rFonts w:ascii="Times New Roman" w:hAnsi="Times New Roman" w:cs="Times New Roman" w:eastAsia="Times New Roman" w:hint="default"/>
        </w:rPr>
        <w:t>30 % </w:t>
      </w:r>
      <w:r>
        <w:rPr/>
        <w:t>北京高航股份以原价转让，其中 </w:t>
      </w:r>
      <w:r>
        <w:rPr>
          <w:rFonts w:ascii="Times New Roman" w:hAnsi="Times New Roman" w:cs="Times New Roman" w:eastAsia="Times New Roman" w:hint="default"/>
        </w:rPr>
        <w:t>29 %</w:t>
      </w:r>
      <w:r>
        <w:rPr/>
        <w:t>股份以 </w:t>
      </w:r>
      <w:r>
        <w:rPr>
          <w:rFonts w:ascii="Times New Roman" w:hAnsi="Times New Roman" w:cs="Times New Roman" w:eastAsia="Times New Roman" w:hint="default"/>
        </w:rPr>
        <w:t>290</w:t>
      </w:r>
      <w:r>
        <w:rPr>
          <w:rFonts w:ascii="Times New Roman" w:hAnsi="Times New Roman" w:cs="Times New Roman" w:eastAsia="Times New Roman" w:hint="default"/>
          <w:spacing w:val="16"/>
        </w:rPr>
        <w:t> </w:t>
      </w:r>
      <w:r>
        <w:rPr/>
        <w:t>万元转给长春高琦，</w:t>
      </w:r>
      <w:r>
        <w:rPr>
          <w:rFonts w:ascii="Times New Roman" w:hAnsi="Times New Roman" w:cs="Times New Roman" w:eastAsia="Times New Roman" w:hint="default"/>
        </w:rPr>
        <w:t>1%</w:t>
      </w:r>
    </w:p>
    <w:p>
      <w:pPr>
        <w:pStyle w:val="BodyText"/>
        <w:spacing w:line="240" w:lineRule="auto" w:before="68"/>
        <w:ind w:right="0"/>
        <w:jc w:val="both"/>
      </w:pPr>
      <w:r>
        <w:rPr/>
        <w:t>股份以 </w:t>
      </w:r>
      <w:r>
        <w:rPr>
          <w:rFonts w:ascii="Times New Roman" w:hAnsi="Times New Roman" w:cs="Times New Roman" w:eastAsia="Times New Roman" w:hint="default"/>
        </w:rPr>
        <w:t>10</w:t>
      </w:r>
      <w:r>
        <w:rPr>
          <w:rFonts w:ascii="Times New Roman" w:hAnsi="Times New Roman" w:cs="Times New Roman" w:eastAsia="Times New Roman" w:hint="default"/>
          <w:spacing w:val="-28"/>
        </w:rPr>
        <w:t> </w:t>
      </w:r>
      <w:r>
        <w:rPr>
          <w:spacing w:val="-4"/>
        </w:rPr>
        <w:t>万元转给丁孟贤。北京高航将成为长春高琦的控股子公司，长春高琦对其持</w:t>
      </w:r>
    </w:p>
    <w:p>
      <w:pPr>
        <w:pStyle w:val="BodyText"/>
        <w:spacing w:line="240" w:lineRule="auto" w:before="67"/>
        <w:ind w:right="0"/>
        <w:jc w:val="both"/>
      </w:pPr>
      <w:r>
        <w:rPr/>
        <w:t>股比例为 </w:t>
      </w:r>
      <w:r>
        <w:rPr>
          <w:rFonts w:ascii="Times New Roman" w:hAnsi="Times New Roman" w:cs="Times New Roman" w:eastAsia="Times New Roman" w:hint="default"/>
        </w:rPr>
        <w:t>92 %</w:t>
      </w:r>
      <w:r>
        <w:rPr/>
        <w:t>。</w:t>
      </w:r>
    </w:p>
    <w:p>
      <w:pPr>
        <w:pStyle w:val="BodyText"/>
        <w:spacing w:line="240" w:lineRule="auto" w:before="108"/>
        <w:ind w:left="738" w:right="86"/>
        <w:jc w:val="left"/>
        <w:rPr>
          <w:rFonts w:ascii="Times New Roman" w:hAnsi="Times New Roman" w:cs="Times New Roman" w:eastAsia="Times New Roman" w:hint="default"/>
        </w:rPr>
      </w:pPr>
      <w:r>
        <w:rPr/>
        <w:t>截至 </w:t>
      </w: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  </w:t>
      </w:r>
      <w:r>
        <w:rPr>
          <w:spacing w:val="4"/>
        </w:rPr>
        <w:t>日，北京高航总资产 </w:t>
      </w:r>
      <w:r>
        <w:rPr>
          <w:rFonts w:ascii="Times New Roman" w:hAnsi="Times New Roman" w:cs="Times New Roman" w:eastAsia="Times New Roman" w:hint="default"/>
        </w:rPr>
        <w:t>9,078,044.91  </w:t>
      </w:r>
      <w:r>
        <w:rPr>
          <w:rFonts w:ascii="Times New Roman" w:hAnsi="Times New Roman" w:cs="Times New Roman" w:eastAsia="Times New Roman" w:hint="default"/>
          <w:spacing w:val="28"/>
        </w:rPr>
        <w:t> </w:t>
      </w:r>
      <w:r>
        <w:rPr/>
        <w:t>元、负债</w:t>
      </w:r>
      <w:r>
        <w:rPr>
          <w:rFonts w:ascii="Times New Roman" w:hAnsi="Times New Roman" w:cs="Times New Roman" w:eastAsia="Times New Roman" w:hint="default"/>
        </w:rPr>
        <w:t>-84,759.23</w:t>
      </w:r>
    </w:p>
    <w:p>
      <w:pPr>
        <w:pStyle w:val="BodyText"/>
        <w:tabs>
          <w:tab w:pos="6750" w:val="left" w:leader="none"/>
        </w:tabs>
        <w:spacing w:line="319" w:lineRule="auto" w:before="67"/>
        <w:ind w:left="738" w:right="200" w:hanging="480"/>
        <w:jc w:val="left"/>
      </w:pPr>
      <w:r>
        <w:rPr/>
        <w:t>元、净资产 </w:t>
      </w:r>
      <w:r>
        <w:rPr>
          <w:rFonts w:ascii="Times New Roman" w:hAnsi="Times New Roman" w:cs="Times New Roman" w:eastAsia="Times New Roman" w:hint="default"/>
        </w:rPr>
        <w:t>9,162,804.14  </w:t>
      </w:r>
      <w:r>
        <w:rPr/>
        <w:t>元。</w:t>
      </w:r>
      <w:r>
        <w:rPr>
          <w:rFonts w:ascii="Times New Roman" w:hAnsi="Times New Roman" w:cs="Times New Roman" w:eastAsia="Times New Roman" w:hint="default"/>
        </w:rPr>
        <w:t>2011  </w:t>
      </w:r>
      <w:r>
        <w:rPr/>
        <w:t>年度净利润</w:t>
      </w:r>
      <w:r>
        <w:rPr>
          <w:spacing w:val="-9"/>
        </w:rPr>
        <w:t> </w:t>
      </w:r>
      <w:r>
        <w:rPr>
          <w:rFonts w:ascii="Times New Roman" w:hAnsi="Times New Roman" w:cs="Times New Roman" w:eastAsia="Times New Roman" w:hint="default"/>
        </w:rPr>
        <w:t>-837,195.86</w:t>
        <w:tab/>
      </w:r>
      <w:r>
        <w:rPr/>
        <w:t>元。 报告期内完成了中试生产线的安装调试，技术完善与试生产同步进行，完全实现</w:t>
      </w:r>
    </w:p>
    <w:p>
      <w:pPr>
        <w:pStyle w:val="BodyText"/>
        <w:spacing w:line="240" w:lineRule="auto" w:before="6"/>
        <w:ind w:right="0"/>
        <w:jc w:val="both"/>
      </w:pPr>
      <w:r>
        <w:rPr/>
        <w:t>了各项计划目标。</w:t>
      </w:r>
    </w:p>
    <w:p>
      <w:pPr>
        <w:spacing w:line="240" w:lineRule="auto" w:before="8"/>
        <w:rPr>
          <w:rFonts w:ascii="宋体" w:hAnsi="宋体" w:cs="宋体" w:eastAsia="宋体" w:hint="default"/>
          <w:sz w:val="6"/>
          <w:szCs w:val="6"/>
        </w:rPr>
      </w:pPr>
    </w:p>
    <w:tbl>
      <w:tblPr>
        <w:tblW w:w="0" w:type="auto"/>
        <w:jc w:val="left"/>
        <w:tblInd w:w="275" w:type="dxa"/>
        <w:tblLayout w:type="fixed"/>
        <w:tblCellMar>
          <w:top w:w="0" w:type="dxa"/>
          <w:left w:w="0" w:type="dxa"/>
          <w:bottom w:w="0" w:type="dxa"/>
          <w:right w:w="0" w:type="dxa"/>
        </w:tblCellMar>
        <w:tblLook w:val="01E0"/>
      </w:tblPr>
      <w:tblGrid>
        <w:gridCol w:w="1530"/>
        <w:gridCol w:w="397"/>
        <w:gridCol w:w="6853"/>
      </w:tblGrid>
      <w:tr>
        <w:trPr>
          <w:trHeight w:val="827" w:hRule="exact"/>
        </w:trPr>
        <w:tc>
          <w:tcPr>
            <w:tcW w:w="15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生产能力</w:t>
            </w:r>
          </w:p>
        </w:tc>
        <w:tc>
          <w:tcPr>
            <w:tcW w:w="39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6"/>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p>
            <w:pPr>
              <w:pStyle w:val="TableParagraph"/>
              <w:spacing w:line="240" w:lineRule="auto" w:before="95"/>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853" w:type="dxa"/>
            <w:tcBorders>
              <w:top w:val="single" w:sz="4" w:space="0" w:color="000000"/>
              <w:left w:val="nil" w:sz="6" w:space="0" w:color="auto"/>
              <w:bottom w:val="single" w:sz="4" w:space="0" w:color="000000"/>
              <w:right w:val="single" w:sz="4" w:space="0" w:color="000000"/>
            </w:tcBorders>
          </w:tcPr>
          <w:p>
            <w:pPr>
              <w:pStyle w:val="TableParagraph"/>
              <w:spacing w:line="238" w:lineRule="exact"/>
              <w:ind w:left="131" w:right="0"/>
              <w:jc w:val="left"/>
              <w:rPr>
                <w:rFonts w:ascii="宋体" w:hAnsi="宋体" w:cs="宋体" w:eastAsia="宋体" w:hint="default"/>
                <w:sz w:val="21"/>
                <w:szCs w:val="21"/>
              </w:rPr>
            </w:pPr>
            <w:r>
              <w:rPr>
                <w:rFonts w:ascii="宋体" w:hAnsi="宋体" w:cs="宋体" w:eastAsia="宋体" w:hint="default"/>
                <w:sz w:val="21"/>
                <w:szCs w:val="21"/>
              </w:rPr>
              <w:t>已形成柔性开孔泡沫的持续批量生产能力。</w:t>
            </w:r>
          </w:p>
          <w:p>
            <w:pPr>
              <w:pStyle w:val="TableParagraph"/>
              <w:spacing w:line="272" w:lineRule="exact" w:before="26"/>
              <w:ind w:left="131" w:right="101"/>
              <w:jc w:val="left"/>
              <w:rPr>
                <w:rFonts w:ascii="宋体" w:hAnsi="宋体" w:cs="宋体" w:eastAsia="宋体" w:hint="default"/>
                <w:sz w:val="21"/>
                <w:szCs w:val="21"/>
              </w:rPr>
            </w:pPr>
            <w:r>
              <w:rPr>
                <w:rFonts w:ascii="宋体" w:hAnsi="宋体" w:cs="宋体" w:eastAsia="宋体" w:hint="default"/>
                <w:sz w:val="21"/>
                <w:szCs w:val="21"/>
              </w:rPr>
              <w:t>样件尺寸可达</w:t>
            </w:r>
            <w:r>
              <w:rPr>
                <w:rFonts w:ascii="宋体" w:hAnsi="宋体" w:cs="宋体" w:eastAsia="宋体" w:hint="default"/>
                <w:spacing w:val="-20"/>
                <w:sz w:val="21"/>
                <w:szCs w:val="21"/>
              </w:rPr>
              <w:t> </w:t>
            </w:r>
            <w:r>
              <w:rPr>
                <w:rFonts w:ascii="Times New Roman" w:hAnsi="Times New Roman" w:cs="Times New Roman" w:eastAsia="Times New Roman" w:hint="default"/>
                <w:sz w:val="21"/>
                <w:szCs w:val="21"/>
              </w:rPr>
              <w:t>1900*1000*400mm</w:t>
            </w:r>
            <w:r>
              <w:rPr>
                <w:rFonts w:ascii="宋体" w:hAnsi="宋体" w:cs="宋体" w:eastAsia="宋体" w:hint="default"/>
                <w:sz w:val="21"/>
                <w:szCs w:val="21"/>
              </w:rPr>
              <w:t>，达到国际最高水平，而且可以根据客 户需求生产更大尺寸的制品。</w:t>
            </w:r>
          </w:p>
        </w:tc>
      </w:tr>
      <w:tr>
        <w:trPr>
          <w:trHeight w:val="265" w:hRule="exact"/>
        </w:trPr>
        <w:tc>
          <w:tcPr>
            <w:tcW w:w="1530" w:type="dxa"/>
            <w:tcBorders>
              <w:top w:val="single" w:sz="4" w:space="0" w:color="000000"/>
              <w:left w:val="single" w:sz="4" w:space="0" w:color="000000"/>
              <w:bottom w:val="nil" w:sz="6" w:space="0" w:color="auto"/>
              <w:right w:val="single" w:sz="4" w:space="0" w:color="000000"/>
            </w:tcBorders>
            <w:shd w:val="clear" w:color="auto" w:fill="D9D9D9"/>
          </w:tcPr>
          <w:p>
            <w:pPr/>
          </w:p>
        </w:tc>
        <w:tc>
          <w:tcPr>
            <w:tcW w:w="397" w:type="dxa"/>
            <w:tcBorders>
              <w:top w:val="single" w:sz="4" w:space="0" w:color="000000"/>
              <w:left w:val="single" w:sz="4" w:space="0" w:color="000000"/>
              <w:bottom w:val="nil" w:sz="6" w:space="0" w:color="auto"/>
              <w:right w:val="nil" w:sz="6" w:space="0" w:color="auto"/>
            </w:tcBorders>
          </w:tcPr>
          <w:p>
            <w:pPr>
              <w:pStyle w:val="TableParagraph"/>
              <w:spacing w:line="240" w:lineRule="auto" w:before="66"/>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853" w:type="dxa"/>
            <w:tcBorders>
              <w:top w:val="single" w:sz="4" w:space="0" w:color="000000"/>
              <w:left w:val="nil" w:sz="6" w:space="0" w:color="auto"/>
              <w:bottom w:val="nil" w:sz="6" w:space="0" w:color="auto"/>
              <w:right w:val="single" w:sz="4" w:space="0" w:color="000000"/>
            </w:tcBorders>
          </w:tcPr>
          <w:p>
            <w:pPr>
              <w:pStyle w:val="TableParagraph"/>
              <w:spacing w:line="255" w:lineRule="exact"/>
              <w:ind w:left="131" w:right="0"/>
              <w:jc w:val="left"/>
              <w:rPr>
                <w:rFonts w:ascii="宋体" w:hAnsi="宋体" w:cs="宋体" w:eastAsia="宋体" w:hint="default"/>
                <w:sz w:val="21"/>
                <w:szCs w:val="21"/>
              </w:rPr>
            </w:pPr>
            <w:r>
              <w:rPr>
                <w:rFonts w:ascii="宋体" w:hAnsi="宋体" w:cs="宋体" w:eastAsia="宋体" w:hint="default"/>
                <w:sz w:val="21"/>
                <w:szCs w:val="21"/>
              </w:rPr>
              <w:t>密度</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7</w:t>
            </w:r>
            <w:r>
              <w:rPr>
                <w:rFonts w:ascii="宋体" w:hAnsi="宋体" w:cs="宋体" w:eastAsia="宋体" w:hint="default"/>
                <w:sz w:val="21"/>
                <w:szCs w:val="21"/>
              </w:rPr>
              <w:t>—</w:t>
            </w:r>
            <w:r>
              <w:rPr>
                <w:rFonts w:ascii="Times New Roman" w:hAnsi="Times New Roman" w:cs="Times New Roman" w:eastAsia="Times New Roman" w:hint="default"/>
                <w:sz w:val="21"/>
                <w:szCs w:val="21"/>
              </w:rPr>
              <w:t>8kg/m</w:t>
            </w:r>
            <w:r>
              <w:rPr>
                <w:rFonts w:ascii="Times New Roman" w:hAnsi="Times New Roman" w:cs="Times New Roman" w:eastAsia="Times New Roman" w:hint="default"/>
                <w:position w:val="10"/>
                <w:sz w:val="14"/>
                <w:szCs w:val="14"/>
              </w:rPr>
              <w:t>3</w:t>
            </w:r>
            <w:r>
              <w:rPr>
                <w:rFonts w:ascii="宋体" w:hAnsi="宋体" w:cs="宋体" w:eastAsia="宋体" w:hint="default"/>
                <w:sz w:val="21"/>
                <w:szCs w:val="21"/>
              </w:rPr>
              <w:t>，耐高温</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250</w:t>
            </w:r>
            <w:r>
              <w:rPr>
                <w:rFonts w:ascii="宋体" w:hAnsi="宋体" w:cs="宋体" w:eastAsia="宋体" w:hint="default"/>
                <w:sz w:val="21"/>
                <w:szCs w:val="21"/>
              </w:rPr>
              <w:t>℃以上，阻燃、隔热、耐溶剂、耐辐射性能</w:t>
            </w:r>
          </w:p>
        </w:tc>
      </w:tr>
      <w:tr>
        <w:trPr>
          <w:trHeight w:val="288"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52" w:lineRule="exact"/>
              <w:ind w:left="103" w:right="0"/>
              <w:jc w:val="left"/>
              <w:rPr>
                <w:rFonts w:ascii="宋体" w:hAnsi="宋体" w:cs="宋体" w:eastAsia="宋体" w:hint="default"/>
                <w:sz w:val="21"/>
                <w:szCs w:val="21"/>
              </w:rPr>
            </w:pPr>
            <w:r>
              <w:rPr>
                <w:rFonts w:ascii="宋体" w:hAnsi="宋体" w:cs="宋体" w:eastAsia="宋体" w:hint="default"/>
                <w:sz w:val="21"/>
                <w:szCs w:val="21"/>
              </w:rPr>
              <w:t>产品性能</w:t>
            </w:r>
          </w:p>
        </w:tc>
        <w:tc>
          <w:tcPr>
            <w:tcW w:w="397" w:type="dxa"/>
            <w:tcBorders>
              <w:top w:val="nil" w:sz="6" w:space="0" w:color="auto"/>
              <w:left w:val="single" w:sz="4" w:space="0" w:color="000000"/>
              <w:bottom w:val="nil" w:sz="6" w:space="0" w:color="auto"/>
              <w:right w:val="nil" w:sz="6" w:space="0" w:color="auto"/>
            </w:tcBorders>
          </w:tcPr>
          <w:p>
            <w:pPr/>
          </w:p>
        </w:tc>
        <w:tc>
          <w:tcPr>
            <w:tcW w:w="6853" w:type="dxa"/>
            <w:tcBorders>
              <w:top w:val="nil" w:sz="6" w:space="0" w:color="auto"/>
              <w:left w:val="nil" w:sz="6" w:space="0" w:color="auto"/>
              <w:bottom w:val="nil" w:sz="6" w:space="0" w:color="auto"/>
              <w:right w:val="single" w:sz="4" w:space="0" w:color="000000"/>
            </w:tcBorders>
          </w:tcPr>
          <w:p>
            <w:pPr>
              <w:pStyle w:val="TableParagraph"/>
              <w:spacing w:line="267" w:lineRule="exact"/>
              <w:ind w:left="131" w:right="0"/>
              <w:jc w:val="left"/>
              <w:rPr>
                <w:rFonts w:ascii="宋体" w:hAnsi="宋体" w:cs="宋体" w:eastAsia="宋体" w:hint="default"/>
                <w:sz w:val="21"/>
                <w:szCs w:val="21"/>
              </w:rPr>
            </w:pPr>
            <w:r>
              <w:rPr>
                <w:rFonts w:ascii="宋体" w:hAnsi="宋体" w:cs="宋体" w:eastAsia="宋体" w:hint="default"/>
                <w:sz w:val="21"/>
                <w:szCs w:val="21"/>
              </w:rPr>
              <w:t>优异，吸声（降噪）系数达到</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0.4sabins/m</w:t>
            </w:r>
            <w:r>
              <w:rPr>
                <w:rFonts w:ascii="Times New Roman" w:hAnsi="Times New Roman" w:cs="Times New Roman" w:eastAsia="Times New Roman" w:hint="default"/>
                <w:position w:val="10"/>
                <w:sz w:val="14"/>
                <w:szCs w:val="14"/>
              </w:rPr>
              <w:t>2</w:t>
            </w:r>
            <w:r>
              <w:rPr>
                <w:rFonts w:ascii="Times New Roman" w:hAnsi="Times New Roman" w:cs="Times New Roman" w:eastAsia="Times New Roman" w:hint="default"/>
                <w:spacing w:val="-2"/>
                <w:position w:val="10"/>
                <w:sz w:val="14"/>
                <w:szCs w:val="14"/>
              </w:rPr>
              <w:t> </w:t>
            </w:r>
            <w:r>
              <w:rPr>
                <w:rFonts w:ascii="宋体" w:hAnsi="宋体" w:cs="宋体" w:eastAsia="宋体" w:hint="default"/>
                <w:sz w:val="21"/>
                <w:szCs w:val="21"/>
              </w:rPr>
              <w:t>以上。</w:t>
            </w:r>
          </w:p>
        </w:tc>
      </w:tr>
      <w:tr>
        <w:trPr>
          <w:trHeight w:val="273" w:hRule="exact"/>
        </w:trPr>
        <w:tc>
          <w:tcPr>
            <w:tcW w:w="1530" w:type="dxa"/>
            <w:tcBorders>
              <w:top w:val="nil" w:sz="6" w:space="0" w:color="auto"/>
              <w:left w:val="single" w:sz="4" w:space="0" w:color="000000"/>
              <w:bottom w:val="single" w:sz="4" w:space="0" w:color="000000"/>
              <w:right w:val="single" w:sz="4" w:space="0" w:color="000000"/>
            </w:tcBorders>
            <w:shd w:val="clear" w:color="auto" w:fill="D9D9D9"/>
          </w:tcPr>
          <w:p>
            <w:pPr/>
          </w:p>
        </w:tc>
        <w:tc>
          <w:tcPr>
            <w:tcW w:w="397" w:type="dxa"/>
            <w:tcBorders>
              <w:top w:val="nil" w:sz="6" w:space="0" w:color="auto"/>
              <w:left w:val="single" w:sz="4" w:space="0" w:color="000000"/>
              <w:bottom w:val="single" w:sz="4" w:space="0" w:color="000000"/>
              <w:right w:val="nil" w:sz="6" w:space="0" w:color="auto"/>
            </w:tcBorders>
          </w:tcPr>
          <w:p>
            <w:pPr>
              <w:pStyle w:val="TableParagraph"/>
              <w:spacing w:line="240" w:lineRule="auto" w:before="62"/>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853" w:type="dxa"/>
            <w:tcBorders>
              <w:top w:val="nil" w:sz="6" w:space="0" w:color="auto"/>
              <w:left w:val="nil" w:sz="6" w:space="0" w:color="auto"/>
              <w:bottom w:val="single" w:sz="4" w:space="0" w:color="000000"/>
              <w:right w:val="single" w:sz="4" w:space="0" w:color="000000"/>
            </w:tcBorders>
          </w:tcPr>
          <w:p>
            <w:pPr>
              <w:pStyle w:val="TableParagraph"/>
              <w:spacing w:line="235" w:lineRule="exact"/>
              <w:ind w:left="131" w:right="0"/>
              <w:jc w:val="left"/>
              <w:rPr>
                <w:rFonts w:ascii="宋体" w:hAnsi="宋体" w:cs="宋体" w:eastAsia="宋体" w:hint="default"/>
                <w:sz w:val="21"/>
                <w:szCs w:val="21"/>
              </w:rPr>
            </w:pPr>
            <w:r>
              <w:rPr>
                <w:rFonts w:ascii="宋体" w:hAnsi="宋体" w:cs="宋体" w:eastAsia="宋体" w:hint="default"/>
                <w:sz w:val="21"/>
                <w:szCs w:val="21"/>
              </w:rPr>
              <w:t>得到了国防军工部门的初步认可，将进行全面的综合测试。</w:t>
            </w:r>
          </w:p>
        </w:tc>
      </w:tr>
      <w:tr>
        <w:trPr>
          <w:trHeight w:val="283" w:hRule="exact"/>
        </w:trPr>
        <w:tc>
          <w:tcPr>
            <w:tcW w:w="15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市场应用</w:t>
            </w:r>
          </w:p>
        </w:tc>
        <w:tc>
          <w:tcPr>
            <w:tcW w:w="39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6"/>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853" w:type="dxa"/>
            <w:tcBorders>
              <w:top w:val="single" w:sz="4" w:space="0" w:color="000000"/>
              <w:left w:val="nil" w:sz="6" w:space="0" w:color="auto"/>
              <w:bottom w:val="single" w:sz="4" w:space="0" w:color="000000"/>
              <w:right w:val="single" w:sz="4" w:space="0" w:color="000000"/>
            </w:tcBorders>
          </w:tcPr>
          <w:p>
            <w:pPr>
              <w:pStyle w:val="TableParagraph"/>
              <w:spacing w:line="240" w:lineRule="exact"/>
              <w:ind w:left="131" w:right="0"/>
              <w:jc w:val="left"/>
              <w:rPr>
                <w:rFonts w:ascii="宋体" w:hAnsi="宋体" w:cs="宋体" w:eastAsia="宋体" w:hint="default"/>
                <w:sz w:val="21"/>
                <w:szCs w:val="21"/>
              </w:rPr>
            </w:pPr>
            <w:r>
              <w:rPr>
                <w:rFonts w:ascii="宋体" w:hAnsi="宋体" w:cs="宋体" w:eastAsia="宋体" w:hint="default"/>
                <w:sz w:val="21"/>
                <w:szCs w:val="21"/>
              </w:rPr>
              <w:t>已开始市场销售，获得了航天领域客户的认可，认为可以替代进口产品</w:t>
            </w:r>
          </w:p>
        </w:tc>
      </w:tr>
    </w:tbl>
    <w:p>
      <w:pPr>
        <w:spacing w:after="0" w:line="240" w:lineRule="exact"/>
        <w:jc w:val="left"/>
        <w:rPr>
          <w:rFonts w:ascii="宋体" w:hAnsi="宋体" w:cs="宋体" w:eastAsia="宋体" w:hint="default"/>
          <w:sz w:val="21"/>
          <w:szCs w:val="21"/>
        </w:rPr>
        <w:sectPr>
          <w:pgSz w:w="11910" w:h="16840"/>
          <w:pgMar w:header="470" w:footer="1266" w:top="900" w:bottom="1460" w:left="1160" w:right="138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spacing w:line="316" w:lineRule="auto" w:before="26"/>
        <w:ind w:left="738" w:right="205" w:firstLine="2"/>
        <w:jc w:val="left"/>
        <w:rPr>
          <w:rFonts w:ascii="Times New Roman" w:hAnsi="Times New Roman" w:cs="Times New Roman" w:eastAsia="Times New Roman" w:hint="default"/>
          <w:sz w:val="24"/>
          <w:szCs w:val="24"/>
        </w:rPr>
      </w:pPr>
      <w:r>
        <w:rPr>
          <w:rFonts w:ascii="宋体" w:hAnsi="宋体" w:cs="宋体" w:eastAsia="宋体" w:hint="default"/>
          <w:b/>
          <w:bCs/>
          <w:spacing w:val="-7"/>
          <w:w w:val="99"/>
          <w:sz w:val="24"/>
          <w:szCs w:val="24"/>
        </w:rPr>
        <w:t>（</w:t>
      </w:r>
      <w:r>
        <w:rPr>
          <w:rFonts w:ascii="Times New Roman" w:hAnsi="Times New Roman" w:cs="Times New Roman" w:eastAsia="Times New Roman" w:hint="default"/>
          <w:b/>
          <w:bCs/>
          <w:spacing w:val="-7"/>
          <w:w w:val="99"/>
          <w:sz w:val="24"/>
          <w:szCs w:val="24"/>
        </w:rPr>
        <w:t>4</w:t>
      </w:r>
      <w:r>
        <w:rPr>
          <w:rFonts w:ascii="宋体" w:hAnsi="宋体" w:cs="宋体" w:eastAsia="宋体" w:hint="default"/>
          <w:b/>
          <w:bCs/>
          <w:spacing w:val="-7"/>
          <w:w w:val="99"/>
          <w:sz w:val="24"/>
          <w:szCs w:val="24"/>
        </w:rPr>
        <w:t>）长春聚明光电材料有限公司（简称“长春聚明”）：聚酰亚胺薄膜</w:t>
      </w:r>
      <w:r>
        <w:rPr>
          <w:rFonts w:ascii="宋体" w:hAnsi="宋体" w:cs="宋体" w:eastAsia="宋体" w:hint="default"/>
          <w:b/>
          <w:bCs/>
          <w:spacing w:val="-117"/>
          <w:w w:val="99"/>
          <w:sz w:val="24"/>
          <w:szCs w:val="24"/>
        </w:rPr>
        <w:t> </w:t>
      </w:r>
      <w:r>
        <w:rPr>
          <w:rFonts w:ascii="宋体" w:hAnsi="宋体" w:cs="宋体" w:eastAsia="宋体" w:hint="default"/>
          <w:b/>
          <w:bCs/>
          <w:spacing w:val="-117"/>
          <w:w w:val="99"/>
          <w:sz w:val="24"/>
          <w:szCs w:val="24"/>
        </w:rPr>
      </w:r>
      <w:r>
        <w:rPr>
          <w:rFonts w:ascii="宋体" w:hAnsi="宋体" w:cs="宋体" w:eastAsia="宋体" w:hint="default"/>
          <w:sz w:val="24"/>
          <w:szCs w:val="24"/>
        </w:rPr>
        <w:t>长春聚明由控股子公司长春高琦与方省众、屠国力共同出资组建，于 </w:t>
      </w:r>
      <w:r>
        <w:rPr>
          <w:rFonts w:ascii="Times New Roman" w:hAnsi="Times New Roman" w:cs="Times New Roman" w:eastAsia="Times New Roman" w:hint="default"/>
          <w:sz w:val="24"/>
          <w:szCs w:val="24"/>
        </w:rPr>
        <w:t>2010</w:t>
      </w:r>
      <w:r>
        <w:rPr>
          <w:rFonts w:ascii="Times New Roman" w:hAnsi="Times New Roman" w:cs="Times New Roman" w:eastAsia="Times New Roman" w:hint="default"/>
          <w:spacing w:val="57"/>
          <w:sz w:val="24"/>
          <w:szCs w:val="24"/>
        </w:rPr>
        <w:t> </w:t>
      </w:r>
      <w:r>
        <w:rPr>
          <w:rFonts w:ascii="宋体" w:hAnsi="宋体" w:cs="宋体" w:eastAsia="宋体" w:hint="default"/>
          <w:sz w:val="24"/>
          <w:szCs w:val="24"/>
        </w:rPr>
        <w:t>年</w:t>
      </w:r>
      <w:r>
        <w:rPr>
          <w:rFonts w:ascii="Times New Roman" w:hAnsi="Times New Roman" w:cs="Times New Roman" w:eastAsia="Times New Roman" w:hint="default"/>
          <w:sz w:val="24"/>
          <w:szCs w:val="24"/>
        </w:rPr>
        <w:t>10</w:t>
      </w:r>
    </w:p>
    <w:p>
      <w:pPr>
        <w:pStyle w:val="BodyText"/>
        <w:spacing w:line="316" w:lineRule="exact"/>
        <w:ind w:right="94"/>
        <w:jc w:val="left"/>
        <w:rPr>
          <w:rFonts w:ascii="Times New Roman" w:hAnsi="Times New Roman" w:cs="Times New Roman" w:eastAsia="Times New Roman" w:hint="default"/>
        </w:rPr>
      </w:pPr>
      <w:r>
        <w:rPr/>
        <w:t>月 </w:t>
      </w:r>
      <w:r>
        <w:rPr>
          <w:rFonts w:ascii="Times New Roman" w:hAnsi="Times New Roman" w:cs="Times New Roman" w:eastAsia="Times New Roman" w:hint="default"/>
        </w:rPr>
        <w:t>26  </w:t>
      </w:r>
      <w:r>
        <w:rPr>
          <w:spacing w:val="-8"/>
        </w:rPr>
        <w:t>日成立。公司注册资本 </w:t>
      </w:r>
      <w:r>
        <w:rPr>
          <w:rFonts w:ascii="Times New Roman" w:hAnsi="Times New Roman" w:cs="Times New Roman" w:eastAsia="Times New Roman" w:hint="default"/>
        </w:rPr>
        <w:t>200  </w:t>
      </w:r>
      <w:r>
        <w:rPr>
          <w:spacing w:val="-9"/>
        </w:rPr>
        <w:t>万元，实收资本现为 </w:t>
      </w:r>
      <w:r>
        <w:rPr>
          <w:rFonts w:ascii="Times New Roman" w:hAnsi="Times New Roman" w:cs="Times New Roman" w:eastAsia="Times New Roman" w:hint="default"/>
        </w:rPr>
        <w:t>200  </w:t>
      </w:r>
      <w:r>
        <w:rPr>
          <w:spacing w:val="-9"/>
        </w:rPr>
        <w:t>万元，长春高琦出资</w:t>
      </w:r>
      <w:r>
        <w:rPr>
          <w:spacing w:val="37"/>
        </w:rPr>
        <w:t> </w:t>
      </w:r>
      <w:r>
        <w:rPr>
          <w:rFonts w:ascii="Times New Roman" w:hAnsi="Times New Roman" w:cs="Times New Roman" w:eastAsia="Times New Roman" w:hint="default"/>
        </w:rPr>
        <w:t>180</w:t>
      </w:r>
    </w:p>
    <w:p>
      <w:pPr>
        <w:pStyle w:val="BodyText"/>
        <w:spacing w:line="240" w:lineRule="auto" w:before="67"/>
        <w:ind w:right="0"/>
        <w:jc w:val="left"/>
      </w:pPr>
      <w:r>
        <w:rPr/>
        <w:t>万元，占 </w:t>
      </w:r>
      <w:r>
        <w:rPr>
          <w:rFonts w:ascii="Times New Roman" w:hAnsi="Times New Roman" w:cs="Times New Roman" w:eastAsia="Times New Roman" w:hint="default"/>
        </w:rPr>
        <w:t>90%</w:t>
      </w:r>
      <w:r>
        <w:rPr/>
        <w:t>的持股比例，方省众和屠国力分别出资</w:t>
      </w:r>
      <w:r>
        <w:rPr>
          <w:rFonts w:ascii="Times New Roman" w:hAnsi="Times New Roman" w:cs="Times New Roman" w:eastAsia="Times New Roman" w:hint="default"/>
        </w:rPr>
        <w:t>10</w:t>
      </w:r>
      <w:r>
        <w:rPr/>
        <w:t>万元，各占 </w:t>
      </w:r>
      <w:r>
        <w:rPr>
          <w:rFonts w:ascii="Times New Roman" w:hAnsi="Times New Roman" w:cs="Times New Roman" w:eastAsia="Times New Roman" w:hint="default"/>
        </w:rPr>
        <w:t>5%</w:t>
      </w:r>
      <w:r>
        <w:rPr>
          <w:rFonts w:ascii="Times New Roman" w:hAnsi="Times New Roman" w:cs="Times New Roman" w:eastAsia="Times New Roman" w:hint="default"/>
          <w:spacing w:val="42"/>
        </w:rPr>
        <w:t> </w:t>
      </w:r>
      <w:r>
        <w:rPr/>
        <w:t>的持股比例。</w:t>
      </w:r>
    </w:p>
    <w:p>
      <w:pPr>
        <w:pStyle w:val="BodyText"/>
        <w:spacing w:line="288" w:lineRule="auto" w:before="108"/>
        <w:ind w:right="221" w:firstLine="480"/>
        <w:jc w:val="both"/>
      </w:pP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6</w:t>
      </w:r>
      <w:r>
        <w:rPr>
          <w:spacing w:val="-3"/>
        </w:rPr>
        <w:t>月，屠国力将其持有的出资部分转让给丁孟贤和杨正华，变更后注册资本</w:t>
      </w:r>
      <w:r>
        <w:rPr/>
        <w:t> </w:t>
      </w:r>
      <w:r>
        <w:rPr>
          <w:spacing w:val="-6"/>
        </w:rPr>
        <w:t>仍为</w:t>
      </w:r>
      <w:r>
        <w:rPr>
          <w:rFonts w:ascii="Times New Roman" w:hAnsi="Times New Roman" w:cs="Times New Roman" w:eastAsia="Times New Roman" w:hint="default"/>
          <w:spacing w:val="-6"/>
        </w:rPr>
        <w:t>200</w:t>
      </w:r>
      <w:r>
        <w:rPr>
          <w:spacing w:val="-6"/>
        </w:rPr>
        <w:t>万元人民币，其中，长春高琦持股</w:t>
      </w:r>
      <w:r>
        <w:rPr>
          <w:rFonts w:ascii="Times New Roman" w:hAnsi="Times New Roman" w:cs="Times New Roman" w:eastAsia="Times New Roman" w:hint="default"/>
          <w:spacing w:val="-6"/>
        </w:rPr>
        <w:t>90%</w:t>
      </w:r>
      <w:r>
        <w:rPr>
          <w:rFonts w:ascii="Times New Roman" w:hAnsi="Times New Roman" w:cs="Times New Roman" w:eastAsia="Times New Roman" w:hint="default"/>
          <w:spacing w:val="9"/>
        </w:rPr>
        <w:t> </w:t>
      </w:r>
      <w:r>
        <w:rPr>
          <w:spacing w:val="-5"/>
        </w:rPr>
        <w:t>，方省众持股</w:t>
      </w:r>
      <w:r>
        <w:rPr>
          <w:rFonts w:ascii="Times New Roman" w:hAnsi="Times New Roman" w:cs="Times New Roman" w:eastAsia="Times New Roman" w:hint="default"/>
          <w:spacing w:val="-5"/>
        </w:rPr>
        <w:t>5%</w:t>
      </w:r>
      <w:r>
        <w:rPr>
          <w:spacing w:val="-5"/>
        </w:rPr>
        <w:t>，丁孟贤持股</w:t>
      </w:r>
      <w:r>
        <w:rPr>
          <w:rFonts w:ascii="Times New Roman" w:hAnsi="Times New Roman" w:cs="Times New Roman" w:eastAsia="Times New Roman" w:hint="default"/>
          <w:spacing w:val="-5"/>
        </w:rPr>
        <w:t>2.5%</w:t>
      </w:r>
      <w:r>
        <w:rPr>
          <w:spacing w:val="-5"/>
        </w:rPr>
        <w:t>，杨</w:t>
      </w:r>
      <w:r>
        <w:rPr>
          <w:spacing w:val="-118"/>
        </w:rPr>
        <w:t> </w:t>
      </w:r>
      <w:r>
        <w:rPr>
          <w:spacing w:val="-118"/>
        </w:rPr>
      </w:r>
      <w:r>
        <w:rPr/>
        <w:t>正华持股</w:t>
      </w:r>
      <w:r>
        <w:rPr>
          <w:rFonts w:ascii="Times New Roman" w:hAnsi="Times New Roman" w:cs="Times New Roman" w:eastAsia="Times New Roman" w:hint="default"/>
        </w:rPr>
        <w:t>1.5%</w:t>
      </w:r>
      <w:r>
        <w:rPr/>
        <w:t>，</w:t>
      </w:r>
      <w:r>
        <w:rPr>
          <w:spacing w:val="-60"/>
        </w:rPr>
        <w:t> </w:t>
      </w:r>
      <w:r>
        <w:rPr/>
        <w:t>屠国力持股</w:t>
      </w:r>
      <w:r>
        <w:rPr>
          <w:spacing w:val="-60"/>
        </w:rPr>
        <w:t> </w:t>
      </w:r>
      <w:r>
        <w:rPr>
          <w:rFonts w:ascii="Times New Roman" w:hAnsi="Times New Roman" w:cs="Times New Roman" w:eastAsia="Times New Roman" w:hint="default"/>
        </w:rPr>
        <w:t>1%</w:t>
      </w:r>
      <w:r>
        <w:rPr/>
        <w:t>。</w:t>
      </w:r>
    </w:p>
    <w:p>
      <w:pPr>
        <w:pStyle w:val="BodyText"/>
        <w:spacing w:line="288" w:lineRule="auto" w:before="55"/>
        <w:ind w:right="221" w:firstLine="480"/>
        <w:jc w:val="both"/>
      </w:pPr>
      <w:r>
        <w:rPr>
          <w:rFonts w:ascii="Times New Roman" w:hAnsi="Times New Roman" w:cs="Times New Roman" w:eastAsia="Times New Roman" w:hint="default"/>
        </w:rPr>
        <w:t>2011</w:t>
      </w:r>
      <w:r>
        <w:rPr/>
        <w:t>年</w:t>
      </w:r>
      <w:r>
        <w:rPr>
          <w:rFonts w:ascii="Times New Roman" w:hAnsi="Times New Roman" w:cs="Times New Roman" w:eastAsia="Times New Roman" w:hint="default"/>
        </w:rPr>
        <w:t>9</w:t>
      </w:r>
      <w:r>
        <w:rPr/>
        <w:t>月，长春聚明根据发展需要进行增资，按</w:t>
      </w:r>
      <w:r>
        <w:rPr>
          <w:rFonts w:ascii="Times New Roman" w:hAnsi="Times New Roman" w:cs="Times New Roman" w:eastAsia="Times New Roman" w:hint="default"/>
        </w:rPr>
        <w:t>1</w:t>
      </w:r>
      <w:r>
        <w:rPr/>
        <w:t>元</w:t>
      </w:r>
      <w:r>
        <w:rPr>
          <w:rFonts w:ascii="Times New Roman" w:hAnsi="Times New Roman" w:cs="Times New Roman" w:eastAsia="Times New Roman" w:hint="default"/>
        </w:rPr>
        <w:t>/1</w:t>
      </w:r>
      <w:r>
        <w:rPr/>
        <w:t>元注册资本的条件进行现</w:t>
      </w:r>
      <w:r>
        <w:rPr>
          <w:spacing w:val="2"/>
        </w:rPr>
        <w:t> </w:t>
      </w:r>
      <w:r>
        <w:rPr/>
        <w:t>金增资至</w:t>
      </w:r>
      <w:r>
        <w:rPr>
          <w:rFonts w:ascii="Times New Roman" w:hAnsi="Times New Roman" w:cs="Times New Roman" w:eastAsia="Times New Roman" w:hint="default"/>
        </w:rPr>
        <w:t>1500</w:t>
      </w:r>
      <w:r>
        <w:rPr/>
        <w:t>万元人民币。增资后长春高琦对长春聚明出资比例变为</w:t>
      </w:r>
      <w:r>
        <w:rPr>
          <w:rFonts w:ascii="Times New Roman" w:hAnsi="Times New Roman" w:cs="Times New Roman" w:eastAsia="Times New Roman" w:hint="default"/>
        </w:rPr>
        <w:t>50.87%</w:t>
      </w:r>
      <w:r>
        <w:rPr/>
        <w:t>。</w:t>
      </w:r>
    </w:p>
    <w:p>
      <w:pPr>
        <w:pStyle w:val="BodyText"/>
        <w:spacing w:line="240" w:lineRule="auto" w:before="55"/>
        <w:ind w:left="738" w:right="94"/>
        <w:jc w:val="left"/>
        <w:rPr>
          <w:rFonts w:ascii="Times New Roman" w:hAnsi="Times New Roman" w:cs="Times New Roman" w:eastAsia="Times New Roman" w:hint="default"/>
        </w:rPr>
      </w:pPr>
      <w:r>
        <w:rPr/>
        <w:t>截至 </w:t>
      </w:r>
      <w:r>
        <w:rPr>
          <w:rFonts w:ascii="Times New Roman" w:hAnsi="Times New Roman" w:cs="Times New Roman" w:eastAsia="Times New Roman" w:hint="default"/>
        </w:rPr>
        <w:t>20</w:t>
      </w:r>
      <w:r>
        <w:rPr>
          <w:rFonts w:ascii="Times New Roman" w:hAnsi="Times New Roman" w:cs="Times New Roman" w:eastAsia="Times New Roman" w:hint="default"/>
          <w:spacing w:val="-9"/>
        </w:rPr>
        <w:t>1</w:t>
      </w:r>
      <w:r>
        <w:rPr>
          <w:rFonts w:ascii="Times New Roman" w:hAnsi="Times New Roman" w:cs="Times New Roman" w:eastAsia="Times New Roman" w:hint="default"/>
        </w:rPr>
        <w:t>1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  </w:t>
      </w:r>
      <w:r>
        <w:rPr/>
        <w:t>日</w:t>
      </w:r>
      <w:r>
        <w:rPr>
          <w:spacing w:val="-106"/>
        </w:rPr>
        <w:t>，</w:t>
      </w:r>
      <w:r>
        <w:rPr/>
        <w:t>长春聚明总资产</w:t>
      </w:r>
      <w:r>
        <w:rPr>
          <w:rFonts w:ascii="Times New Roman" w:hAnsi="Times New Roman" w:cs="Times New Roman" w:eastAsia="Times New Roman" w:hint="default"/>
        </w:rPr>
        <w:t>15,340,494.34  </w:t>
      </w:r>
      <w:r>
        <w:rPr/>
        <w:t>元</w:t>
      </w:r>
      <w:r>
        <w:rPr>
          <w:spacing w:val="-106"/>
        </w:rPr>
        <w:t>、</w:t>
      </w:r>
      <w:r>
        <w:rPr/>
        <w:t>负债</w:t>
      </w:r>
      <w:r>
        <w:rPr>
          <w:rFonts w:ascii="Times New Roman" w:hAnsi="Times New Roman" w:cs="Times New Roman" w:eastAsia="Times New Roman" w:hint="default"/>
        </w:rPr>
        <w:t>13,350,000.00</w:t>
      </w:r>
    </w:p>
    <w:p>
      <w:pPr>
        <w:pStyle w:val="BodyText"/>
        <w:tabs>
          <w:tab w:pos="6620" w:val="left" w:leader="none"/>
        </w:tabs>
        <w:spacing w:line="319" w:lineRule="auto" w:before="67"/>
        <w:ind w:left="738" w:right="220" w:hanging="480"/>
        <w:jc w:val="left"/>
      </w:pPr>
      <w:r>
        <w:rPr/>
        <w:t>元、净资产 </w:t>
      </w:r>
      <w:r>
        <w:rPr>
          <w:rFonts w:ascii="Times New Roman" w:hAnsi="Times New Roman" w:cs="Times New Roman" w:eastAsia="Times New Roman" w:hint="default"/>
        </w:rPr>
        <w:t>1,990,494.34  </w:t>
      </w:r>
      <w:r>
        <w:rPr/>
        <w:t>元。</w:t>
      </w:r>
      <w:r>
        <w:rPr>
          <w:rFonts w:ascii="Times New Roman" w:hAnsi="Times New Roman" w:cs="Times New Roman" w:eastAsia="Times New Roman" w:hint="default"/>
        </w:rPr>
        <w:t>2011  </w:t>
      </w:r>
      <w:r>
        <w:rPr/>
        <w:t>年度净利润</w:t>
      </w:r>
      <w:r>
        <w:rPr>
          <w:spacing w:val="-26"/>
        </w:rPr>
        <w:t> </w:t>
      </w:r>
      <w:r>
        <w:rPr>
          <w:rFonts w:ascii="Times New Roman" w:hAnsi="Times New Roman" w:cs="Times New Roman" w:eastAsia="Times New Roman" w:hint="default"/>
        </w:rPr>
        <w:t>-11,247.66</w:t>
        <w:tab/>
      </w:r>
      <w:r>
        <w:rPr/>
        <w:t>元。 长春聚明主要从事聚酰亚胺柔性薄膜的树脂的研究、批量制造以及酰亚胺柔性薄</w:t>
      </w:r>
    </w:p>
    <w:p>
      <w:pPr>
        <w:pStyle w:val="BodyText"/>
        <w:spacing w:line="297" w:lineRule="auto" w:before="6"/>
        <w:ind w:right="94"/>
        <w:jc w:val="left"/>
      </w:pPr>
      <w:r>
        <w:rPr/>
        <w:t>膜（包括透明薄膜和耐电晕薄膜）连续化制备技术的研发、生产和销售。该薄膜主要</w:t>
      </w:r>
      <w:r>
        <w:rPr>
          <w:spacing w:val="-117"/>
        </w:rPr>
        <w:t> </w:t>
      </w:r>
      <w:r>
        <w:rPr>
          <w:spacing w:val="-117"/>
        </w:rPr>
      </w:r>
      <w:r>
        <w:rPr>
          <w:spacing w:val="-3"/>
        </w:rPr>
        <w:t>用于</w:t>
      </w:r>
      <w:r>
        <w:rPr>
          <w:rFonts w:ascii="Times New Roman" w:hAnsi="Times New Roman" w:cs="Times New Roman" w:eastAsia="Times New Roman" w:hint="default"/>
          <w:spacing w:val="-3"/>
        </w:rPr>
        <w:t>OLED</w:t>
      </w:r>
      <w:r>
        <w:rPr>
          <w:spacing w:val="-3"/>
        </w:rPr>
        <w:t>照明</w:t>
      </w:r>
      <w:r>
        <w:rPr>
          <w:rFonts w:ascii="Times New Roman" w:hAnsi="Times New Roman" w:cs="Times New Roman" w:eastAsia="Times New Roman" w:hint="default"/>
          <w:spacing w:val="-3"/>
        </w:rPr>
        <w:t>/</w:t>
      </w:r>
      <w:r>
        <w:rPr>
          <w:spacing w:val="-3"/>
        </w:rPr>
        <w:t>显示用和薄膜太阳能电池用柔性透明衬底及导电膜，耐电晕薄膜材料。</w:t>
      </w:r>
      <w:r>
        <w:rPr>
          <w:spacing w:val="-90"/>
        </w:rPr>
        <w:t> </w:t>
      </w:r>
      <w:r>
        <w:rPr>
          <w:spacing w:val="-90"/>
        </w:rPr>
      </w:r>
      <w:r>
        <w:rPr/>
        <w:t>透明聚酰亚胺薄膜具有耐高低温、高强度和对可见光波段光线透明等特点。该项技术</w:t>
      </w:r>
      <w:r>
        <w:rPr>
          <w:spacing w:val="-117"/>
        </w:rPr>
        <w:t> </w:t>
      </w:r>
      <w:r>
        <w:rPr>
          <w:spacing w:val="-117"/>
        </w:rPr>
      </w:r>
      <w:r>
        <w:rPr/>
        <w:t>是聚酰亚胺材料相关研究的技术积累所形成的科研成果。透明聚酰亚胺薄膜有两个非</w:t>
      </w:r>
      <w:r>
        <w:rPr>
          <w:spacing w:val="-117"/>
        </w:rPr>
        <w:t> </w:t>
      </w:r>
      <w:r>
        <w:rPr>
          <w:spacing w:val="-117"/>
        </w:rPr>
      </w:r>
      <w:r>
        <w:rPr/>
        <w:t>常迫切的需求，一是作为薄膜太阳能电池柔性衬底，二是替代玻璃作为新一代</w:t>
      </w:r>
      <w:r>
        <w:rPr>
          <w:rFonts w:ascii="Times New Roman" w:hAnsi="Times New Roman" w:cs="Times New Roman" w:eastAsia="Times New Roman" w:hint="default"/>
        </w:rPr>
        <w:t>OLED</w:t>
      </w:r>
      <w:r>
        <w:rPr>
          <w:rFonts w:ascii="Times New Roman" w:hAnsi="Times New Roman" w:cs="Times New Roman" w:eastAsia="Times New Roman" w:hint="default"/>
          <w:spacing w:val="8"/>
        </w:rPr>
        <w:t> </w:t>
      </w:r>
      <w:r>
        <w:rPr>
          <w:spacing w:val="-3"/>
        </w:rPr>
        <w:t>照明</w:t>
      </w:r>
      <w:r>
        <w:rPr>
          <w:rFonts w:ascii="Times New Roman" w:hAnsi="Times New Roman" w:cs="Times New Roman" w:eastAsia="Times New Roman" w:hint="default"/>
          <w:spacing w:val="-3"/>
        </w:rPr>
        <w:t>/</w:t>
      </w:r>
      <w:r>
        <w:rPr>
          <w:spacing w:val="-3"/>
        </w:rPr>
        <w:t>显示的柔性衬底。其在我国太阳能电池和先进照明</w:t>
      </w:r>
      <w:r>
        <w:rPr>
          <w:rFonts w:ascii="Times New Roman" w:hAnsi="Times New Roman" w:cs="Times New Roman" w:eastAsia="Times New Roman" w:hint="default"/>
          <w:spacing w:val="-3"/>
        </w:rPr>
        <w:t>/</w:t>
      </w:r>
      <w:r>
        <w:rPr>
          <w:spacing w:val="-3"/>
        </w:rPr>
        <w:t>显示技术这两个领域中成为新</w:t>
      </w:r>
      <w:r>
        <w:rPr>
          <w:spacing w:val="-116"/>
        </w:rPr>
        <w:t> </w:t>
      </w:r>
      <w:r>
        <w:rPr/>
        <w:t>一代产品的基础材料，市场前景广阔，意义重大。</w:t>
      </w:r>
    </w:p>
    <w:p>
      <w:pPr>
        <w:pStyle w:val="BodyText"/>
        <w:spacing w:line="304" w:lineRule="auto" w:before="68"/>
        <w:ind w:right="220" w:firstLine="480"/>
        <w:jc w:val="both"/>
      </w:pPr>
      <w:r>
        <w:rPr/>
        <w:t>报告期内，长春聚明试验室制备柔性透明聚酰亚胺薄膜材料所用的树脂胶液合成 工艺与制备技术成熟稳定，目前已实现成片透明薄膜制备并向相关客户提供了样品，</w:t>
      </w:r>
      <w:r>
        <w:rPr>
          <w:spacing w:val="-117"/>
        </w:rPr>
        <w:t> </w:t>
      </w:r>
      <w:r>
        <w:rPr>
          <w:spacing w:val="-117"/>
        </w:rPr>
      </w:r>
      <w:r>
        <w:rPr/>
        <w:t>耐电晕薄膜材料的研究工作取得初步进展。相关项目产业化的准备工作正在进行中。</w:t>
      </w:r>
    </w:p>
    <w:p>
      <w:pPr>
        <w:spacing w:line="290" w:lineRule="auto" w:before="60"/>
        <w:ind w:left="258" w:right="221" w:firstLine="482"/>
        <w:jc w:val="both"/>
        <w:rPr>
          <w:rFonts w:ascii="宋体" w:hAnsi="宋体" w:cs="宋体" w:eastAsia="宋体" w:hint="default"/>
          <w:sz w:val="24"/>
          <w:szCs w:val="24"/>
        </w:rPr>
      </w:pPr>
      <w:r>
        <w:rPr>
          <w:rFonts w:ascii="宋体" w:hAnsi="宋体" w:cs="宋体" w:eastAsia="宋体" w:hint="default"/>
          <w:b/>
          <w:bCs/>
          <w:spacing w:val="-4"/>
          <w:w w:val="99"/>
          <w:sz w:val="24"/>
          <w:szCs w:val="24"/>
        </w:rPr>
        <w:t>（</w:t>
      </w:r>
      <w:r>
        <w:rPr>
          <w:rFonts w:ascii="Times New Roman" w:hAnsi="Times New Roman" w:cs="Times New Roman" w:eastAsia="Times New Roman" w:hint="default"/>
          <w:b/>
          <w:bCs/>
          <w:spacing w:val="-4"/>
          <w:w w:val="99"/>
          <w:sz w:val="24"/>
          <w:szCs w:val="24"/>
        </w:rPr>
        <w:t>5</w:t>
      </w:r>
      <w:r>
        <w:rPr>
          <w:rFonts w:ascii="宋体" w:hAnsi="宋体" w:cs="宋体" w:eastAsia="宋体" w:hint="default"/>
          <w:b/>
          <w:bCs/>
          <w:spacing w:val="-4"/>
          <w:w w:val="99"/>
          <w:sz w:val="24"/>
          <w:szCs w:val="24"/>
        </w:rPr>
        <w:t>）江西先材纳米纤维科技有限公司（简称“江西先材”）主要产品：纳米纤维</w:t>
      </w:r>
      <w:r>
        <w:rPr>
          <w:rFonts w:ascii="宋体" w:hAnsi="宋体" w:cs="宋体" w:eastAsia="宋体" w:hint="default"/>
          <w:b/>
          <w:bCs/>
          <w:w w:val="99"/>
          <w:sz w:val="24"/>
          <w:szCs w:val="24"/>
        </w:rPr>
        <w:t> </w:t>
      </w:r>
      <w:r>
        <w:rPr>
          <w:rFonts w:ascii="宋体" w:hAnsi="宋体" w:cs="宋体" w:eastAsia="宋体" w:hint="default"/>
          <w:b/>
          <w:bCs/>
          <w:sz w:val="24"/>
          <w:szCs w:val="24"/>
        </w:rPr>
        <w:t>材料及制品</w:t>
      </w:r>
      <w:r>
        <w:rPr>
          <w:rFonts w:ascii="宋体" w:hAnsi="宋体" w:cs="宋体" w:eastAsia="宋体" w:hint="default"/>
          <w:sz w:val="24"/>
          <w:szCs w:val="24"/>
        </w:rPr>
      </w:r>
    </w:p>
    <w:p>
      <w:pPr>
        <w:pStyle w:val="BodyText"/>
        <w:spacing w:line="295" w:lineRule="auto" w:before="74"/>
        <w:ind w:right="221" w:firstLine="480"/>
        <w:jc w:val="both"/>
      </w:pPr>
      <w:r>
        <w:rPr/>
        <w:t>江西先材系由长春高琦与江西师范大学、侯豪情共同出资组建，于</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5</w:t>
      </w:r>
      <w:r>
        <w:rPr/>
        <w:t>日 </w:t>
      </w:r>
      <w:r>
        <w:rPr>
          <w:spacing w:val="-2"/>
        </w:rPr>
        <w:t>成立。公司注册资本</w:t>
      </w:r>
      <w:r>
        <w:rPr>
          <w:rFonts w:ascii="Times New Roman" w:hAnsi="Times New Roman" w:cs="Times New Roman" w:eastAsia="Times New Roman" w:hint="default"/>
          <w:spacing w:val="-2"/>
        </w:rPr>
        <w:t>750</w:t>
      </w:r>
      <w:r>
        <w:rPr>
          <w:spacing w:val="-2"/>
        </w:rPr>
        <w:t>万元，实收资本</w:t>
      </w:r>
      <w:r>
        <w:rPr>
          <w:rFonts w:ascii="Times New Roman" w:hAnsi="Times New Roman" w:cs="Times New Roman" w:eastAsia="Times New Roman" w:hint="default"/>
          <w:spacing w:val="-2"/>
        </w:rPr>
        <w:t>750</w:t>
      </w:r>
      <w:r>
        <w:rPr>
          <w:spacing w:val="-2"/>
        </w:rPr>
        <w:t>万元，长春高琦出资</w:t>
      </w:r>
      <w:r>
        <w:rPr>
          <w:rFonts w:ascii="Times New Roman" w:hAnsi="Times New Roman" w:cs="Times New Roman" w:eastAsia="Times New Roman" w:hint="default"/>
          <w:spacing w:val="-2"/>
        </w:rPr>
        <w:t>450</w:t>
      </w:r>
      <w:r>
        <w:rPr>
          <w:spacing w:val="-2"/>
        </w:rPr>
        <w:t>万元，占</w:t>
      </w:r>
      <w:r>
        <w:rPr>
          <w:rFonts w:ascii="Times New Roman" w:hAnsi="Times New Roman" w:cs="Times New Roman" w:eastAsia="Times New Roman" w:hint="default"/>
          <w:spacing w:val="-2"/>
        </w:rPr>
        <w:t>60%</w:t>
      </w:r>
      <w:r>
        <w:rPr>
          <w:spacing w:val="-2"/>
        </w:rPr>
        <w:t>的持</w:t>
      </w:r>
      <w:r>
        <w:rPr>
          <w:spacing w:val="-94"/>
        </w:rPr>
        <w:t> </w:t>
      </w:r>
      <w:r>
        <w:rPr/>
        <w:t>股比例，江西师范大学和侯豪情以“高速制备聚合物纳米纤维新方法及高性能纳米纤</w:t>
      </w:r>
      <w:r>
        <w:rPr>
          <w:spacing w:val="-117"/>
        </w:rPr>
        <w:t> </w:t>
      </w:r>
      <w:r>
        <w:rPr>
          <w:spacing w:val="-117"/>
        </w:rPr>
      </w:r>
      <w:r>
        <w:rPr/>
        <w:t>维布形成”等相关知识产权评估作价</w:t>
      </w:r>
      <w:r>
        <w:rPr>
          <w:rFonts w:ascii="Times New Roman" w:hAnsi="Times New Roman" w:cs="Times New Roman" w:eastAsia="Times New Roman" w:hint="default"/>
        </w:rPr>
        <w:t>300</w:t>
      </w:r>
      <w:r>
        <w:rPr/>
        <w:t>万元出资，占</w:t>
      </w:r>
      <w:r>
        <w:rPr>
          <w:rFonts w:ascii="Times New Roman" w:hAnsi="Times New Roman" w:cs="Times New Roman" w:eastAsia="Times New Roman" w:hint="default"/>
        </w:rPr>
        <w:t>40%</w:t>
      </w:r>
      <w:r>
        <w:rPr/>
        <w:t>的持股比例。</w:t>
      </w:r>
    </w:p>
    <w:p>
      <w:pPr>
        <w:pStyle w:val="BodyText"/>
        <w:spacing w:line="240" w:lineRule="auto" w:before="47"/>
        <w:ind w:left="738" w:right="0"/>
        <w:jc w:val="left"/>
      </w:pPr>
      <w:r>
        <w:rPr>
          <w:rFonts w:ascii="Times New Roman" w:hAnsi="Times New Roman" w:cs="Times New Roman" w:eastAsia="Times New Roman" w:hint="default"/>
        </w:rPr>
        <w:t>2010  </w:t>
      </w:r>
      <w:r>
        <w:rPr/>
        <w:t>年 </w:t>
      </w:r>
      <w:r>
        <w:rPr>
          <w:rFonts w:ascii="Times New Roman" w:hAnsi="Times New Roman" w:cs="Times New Roman" w:eastAsia="Times New Roman" w:hint="default"/>
        </w:rPr>
        <w:t>9  </w:t>
      </w:r>
      <w:r>
        <w:rPr/>
        <w:t>月江西先材增加注册资本 </w:t>
      </w:r>
      <w:r>
        <w:rPr>
          <w:rFonts w:ascii="Times New Roman" w:hAnsi="Times New Roman" w:cs="Times New Roman" w:eastAsia="Times New Roman" w:hint="default"/>
        </w:rPr>
        <w:t>750  </w:t>
      </w:r>
      <w:r>
        <w:rPr>
          <w:spacing w:val="-5"/>
        </w:rPr>
        <w:t>万元，其中长春高琦增资 </w:t>
      </w:r>
      <w:r>
        <w:rPr>
          <w:rFonts w:ascii="Times New Roman" w:hAnsi="Times New Roman" w:cs="Times New Roman" w:eastAsia="Times New Roman" w:hint="default"/>
        </w:rPr>
        <w:t>527.5 </w:t>
      </w:r>
      <w:r>
        <w:rPr>
          <w:rFonts w:ascii="Times New Roman" w:hAnsi="Times New Roman" w:cs="Times New Roman" w:eastAsia="Times New Roman" w:hint="default"/>
          <w:spacing w:val="11"/>
        </w:rPr>
        <w:t> </w:t>
      </w:r>
      <w:r>
        <w:rPr/>
        <w:t>万元，</w:t>
      </w:r>
    </w:p>
    <w:p>
      <w:pPr>
        <w:pStyle w:val="BodyText"/>
        <w:spacing w:line="240" w:lineRule="auto" w:before="67"/>
        <w:ind w:right="94"/>
        <w:jc w:val="left"/>
      </w:pPr>
      <w:r>
        <w:rPr/>
        <w:t>江西师范大学增资 </w:t>
      </w:r>
      <w:r>
        <w:rPr>
          <w:rFonts w:ascii="Times New Roman" w:hAnsi="Times New Roman" w:cs="Times New Roman" w:eastAsia="Times New Roman" w:hint="default"/>
        </w:rPr>
        <w:t>22.5  </w:t>
      </w:r>
      <w:r>
        <w:rPr>
          <w:rFonts w:ascii="Times New Roman" w:hAnsi="Times New Roman" w:cs="Times New Roman" w:eastAsia="Times New Roman" w:hint="default"/>
          <w:spacing w:val="11"/>
        </w:rPr>
        <w:t> </w:t>
      </w:r>
      <w:r>
        <w:rPr/>
        <w:t>万元，丁孟贤投入</w:t>
      </w:r>
      <w:r>
        <w:rPr>
          <w:rFonts w:ascii="Times New Roman" w:hAnsi="Times New Roman" w:cs="Times New Roman" w:eastAsia="Times New Roman" w:hint="default"/>
        </w:rPr>
        <w:t>20</w:t>
      </w:r>
      <w:r>
        <w:rPr/>
        <w:t>万元，高连勋投入</w:t>
      </w:r>
      <w:r>
        <w:rPr>
          <w:rFonts w:ascii="Times New Roman" w:hAnsi="Times New Roman" w:cs="Times New Roman" w:eastAsia="Times New Roman" w:hint="default"/>
        </w:rPr>
        <w:t>20</w:t>
      </w:r>
      <w:r>
        <w:rPr/>
        <w:t>万元，侯豪情增资</w:t>
      </w:r>
    </w:p>
    <w:p>
      <w:pPr>
        <w:pStyle w:val="BodyText"/>
        <w:spacing w:line="240" w:lineRule="auto" w:before="68"/>
        <w:ind w:right="235"/>
        <w:jc w:val="left"/>
      </w:pPr>
      <w:r>
        <w:rPr>
          <w:rFonts w:ascii="Times New Roman" w:hAnsi="Times New Roman" w:cs="Times New Roman" w:eastAsia="Times New Roman" w:hint="default"/>
        </w:rPr>
        <w:t>150</w:t>
      </w:r>
      <w:r>
        <w:rPr/>
        <w:t>万元，程楚云投入</w:t>
      </w:r>
      <w:r>
        <w:rPr>
          <w:rFonts w:ascii="Times New Roman" w:hAnsi="Times New Roman" w:cs="Times New Roman" w:eastAsia="Times New Roman" w:hint="default"/>
        </w:rPr>
        <w:t>10</w:t>
      </w:r>
      <w:r>
        <w:rPr/>
        <w:t>万元。增资后长春高琦持有江西先材</w:t>
      </w:r>
      <w:r>
        <w:rPr>
          <w:rFonts w:ascii="Times New Roman" w:hAnsi="Times New Roman" w:cs="Times New Roman" w:eastAsia="Times New Roman" w:hint="default"/>
        </w:rPr>
        <w:t>77.17%</w:t>
      </w:r>
      <w:r>
        <w:rPr/>
        <w:t>的股权。</w:t>
      </w:r>
    </w:p>
    <w:p>
      <w:pPr>
        <w:pStyle w:val="BodyText"/>
        <w:spacing w:line="240" w:lineRule="auto" w:before="107"/>
        <w:ind w:left="738" w:right="94"/>
        <w:jc w:val="left"/>
        <w:rPr>
          <w:rFonts w:ascii="Times New Roman" w:hAnsi="Times New Roman" w:cs="Times New Roman" w:eastAsia="Times New Roman" w:hint="default"/>
        </w:rPr>
      </w:pP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5  </w:t>
      </w:r>
      <w:r>
        <w:rPr>
          <w:spacing w:val="-6"/>
        </w:rPr>
        <w:t>月，江西先材拟增加注册资本至 </w:t>
      </w:r>
      <w:r>
        <w:rPr>
          <w:rFonts w:ascii="Times New Roman" w:hAnsi="Times New Roman" w:cs="Times New Roman" w:eastAsia="Times New Roman" w:hint="default"/>
        </w:rPr>
        <w:t>9000  </w:t>
      </w:r>
      <w:r>
        <w:rPr>
          <w:spacing w:val="-7"/>
        </w:rPr>
        <w:t>万元，其中深圳惠程出资</w:t>
      </w:r>
      <w:r>
        <w:rPr>
          <w:spacing w:val="24"/>
        </w:rPr>
        <w:t> </w:t>
      </w:r>
      <w:r>
        <w:rPr>
          <w:rFonts w:ascii="Times New Roman" w:hAnsi="Times New Roman" w:cs="Times New Roman" w:eastAsia="Times New Roman" w:hint="default"/>
        </w:rPr>
        <w:t>4,752</w:t>
      </w:r>
    </w:p>
    <w:p>
      <w:pPr>
        <w:pStyle w:val="BodyText"/>
        <w:spacing w:line="240" w:lineRule="auto" w:before="68"/>
        <w:ind w:right="0"/>
        <w:jc w:val="left"/>
      </w:pPr>
      <w:r>
        <w:rPr/>
        <w:t>万元</w:t>
      </w:r>
      <w:r>
        <w:rPr>
          <w:spacing w:val="-107"/>
        </w:rPr>
        <w:t>，</w:t>
      </w:r>
      <w:r>
        <w:rPr/>
        <w:t>占江西先材股权比例 </w:t>
      </w:r>
      <w:r>
        <w:rPr>
          <w:rFonts w:ascii="Times New Roman" w:hAnsi="Times New Roman" w:cs="Times New Roman" w:eastAsia="Times New Roman" w:hint="default"/>
        </w:rPr>
        <w:t>52.8 %</w:t>
      </w:r>
      <w:r>
        <w:rPr>
          <w:spacing w:val="-107"/>
        </w:rPr>
        <w:t>，</w:t>
      </w:r>
      <w:r>
        <w:rPr/>
        <w:t>长春高琦出资 </w:t>
      </w:r>
      <w:r>
        <w:rPr>
          <w:rFonts w:ascii="Times New Roman" w:hAnsi="Times New Roman" w:cs="Times New Roman" w:eastAsia="Times New Roman" w:hint="default"/>
        </w:rPr>
        <w:t>1350  </w:t>
      </w:r>
      <w:r>
        <w:rPr/>
        <w:t>万元</w:t>
      </w:r>
      <w:r>
        <w:rPr>
          <w:spacing w:val="-107"/>
        </w:rPr>
        <w:t>，</w:t>
      </w:r>
      <w:r>
        <w:rPr/>
        <w:t>占江西先材出资 </w:t>
      </w:r>
      <w:r>
        <w:rPr>
          <w:rFonts w:ascii="Times New Roman" w:hAnsi="Times New Roman" w:cs="Times New Roman" w:eastAsia="Times New Roman" w:hint="default"/>
        </w:rPr>
        <w:t>15 %</w:t>
      </w:r>
      <w:r>
        <w:rPr/>
        <w:t>。</w:t>
      </w:r>
    </w:p>
    <w:p>
      <w:pPr>
        <w:spacing w:after="0" w:line="240" w:lineRule="auto"/>
        <w:jc w:val="left"/>
        <w:sectPr>
          <w:pgSz w:w="11910" w:h="16840"/>
          <w:pgMar w:header="470" w:footer="1266" w:top="900" w:bottom="1460" w:left="1160" w:right="13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297" w:lineRule="auto" w:before="26"/>
        <w:ind w:right="161"/>
        <w:jc w:val="both"/>
      </w:pPr>
      <w:r>
        <w:rPr/>
        <w:t>经公司第三届董事会第二十六次会议审议通过，同意公司以自有资金向江西先材现金</w:t>
      </w:r>
      <w:r>
        <w:rPr>
          <w:spacing w:val="-117"/>
        </w:rPr>
        <w:t> </w:t>
      </w:r>
      <w:r>
        <w:rPr>
          <w:spacing w:val="-117"/>
        </w:rPr>
      </w:r>
      <w:r>
        <w:rPr/>
        <w:t>增资人民币 </w:t>
      </w:r>
      <w:r>
        <w:rPr>
          <w:rFonts w:ascii="Times New Roman" w:hAnsi="Times New Roman" w:cs="Times New Roman" w:eastAsia="Times New Roman" w:hint="default"/>
        </w:rPr>
        <w:t>4,752 </w:t>
      </w:r>
      <w:r>
        <w:rPr>
          <w:spacing w:val="-4"/>
        </w:rPr>
        <w:t>万元，现已经公司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1"/>
        </w:rPr>
        <w:t> </w:t>
      </w:r>
      <w:r>
        <w:rPr/>
        <w:t>年第二次临时股东大会审议批准后实施完 成。</w:t>
      </w:r>
    </w:p>
    <w:p>
      <w:pPr>
        <w:pStyle w:val="BodyText"/>
        <w:tabs>
          <w:tab w:pos="1475" w:val="left" w:leader="none"/>
          <w:tab w:pos="2563" w:val="left" w:leader="none"/>
          <w:tab w:pos="3420" w:val="left" w:leader="none"/>
        </w:tabs>
        <w:spacing w:line="240" w:lineRule="auto" w:before="68"/>
        <w:ind w:left="738" w:right="0"/>
        <w:jc w:val="left"/>
      </w:pPr>
      <w:r>
        <w:rPr>
          <w:spacing w:val="22"/>
        </w:rPr>
        <w:t>截至</w:t>
        <w:tab/>
      </w:r>
      <w:r>
        <w:rPr>
          <w:rFonts w:ascii="Times New Roman" w:hAnsi="Times New Roman" w:cs="Times New Roman" w:eastAsia="Times New Roman" w:hint="default"/>
          <w:spacing w:val="-3"/>
        </w:rPr>
        <w:t>2011 </w:t>
      </w:r>
      <w:r>
        <w:rPr>
          <w:rFonts w:ascii="Times New Roman" w:hAnsi="Times New Roman" w:cs="Times New Roman" w:eastAsia="Times New Roman" w:hint="default"/>
          <w:spacing w:val="51"/>
        </w:rPr>
        <w:t> </w:t>
      </w:r>
      <w:r>
        <w:rPr/>
        <w:t>年</w:t>
        <w:tab/>
      </w:r>
      <w:r>
        <w:rPr>
          <w:rFonts w:ascii="Times New Roman" w:hAnsi="Times New Roman" w:cs="Times New Roman" w:eastAsia="Times New Roman" w:hint="default"/>
        </w:rPr>
        <w:t>12 </w:t>
      </w:r>
      <w:r>
        <w:rPr>
          <w:rFonts w:ascii="Times New Roman" w:hAnsi="Times New Roman" w:cs="Times New Roman" w:eastAsia="Times New Roman" w:hint="default"/>
          <w:spacing w:val="45"/>
        </w:rPr>
        <w:t> </w:t>
      </w:r>
      <w:r>
        <w:rPr/>
        <w:t>月</w:t>
        <w:tab/>
      </w:r>
      <w:r>
        <w:rPr>
          <w:rFonts w:ascii="Times New Roman" w:hAnsi="Times New Roman" w:cs="Times New Roman" w:eastAsia="Times New Roman" w:hint="default"/>
        </w:rPr>
        <w:t>31  </w:t>
      </w:r>
      <w:r>
        <w:rPr>
          <w:spacing w:val="40"/>
        </w:rPr>
        <w:t>日，江西先材总资产 </w:t>
      </w:r>
      <w:r>
        <w:rPr>
          <w:rFonts w:ascii="Times New Roman" w:hAnsi="Times New Roman" w:cs="Times New Roman" w:eastAsia="Times New Roman" w:hint="default"/>
        </w:rPr>
        <w:t>105,328,734.20</w:t>
      </w:r>
      <w:r>
        <w:rPr>
          <w:rFonts w:ascii="Times New Roman" w:hAnsi="Times New Roman" w:cs="Times New Roman" w:eastAsia="Times New Roman" w:hint="default"/>
          <w:spacing w:val="38"/>
        </w:rPr>
        <w:t> </w:t>
      </w:r>
      <w:r>
        <w:rPr>
          <w:spacing w:val="33"/>
        </w:rPr>
        <w:t>元、负债</w:t>
      </w:r>
      <w:r>
        <w:rPr>
          <w:spacing w:val="-75"/>
        </w:rPr>
        <w:t> </w:t>
      </w:r>
      <w:r>
        <w:rPr/>
      </w:r>
    </w:p>
    <w:p>
      <w:pPr>
        <w:pStyle w:val="BodyText"/>
        <w:spacing w:line="240" w:lineRule="auto" w:before="67"/>
        <w:ind w:right="0"/>
        <w:jc w:val="both"/>
      </w:pPr>
      <w:r>
        <w:rPr>
          <w:rFonts w:ascii="Times New Roman" w:hAnsi="Times New Roman" w:cs="Times New Roman" w:eastAsia="Times New Roman" w:hint="default"/>
        </w:rPr>
        <w:t>17,436,037.76  </w:t>
      </w:r>
      <w:r>
        <w:rPr/>
        <w:t>元、净资产 </w:t>
      </w:r>
      <w:r>
        <w:rPr>
          <w:rFonts w:ascii="Times New Roman" w:hAnsi="Times New Roman" w:cs="Times New Roman" w:eastAsia="Times New Roman" w:hint="default"/>
        </w:rPr>
        <w:t>87,892,696.44  </w:t>
      </w:r>
      <w:r>
        <w:rPr/>
        <w:t>元。</w:t>
      </w:r>
      <w:r>
        <w:rPr>
          <w:rFonts w:ascii="Times New Roman" w:hAnsi="Times New Roman" w:cs="Times New Roman" w:eastAsia="Times New Roman" w:hint="default"/>
        </w:rPr>
        <w:t>2011  </w:t>
      </w:r>
      <w:r>
        <w:rPr/>
        <w:t>年度净利润 </w:t>
      </w:r>
      <w:r>
        <w:rPr>
          <w:rFonts w:ascii="Times New Roman" w:hAnsi="Times New Roman" w:cs="Times New Roman" w:eastAsia="Times New Roman" w:hint="default"/>
        </w:rPr>
        <w:t>-1,522,528.57</w:t>
      </w:r>
      <w:r>
        <w:rPr>
          <w:rFonts w:ascii="Times New Roman" w:hAnsi="Times New Roman" w:cs="Times New Roman" w:eastAsia="Times New Roman" w:hint="default"/>
          <w:spacing w:val="51"/>
        </w:rPr>
        <w:t> </w:t>
      </w:r>
      <w:r>
        <w:rPr/>
        <w:t>元。</w:t>
      </w:r>
    </w:p>
    <w:p>
      <w:pPr>
        <w:pStyle w:val="BodyText"/>
        <w:spacing w:line="304" w:lineRule="auto" w:before="108"/>
        <w:ind w:right="0" w:firstLine="480"/>
        <w:jc w:val="left"/>
      </w:pPr>
      <w:r>
        <w:rPr/>
        <w:t>江西先材纳米纤维材料及制品项目均为原创性技术，工业化生产的瓶颈已得到重 大突破，显示出强大的技术生命力及巨大的商业价值。目前在三个方向开展产业化：</w:t>
      </w:r>
    </w:p>
    <w:tbl>
      <w:tblPr>
        <w:tblW w:w="0" w:type="auto"/>
        <w:jc w:val="left"/>
        <w:tblInd w:w="275" w:type="dxa"/>
        <w:tblLayout w:type="fixed"/>
        <w:tblCellMar>
          <w:top w:w="0" w:type="dxa"/>
          <w:left w:w="0" w:type="dxa"/>
          <w:bottom w:w="0" w:type="dxa"/>
          <w:right w:w="0" w:type="dxa"/>
        </w:tblCellMar>
        <w:tblLook w:val="01E0"/>
      </w:tblPr>
      <w:tblGrid>
        <w:gridCol w:w="1530"/>
        <w:gridCol w:w="7249"/>
      </w:tblGrid>
      <w:tr>
        <w:trPr>
          <w:trHeight w:val="276" w:hRule="exact"/>
        </w:trPr>
        <w:tc>
          <w:tcPr>
            <w:tcW w:w="1530" w:type="dxa"/>
            <w:tcBorders>
              <w:top w:val="single" w:sz="4" w:space="0" w:color="000000"/>
              <w:left w:val="single" w:sz="4" w:space="0" w:color="000000"/>
              <w:bottom w:val="nil" w:sz="6" w:space="0" w:color="auto"/>
              <w:right w:val="single" w:sz="4" w:space="0" w:color="000000"/>
            </w:tcBorders>
            <w:shd w:val="clear" w:color="auto" w:fill="D9D9D9"/>
          </w:tcPr>
          <w:p>
            <w:pPr/>
          </w:p>
        </w:tc>
        <w:tc>
          <w:tcPr>
            <w:tcW w:w="7249" w:type="dxa"/>
            <w:tcBorders>
              <w:top w:val="single" w:sz="4" w:space="0" w:color="000000"/>
              <w:left w:val="single" w:sz="4" w:space="0" w:color="000000"/>
              <w:bottom w:val="nil" w:sz="6" w:space="0" w:color="auto"/>
              <w:right w:val="single" w:sz="4" w:space="0" w:color="000000"/>
            </w:tcBorders>
          </w:tcPr>
          <w:p>
            <w:pPr>
              <w:pStyle w:val="TableParagraph"/>
              <w:tabs>
                <w:tab w:pos="523" w:val="left" w:leader="none"/>
              </w:tabs>
              <w:spacing w:line="244" w:lineRule="exact"/>
              <w:ind w:left="103" w:right="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pacing w:val="2"/>
                <w:sz w:val="21"/>
                <w:szCs w:val="21"/>
              </w:rPr>
              <w:t>经过公司内外各方面，包括国家权威机构的测试，公司制备的聚酰亚胺</w:t>
            </w:r>
            <w:r>
              <w:rPr>
                <w:rFonts w:ascii="宋体" w:hAnsi="宋体" w:cs="宋体" w:eastAsia="宋体" w:hint="default"/>
                <w:sz w:val="21"/>
                <w:szCs w:val="21"/>
              </w:rPr>
            </w:r>
          </w:p>
        </w:tc>
      </w:tr>
      <w:tr>
        <w:trPr>
          <w:trHeight w:val="272"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纳米纤维隔膜非常适合用于锂离子动力电池。</w:t>
            </w:r>
          </w:p>
        </w:tc>
      </w:tr>
      <w:tr>
        <w:trPr>
          <w:trHeight w:val="273"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tabs>
                <w:tab w:pos="523" w:val="left" w:leader="none"/>
              </w:tabs>
              <w:spacing w:line="245" w:lineRule="exact"/>
              <w:ind w:left="103" w:right="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pacing w:val="2"/>
                <w:sz w:val="21"/>
                <w:szCs w:val="21"/>
              </w:rPr>
              <w:t>具有高孔隙率、低阻抗、高耐压、高低温特性好等优点，可以有效地改</w:t>
            </w:r>
            <w:r>
              <w:rPr>
                <w:rFonts w:ascii="宋体" w:hAnsi="宋体" w:cs="宋体" w:eastAsia="宋体" w:hint="default"/>
                <w:sz w:val="21"/>
                <w:szCs w:val="21"/>
              </w:rPr>
            </w:r>
          </w:p>
        </w:tc>
      </w:tr>
      <w:tr>
        <w:trPr>
          <w:trHeight w:val="272"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pacing w:val="2"/>
                <w:sz w:val="21"/>
                <w:szCs w:val="21"/>
              </w:rPr>
              <w:t>善锂电的安全特性，改善锂离子电池倍率充放电特性，有效地提高锂离</w:t>
            </w:r>
            <w:r>
              <w:rPr>
                <w:rFonts w:ascii="宋体" w:hAnsi="宋体" w:cs="宋体" w:eastAsia="宋体" w:hint="default"/>
                <w:sz w:val="21"/>
                <w:szCs w:val="21"/>
              </w:rPr>
            </w:r>
          </w:p>
        </w:tc>
      </w:tr>
      <w:tr>
        <w:trPr>
          <w:trHeight w:val="551"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03"/>
              <w:ind w:left="103" w:right="0"/>
              <w:jc w:val="left"/>
              <w:rPr>
                <w:rFonts w:ascii="宋体" w:hAnsi="宋体" w:cs="宋体" w:eastAsia="宋体" w:hint="default"/>
                <w:sz w:val="21"/>
                <w:szCs w:val="21"/>
              </w:rPr>
            </w:pPr>
            <w:r>
              <w:rPr>
                <w:rFonts w:ascii="宋体" w:hAnsi="宋体" w:cs="宋体" w:eastAsia="宋体" w:hint="default"/>
                <w:sz w:val="21"/>
                <w:szCs w:val="21"/>
              </w:rPr>
              <w:t>电池隔膜</w:t>
            </w:r>
          </w:p>
        </w:tc>
        <w:tc>
          <w:tcPr>
            <w:tcW w:w="7249"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523" w:right="0"/>
              <w:jc w:val="left"/>
              <w:rPr>
                <w:rFonts w:ascii="宋体" w:hAnsi="宋体" w:cs="宋体" w:eastAsia="宋体" w:hint="default"/>
                <w:sz w:val="21"/>
                <w:szCs w:val="21"/>
              </w:rPr>
            </w:pPr>
            <w:r>
              <w:rPr>
                <w:rFonts w:ascii="宋体" w:hAnsi="宋体" w:cs="宋体" w:eastAsia="宋体" w:hint="default"/>
                <w:sz w:val="21"/>
                <w:szCs w:val="21"/>
              </w:rPr>
              <w:t>子电池和超级电容器的循环特性。</w:t>
            </w:r>
          </w:p>
          <w:p>
            <w:pPr>
              <w:pStyle w:val="TableParagraph"/>
              <w:tabs>
                <w:tab w:pos="523" w:val="left" w:leader="none"/>
              </w:tabs>
              <w:spacing w:line="290" w:lineRule="exact"/>
              <w:ind w:left="103" w:right="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z w:val="21"/>
                <w:szCs w:val="21"/>
              </w:rPr>
              <w:t>符合耐高温、低电阻、三维（</w:t>
            </w:r>
            <w:r>
              <w:rPr>
                <w:rFonts w:ascii="Times New Roman" w:hAnsi="Times New Roman" w:cs="Times New Roman" w:eastAsia="Times New Roman" w:hint="default"/>
                <w:sz w:val="21"/>
                <w:szCs w:val="21"/>
              </w:rPr>
              <w:t>3D</w:t>
            </w:r>
            <w:r>
              <w:rPr>
                <w:rFonts w:ascii="宋体" w:hAnsi="宋体" w:cs="宋体" w:eastAsia="宋体" w:hint="default"/>
                <w:sz w:val="21"/>
                <w:szCs w:val="21"/>
              </w:rPr>
              <w:t>）结构的国际电池隔膜发展趋势，将带</w:t>
            </w:r>
          </w:p>
        </w:tc>
      </w:tr>
      <w:tr>
        <w:trPr>
          <w:trHeight w:val="267"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523" w:right="0"/>
              <w:jc w:val="left"/>
              <w:rPr>
                <w:rFonts w:ascii="宋体" w:hAnsi="宋体" w:cs="宋体" w:eastAsia="宋体" w:hint="default"/>
                <w:sz w:val="21"/>
                <w:szCs w:val="21"/>
              </w:rPr>
            </w:pPr>
            <w:r>
              <w:rPr>
                <w:rFonts w:ascii="宋体" w:hAnsi="宋体" w:cs="宋体" w:eastAsia="宋体" w:hint="default"/>
                <w:spacing w:val="2"/>
                <w:sz w:val="21"/>
                <w:szCs w:val="21"/>
              </w:rPr>
              <w:t>来突破性的革命，目前公司的产品水平已经大大领先国际同业，走在了</w:t>
            </w:r>
            <w:r>
              <w:rPr>
                <w:rFonts w:ascii="宋体" w:hAnsi="宋体" w:cs="宋体" w:eastAsia="宋体" w:hint="default"/>
                <w:sz w:val="21"/>
                <w:szCs w:val="21"/>
              </w:rPr>
            </w:r>
          </w:p>
        </w:tc>
      </w:tr>
      <w:tr>
        <w:trPr>
          <w:trHeight w:val="272"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前面。</w:t>
            </w:r>
          </w:p>
        </w:tc>
      </w:tr>
      <w:tr>
        <w:trPr>
          <w:trHeight w:val="273"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tabs>
                <w:tab w:pos="523" w:val="left" w:leader="none"/>
              </w:tabs>
              <w:spacing w:line="245" w:lineRule="exact"/>
              <w:ind w:left="103" w:right="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pacing w:val="2"/>
                <w:sz w:val="21"/>
                <w:szCs w:val="21"/>
              </w:rPr>
              <w:t>动力电池隔膜瓶颈问题的解决，将同时促进正负极、电解液等其他关键</w:t>
            </w:r>
            <w:r>
              <w:rPr>
                <w:rFonts w:ascii="宋体" w:hAnsi="宋体" w:cs="宋体" w:eastAsia="宋体" w:hint="default"/>
                <w:sz w:val="21"/>
                <w:szCs w:val="21"/>
              </w:rPr>
            </w:r>
          </w:p>
        </w:tc>
      </w:tr>
      <w:tr>
        <w:trPr>
          <w:trHeight w:val="278" w:hRule="exact"/>
        </w:trPr>
        <w:tc>
          <w:tcPr>
            <w:tcW w:w="1530" w:type="dxa"/>
            <w:tcBorders>
              <w:top w:val="nil" w:sz="6" w:space="0" w:color="auto"/>
              <w:left w:val="single" w:sz="4" w:space="0" w:color="000000"/>
              <w:bottom w:val="single" w:sz="4" w:space="0" w:color="000000"/>
              <w:right w:val="single" w:sz="4" w:space="0" w:color="000000"/>
            </w:tcBorders>
            <w:shd w:val="clear" w:color="auto" w:fill="D9D9D9"/>
          </w:tcPr>
          <w:p>
            <w:pPr/>
          </w:p>
        </w:tc>
        <w:tc>
          <w:tcPr>
            <w:tcW w:w="7249"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材料的提升，必将带来电池整体性能的极大突破。</w:t>
            </w:r>
          </w:p>
        </w:tc>
      </w:tr>
      <w:tr>
        <w:trPr>
          <w:trHeight w:val="276" w:hRule="exact"/>
        </w:trPr>
        <w:tc>
          <w:tcPr>
            <w:tcW w:w="1530" w:type="dxa"/>
            <w:tcBorders>
              <w:top w:val="single" w:sz="4" w:space="0" w:color="000000"/>
              <w:left w:val="single" w:sz="4" w:space="0" w:color="000000"/>
              <w:bottom w:val="nil" w:sz="6" w:space="0" w:color="auto"/>
              <w:right w:val="single" w:sz="4" w:space="0" w:color="000000"/>
            </w:tcBorders>
            <w:shd w:val="clear" w:color="auto" w:fill="D9D9D9"/>
          </w:tcPr>
          <w:p>
            <w:pPr/>
          </w:p>
        </w:tc>
        <w:tc>
          <w:tcPr>
            <w:tcW w:w="7249" w:type="dxa"/>
            <w:tcBorders>
              <w:top w:val="single" w:sz="4" w:space="0" w:color="000000"/>
              <w:left w:val="single" w:sz="4" w:space="0" w:color="000000"/>
              <w:bottom w:val="nil" w:sz="6" w:space="0" w:color="auto"/>
              <w:right w:val="single" w:sz="4" w:space="0" w:color="000000"/>
            </w:tcBorders>
          </w:tcPr>
          <w:p>
            <w:pPr>
              <w:pStyle w:val="TableParagraph"/>
              <w:tabs>
                <w:tab w:pos="523" w:val="left" w:leader="none"/>
              </w:tabs>
              <w:spacing w:line="244" w:lineRule="exact"/>
              <w:ind w:left="103" w:right="-2"/>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z w:val="21"/>
                <w:szCs w:val="21"/>
              </w:rPr>
              <w:t>成功开发以聚酰亚胺为基体材料，经多重加工形成的高强度纳米纤维束，</w:t>
            </w:r>
          </w:p>
        </w:tc>
      </w:tr>
      <w:tr>
        <w:trPr>
          <w:trHeight w:val="272"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世界首条中试规模生产线已成功试车。</w:t>
            </w:r>
          </w:p>
        </w:tc>
      </w:tr>
      <w:tr>
        <w:trPr>
          <w:trHeight w:val="278"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tabs>
                <w:tab w:pos="523" w:val="left" w:leader="none"/>
              </w:tabs>
              <w:spacing w:line="257" w:lineRule="exact"/>
              <w:ind w:left="103" w:right="-2"/>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z w:val="21"/>
                <w:szCs w:val="21"/>
              </w:rPr>
              <w:t>直径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300 </w:t>
            </w:r>
            <w:r>
              <w:rPr>
                <w:rFonts w:ascii="Times New Roman" w:hAnsi="Times New Roman" w:cs="Times New Roman" w:eastAsia="Times New Roman" w:hint="default"/>
                <w:spacing w:val="2"/>
                <w:sz w:val="21"/>
                <w:szCs w:val="21"/>
              </w:rPr>
              <w:t> </w:t>
            </w:r>
            <w:r>
              <w:rPr>
                <w:rFonts w:ascii="宋体" w:hAnsi="宋体" w:cs="宋体" w:eastAsia="宋体" w:hint="default"/>
                <w:spacing w:val="-6"/>
                <w:sz w:val="21"/>
                <w:szCs w:val="21"/>
              </w:rPr>
              <w:t>微米、抗拉强度达</w:t>
            </w:r>
            <w:r>
              <w:rPr>
                <w:rFonts w:ascii="宋体" w:hAnsi="宋体" w:cs="宋体" w:eastAsia="宋体" w:hint="default"/>
                <w:spacing w:val="-53"/>
                <w:sz w:val="21"/>
                <w:szCs w:val="21"/>
              </w:rPr>
              <w:t> </w:t>
            </w:r>
            <w:r>
              <w:rPr>
                <w:rFonts w:ascii="Times New Roman" w:hAnsi="Times New Roman" w:cs="Times New Roman" w:eastAsia="Times New Roman" w:hint="default"/>
                <w:spacing w:val="-6"/>
                <w:sz w:val="21"/>
                <w:szCs w:val="21"/>
              </w:rPr>
              <w:t>3GPa</w:t>
            </w:r>
            <w:r>
              <w:rPr>
                <w:rFonts w:ascii="宋体" w:hAnsi="宋体" w:cs="宋体" w:eastAsia="宋体" w:hint="default"/>
                <w:spacing w:val="-6"/>
                <w:sz w:val="21"/>
                <w:szCs w:val="21"/>
              </w:rPr>
              <w:t>、韧性达</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230MPa </w:t>
            </w:r>
            <w:r>
              <w:rPr>
                <w:rFonts w:ascii="宋体" w:hAnsi="宋体" w:cs="宋体" w:eastAsia="宋体" w:hint="default"/>
                <w:spacing w:val="-5"/>
                <w:sz w:val="21"/>
                <w:szCs w:val="21"/>
              </w:rPr>
              <w:t>以上，具有耐高低温、</w:t>
            </w:r>
          </w:p>
        </w:tc>
      </w:tr>
      <w:tr>
        <w:trPr>
          <w:trHeight w:val="267"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523" w:right="0"/>
              <w:jc w:val="left"/>
              <w:rPr>
                <w:rFonts w:ascii="宋体" w:hAnsi="宋体" w:cs="宋体" w:eastAsia="宋体" w:hint="default"/>
                <w:sz w:val="21"/>
                <w:szCs w:val="21"/>
              </w:rPr>
            </w:pPr>
            <w:r>
              <w:rPr>
                <w:rFonts w:ascii="宋体" w:hAnsi="宋体" w:cs="宋体" w:eastAsia="宋体" w:hint="default"/>
                <w:sz w:val="21"/>
                <w:szCs w:val="21"/>
              </w:rPr>
              <w:t>与基体树脂结合好、高强度、高韧性、抗冲击能力强等特点。</w:t>
            </w:r>
          </w:p>
        </w:tc>
      </w:tr>
      <w:tr>
        <w:trPr>
          <w:trHeight w:val="273"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纳米纤维束</w:t>
            </w:r>
          </w:p>
        </w:tc>
        <w:tc>
          <w:tcPr>
            <w:tcW w:w="7249" w:type="dxa"/>
            <w:tcBorders>
              <w:top w:val="nil" w:sz="6" w:space="0" w:color="auto"/>
              <w:left w:val="single" w:sz="4" w:space="0" w:color="000000"/>
              <w:bottom w:val="nil" w:sz="6" w:space="0" w:color="auto"/>
              <w:right w:val="single" w:sz="4" w:space="0" w:color="000000"/>
            </w:tcBorders>
          </w:tcPr>
          <w:p>
            <w:pPr>
              <w:pStyle w:val="TableParagraph"/>
              <w:tabs>
                <w:tab w:pos="523" w:val="left" w:leader="none"/>
              </w:tabs>
              <w:spacing w:line="245" w:lineRule="exact"/>
              <w:ind w:left="103" w:right="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pacing w:val="2"/>
                <w:sz w:val="21"/>
                <w:szCs w:val="21"/>
              </w:rPr>
              <w:t>适合于用来制造抗冲击强度高的复合材料，可用于高端轮胎用帘子线、</w:t>
            </w:r>
            <w:r>
              <w:rPr>
                <w:rFonts w:ascii="宋体" w:hAnsi="宋体" w:cs="宋体" w:eastAsia="宋体" w:hint="default"/>
                <w:sz w:val="21"/>
                <w:szCs w:val="21"/>
              </w:rPr>
            </w:r>
          </w:p>
        </w:tc>
      </w:tr>
      <w:tr>
        <w:trPr>
          <w:trHeight w:val="272"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缆绳</w:t>
            </w:r>
            <w:r>
              <w:rPr>
                <w:rFonts w:ascii="宋体" w:hAnsi="宋体" w:cs="宋体" w:eastAsia="宋体" w:hint="default"/>
                <w:spacing w:val="-2"/>
                <w:sz w:val="21"/>
                <w:szCs w:val="21"/>
              </w:rPr>
              <w:t>、</w:t>
            </w:r>
            <w:r>
              <w:rPr>
                <w:rFonts w:ascii="宋体" w:hAnsi="宋体" w:cs="宋体" w:eastAsia="宋体" w:hint="default"/>
                <w:sz w:val="21"/>
                <w:szCs w:val="21"/>
              </w:rPr>
              <w:t>高压输电</w:t>
            </w:r>
            <w:r>
              <w:rPr>
                <w:rFonts w:ascii="宋体" w:hAnsi="宋体" w:cs="宋体" w:eastAsia="宋体" w:hint="default"/>
                <w:spacing w:val="-2"/>
                <w:sz w:val="21"/>
                <w:szCs w:val="21"/>
              </w:rPr>
              <w:t>线</w:t>
            </w:r>
            <w:r>
              <w:rPr>
                <w:rFonts w:ascii="宋体" w:hAnsi="宋体" w:cs="宋体" w:eastAsia="宋体" w:hint="default"/>
                <w:sz w:val="21"/>
                <w:szCs w:val="21"/>
              </w:rPr>
              <w:t>（替代钢芯铝绞线中的钢芯</w:t>
            </w:r>
            <w:r>
              <w:rPr>
                <w:rFonts w:ascii="宋体" w:hAnsi="宋体" w:cs="宋体" w:eastAsia="宋体" w:hint="default"/>
                <w:spacing w:val="-106"/>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高档汽车外壳以及</w:t>
            </w:r>
            <w:r>
              <w:rPr>
                <w:rFonts w:ascii="宋体" w:hAnsi="宋体" w:cs="宋体" w:eastAsia="宋体" w:hint="default"/>
                <w:spacing w:val="1"/>
                <w:sz w:val="21"/>
                <w:szCs w:val="21"/>
              </w:rPr>
              <w:t>防</w:t>
            </w:r>
            <w:r>
              <w:rPr>
                <w:rFonts w:ascii="宋体" w:hAnsi="宋体" w:cs="宋体" w:eastAsia="宋体" w:hint="default"/>
                <w:sz w:val="21"/>
                <w:szCs w:val="21"/>
              </w:rPr>
              <w:t>弹</w:t>
            </w:r>
          </w:p>
        </w:tc>
      </w:tr>
      <w:tr>
        <w:trPr>
          <w:trHeight w:val="272"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背心等军事防护领域。</w:t>
            </w:r>
          </w:p>
        </w:tc>
      </w:tr>
      <w:tr>
        <w:trPr>
          <w:trHeight w:val="273"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tabs>
                <w:tab w:pos="523" w:val="left" w:leader="none"/>
              </w:tabs>
              <w:spacing w:line="245" w:lineRule="exact"/>
              <w:ind w:left="103" w:right="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pacing w:val="2"/>
                <w:sz w:val="21"/>
                <w:szCs w:val="21"/>
              </w:rPr>
              <w:t>随着中试装备的不断完善，各项指标还会大幅度提高，为发展低成本、</w:t>
            </w:r>
            <w:r>
              <w:rPr>
                <w:rFonts w:ascii="宋体" w:hAnsi="宋体" w:cs="宋体" w:eastAsia="宋体" w:hint="default"/>
                <w:sz w:val="21"/>
                <w:szCs w:val="21"/>
              </w:rPr>
            </w:r>
          </w:p>
        </w:tc>
      </w:tr>
      <w:tr>
        <w:trPr>
          <w:trHeight w:val="278" w:hRule="exact"/>
        </w:trPr>
        <w:tc>
          <w:tcPr>
            <w:tcW w:w="1530" w:type="dxa"/>
            <w:tcBorders>
              <w:top w:val="nil" w:sz="6" w:space="0" w:color="auto"/>
              <w:left w:val="single" w:sz="4" w:space="0" w:color="000000"/>
              <w:bottom w:val="single" w:sz="4" w:space="0" w:color="000000"/>
              <w:right w:val="single" w:sz="4" w:space="0" w:color="000000"/>
            </w:tcBorders>
            <w:shd w:val="clear" w:color="auto" w:fill="D9D9D9"/>
          </w:tcPr>
          <w:p>
            <w:pPr/>
          </w:p>
        </w:tc>
        <w:tc>
          <w:tcPr>
            <w:tcW w:w="7249"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高比强和耐冲击复合材料奠定坚实基础。</w:t>
            </w:r>
          </w:p>
        </w:tc>
      </w:tr>
      <w:tr>
        <w:trPr>
          <w:trHeight w:val="276" w:hRule="exact"/>
        </w:trPr>
        <w:tc>
          <w:tcPr>
            <w:tcW w:w="1530" w:type="dxa"/>
            <w:tcBorders>
              <w:top w:val="single" w:sz="4" w:space="0" w:color="000000"/>
              <w:left w:val="single" w:sz="4" w:space="0" w:color="000000"/>
              <w:bottom w:val="nil" w:sz="6" w:space="0" w:color="auto"/>
              <w:right w:val="single" w:sz="4" w:space="0" w:color="000000"/>
            </w:tcBorders>
            <w:shd w:val="clear" w:color="auto" w:fill="D9D9D9"/>
          </w:tcPr>
          <w:p>
            <w:pPr/>
          </w:p>
        </w:tc>
        <w:tc>
          <w:tcPr>
            <w:tcW w:w="7249" w:type="dxa"/>
            <w:tcBorders>
              <w:top w:val="single" w:sz="4" w:space="0" w:color="000000"/>
              <w:left w:val="single" w:sz="4" w:space="0" w:color="000000"/>
              <w:bottom w:val="nil" w:sz="6" w:space="0" w:color="auto"/>
              <w:right w:val="single" w:sz="4" w:space="0" w:color="000000"/>
            </w:tcBorders>
          </w:tcPr>
          <w:p>
            <w:pPr>
              <w:pStyle w:val="TableParagraph"/>
              <w:tabs>
                <w:tab w:pos="523" w:val="left" w:leader="none"/>
              </w:tabs>
              <w:spacing w:line="244" w:lineRule="exact"/>
              <w:ind w:left="103" w:right="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z w:val="21"/>
                <w:szCs w:val="21"/>
              </w:rPr>
              <w:t>成功开发高孔隙率三维立体纳米纤维曲孔滤膜。</w:t>
            </w:r>
          </w:p>
        </w:tc>
      </w:tr>
      <w:tr>
        <w:trPr>
          <w:trHeight w:val="272"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tabs>
                <w:tab w:pos="523" w:val="left" w:leader="none"/>
              </w:tabs>
              <w:spacing w:line="245" w:lineRule="exact"/>
              <w:ind w:left="103" w:right="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pacing w:val="2"/>
                <w:sz w:val="21"/>
                <w:szCs w:val="21"/>
              </w:rPr>
              <w:t>具有耐高低温、高强度、高孔隙率、纳米纤维互穿形成曲孔、孔径分布</w:t>
            </w:r>
            <w:r>
              <w:rPr>
                <w:rFonts w:ascii="宋体" w:hAnsi="宋体" w:cs="宋体" w:eastAsia="宋体" w:hint="default"/>
                <w:sz w:val="21"/>
                <w:szCs w:val="21"/>
              </w:rPr>
            </w:r>
          </w:p>
        </w:tc>
      </w:tr>
      <w:tr>
        <w:trPr>
          <w:trHeight w:val="272"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pacing w:val="2"/>
                <w:sz w:val="21"/>
                <w:szCs w:val="21"/>
              </w:rPr>
              <w:t>均匀等特点，使其具有较低的跨膜压力、较高的膜通量和较高的过滤效</w:t>
            </w:r>
            <w:r>
              <w:rPr>
                <w:rFonts w:ascii="宋体" w:hAnsi="宋体" w:cs="宋体" w:eastAsia="宋体" w:hint="default"/>
                <w:sz w:val="21"/>
                <w:szCs w:val="21"/>
              </w:rPr>
            </w:r>
          </w:p>
        </w:tc>
      </w:tr>
      <w:tr>
        <w:trPr>
          <w:trHeight w:val="272"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率及较好的高低温环境适应性。</w:t>
            </w:r>
          </w:p>
        </w:tc>
      </w:tr>
      <w:tr>
        <w:trPr>
          <w:trHeight w:val="278"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tabs>
                <w:tab w:pos="523" w:val="left" w:leader="none"/>
              </w:tabs>
              <w:spacing w:line="257" w:lineRule="exact"/>
              <w:ind w:left="103" w:right="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z w:val="21"/>
                <w:szCs w:val="21"/>
              </w:rPr>
              <w:t>抗张强度达</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pacing w:val="-4"/>
                <w:sz w:val="21"/>
                <w:szCs w:val="21"/>
              </w:rPr>
              <w:t>MPa</w:t>
            </w:r>
            <w:r>
              <w:rPr>
                <w:rFonts w:ascii="宋体" w:hAnsi="宋体" w:cs="宋体" w:eastAsia="宋体" w:hint="default"/>
                <w:spacing w:val="-4"/>
                <w:sz w:val="21"/>
                <w:szCs w:val="21"/>
              </w:rPr>
              <w:t>、使用温度</w:t>
            </w:r>
            <w:r>
              <w:rPr>
                <w:rFonts w:ascii="Times New Roman" w:hAnsi="Times New Roman" w:cs="Times New Roman" w:eastAsia="Times New Roman" w:hint="default"/>
                <w:spacing w:val="-4"/>
                <w:sz w:val="21"/>
                <w:szCs w:val="21"/>
              </w:rPr>
              <w:t>-150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至</w:t>
            </w:r>
            <w:r>
              <w:rPr>
                <w:rFonts w:ascii="宋体" w:hAnsi="宋体" w:cs="宋体" w:eastAsia="宋体" w:hint="default"/>
                <w:spacing w:val="-49"/>
                <w:sz w:val="21"/>
                <w:szCs w:val="21"/>
              </w:rPr>
              <w:t> </w:t>
            </w:r>
            <w:r>
              <w:rPr>
                <w:rFonts w:ascii="Times New Roman" w:hAnsi="Times New Roman" w:cs="Times New Roman" w:eastAsia="Times New Roman" w:hint="default"/>
                <w:spacing w:val="-5"/>
                <w:sz w:val="21"/>
                <w:szCs w:val="21"/>
              </w:rPr>
              <w:t>300</w:t>
            </w:r>
            <w:r>
              <w:rPr>
                <w:rFonts w:ascii="宋体" w:hAnsi="宋体" w:cs="宋体" w:eastAsia="宋体" w:hint="default"/>
                <w:spacing w:val="-5"/>
                <w:sz w:val="21"/>
                <w:szCs w:val="21"/>
              </w:rPr>
              <w:t>℃、孔隙率达</w:t>
            </w:r>
            <w:r>
              <w:rPr>
                <w:rFonts w:ascii="宋体" w:hAnsi="宋体" w:cs="宋体" w:eastAsia="宋体" w:hint="default"/>
                <w:spacing w:val="-49"/>
                <w:sz w:val="21"/>
                <w:szCs w:val="21"/>
              </w:rPr>
              <w:t> </w:t>
            </w:r>
            <w:r>
              <w:rPr>
                <w:rFonts w:ascii="Times New Roman" w:hAnsi="Times New Roman" w:cs="Times New Roman" w:eastAsia="Times New Roman" w:hint="default"/>
                <w:spacing w:val="-5"/>
                <w:sz w:val="21"/>
                <w:szCs w:val="21"/>
              </w:rPr>
              <w:t>90</w:t>
            </w:r>
            <w:r>
              <w:rPr>
                <w:rFonts w:ascii="宋体" w:hAnsi="宋体" w:cs="宋体" w:eastAsia="宋体" w:hint="default"/>
                <w:spacing w:val="-5"/>
                <w:sz w:val="21"/>
                <w:szCs w:val="21"/>
              </w:rPr>
              <w:t>％、孔径平均</w:t>
            </w:r>
          </w:p>
        </w:tc>
      </w:tr>
      <w:tr>
        <w:trPr>
          <w:trHeight w:val="272"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35" w:lineRule="exact"/>
              <w:ind w:left="103" w:right="0"/>
              <w:jc w:val="left"/>
              <w:rPr>
                <w:rFonts w:ascii="宋体" w:hAnsi="宋体" w:cs="宋体" w:eastAsia="宋体" w:hint="default"/>
                <w:sz w:val="21"/>
                <w:szCs w:val="21"/>
              </w:rPr>
            </w:pPr>
            <w:r>
              <w:rPr>
                <w:rFonts w:ascii="宋体" w:hAnsi="宋体" w:cs="宋体" w:eastAsia="宋体" w:hint="default"/>
                <w:sz w:val="21"/>
                <w:szCs w:val="21"/>
              </w:rPr>
              <w:t>环保过滤</w:t>
            </w:r>
          </w:p>
        </w:tc>
        <w:tc>
          <w:tcPr>
            <w:tcW w:w="7249" w:type="dxa"/>
            <w:tcBorders>
              <w:top w:val="nil" w:sz="6" w:space="0" w:color="auto"/>
              <w:left w:val="single" w:sz="4" w:space="0" w:color="000000"/>
              <w:bottom w:val="nil" w:sz="6" w:space="0" w:color="auto"/>
              <w:right w:val="single" w:sz="4" w:space="0" w:color="000000"/>
            </w:tcBorders>
          </w:tcPr>
          <w:p>
            <w:pPr>
              <w:pStyle w:val="TableParagraph"/>
              <w:spacing w:line="251" w:lineRule="exact"/>
              <w:ind w:left="523" w:right="0"/>
              <w:jc w:val="left"/>
              <w:rPr>
                <w:rFonts w:ascii="宋体" w:hAnsi="宋体" w:cs="宋体" w:eastAsia="宋体" w:hint="default"/>
                <w:sz w:val="21"/>
                <w:szCs w:val="21"/>
              </w:rPr>
            </w:pPr>
            <w:r>
              <w:rPr>
                <w:rFonts w:ascii="宋体" w:hAnsi="宋体" w:cs="宋体" w:eastAsia="宋体" w:hint="default"/>
                <w:sz w:val="21"/>
                <w:szCs w:val="21"/>
              </w:rPr>
              <w:t>值</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微米。</w:t>
            </w:r>
          </w:p>
        </w:tc>
      </w:tr>
      <w:tr>
        <w:trPr>
          <w:trHeight w:val="267"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tabs>
                <w:tab w:pos="523" w:val="left" w:leader="none"/>
              </w:tabs>
              <w:spacing w:line="240" w:lineRule="exact"/>
              <w:ind w:left="103" w:right="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pacing w:val="2"/>
                <w:sz w:val="21"/>
                <w:szCs w:val="21"/>
              </w:rPr>
              <w:t>用于液体和气体微滤，以及超滤、纳滤、反渗透膜的基膜，包括中药纯</w:t>
            </w:r>
            <w:r>
              <w:rPr>
                <w:rFonts w:ascii="宋体" w:hAnsi="宋体" w:cs="宋体" w:eastAsia="宋体" w:hint="default"/>
                <w:sz w:val="21"/>
                <w:szCs w:val="21"/>
              </w:rPr>
            </w:r>
          </w:p>
        </w:tc>
      </w:tr>
      <w:tr>
        <w:trPr>
          <w:trHeight w:val="278"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spacing w:line="257" w:lineRule="exact"/>
              <w:ind w:left="523" w:right="0"/>
              <w:jc w:val="left"/>
              <w:rPr>
                <w:rFonts w:ascii="宋体" w:hAnsi="宋体" w:cs="宋体" w:eastAsia="宋体" w:hint="default"/>
                <w:sz w:val="21"/>
                <w:szCs w:val="21"/>
              </w:rPr>
            </w:pPr>
            <w:r>
              <w:rPr>
                <w:rFonts w:ascii="宋体" w:hAnsi="宋体" w:cs="宋体" w:eastAsia="宋体" w:hint="default"/>
                <w:sz w:val="21"/>
                <w:szCs w:val="21"/>
              </w:rPr>
              <w:t>化、水处理、针对</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PM2.5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的空气精细过滤等。</w:t>
            </w:r>
          </w:p>
        </w:tc>
      </w:tr>
      <w:tr>
        <w:trPr>
          <w:trHeight w:val="272"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tabs>
                <w:tab w:pos="523" w:val="left" w:leader="none"/>
              </w:tabs>
              <w:spacing w:line="251" w:lineRule="exact"/>
              <w:ind w:left="103" w:right="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z w:val="21"/>
                <w:szCs w:val="21"/>
              </w:rPr>
              <w:t>已进行了超滤膜的成功试验，在同等跨膜压力下，通量提高</w:t>
            </w:r>
            <w:r>
              <w:rPr>
                <w:rFonts w:ascii="宋体" w:hAnsi="宋体" w:cs="宋体" w:eastAsia="宋体" w:hint="default"/>
                <w:spacing w:val="26"/>
                <w:sz w:val="21"/>
                <w:szCs w:val="21"/>
              </w:rPr>
              <w:t> </w:t>
            </w:r>
            <w:r>
              <w:rPr>
                <w:rFonts w:ascii="Times New Roman" w:hAnsi="Times New Roman" w:cs="Times New Roman" w:eastAsia="Times New Roman" w:hint="default"/>
                <w:sz w:val="21"/>
                <w:szCs w:val="21"/>
              </w:rPr>
              <w:t>30%</w:t>
            </w:r>
            <w:r>
              <w:rPr>
                <w:rFonts w:ascii="宋体" w:hAnsi="宋体" w:cs="宋体" w:eastAsia="宋体" w:hint="default"/>
                <w:sz w:val="21"/>
                <w:szCs w:val="21"/>
              </w:rPr>
              <w:t>以上，</w:t>
            </w:r>
          </w:p>
        </w:tc>
      </w:tr>
      <w:tr>
        <w:trPr>
          <w:trHeight w:val="267" w:hRule="exact"/>
        </w:trPr>
        <w:tc>
          <w:tcPr>
            <w:tcW w:w="1530" w:type="dxa"/>
            <w:tcBorders>
              <w:top w:val="nil" w:sz="6" w:space="0" w:color="auto"/>
              <w:left w:val="single" w:sz="4" w:space="0" w:color="000000"/>
              <w:bottom w:val="nil" w:sz="6" w:space="0" w:color="auto"/>
              <w:right w:val="single" w:sz="4" w:space="0" w:color="000000"/>
            </w:tcBorders>
            <w:shd w:val="clear" w:color="auto" w:fill="D9D9D9"/>
          </w:tcPr>
          <w:p>
            <w:pPr/>
          </w:p>
        </w:tc>
        <w:tc>
          <w:tcPr>
            <w:tcW w:w="7249"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523" w:right="0"/>
              <w:jc w:val="left"/>
              <w:rPr>
                <w:rFonts w:ascii="宋体" w:hAnsi="宋体" w:cs="宋体" w:eastAsia="宋体" w:hint="default"/>
                <w:sz w:val="21"/>
                <w:szCs w:val="21"/>
              </w:rPr>
            </w:pPr>
            <w:r>
              <w:rPr>
                <w:rFonts w:ascii="宋体" w:hAnsi="宋体" w:cs="宋体" w:eastAsia="宋体" w:hint="default"/>
                <w:sz w:val="21"/>
                <w:szCs w:val="21"/>
              </w:rPr>
              <w:t>纳滤和反渗透膜的相关工作还在继续开展。</w:t>
            </w:r>
          </w:p>
        </w:tc>
      </w:tr>
      <w:tr>
        <w:trPr>
          <w:trHeight w:val="279" w:hRule="exact"/>
        </w:trPr>
        <w:tc>
          <w:tcPr>
            <w:tcW w:w="1530" w:type="dxa"/>
            <w:tcBorders>
              <w:top w:val="nil" w:sz="6" w:space="0" w:color="auto"/>
              <w:left w:val="single" w:sz="4" w:space="0" w:color="000000"/>
              <w:bottom w:val="single" w:sz="4" w:space="0" w:color="000000"/>
              <w:right w:val="single" w:sz="4" w:space="0" w:color="000000"/>
            </w:tcBorders>
            <w:shd w:val="clear" w:color="auto" w:fill="D9D9D9"/>
          </w:tcPr>
          <w:p>
            <w:pPr/>
          </w:p>
        </w:tc>
        <w:tc>
          <w:tcPr>
            <w:tcW w:w="7249" w:type="dxa"/>
            <w:tcBorders>
              <w:top w:val="nil" w:sz="6" w:space="0" w:color="auto"/>
              <w:left w:val="single" w:sz="4" w:space="0" w:color="000000"/>
              <w:bottom w:val="single" w:sz="4" w:space="0" w:color="000000"/>
              <w:right w:val="single" w:sz="4" w:space="0" w:color="000000"/>
            </w:tcBorders>
          </w:tcPr>
          <w:p>
            <w:pPr>
              <w:pStyle w:val="TableParagraph"/>
              <w:tabs>
                <w:tab w:pos="523" w:val="left" w:leader="none"/>
              </w:tabs>
              <w:spacing w:line="245" w:lineRule="exact"/>
              <w:ind w:left="103" w:right="0"/>
              <w:jc w:val="left"/>
              <w:rPr>
                <w:rFonts w:ascii="宋体" w:hAnsi="宋体" w:cs="宋体" w:eastAsia="宋体" w:hint="default"/>
                <w:sz w:val="21"/>
                <w:szCs w:val="21"/>
              </w:rPr>
            </w:pPr>
            <w:r>
              <w:rPr>
                <w:rFonts w:ascii="Wingdings" w:hAnsi="Wingdings" w:cs="Wingdings" w:eastAsia="Wingdings" w:hint="default"/>
                <w:w w:val="95"/>
                <w:sz w:val="16"/>
                <w:szCs w:val="16"/>
              </w:rPr>
              <w:t></w:t>
            </w:r>
            <w:r>
              <w:rPr>
                <w:rFonts w:ascii="Times New Roman" w:hAnsi="Times New Roman" w:cs="Times New Roman" w:eastAsia="Times New Roman" w:hint="default"/>
                <w:w w:val="95"/>
                <w:sz w:val="16"/>
                <w:szCs w:val="16"/>
              </w:rPr>
              <w:tab/>
            </w:r>
            <w:r>
              <w:rPr>
                <w:rFonts w:ascii="宋体" w:hAnsi="宋体" w:cs="宋体" w:eastAsia="宋体" w:hint="default"/>
                <w:sz w:val="21"/>
                <w:szCs w:val="21"/>
              </w:rPr>
              <w:t>目前已有来自国外的小批量订货。</w:t>
            </w:r>
          </w:p>
        </w:tc>
      </w:tr>
    </w:tbl>
    <w:p>
      <w:pPr>
        <w:spacing w:line="240" w:lineRule="auto" w:before="11"/>
        <w:rPr>
          <w:rFonts w:ascii="宋体" w:hAnsi="宋体" w:cs="宋体" w:eastAsia="宋体" w:hint="default"/>
          <w:sz w:val="5"/>
          <w:szCs w:val="5"/>
        </w:rPr>
      </w:pPr>
    </w:p>
    <w:p>
      <w:pPr>
        <w:pStyle w:val="BodyText"/>
        <w:spacing w:line="316" w:lineRule="auto" w:before="26"/>
        <w:ind w:left="738" w:right="0"/>
        <w:jc w:val="left"/>
      </w:pPr>
      <w:r>
        <w:rPr/>
        <w:t>（</w:t>
      </w:r>
      <w:r>
        <w:rPr>
          <w:rFonts w:ascii="Times New Roman" w:hAnsi="Times New Roman" w:cs="Times New Roman" w:eastAsia="Times New Roman" w:hint="default"/>
        </w:rPr>
        <w:t>6</w:t>
      </w:r>
      <w:r>
        <w:rPr/>
        <w:t>）深圳市惠程高能能源科技有限公司 该公司主营业务为超级电容器、高能电容、电池储能组件、电动车及工具用动力</w:t>
      </w:r>
    </w:p>
    <w:p>
      <w:pPr>
        <w:pStyle w:val="BodyText"/>
        <w:spacing w:line="290" w:lineRule="auto" w:before="8"/>
        <w:ind w:right="0"/>
        <w:jc w:val="left"/>
      </w:pPr>
      <w:r>
        <w:rPr/>
        <w:t>电容、光伏太阳能路灯组件、</w:t>
      </w:r>
      <w:r>
        <w:rPr>
          <w:rFonts w:ascii="Times New Roman" w:hAnsi="Times New Roman" w:cs="Times New Roman" w:eastAsia="Times New Roman" w:hint="default"/>
        </w:rPr>
        <w:t>UPS</w:t>
      </w:r>
      <w:r>
        <w:rPr/>
        <w:t>用中继电容及材料的研发、购销及信息咨询，注册</w:t>
      </w:r>
      <w:r>
        <w:rPr>
          <w:spacing w:val="-84"/>
        </w:rPr>
        <w:t> </w:t>
      </w:r>
      <w:r>
        <w:rPr/>
        <w:t>资本为 </w:t>
      </w:r>
      <w:r>
        <w:rPr>
          <w:rFonts w:ascii="Times New Roman" w:hAnsi="Times New Roman" w:cs="Times New Roman" w:eastAsia="Times New Roman" w:hint="default"/>
        </w:rPr>
        <w:t>500  </w:t>
      </w:r>
      <w:r>
        <w:rPr/>
        <w:t>万元，本公司持有的股权比例为 </w:t>
      </w:r>
      <w:r>
        <w:rPr>
          <w:rFonts w:ascii="Times New Roman" w:hAnsi="Times New Roman" w:cs="Times New Roman" w:eastAsia="Times New Roman" w:hint="default"/>
        </w:rPr>
        <w:t>100 %</w:t>
      </w:r>
      <w:r>
        <w:rPr/>
        <w:t>。</w:t>
      </w:r>
    </w:p>
    <w:p>
      <w:pPr>
        <w:pStyle w:val="BodyText"/>
        <w:spacing w:line="290" w:lineRule="auto" w:before="51"/>
        <w:ind w:right="0" w:firstLine="480"/>
        <w:jc w:val="left"/>
      </w:pPr>
      <w:r>
        <w:rPr/>
        <w:t>报告期内，惠程高能试制的 </w:t>
      </w:r>
      <w:r>
        <w:rPr>
          <w:rFonts w:ascii="Times New Roman" w:hAnsi="Times New Roman" w:cs="Times New Roman" w:eastAsia="Times New Roman" w:hint="default"/>
        </w:rPr>
        <w:t>PI</w:t>
      </w:r>
      <w:r>
        <w:rPr>
          <w:rFonts w:ascii="Times New Roman" w:hAnsi="Times New Roman" w:cs="Times New Roman" w:eastAsia="Times New Roman" w:hint="default"/>
          <w:spacing w:val="32"/>
        </w:rPr>
        <w:t> </w:t>
      </w:r>
      <w:r>
        <w:rPr/>
        <w:t>隔膜锂离子动力电池产品已通过北方汽车质量监</w:t>
      </w:r>
      <w:r>
        <w:rPr>
          <w:spacing w:val="1"/>
        </w:rPr>
        <w:t> </w:t>
      </w:r>
      <w:r>
        <w:rPr/>
        <w:t>督检定试验所国内权威机构对比测试，聚酰亚胺隔膜动力电池高温性能非常突出，安</w:t>
      </w:r>
    </w:p>
    <w:p>
      <w:pPr>
        <w:spacing w:after="0" w:line="290" w:lineRule="auto"/>
        <w:jc w:val="left"/>
        <w:sectPr>
          <w:footerReference w:type="default" r:id="rId21"/>
          <w:pgSz w:w="11910" w:h="16840"/>
          <w:pgMar w:footer="1266" w:header="470" w:top="900" w:bottom="1460" w:left="1160" w:right="1420"/>
          <w:pgNumType w:start="5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288" w:lineRule="auto" w:before="26"/>
        <w:ind w:right="0"/>
        <w:jc w:val="left"/>
      </w:pPr>
      <w:r>
        <w:rPr/>
        <w:t>全性大大提高，多项性能指标均超过传统的三层复合隔膜。公司送样的</w:t>
      </w:r>
      <w:r>
        <w:rPr>
          <w:rFonts w:ascii="Times New Roman" w:hAnsi="Times New Roman" w:cs="Times New Roman" w:eastAsia="Times New Roman" w:hint="default"/>
        </w:rPr>
        <w:t>PI</w:t>
      </w:r>
      <w:r>
        <w:rPr/>
        <w:t>隔膜锂离子</w:t>
      </w:r>
      <w:r>
        <w:rPr>
          <w:spacing w:val="-80"/>
        </w:rPr>
        <w:t> </w:t>
      </w:r>
      <w:r>
        <w:rPr/>
        <w:t>动力电池完全符合《电动汽车用锂离子蓄电池》标准。</w:t>
      </w:r>
    </w:p>
    <w:p>
      <w:pPr>
        <w:pStyle w:val="BodyText"/>
        <w:spacing w:line="240" w:lineRule="auto" w:before="78"/>
        <w:ind w:left="738" w:right="0"/>
        <w:jc w:val="left"/>
        <w:rPr>
          <w:rFonts w:ascii="Times New Roman" w:hAnsi="Times New Roman" w:cs="Times New Roman" w:eastAsia="Times New Roman" w:hint="default"/>
        </w:rPr>
      </w:pPr>
      <w:r>
        <w:rPr>
          <w:spacing w:val="4"/>
        </w:rPr>
        <w:t>截至 </w:t>
      </w: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  </w:t>
      </w:r>
      <w:r>
        <w:rPr>
          <w:spacing w:val="7"/>
        </w:rPr>
        <w:t>日，该公司总资产 </w:t>
      </w:r>
      <w:r>
        <w:rPr>
          <w:rFonts w:ascii="Times New Roman" w:hAnsi="Times New Roman" w:cs="Times New Roman" w:eastAsia="Times New Roman" w:hint="default"/>
        </w:rPr>
        <w:t>3,689,424.90  </w:t>
      </w:r>
      <w:r>
        <w:rPr>
          <w:spacing w:val="6"/>
        </w:rPr>
        <w:t>元、负债</w:t>
      </w:r>
      <w:r>
        <w:rPr>
          <w:spacing w:val="109"/>
        </w:rPr>
        <w:t> </w:t>
      </w:r>
      <w:r>
        <w:rPr>
          <w:rFonts w:ascii="Times New Roman" w:hAnsi="Times New Roman" w:cs="Times New Roman" w:eastAsia="Times New Roman" w:hint="default"/>
        </w:rPr>
        <w:t>151,433.36</w:t>
      </w:r>
    </w:p>
    <w:p>
      <w:pPr>
        <w:pStyle w:val="BodyText"/>
        <w:tabs>
          <w:tab w:pos="3078" w:val="left" w:leader="none"/>
        </w:tabs>
        <w:spacing w:line="240" w:lineRule="auto" w:before="67"/>
        <w:ind w:right="0"/>
        <w:jc w:val="left"/>
      </w:pPr>
      <w:r>
        <w:rPr/>
        <w:t>元、净资产 </w:t>
      </w:r>
      <w:r>
        <w:rPr>
          <w:rFonts w:ascii="Times New Roman" w:hAnsi="Times New Roman" w:cs="Times New Roman" w:eastAsia="Times New Roman" w:hint="default"/>
        </w:rPr>
        <w:t>3,537,991.54</w:t>
        <w:tab/>
      </w:r>
      <w:r>
        <w:rPr/>
        <w:t>元。</w:t>
      </w:r>
      <w:r>
        <w:rPr>
          <w:rFonts w:ascii="Times New Roman" w:hAnsi="Times New Roman" w:cs="Times New Roman" w:eastAsia="Times New Roman" w:hint="default"/>
        </w:rPr>
        <w:t>2011</w:t>
      </w:r>
      <w:r>
        <w:rPr/>
        <w:t>年度净利润 </w:t>
      </w:r>
      <w:r>
        <w:rPr>
          <w:rFonts w:ascii="Times New Roman" w:hAnsi="Times New Roman" w:cs="Times New Roman" w:eastAsia="Times New Roman" w:hint="default"/>
        </w:rPr>
        <w:t>-312,578.74</w:t>
      </w:r>
      <w:r>
        <w:rPr>
          <w:rFonts w:ascii="Times New Roman" w:hAnsi="Times New Roman" w:cs="Times New Roman" w:eastAsia="Times New Roman" w:hint="default"/>
          <w:spacing w:val="51"/>
        </w:rPr>
        <w:t> </w:t>
      </w:r>
      <w:r>
        <w:rPr/>
        <w:t>元。</w:t>
      </w:r>
    </w:p>
    <w:p>
      <w:pPr>
        <w:pStyle w:val="BodyText"/>
        <w:spacing w:line="316" w:lineRule="auto" w:before="108"/>
        <w:ind w:left="738" w:right="0"/>
        <w:jc w:val="left"/>
      </w:pPr>
      <w:r>
        <w:rPr/>
        <w:t>（</w:t>
      </w:r>
      <w:r>
        <w:rPr>
          <w:rFonts w:ascii="Times New Roman" w:hAnsi="Times New Roman" w:cs="Times New Roman" w:eastAsia="Times New Roman" w:hint="default"/>
        </w:rPr>
        <w:t>7</w:t>
      </w:r>
      <w:r>
        <w:rPr/>
        <w:t>）香港惠程有限公司 该公司主营业务为电力设备及相关配件产品的销售、提供技术支持服务，注册资</w:t>
      </w:r>
    </w:p>
    <w:p>
      <w:pPr>
        <w:pStyle w:val="BodyText"/>
        <w:spacing w:line="240" w:lineRule="auto" w:before="10"/>
        <w:ind w:right="0"/>
        <w:jc w:val="left"/>
      </w:pPr>
      <w:r>
        <w:rPr/>
        <w:t>本为港币</w:t>
      </w:r>
      <w:r>
        <w:rPr>
          <w:rFonts w:ascii="Times New Roman" w:hAnsi="Times New Roman" w:cs="Times New Roman" w:eastAsia="Times New Roman" w:hint="default"/>
        </w:rPr>
        <w:t>1</w:t>
      </w:r>
      <w:r>
        <w:rPr/>
        <w:t>万元，本公司持有的股权比例为</w:t>
      </w:r>
      <w:r>
        <w:rPr>
          <w:rFonts w:ascii="Times New Roman" w:hAnsi="Times New Roman" w:cs="Times New Roman" w:eastAsia="Times New Roman" w:hint="default"/>
        </w:rPr>
        <w:t>100%</w:t>
      </w:r>
      <w:r>
        <w:rPr/>
        <w:t>。</w:t>
      </w:r>
    </w:p>
    <w:p>
      <w:pPr>
        <w:pStyle w:val="BodyText"/>
        <w:spacing w:line="240" w:lineRule="auto" w:before="107"/>
        <w:ind w:left="738" w:right="0"/>
        <w:jc w:val="left"/>
      </w:pPr>
      <w:r>
        <w:rPr/>
        <w:t>截至 </w:t>
      </w: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  </w:t>
      </w:r>
      <w:r>
        <w:rPr>
          <w:spacing w:val="-6"/>
        </w:rPr>
        <w:t>日，该公司总资产 </w:t>
      </w:r>
      <w:r>
        <w:rPr>
          <w:rFonts w:ascii="Times New Roman" w:hAnsi="Times New Roman" w:cs="Times New Roman" w:eastAsia="Times New Roman" w:hint="default"/>
        </w:rPr>
        <w:t>527,493.45  </w:t>
      </w:r>
      <w:r>
        <w:rPr>
          <w:spacing w:val="-12"/>
        </w:rPr>
        <w:t>元、负债 </w:t>
      </w:r>
      <w:r>
        <w:rPr>
          <w:rFonts w:ascii="Times New Roman" w:hAnsi="Times New Roman" w:cs="Times New Roman" w:eastAsia="Times New Roman" w:hint="default"/>
        </w:rPr>
        <w:t>416,183.59 </w:t>
      </w:r>
      <w:r>
        <w:rPr>
          <w:rFonts w:ascii="Times New Roman" w:hAnsi="Times New Roman" w:cs="Times New Roman" w:eastAsia="Times New Roman" w:hint="default"/>
          <w:spacing w:val="31"/>
        </w:rPr>
        <w:t> </w:t>
      </w:r>
      <w:r>
        <w:rPr/>
        <w:t>元、</w:t>
      </w:r>
    </w:p>
    <w:p>
      <w:pPr>
        <w:pStyle w:val="BodyText"/>
        <w:spacing w:line="240" w:lineRule="auto" w:before="68"/>
        <w:ind w:right="0"/>
        <w:jc w:val="left"/>
      </w:pPr>
      <w:r>
        <w:rPr/>
        <w:t>净资产 </w:t>
      </w:r>
      <w:r>
        <w:rPr>
          <w:rFonts w:ascii="Times New Roman" w:hAnsi="Times New Roman" w:cs="Times New Roman" w:eastAsia="Times New Roman" w:hint="default"/>
        </w:rPr>
        <w:t>111,309.86  </w:t>
      </w:r>
      <w:r>
        <w:rPr/>
        <w:t>元，净利润 </w:t>
      </w:r>
      <w:r>
        <w:rPr>
          <w:rFonts w:ascii="Times New Roman" w:hAnsi="Times New Roman" w:cs="Times New Roman" w:eastAsia="Times New Roman" w:hint="default"/>
        </w:rPr>
        <w:t>-347,298.15</w:t>
      </w:r>
      <w:r>
        <w:rPr>
          <w:rFonts w:ascii="Times New Roman" w:hAnsi="Times New Roman" w:cs="Times New Roman" w:eastAsia="Times New Roman" w:hint="default"/>
          <w:spacing w:val="40"/>
        </w:rPr>
        <w:t> </w:t>
      </w:r>
      <w:r>
        <w:rPr/>
        <w:t>元。</w:t>
      </w:r>
    </w:p>
    <w:p>
      <w:pPr>
        <w:spacing w:line="240" w:lineRule="auto" w:before="5"/>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470" w:footer="1266" w:top="900" w:bottom="1460" w:left="1160" w:right="1280"/>
        </w:sectPr>
      </w:pPr>
    </w:p>
    <w:p>
      <w:pPr>
        <w:spacing w:before="26"/>
        <w:ind w:left="740" w:right="-19"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．主要债务变动情况</w:t>
      </w:r>
      <w:r>
        <w:rPr>
          <w:rFonts w:ascii="宋体" w:hAnsi="宋体" w:cs="宋体" w:eastAsia="宋体" w:hint="default"/>
          <w:sz w:val="24"/>
          <w:szCs w:val="24"/>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before="149"/>
        <w:ind w:left="74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900" w:bottom="1460" w:left="1160" w:right="1280"/>
          <w:cols w:num="2" w:equalWidth="0">
            <w:col w:w="3031" w:space="4668"/>
            <w:col w:w="1771"/>
          </w:cols>
        </w:sectPr>
      </w:pPr>
    </w:p>
    <w:p>
      <w:pPr>
        <w:spacing w:line="240" w:lineRule="auto" w:before="4"/>
        <w:rPr>
          <w:rFonts w:ascii="宋体" w:hAnsi="宋体" w:cs="宋体" w:eastAsia="宋体" w:hint="default"/>
          <w:sz w:val="5"/>
          <w:szCs w:val="5"/>
        </w:rPr>
      </w:pPr>
    </w:p>
    <w:tbl>
      <w:tblPr>
        <w:tblW w:w="0" w:type="auto"/>
        <w:jc w:val="left"/>
        <w:tblInd w:w="145" w:type="dxa"/>
        <w:tblLayout w:type="fixed"/>
        <w:tblCellMar>
          <w:top w:w="0" w:type="dxa"/>
          <w:left w:w="0" w:type="dxa"/>
          <w:bottom w:w="0" w:type="dxa"/>
          <w:right w:w="0" w:type="dxa"/>
        </w:tblCellMar>
        <w:tblLook w:val="01E0"/>
      </w:tblPr>
      <w:tblGrid>
        <w:gridCol w:w="2356"/>
        <w:gridCol w:w="1800"/>
        <w:gridCol w:w="1620"/>
        <w:gridCol w:w="1620"/>
        <w:gridCol w:w="1800"/>
      </w:tblGrid>
      <w:tr>
        <w:trPr>
          <w:trHeight w:val="885" w:hRule="exact"/>
        </w:trPr>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511"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年末</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421"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年末</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73" w:right="174"/>
              <w:jc w:val="left"/>
              <w:rPr>
                <w:rFonts w:ascii="宋体" w:hAnsi="宋体" w:cs="宋体" w:eastAsia="宋体" w:hint="default"/>
                <w:sz w:val="18"/>
                <w:szCs w:val="18"/>
              </w:rPr>
            </w:pPr>
            <w:r>
              <w:rPr>
                <w:rFonts w:ascii="宋体" w:hAnsi="宋体" w:cs="宋体" w:eastAsia="宋体" w:hint="default"/>
                <w:sz w:val="18"/>
                <w:szCs w:val="18"/>
              </w:rPr>
              <w:t>本年度末比上年 度末增减（％）</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511"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年末</w:t>
            </w:r>
          </w:p>
        </w:tc>
      </w:tr>
      <w:tr>
        <w:trPr>
          <w:trHeight w:val="323" w:hRule="exact"/>
        </w:trPr>
        <w:tc>
          <w:tcPr>
            <w:tcW w:w="9196"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一、主要债权</w:t>
            </w:r>
          </w:p>
        </w:tc>
      </w:tr>
      <w:tr>
        <w:trPr>
          <w:trHeight w:val="324" w:hRule="exact"/>
        </w:trPr>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1、应收账款</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174,847,378.38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185,658,248.30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z w:val="18"/>
              </w:rPr>
              <w:t>-5.82%</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157,415,774.10</w:t>
            </w:r>
          </w:p>
        </w:tc>
      </w:tr>
      <w:tr>
        <w:trPr>
          <w:trHeight w:val="323" w:hRule="exact"/>
        </w:trPr>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2、其他应收款</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pacing w:val="-1"/>
                <w:sz w:val="18"/>
              </w:rPr>
              <w:t>15,936,694.87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pacing w:val="-1"/>
                <w:sz w:val="18"/>
              </w:rPr>
              <w:t>11,806,465.36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w w:val="95"/>
                <w:sz w:val="18"/>
              </w:rPr>
              <w:t>34.98%</w:t>
            </w:r>
            <w:r>
              <w:rPr>
                <w:rFonts w:ascii="Times New Roman"/>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7,262,523.51</w:t>
            </w:r>
          </w:p>
        </w:tc>
      </w:tr>
      <w:tr>
        <w:trPr>
          <w:trHeight w:val="324" w:hRule="exact"/>
        </w:trPr>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应收款项小计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190,784,073.25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197,464,713.66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z w:val="18"/>
              </w:rPr>
              <w:t>-3.38%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164,678,297.61</w:t>
            </w:r>
          </w:p>
        </w:tc>
      </w:tr>
      <w:tr>
        <w:trPr>
          <w:trHeight w:val="323" w:hRule="exact"/>
        </w:trPr>
        <w:tc>
          <w:tcPr>
            <w:tcW w:w="9196"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02"/>
              <w:jc w:val="right"/>
              <w:rPr>
                <w:rFonts w:ascii="宋体" w:hAnsi="宋体" w:cs="宋体" w:eastAsia="宋体" w:hint="default"/>
                <w:sz w:val="18"/>
                <w:szCs w:val="18"/>
              </w:rPr>
            </w:pPr>
            <w:r>
              <w:rPr>
                <w:rFonts w:ascii="宋体" w:hAnsi="宋体" w:cs="宋体" w:eastAsia="宋体" w:hint="default"/>
                <w:sz w:val="18"/>
                <w:szCs w:val="18"/>
              </w:rPr>
              <w:t>二、主要债务</w:t>
            </w:r>
          </w:p>
        </w:tc>
      </w:tr>
      <w:tr>
        <w:trPr>
          <w:trHeight w:val="324" w:hRule="exact"/>
        </w:trPr>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1、短期借款</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60,000,000.00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200,000,000.00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w w:val="95"/>
                <w:sz w:val="18"/>
              </w:rPr>
              <w:t>-70.00%</w:t>
            </w:r>
            <w:r>
              <w:rPr>
                <w:rFonts w:ascii="Times New Roman"/>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170,000,000.00</w:t>
            </w:r>
          </w:p>
        </w:tc>
      </w:tr>
      <w:tr>
        <w:trPr>
          <w:trHeight w:val="323" w:hRule="exact"/>
        </w:trPr>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2、一年到期的长期借款</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4" w:hRule="exact"/>
        </w:trPr>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3、长期借款</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4" w:hRule="exact"/>
        </w:trPr>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借款小计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60,000,000.00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200,000,000.00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z w:val="18"/>
              </w:rPr>
              <w:t>-70.00%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170,000,000.00</w:t>
            </w:r>
          </w:p>
        </w:tc>
      </w:tr>
    </w:tbl>
    <w:p>
      <w:pPr>
        <w:spacing w:line="261" w:lineRule="auto" w:before="10"/>
        <w:ind w:left="724" w:right="2361" w:firstLine="0"/>
        <w:jc w:val="left"/>
        <w:rPr>
          <w:rFonts w:ascii="宋体" w:hAnsi="宋体" w:cs="宋体" w:eastAsia="宋体" w:hint="default"/>
          <w:sz w:val="18"/>
          <w:szCs w:val="18"/>
        </w:rPr>
      </w:pPr>
      <w:r>
        <w:rPr>
          <w:rFonts w:ascii="宋体" w:hAnsi="宋体" w:cs="宋体" w:eastAsia="宋体" w:hint="default"/>
          <w:sz w:val="18"/>
          <w:szCs w:val="18"/>
        </w:rPr>
        <w:t>其他应收款期末余额较期初余额上升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34.98%</w:t>
      </w:r>
      <w:r>
        <w:rPr>
          <w:rFonts w:ascii="宋体" w:hAnsi="宋体" w:cs="宋体" w:eastAsia="宋体" w:hint="default"/>
          <w:sz w:val="18"/>
          <w:szCs w:val="18"/>
        </w:rPr>
        <w:t>，主要原因系投标保证金增加所致。 短期借款减少的原因系公司归还流动资金贷款所致。</w:t>
      </w:r>
    </w:p>
    <w:p>
      <w:pPr>
        <w:spacing w:line="240" w:lineRule="auto" w:before="1"/>
        <w:rPr>
          <w:rFonts w:ascii="宋体" w:hAnsi="宋体" w:cs="宋体" w:eastAsia="宋体" w:hint="default"/>
          <w:sz w:val="25"/>
          <w:szCs w:val="25"/>
        </w:rPr>
      </w:pPr>
    </w:p>
    <w:p>
      <w:pPr>
        <w:spacing w:before="0"/>
        <w:ind w:left="740" w:right="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、偿债能力分析</w:t>
      </w:r>
      <w:r>
        <w:rPr>
          <w:rFonts w:ascii="宋体" w:hAnsi="宋体" w:cs="宋体" w:eastAsia="宋体" w:hint="default"/>
          <w:sz w:val="24"/>
          <w:szCs w:val="24"/>
        </w:rPr>
      </w:r>
    </w:p>
    <w:p>
      <w:pPr>
        <w:spacing w:line="240" w:lineRule="auto" w:before="6"/>
        <w:rPr>
          <w:rFonts w:ascii="宋体" w:hAnsi="宋体" w:cs="宋体" w:eastAsia="宋体" w:hint="default"/>
          <w:b/>
          <w:bCs/>
          <w:sz w:val="4"/>
          <w:szCs w:val="4"/>
        </w:rPr>
      </w:pPr>
    </w:p>
    <w:tbl>
      <w:tblPr>
        <w:tblW w:w="0" w:type="auto"/>
        <w:jc w:val="left"/>
        <w:tblInd w:w="211" w:type="dxa"/>
        <w:tblLayout w:type="fixed"/>
        <w:tblCellMar>
          <w:top w:w="0" w:type="dxa"/>
          <w:left w:w="0" w:type="dxa"/>
          <w:bottom w:w="0" w:type="dxa"/>
          <w:right w:w="0" w:type="dxa"/>
        </w:tblCellMar>
        <w:tblLook w:val="01E0"/>
      </w:tblPr>
      <w:tblGrid>
        <w:gridCol w:w="2382"/>
        <w:gridCol w:w="1620"/>
        <w:gridCol w:w="1570"/>
        <w:gridCol w:w="1416"/>
        <w:gridCol w:w="1843"/>
      </w:tblGrid>
      <w:tr>
        <w:trPr>
          <w:trHeight w:val="323" w:hRule="exact"/>
        </w:trPr>
        <w:tc>
          <w:tcPr>
            <w:tcW w:w="23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年度</w:t>
            </w:r>
          </w:p>
        </w:tc>
        <w:tc>
          <w:tcPr>
            <w:tcW w:w="1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39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同比增减</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324" w:hRule="exact"/>
        </w:trPr>
        <w:tc>
          <w:tcPr>
            <w:tcW w:w="23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流动比率</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sz w:val="18"/>
              </w:rPr>
              <w:t>6.24</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3.72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2.51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2.3</w:t>
            </w:r>
          </w:p>
        </w:tc>
      </w:tr>
      <w:tr>
        <w:trPr>
          <w:trHeight w:val="324" w:hRule="exact"/>
        </w:trPr>
        <w:tc>
          <w:tcPr>
            <w:tcW w:w="23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速动比率</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sz w:val="18"/>
              </w:rPr>
              <w:t>5.45</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3.43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2.02</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1.98</w:t>
            </w:r>
          </w:p>
        </w:tc>
      </w:tr>
      <w:tr>
        <w:trPr>
          <w:trHeight w:val="323" w:hRule="exact"/>
        </w:trPr>
        <w:tc>
          <w:tcPr>
            <w:tcW w:w="23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资产负债率（母公司）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Times New Roman" w:hAnsi="Times New Roman" w:cs="Times New Roman" w:eastAsia="Times New Roman" w:hint="default"/>
                <w:sz w:val="18"/>
                <w:szCs w:val="18"/>
              </w:rPr>
            </w:pPr>
            <w:r>
              <w:rPr>
                <w:rFonts w:ascii="Times New Roman"/>
                <w:sz w:val="18"/>
              </w:rPr>
              <w:t>11.72%</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501" w:right="0"/>
              <w:jc w:val="left"/>
              <w:rPr>
                <w:rFonts w:ascii="Times New Roman" w:hAnsi="Times New Roman" w:cs="Times New Roman" w:eastAsia="Times New Roman" w:hint="default"/>
                <w:sz w:val="18"/>
                <w:szCs w:val="18"/>
              </w:rPr>
            </w:pPr>
            <w:r>
              <w:rPr>
                <w:rFonts w:ascii="Times New Roman"/>
                <w:sz w:val="18"/>
              </w:rPr>
              <w:t>18.52%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18"/>
                <w:szCs w:val="18"/>
              </w:rPr>
            </w:pPr>
            <w:r>
              <w:rPr>
                <w:rFonts w:ascii="Times New Roman"/>
                <w:sz w:val="18"/>
              </w:rPr>
              <w:t>-6.79%</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18"/>
                <w:szCs w:val="18"/>
              </w:rPr>
            </w:pPr>
            <w:r>
              <w:rPr>
                <w:rFonts w:ascii="Times New Roman"/>
                <w:sz w:val="18"/>
              </w:rPr>
              <w:t>30.44%</w:t>
            </w:r>
          </w:p>
        </w:tc>
      </w:tr>
      <w:tr>
        <w:trPr>
          <w:trHeight w:val="244" w:hRule="exact"/>
        </w:trPr>
        <w:tc>
          <w:tcPr>
            <w:tcW w:w="23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利息保障倍数</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Times New Roman" w:hAnsi="Times New Roman" w:cs="Times New Roman" w:eastAsia="Times New Roman" w:hint="default"/>
                <w:sz w:val="18"/>
                <w:szCs w:val="18"/>
              </w:rPr>
            </w:pPr>
            <w:r>
              <w:rPr>
                <w:rFonts w:ascii="Times New Roman"/>
                <w:sz w:val="18"/>
              </w:rPr>
              <w:t>14.69</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41" w:right="0"/>
              <w:jc w:val="left"/>
              <w:rPr>
                <w:rFonts w:ascii="Times New Roman" w:hAnsi="Times New Roman" w:cs="Times New Roman" w:eastAsia="Times New Roman" w:hint="default"/>
                <w:sz w:val="18"/>
                <w:szCs w:val="18"/>
              </w:rPr>
            </w:pPr>
            <w:r>
              <w:rPr>
                <w:rFonts w:ascii="Times New Roman"/>
                <w:sz w:val="18"/>
              </w:rPr>
              <w:t>9.74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Times New Roman" w:hAnsi="Times New Roman" w:cs="Times New Roman" w:eastAsia="Times New Roman" w:hint="default"/>
                <w:sz w:val="18"/>
                <w:szCs w:val="18"/>
              </w:rPr>
            </w:pPr>
            <w:r>
              <w:rPr>
                <w:rFonts w:ascii="Times New Roman"/>
                <w:sz w:val="18"/>
              </w:rPr>
              <w:t>4.95</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Times New Roman" w:hAnsi="Times New Roman" w:cs="Times New Roman" w:eastAsia="Times New Roman" w:hint="default"/>
                <w:sz w:val="18"/>
                <w:szCs w:val="18"/>
              </w:rPr>
            </w:pPr>
            <w:r>
              <w:rPr>
                <w:rFonts w:ascii="Times New Roman"/>
                <w:sz w:val="18"/>
              </w:rPr>
              <w:t>22.15</w:t>
            </w:r>
          </w:p>
        </w:tc>
      </w:tr>
    </w:tbl>
    <w:p>
      <w:pPr>
        <w:spacing w:line="234" w:lineRule="exact" w:before="32"/>
        <w:ind w:left="258" w:right="283" w:firstLine="360"/>
        <w:jc w:val="both"/>
        <w:rPr>
          <w:rFonts w:ascii="宋体" w:hAnsi="宋体" w:cs="宋体" w:eastAsia="宋体" w:hint="default"/>
          <w:sz w:val="18"/>
          <w:szCs w:val="18"/>
        </w:rPr>
      </w:pPr>
      <w:r>
        <w:rPr>
          <w:rFonts w:ascii="宋体" w:hAnsi="宋体" w:cs="宋体" w:eastAsia="宋体" w:hint="default"/>
          <w:sz w:val="18"/>
          <w:szCs w:val="18"/>
        </w:rPr>
        <w:t>流动比率、速动比率、利息保障倍数增加的原因系</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年度归还大部份银行借款所致。报告期内，公司现金 </w:t>
      </w:r>
      <w:r>
        <w:rPr>
          <w:rFonts w:ascii="宋体" w:hAnsi="宋体" w:cs="宋体" w:eastAsia="宋体" w:hint="default"/>
          <w:spacing w:val="14"/>
          <w:sz w:val="18"/>
          <w:szCs w:val="18"/>
        </w:rPr>
        <w:t>及现金</w:t>
      </w:r>
      <w:r>
        <w:rPr>
          <w:rFonts w:ascii="宋体" w:hAnsi="宋体" w:cs="宋体" w:eastAsia="宋体" w:hint="default"/>
          <w:spacing w:val="-66"/>
          <w:sz w:val="18"/>
          <w:szCs w:val="18"/>
        </w:rPr>
        <w:t> </w:t>
      </w:r>
      <w:r>
        <w:rPr>
          <w:rFonts w:ascii="宋体" w:hAnsi="宋体" w:cs="宋体" w:eastAsia="宋体" w:hint="default"/>
          <w:spacing w:val="11"/>
          <w:sz w:val="18"/>
          <w:szCs w:val="18"/>
        </w:rPr>
        <w:t>等价</w:t>
      </w:r>
      <w:r>
        <w:rPr>
          <w:rFonts w:ascii="宋体" w:hAnsi="宋体" w:cs="宋体" w:eastAsia="宋体" w:hint="default"/>
          <w:spacing w:val="-66"/>
          <w:sz w:val="18"/>
          <w:szCs w:val="18"/>
        </w:rPr>
        <w:t> </w:t>
      </w:r>
      <w:r>
        <w:rPr>
          <w:rFonts w:ascii="宋体" w:hAnsi="宋体" w:cs="宋体" w:eastAsia="宋体" w:hint="default"/>
          <w:sz w:val="18"/>
          <w:szCs w:val="18"/>
        </w:rPr>
        <w:t>物</w:t>
      </w:r>
      <w:r>
        <w:rPr>
          <w:rFonts w:ascii="宋体" w:hAnsi="宋体" w:cs="宋体" w:eastAsia="宋体" w:hint="default"/>
          <w:spacing w:val="-66"/>
          <w:sz w:val="18"/>
          <w:szCs w:val="18"/>
        </w:rPr>
        <w:t> </w:t>
      </w:r>
      <w:r>
        <w:rPr>
          <w:rFonts w:ascii="宋体" w:hAnsi="宋体" w:cs="宋体" w:eastAsia="宋体" w:hint="default"/>
          <w:spacing w:val="14"/>
          <w:sz w:val="18"/>
          <w:szCs w:val="18"/>
        </w:rPr>
        <w:t>净增加</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-145,811,924.80</w:t>
      </w:r>
      <w:r>
        <w:rPr>
          <w:rFonts w:ascii="Times New Roman" w:hAnsi="Times New Roman" w:cs="Times New Roman" w:eastAsia="Times New Roman" w:hint="default"/>
          <w:spacing w:val="23"/>
          <w:sz w:val="18"/>
          <w:szCs w:val="18"/>
        </w:rPr>
        <w:t> </w:t>
      </w:r>
      <w:r>
        <w:rPr>
          <w:rFonts w:ascii="宋体" w:hAnsi="宋体" w:cs="宋体" w:eastAsia="宋体" w:hint="default"/>
          <w:spacing w:val="17"/>
          <w:sz w:val="18"/>
          <w:szCs w:val="18"/>
        </w:rPr>
        <w:t>元，经营活</w:t>
      </w:r>
      <w:r>
        <w:rPr>
          <w:rFonts w:ascii="宋体" w:hAnsi="宋体" w:cs="宋体" w:eastAsia="宋体" w:hint="default"/>
          <w:spacing w:val="-66"/>
          <w:sz w:val="18"/>
          <w:szCs w:val="18"/>
        </w:rPr>
        <w:t> </w:t>
      </w:r>
      <w:r>
        <w:rPr>
          <w:rFonts w:ascii="宋体" w:hAnsi="宋体" w:cs="宋体" w:eastAsia="宋体" w:hint="default"/>
          <w:spacing w:val="11"/>
          <w:sz w:val="18"/>
          <w:szCs w:val="18"/>
        </w:rPr>
        <w:t>动产</w:t>
      </w:r>
      <w:r>
        <w:rPr>
          <w:rFonts w:ascii="宋体" w:hAnsi="宋体" w:cs="宋体" w:eastAsia="宋体" w:hint="default"/>
          <w:spacing w:val="-66"/>
          <w:sz w:val="18"/>
          <w:szCs w:val="18"/>
        </w:rPr>
        <w:t> </w:t>
      </w:r>
      <w:r>
        <w:rPr>
          <w:rFonts w:ascii="宋体" w:hAnsi="宋体" w:cs="宋体" w:eastAsia="宋体" w:hint="default"/>
          <w:sz w:val="18"/>
          <w:szCs w:val="18"/>
        </w:rPr>
        <w:t>生</w:t>
      </w:r>
      <w:r>
        <w:rPr>
          <w:rFonts w:ascii="宋体" w:hAnsi="宋体" w:cs="宋体" w:eastAsia="宋体" w:hint="default"/>
          <w:spacing w:val="-66"/>
          <w:sz w:val="18"/>
          <w:szCs w:val="18"/>
        </w:rPr>
        <w:t> </w:t>
      </w:r>
      <w:r>
        <w:rPr>
          <w:rFonts w:ascii="宋体" w:hAnsi="宋体" w:cs="宋体" w:eastAsia="宋体" w:hint="default"/>
          <w:spacing w:val="14"/>
          <w:sz w:val="18"/>
          <w:szCs w:val="18"/>
        </w:rPr>
        <w:t>的现金</w:t>
      </w:r>
      <w:r>
        <w:rPr>
          <w:rFonts w:ascii="宋体" w:hAnsi="宋体" w:cs="宋体" w:eastAsia="宋体" w:hint="default"/>
          <w:spacing w:val="-66"/>
          <w:sz w:val="18"/>
          <w:szCs w:val="18"/>
        </w:rPr>
        <w:t> </w:t>
      </w:r>
      <w:r>
        <w:rPr>
          <w:rFonts w:ascii="宋体" w:hAnsi="宋体" w:cs="宋体" w:eastAsia="宋体" w:hint="default"/>
          <w:spacing w:val="11"/>
          <w:sz w:val="18"/>
          <w:szCs w:val="18"/>
        </w:rPr>
        <w:t>流量</w:t>
      </w:r>
      <w:r>
        <w:rPr>
          <w:rFonts w:ascii="宋体" w:hAnsi="宋体" w:cs="宋体" w:eastAsia="宋体" w:hint="default"/>
          <w:spacing w:val="-66"/>
          <w:sz w:val="18"/>
          <w:szCs w:val="18"/>
        </w:rPr>
        <w:t> </w:t>
      </w:r>
      <w:r>
        <w:rPr>
          <w:rFonts w:ascii="宋体" w:hAnsi="宋体" w:cs="宋体" w:eastAsia="宋体" w:hint="default"/>
          <w:sz w:val="18"/>
          <w:szCs w:val="18"/>
        </w:rPr>
        <w:t>净</w:t>
      </w:r>
      <w:r>
        <w:rPr>
          <w:rFonts w:ascii="宋体" w:hAnsi="宋体" w:cs="宋体" w:eastAsia="宋体" w:hint="default"/>
          <w:spacing w:val="-66"/>
          <w:sz w:val="18"/>
          <w:szCs w:val="18"/>
        </w:rPr>
        <w:t> </w:t>
      </w:r>
      <w:r>
        <w:rPr>
          <w:rFonts w:ascii="宋体" w:hAnsi="宋体" w:cs="宋体" w:eastAsia="宋体" w:hint="default"/>
          <w:sz w:val="18"/>
          <w:szCs w:val="18"/>
        </w:rPr>
        <w:t>额</w:t>
      </w:r>
      <w:r>
        <w:rPr>
          <w:rFonts w:ascii="宋体" w:hAnsi="宋体" w:cs="宋体" w:eastAsia="宋体" w:hint="default"/>
          <w:spacing w:val="22"/>
          <w:sz w:val="18"/>
          <w:szCs w:val="18"/>
        </w:rPr>
        <w:t> </w:t>
      </w:r>
      <w:r>
        <w:rPr>
          <w:rFonts w:ascii="Times New Roman" w:hAnsi="Times New Roman" w:cs="Times New Roman" w:eastAsia="Times New Roman" w:hint="default"/>
          <w:sz w:val="18"/>
          <w:szCs w:val="18"/>
        </w:rPr>
        <w:t>105,908,671.43</w:t>
      </w:r>
      <w:r>
        <w:rPr>
          <w:rFonts w:ascii="Times New Roman" w:hAnsi="Times New Roman" w:cs="Times New Roman" w:eastAsia="Times New Roman" w:hint="default"/>
          <w:spacing w:val="22"/>
          <w:sz w:val="18"/>
          <w:szCs w:val="18"/>
        </w:rPr>
        <w:t> </w:t>
      </w:r>
      <w:r>
        <w:rPr>
          <w:rFonts w:ascii="宋体" w:hAnsi="宋体" w:cs="宋体" w:eastAsia="宋体" w:hint="default"/>
          <w:spacing w:val="14"/>
          <w:sz w:val="18"/>
          <w:szCs w:val="18"/>
        </w:rPr>
        <w:t>元，货</w:t>
      </w:r>
      <w:r>
        <w:rPr>
          <w:rFonts w:ascii="宋体" w:hAnsi="宋体" w:cs="宋体" w:eastAsia="宋体" w:hint="default"/>
          <w:spacing w:val="-66"/>
          <w:sz w:val="18"/>
          <w:szCs w:val="18"/>
        </w:rPr>
        <w:t> </w:t>
      </w:r>
      <w:r>
        <w:rPr>
          <w:rFonts w:ascii="宋体" w:hAnsi="宋体" w:cs="宋体" w:eastAsia="宋体" w:hint="default"/>
          <w:sz w:val="18"/>
          <w:szCs w:val="18"/>
        </w:rPr>
        <w:t>币</w:t>
      </w:r>
      <w:r>
        <w:rPr>
          <w:rFonts w:ascii="宋体" w:hAnsi="宋体" w:cs="宋体" w:eastAsia="宋体" w:hint="default"/>
          <w:spacing w:val="-66"/>
          <w:sz w:val="18"/>
          <w:szCs w:val="18"/>
        </w:rPr>
        <w:t> </w:t>
      </w:r>
      <w:r>
        <w:rPr>
          <w:rFonts w:ascii="宋体" w:hAnsi="宋体" w:cs="宋体" w:eastAsia="宋体" w:hint="default"/>
          <w:spacing w:val="14"/>
          <w:sz w:val="18"/>
          <w:szCs w:val="18"/>
        </w:rPr>
        <w:t>资金达</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489,144,502.08</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元。总体而言，公司具有良好的偿债能力。</w:t>
      </w:r>
    </w:p>
    <w:p>
      <w:pPr>
        <w:spacing w:line="240" w:lineRule="auto" w:before="5"/>
        <w:rPr>
          <w:rFonts w:ascii="宋体" w:hAnsi="宋体" w:cs="宋体" w:eastAsia="宋体" w:hint="default"/>
          <w:sz w:val="19"/>
          <w:szCs w:val="19"/>
        </w:rPr>
      </w:pPr>
    </w:p>
    <w:p>
      <w:pPr>
        <w:spacing w:before="0"/>
        <w:ind w:left="740" w:right="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6</w:t>
      </w:r>
      <w:r>
        <w:rPr>
          <w:rFonts w:ascii="宋体" w:hAnsi="宋体" w:cs="宋体" w:eastAsia="宋体" w:hint="default"/>
          <w:b/>
          <w:bCs/>
          <w:sz w:val="24"/>
          <w:szCs w:val="24"/>
        </w:rPr>
        <w:t>、资产营运能力分析</w:t>
      </w:r>
      <w:r>
        <w:rPr>
          <w:rFonts w:ascii="宋体" w:hAnsi="宋体" w:cs="宋体" w:eastAsia="宋体" w:hint="default"/>
          <w:sz w:val="24"/>
          <w:szCs w:val="24"/>
        </w:rPr>
      </w:r>
    </w:p>
    <w:p>
      <w:pPr>
        <w:spacing w:line="240" w:lineRule="auto" w:before="6"/>
        <w:rPr>
          <w:rFonts w:ascii="宋体" w:hAnsi="宋体" w:cs="宋体" w:eastAsia="宋体" w:hint="default"/>
          <w:b/>
          <w:bCs/>
          <w:sz w:val="4"/>
          <w:szCs w:val="4"/>
        </w:rPr>
      </w:pPr>
    </w:p>
    <w:tbl>
      <w:tblPr>
        <w:tblW w:w="0" w:type="auto"/>
        <w:jc w:val="left"/>
        <w:tblInd w:w="145" w:type="dxa"/>
        <w:tblLayout w:type="fixed"/>
        <w:tblCellMar>
          <w:top w:w="0" w:type="dxa"/>
          <w:left w:w="0" w:type="dxa"/>
          <w:bottom w:w="0" w:type="dxa"/>
          <w:right w:w="0" w:type="dxa"/>
        </w:tblCellMar>
        <w:tblLook w:val="01E0"/>
      </w:tblPr>
      <w:tblGrid>
        <w:gridCol w:w="2448"/>
        <w:gridCol w:w="1620"/>
        <w:gridCol w:w="1620"/>
        <w:gridCol w:w="1379"/>
        <w:gridCol w:w="1768"/>
      </w:tblGrid>
      <w:tr>
        <w:trPr>
          <w:trHeight w:val="324" w:hRule="exact"/>
        </w:trPr>
        <w:tc>
          <w:tcPr>
            <w:tcW w:w="24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年度</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同比增减</w:t>
            </w:r>
          </w:p>
        </w:tc>
        <w:tc>
          <w:tcPr>
            <w:tcW w:w="17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323" w:hRule="exact"/>
        </w:trPr>
        <w:tc>
          <w:tcPr>
            <w:tcW w:w="24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应收账款周转率（次）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 w:right="0"/>
              <w:jc w:val="center"/>
              <w:rPr>
                <w:rFonts w:ascii="Times New Roman" w:hAnsi="Times New Roman" w:cs="Times New Roman" w:eastAsia="Times New Roman" w:hint="default"/>
                <w:sz w:val="18"/>
                <w:szCs w:val="18"/>
              </w:rPr>
            </w:pPr>
            <w:r>
              <w:rPr>
                <w:rFonts w:ascii="Times New Roman"/>
                <w:sz w:val="18"/>
              </w:rPr>
              <w:t>2.05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Times New Roman" w:hAnsi="Times New Roman" w:cs="Times New Roman" w:eastAsia="Times New Roman" w:hint="default"/>
                <w:sz w:val="18"/>
                <w:szCs w:val="18"/>
              </w:rPr>
            </w:pPr>
            <w:r>
              <w:rPr>
                <w:rFonts w:ascii="Times New Roman"/>
                <w:sz w:val="18"/>
              </w:rPr>
              <w:t>2.06</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Times New Roman" w:hAnsi="Times New Roman" w:cs="Times New Roman" w:eastAsia="Times New Roman" w:hint="default"/>
                <w:sz w:val="18"/>
                <w:szCs w:val="18"/>
              </w:rPr>
            </w:pPr>
            <w:r>
              <w:rPr>
                <w:rFonts w:ascii="Times New Roman"/>
                <w:sz w:val="18"/>
              </w:rPr>
              <w:t>-0.01</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Times New Roman" w:hAnsi="Times New Roman" w:cs="Times New Roman" w:eastAsia="Times New Roman" w:hint="default"/>
                <w:sz w:val="18"/>
                <w:szCs w:val="18"/>
              </w:rPr>
            </w:pPr>
            <w:r>
              <w:rPr>
                <w:rFonts w:ascii="Times New Roman"/>
                <w:sz w:val="18"/>
              </w:rPr>
              <w:t>2.37</w:t>
            </w:r>
          </w:p>
        </w:tc>
      </w:tr>
      <w:tr>
        <w:trPr>
          <w:trHeight w:val="324" w:hRule="exact"/>
        </w:trPr>
        <w:tc>
          <w:tcPr>
            <w:tcW w:w="24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存货周转率（次）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 w:right="0"/>
              <w:jc w:val="center"/>
              <w:rPr>
                <w:rFonts w:ascii="Times New Roman" w:hAnsi="Times New Roman" w:cs="Times New Roman" w:eastAsia="Times New Roman" w:hint="default"/>
                <w:sz w:val="18"/>
                <w:szCs w:val="18"/>
              </w:rPr>
            </w:pPr>
            <w:r>
              <w:rPr>
                <w:rFonts w:ascii="Times New Roman"/>
                <w:sz w:val="18"/>
              </w:rPr>
              <w:t>2.13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Times New Roman" w:hAnsi="Times New Roman" w:cs="Times New Roman" w:eastAsia="Times New Roman" w:hint="default"/>
                <w:sz w:val="18"/>
                <w:szCs w:val="18"/>
              </w:rPr>
            </w:pPr>
            <w:r>
              <w:rPr>
                <w:rFonts w:ascii="Times New Roman"/>
                <w:sz w:val="18"/>
              </w:rPr>
              <w:t>2.50</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Times New Roman" w:hAnsi="Times New Roman" w:cs="Times New Roman" w:eastAsia="Times New Roman" w:hint="default"/>
                <w:sz w:val="18"/>
                <w:szCs w:val="18"/>
              </w:rPr>
            </w:pPr>
            <w:r>
              <w:rPr>
                <w:rFonts w:ascii="Times New Roman"/>
                <w:sz w:val="18"/>
              </w:rPr>
              <w:t>-0.37</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Times New Roman" w:hAnsi="Times New Roman" w:cs="Times New Roman" w:eastAsia="Times New Roman" w:hint="default"/>
                <w:sz w:val="18"/>
                <w:szCs w:val="18"/>
              </w:rPr>
            </w:pPr>
            <w:r>
              <w:rPr>
                <w:rFonts w:ascii="Times New Roman"/>
                <w:sz w:val="18"/>
              </w:rPr>
              <w:t>2.94</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900" w:bottom="1460" w:left="1160" w:right="128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spacing w:before="0"/>
        <w:ind w:left="258" w:right="0" w:firstLine="360"/>
        <w:jc w:val="left"/>
        <w:rPr>
          <w:rFonts w:ascii="宋体" w:hAnsi="宋体" w:cs="宋体" w:eastAsia="宋体" w:hint="default"/>
          <w:sz w:val="18"/>
          <w:szCs w:val="18"/>
        </w:rPr>
      </w:pPr>
      <w:r>
        <w:rPr>
          <w:rFonts w:ascii="宋体" w:hAnsi="宋体" w:cs="宋体" w:eastAsia="宋体" w:hint="default"/>
          <w:sz w:val="18"/>
          <w:szCs w:val="18"/>
        </w:rPr>
        <w:t>报告期内，公司销售政策、采购政策及采购周期稳定，产品销售状况良好。存货周转率与上年同期相比有所</w:t>
      </w:r>
      <w:r>
        <w:rPr>
          <w:rFonts w:ascii="宋体" w:hAnsi="宋体" w:cs="宋体" w:eastAsia="宋体" w:hint="default"/>
          <w:spacing w:val="1"/>
          <w:sz w:val="18"/>
          <w:szCs w:val="18"/>
        </w:rPr>
        <w:t> </w:t>
      </w:r>
      <w:r>
        <w:rPr>
          <w:rFonts w:ascii="宋体" w:hAnsi="宋体" w:cs="宋体" w:eastAsia="宋体" w:hint="default"/>
          <w:sz w:val="18"/>
          <w:szCs w:val="18"/>
        </w:rPr>
        <w:t>下降，原因是公司加大了存货储备。</w:t>
      </w:r>
    </w:p>
    <w:p>
      <w:pPr>
        <w:spacing w:before="38"/>
        <w:ind w:left="618" w:right="0" w:firstLine="0"/>
        <w:jc w:val="left"/>
        <w:rPr>
          <w:rFonts w:ascii="宋体" w:hAnsi="宋体" w:cs="宋体" w:eastAsia="宋体" w:hint="default"/>
          <w:sz w:val="18"/>
          <w:szCs w:val="18"/>
        </w:rPr>
      </w:pPr>
      <w:r>
        <w:rPr>
          <w:rFonts w:ascii="宋体" w:hAnsi="宋体" w:cs="宋体" w:eastAsia="宋体" w:hint="default"/>
          <w:sz w:val="18"/>
          <w:szCs w:val="18"/>
        </w:rPr>
        <w:t>总体而言公司资产营运效率良好。</w:t>
      </w:r>
    </w:p>
    <w:p>
      <w:pPr>
        <w:spacing w:line="240" w:lineRule="auto" w:before="5"/>
        <w:rPr>
          <w:rFonts w:ascii="宋体" w:hAnsi="宋体" w:cs="宋体" w:eastAsia="宋体" w:hint="default"/>
          <w:sz w:val="26"/>
          <w:szCs w:val="26"/>
        </w:rPr>
      </w:pPr>
    </w:p>
    <w:p>
      <w:pPr>
        <w:spacing w:before="0"/>
        <w:ind w:left="740" w:right="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7</w:t>
      </w:r>
      <w:r>
        <w:rPr>
          <w:rFonts w:ascii="宋体" w:hAnsi="宋体" w:cs="宋体" w:eastAsia="宋体" w:hint="default"/>
          <w:b/>
          <w:bCs/>
          <w:sz w:val="24"/>
          <w:szCs w:val="24"/>
        </w:rPr>
        <w:t>、公司经营活动、投资活动和筹资活动产生的现金流量的构成情况及变动分析</w:t>
      </w:r>
      <w:r>
        <w:rPr>
          <w:rFonts w:ascii="宋体" w:hAnsi="宋体" w:cs="宋体" w:eastAsia="宋体" w:hint="default"/>
          <w:sz w:val="24"/>
          <w:szCs w:val="24"/>
        </w:rPr>
      </w:r>
    </w:p>
    <w:p>
      <w:pPr>
        <w:spacing w:line="240" w:lineRule="auto" w:before="6"/>
        <w:rPr>
          <w:rFonts w:ascii="宋体" w:hAnsi="宋体" w:cs="宋体" w:eastAsia="宋体" w:hint="default"/>
          <w:b/>
          <w:bCs/>
          <w:sz w:val="4"/>
          <w:szCs w:val="4"/>
        </w:rPr>
      </w:pPr>
    </w:p>
    <w:tbl>
      <w:tblPr>
        <w:tblW w:w="0" w:type="auto"/>
        <w:jc w:val="left"/>
        <w:tblInd w:w="237" w:type="dxa"/>
        <w:tblLayout w:type="fixed"/>
        <w:tblCellMar>
          <w:top w:w="0" w:type="dxa"/>
          <w:left w:w="0" w:type="dxa"/>
          <w:bottom w:w="0" w:type="dxa"/>
          <w:right w:w="0" w:type="dxa"/>
        </w:tblCellMar>
        <w:tblLook w:val="01E0"/>
      </w:tblPr>
      <w:tblGrid>
        <w:gridCol w:w="2917"/>
        <w:gridCol w:w="1919"/>
        <w:gridCol w:w="2125"/>
        <w:gridCol w:w="1843"/>
      </w:tblGrid>
      <w:tr>
        <w:trPr>
          <w:trHeight w:val="323" w:hRule="exact"/>
        </w:trPr>
        <w:tc>
          <w:tcPr>
            <w:tcW w:w="2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571" w:right="0"/>
              <w:jc w:val="left"/>
              <w:rPr>
                <w:rFonts w:ascii="仿宋" w:hAnsi="仿宋" w:cs="仿宋" w:eastAsia="仿宋" w:hint="default"/>
                <w:sz w:val="18"/>
                <w:szCs w:val="18"/>
              </w:rPr>
            </w:pPr>
            <w:r>
              <w:rPr>
                <w:rFonts w:ascii="仿宋" w:hAnsi="仿宋" w:cs="仿宋" w:eastAsia="仿宋" w:hint="default"/>
                <w:sz w:val="18"/>
                <w:szCs w:val="18"/>
              </w:rPr>
              <w:t>2011</w:t>
            </w:r>
            <w:r>
              <w:rPr>
                <w:rFonts w:ascii="仿宋" w:hAnsi="仿宋" w:cs="仿宋" w:eastAsia="仿宋" w:hint="default"/>
                <w:spacing w:val="-46"/>
                <w:sz w:val="18"/>
                <w:szCs w:val="18"/>
              </w:rPr>
              <w:t> </w:t>
            </w:r>
            <w:r>
              <w:rPr>
                <w:rFonts w:ascii="仿宋" w:hAnsi="仿宋" w:cs="仿宋" w:eastAsia="仿宋" w:hint="default"/>
                <w:sz w:val="18"/>
                <w:szCs w:val="18"/>
              </w:rPr>
              <w:t>年度</w:t>
            </w:r>
          </w:p>
        </w:tc>
        <w:tc>
          <w:tcPr>
            <w:tcW w:w="21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674" w:right="0"/>
              <w:jc w:val="left"/>
              <w:rPr>
                <w:rFonts w:ascii="仿宋" w:hAnsi="仿宋" w:cs="仿宋" w:eastAsia="仿宋" w:hint="default"/>
                <w:sz w:val="18"/>
                <w:szCs w:val="18"/>
              </w:rPr>
            </w:pPr>
            <w:r>
              <w:rPr>
                <w:rFonts w:ascii="仿宋" w:hAnsi="仿宋" w:cs="仿宋" w:eastAsia="仿宋" w:hint="default"/>
                <w:sz w:val="18"/>
                <w:szCs w:val="18"/>
              </w:rPr>
              <w:t>2010</w:t>
            </w:r>
            <w:r>
              <w:rPr>
                <w:rFonts w:ascii="仿宋" w:hAnsi="仿宋" w:cs="仿宋" w:eastAsia="仿宋" w:hint="default"/>
                <w:spacing w:val="-46"/>
                <w:sz w:val="18"/>
                <w:szCs w:val="18"/>
              </w:rPr>
              <w:t> </w:t>
            </w:r>
            <w:r>
              <w:rPr>
                <w:rFonts w:ascii="仿宋" w:hAnsi="仿宋" w:cs="仿宋" w:eastAsia="仿宋" w:hint="default"/>
                <w:sz w:val="18"/>
                <w:szCs w:val="18"/>
              </w:rPr>
              <w:t>年度</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331" w:right="0"/>
              <w:jc w:val="left"/>
              <w:rPr>
                <w:rFonts w:ascii="仿宋" w:hAnsi="仿宋" w:cs="仿宋" w:eastAsia="仿宋" w:hint="default"/>
                <w:sz w:val="18"/>
                <w:szCs w:val="18"/>
              </w:rPr>
            </w:pPr>
            <w:r>
              <w:rPr>
                <w:rFonts w:ascii="仿宋" w:hAnsi="仿宋" w:cs="仿宋" w:eastAsia="仿宋" w:hint="default"/>
                <w:sz w:val="18"/>
                <w:szCs w:val="18"/>
              </w:rPr>
              <w:t>同比增减（%）</w:t>
            </w:r>
          </w:p>
        </w:tc>
      </w:tr>
      <w:tr>
        <w:trPr>
          <w:trHeight w:val="521" w:hRule="exact"/>
        </w:trPr>
        <w:tc>
          <w:tcPr>
            <w:tcW w:w="2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0"/>
              <w:ind w:left="103"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一、经营活动产生的现金流量净额</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Times New Roman" w:hAnsi="Times New Roman" w:cs="Times New Roman" w:eastAsia="Times New Roman" w:hint="default"/>
                <w:sz w:val="18"/>
                <w:szCs w:val="18"/>
              </w:rPr>
            </w:pPr>
            <w:r>
              <w:rPr>
                <w:rFonts w:ascii="Times New Roman"/>
                <w:spacing w:val="-1"/>
                <w:sz w:val="18"/>
              </w:rPr>
              <w:t>107,808,671.43</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0"/>
              <w:jc w:val="right"/>
              <w:rPr>
                <w:rFonts w:ascii="Times New Roman" w:hAnsi="Times New Roman" w:cs="Times New Roman" w:eastAsia="Times New Roman" w:hint="default"/>
                <w:sz w:val="18"/>
                <w:szCs w:val="18"/>
              </w:rPr>
            </w:pPr>
            <w:r>
              <w:rPr>
                <w:rFonts w:ascii="Times New Roman"/>
                <w:spacing w:val="-1"/>
                <w:sz w:val="18"/>
              </w:rPr>
              <w:t>50,970,688.55</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Times New Roman" w:hAnsi="Times New Roman" w:cs="Times New Roman" w:eastAsia="Times New Roman" w:hint="default"/>
                <w:sz w:val="18"/>
                <w:szCs w:val="18"/>
              </w:rPr>
            </w:pPr>
            <w:r>
              <w:rPr>
                <w:rFonts w:ascii="Times New Roman"/>
                <w:spacing w:val="-3"/>
                <w:sz w:val="18"/>
              </w:rPr>
              <w:t>111.51%</w:t>
            </w:r>
          </w:p>
        </w:tc>
      </w:tr>
      <w:tr>
        <w:trPr>
          <w:trHeight w:val="520" w:hRule="exact"/>
        </w:trPr>
        <w:tc>
          <w:tcPr>
            <w:tcW w:w="2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left="643" w:right="0"/>
              <w:jc w:val="left"/>
              <w:rPr>
                <w:rFonts w:ascii="宋体" w:hAnsi="宋体" w:cs="宋体" w:eastAsia="宋体" w:hint="default"/>
                <w:sz w:val="18"/>
                <w:szCs w:val="18"/>
              </w:rPr>
            </w:pPr>
            <w:r>
              <w:rPr>
                <w:rFonts w:ascii="宋体" w:hAnsi="宋体" w:cs="宋体" w:eastAsia="宋体" w:hint="default"/>
                <w:sz w:val="18"/>
                <w:szCs w:val="18"/>
              </w:rPr>
              <w:t>经营活动现金流入量</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01"/>
              <w:jc w:val="right"/>
              <w:rPr>
                <w:rFonts w:ascii="Times New Roman" w:hAnsi="Times New Roman" w:cs="Times New Roman" w:eastAsia="Times New Roman" w:hint="default"/>
                <w:sz w:val="18"/>
                <w:szCs w:val="18"/>
              </w:rPr>
            </w:pPr>
            <w:r>
              <w:rPr>
                <w:rFonts w:ascii="Times New Roman"/>
                <w:spacing w:val="-1"/>
                <w:sz w:val="18"/>
              </w:rPr>
              <w:t>477,459,050.51</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00"/>
              <w:jc w:val="right"/>
              <w:rPr>
                <w:rFonts w:ascii="Times New Roman" w:hAnsi="Times New Roman" w:cs="Times New Roman" w:eastAsia="Times New Roman" w:hint="default"/>
                <w:sz w:val="18"/>
                <w:szCs w:val="18"/>
              </w:rPr>
            </w:pPr>
            <w:r>
              <w:rPr>
                <w:rFonts w:ascii="Times New Roman"/>
                <w:spacing w:val="-1"/>
                <w:sz w:val="18"/>
              </w:rPr>
              <w:t>385,363,987.15</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00"/>
              <w:jc w:val="right"/>
              <w:rPr>
                <w:rFonts w:ascii="Times New Roman" w:hAnsi="Times New Roman" w:cs="Times New Roman" w:eastAsia="Times New Roman" w:hint="default"/>
                <w:sz w:val="18"/>
                <w:szCs w:val="18"/>
              </w:rPr>
            </w:pPr>
            <w:r>
              <w:rPr>
                <w:rFonts w:ascii="Times New Roman"/>
                <w:w w:val="95"/>
                <w:sz w:val="18"/>
              </w:rPr>
              <w:t>23.90%</w:t>
            </w:r>
            <w:r>
              <w:rPr>
                <w:rFonts w:ascii="Times New Roman"/>
                <w:sz w:val="18"/>
              </w:rPr>
            </w:r>
          </w:p>
        </w:tc>
      </w:tr>
      <w:tr>
        <w:trPr>
          <w:trHeight w:val="520" w:hRule="exact"/>
        </w:trPr>
        <w:tc>
          <w:tcPr>
            <w:tcW w:w="2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left="643" w:right="0"/>
              <w:jc w:val="left"/>
              <w:rPr>
                <w:rFonts w:ascii="宋体" w:hAnsi="宋体" w:cs="宋体" w:eastAsia="宋体" w:hint="default"/>
                <w:sz w:val="18"/>
                <w:szCs w:val="18"/>
              </w:rPr>
            </w:pPr>
            <w:r>
              <w:rPr>
                <w:rFonts w:ascii="宋体" w:hAnsi="宋体" w:cs="宋体" w:eastAsia="宋体" w:hint="default"/>
                <w:sz w:val="18"/>
                <w:szCs w:val="18"/>
              </w:rPr>
              <w:t>经营活动现金流出量</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Times New Roman" w:hAnsi="Times New Roman" w:cs="Times New Roman" w:eastAsia="Times New Roman" w:hint="default"/>
                <w:sz w:val="18"/>
                <w:szCs w:val="18"/>
              </w:rPr>
            </w:pPr>
            <w:r>
              <w:rPr>
                <w:rFonts w:ascii="Times New Roman"/>
                <w:spacing w:val="-1"/>
                <w:sz w:val="18"/>
              </w:rPr>
              <w:t>369,650,379.08</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0"/>
              <w:jc w:val="right"/>
              <w:rPr>
                <w:rFonts w:ascii="Times New Roman" w:hAnsi="Times New Roman" w:cs="Times New Roman" w:eastAsia="Times New Roman" w:hint="default"/>
                <w:sz w:val="18"/>
                <w:szCs w:val="18"/>
              </w:rPr>
            </w:pPr>
            <w:r>
              <w:rPr>
                <w:rFonts w:ascii="Times New Roman"/>
                <w:spacing w:val="-1"/>
                <w:sz w:val="18"/>
              </w:rPr>
              <w:t>334,393,298.60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0"/>
              <w:jc w:val="right"/>
              <w:rPr>
                <w:rFonts w:ascii="Times New Roman" w:hAnsi="Times New Roman" w:cs="Times New Roman" w:eastAsia="Times New Roman" w:hint="default"/>
                <w:sz w:val="18"/>
                <w:szCs w:val="18"/>
              </w:rPr>
            </w:pPr>
            <w:r>
              <w:rPr>
                <w:rFonts w:ascii="Times New Roman"/>
                <w:w w:val="95"/>
                <w:sz w:val="18"/>
              </w:rPr>
              <w:t>10.54%</w:t>
            </w:r>
            <w:r>
              <w:rPr>
                <w:rFonts w:ascii="Times New Roman"/>
                <w:sz w:val="18"/>
              </w:rPr>
            </w:r>
          </w:p>
        </w:tc>
      </w:tr>
      <w:tr>
        <w:trPr>
          <w:trHeight w:val="521" w:hRule="exact"/>
        </w:trPr>
        <w:tc>
          <w:tcPr>
            <w:tcW w:w="2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0"/>
              <w:ind w:left="103"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二、投资活动产生的现金流量净额</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Times New Roman" w:hAnsi="Times New Roman" w:cs="Times New Roman" w:eastAsia="Times New Roman" w:hint="default"/>
                <w:sz w:val="18"/>
                <w:szCs w:val="18"/>
              </w:rPr>
            </w:pPr>
            <w:r>
              <w:rPr>
                <w:rFonts w:ascii="Times New Roman"/>
                <w:spacing w:val="-1"/>
                <w:sz w:val="18"/>
              </w:rPr>
              <w:t>-156,704,525.38</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0"/>
              <w:jc w:val="right"/>
              <w:rPr>
                <w:rFonts w:ascii="Times New Roman" w:hAnsi="Times New Roman" w:cs="Times New Roman" w:eastAsia="Times New Roman" w:hint="default"/>
                <w:sz w:val="18"/>
                <w:szCs w:val="18"/>
              </w:rPr>
            </w:pPr>
            <w:r>
              <w:rPr>
                <w:rFonts w:ascii="Times New Roman"/>
                <w:spacing w:val="-1"/>
                <w:sz w:val="18"/>
              </w:rPr>
              <w:t>-82,174,763.28</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宋体" w:hAnsi="宋体" w:cs="宋体" w:eastAsia="宋体" w:hint="default"/>
                <w:sz w:val="18"/>
                <w:szCs w:val="18"/>
              </w:rPr>
            </w:pPr>
            <w:r>
              <w:rPr>
                <w:rFonts w:ascii="Times New Roman" w:hAnsi="Times New Roman" w:cs="Times New Roman" w:eastAsia="Times New Roman" w:hint="default"/>
                <w:w w:val="95"/>
                <w:sz w:val="18"/>
                <w:szCs w:val="18"/>
              </w:rPr>
              <w:t>-90.7</w:t>
            </w:r>
            <w:r>
              <w:rPr>
                <w:rFonts w:ascii="宋体" w:hAnsi="宋体" w:cs="宋体" w:eastAsia="宋体" w:hint="default"/>
                <w:w w:val="95"/>
                <w:sz w:val="18"/>
                <w:szCs w:val="18"/>
              </w:rPr>
              <w:t>％</w:t>
            </w:r>
            <w:r>
              <w:rPr>
                <w:rFonts w:ascii="宋体" w:hAnsi="宋体" w:cs="宋体" w:eastAsia="宋体" w:hint="default"/>
                <w:sz w:val="18"/>
                <w:szCs w:val="18"/>
              </w:rPr>
            </w:r>
          </w:p>
        </w:tc>
      </w:tr>
      <w:tr>
        <w:trPr>
          <w:trHeight w:val="520" w:hRule="exact"/>
        </w:trPr>
        <w:tc>
          <w:tcPr>
            <w:tcW w:w="2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left="643" w:right="0"/>
              <w:jc w:val="left"/>
              <w:rPr>
                <w:rFonts w:ascii="宋体" w:hAnsi="宋体" w:cs="宋体" w:eastAsia="宋体" w:hint="default"/>
                <w:sz w:val="18"/>
                <w:szCs w:val="18"/>
              </w:rPr>
            </w:pPr>
            <w:r>
              <w:rPr>
                <w:rFonts w:ascii="宋体" w:hAnsi="宋体" w:cs="宋体" w:eastAsia="宋体" w:hint="default"/>
                <w:sz w:val="18"/>
                <w:szCs w:val="18"/>
              </w:rPr>
              <w:t>投资活动现金流入量</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01"/>
              <w:jc w:val="right"/>
              <w:rPr>
                <w:rFonts w:ascii="Times New Roman" w:hAnsi="Times New Roman" w:cs="Times New Roman" w:eastAsia="Times New Roman" w:hint="default"/>
                <w:sz w:val="18"/>
                <w:szCs w:val="18"/>
              </w:rPr>
            </w:pPr>
            <w:r>
              <w:rPr>
                <w:rFonts w:ascii="Times New Roman"/>
                <w:spacing w:val="-1"/>
                <w:sz w:val="18"/>
              </w:rPr>
              <w:t>172,341,445.74</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00"/>
              <w:jc w:val="right"/>
              <w:rPr>
                <w:rFonts w:ascii="Times New Roman" w:hAnsi="Times New Roman" w:cs="Times New Roman" w:eastAsia="Times New Roman" w:hint="default"/>
                <w:sz w:val="18"/>
                <w:szCs w:val="18"/>
              </w:rPr>
            </w:pPr>
            <w:r>
              <w:rPr>
                <w:rFonts w:ascii="Times New Roman"/>
                <w:spacing w:val="-1"/>
                <w:sz w:val="18"/>
              </w:rPr>
              <w:t>70,205,992.90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00"/>
              <w:jc w:val="right"/>
              <w:rPr>
                <w:rFonts w:ascii="Times New Roman" w:hAnsi="Times New Roman" w:cs="Times New Roman" w:eastAsia="Times New Roman" w:hint="default"/>
                <w:sz w:val="18"/>
                <w:szCs w:val="18"/>
              </w:rPr>
            </w:pPr>
            <w:r>
              <w:rPr>
                <w:rFonts w:ascii="Times New Roman"/>
                <w:w w:val="95"/>
                <w:sz w:val="18"/>
              </w:rPr>
              <w:t>145.48%</w:t>
            </w:r>
            <w:r>
              <w:rPr>
                <w:rFonts w:ascii="Times New Roman"/>
                <w:sz w:val="18"/>
              </w:rPr>
            </w:r>
          </w:p>
        </w:tc>
      </w:tr>
      <w:tr>
        <w:trPr>
          <w:trHeight w:val="520" w:hRule="exact"/>
        </w:trPr>
        <w:tc>
          <w:tcPr>
            <w:tcW w:w="2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left="643" w:right="0"/>
              <w:jc w:val="left"/>
              <w:rPr>
                <w:rFonts w:ascii="宋体" w:hAnsi="宋体" w:cs="宋体" w:eastAsia="宋体" w:hint="default"/>
                <w:sz w:val="18"/>
                <w:szCs w:val="18"/>
              </w:rPr>
            </w:pPr>
            <w:r>
              <w:rPr>
                <w:rFonts w:ascii="宋体" w:hAnsi="宋体" w:cs="宋体" w:eastAsia="宋体" w:hint="default"/>
                <w:sz w:val="18"/>
                <w:szCs w:val="18"/>
              </w:rPr>
              <w:t>投资活动现金流出量</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Times New Roman" w:hAnsi="Times New Roman" w:cs="Times New Roman" w:eastAsia="Times New Roman" w:hint="default"/>
                <w:sz w:val="18"/>
                <w:szCs w:val="18"/>
              </w:rPr>
            </w:pPr>
            <w:r>
              <w:rPr>
                <w:rFonts w:ascii="Times New Roman"/>
                <w:spacing w:val="-1"/>
                <w:sz w:val="18"/>
              </w:rPr>
              <w:t>329,045,971.12</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0"/>
              <w:jc w:val="right"/>
              <w:rPr>
                <w:rFonts w:ascii="Times New Roman" w:hAnsi="Times New Roman" w:cs="Times New Roman" w:eastAsia="Times New Roman" w:hint="default"/>
                <w:sz w:val="18"/>
                <w:szCs w:val="18"/>
              </w:rPr>
            </w:pPr>
            <w:r>
              <w:rPr>
                <w:rFonts w:ascii="Times New Roman"/>
                <w:spacing w:val="-1"/>
                <w:sz w:val="18"/>
              </w:rPr>
              <w:t>152,380,756.18</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Times New Roman" w:hAnsi="Times New Roman" w:cs="Times New Roman" w:eastAsia="Times New Roman" w:hint="default"/>
                <w:sz w:val="18"/>
                <w:szCs w:val="18"/>
              </w:rPr>
            </w:pPr>
            <w:r>
              <w:rPr>
                <w:rFonts w:ascii="Times New Roman"/>
                <w:spacing w:val="-2"/>
                <w:sz w:val="18"/>
              </w:rPr>
              <w:t>115.94%</w:t>
            </w:r>
          </w:p>
        </w:tc>
      </w:tr>
      <w:tr>
        <w:trPr>
          <w:trHeight w:val="566" w:hRule="exact"/>
        </w:trPr>
        <w:tc>
          <w:tcPr>
            <w:tcW w:w="2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三、筹资活动产生的现金流量净额</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-96,893,312.99</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421,464,395.11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-122.99%</w:t>
            </w:r>
            <w:r>
              <w:rPr>
                <w:rFonts w:ascii="Times New Roman"/>
                <w:sz w:val="18"/>
              </w:rPr>
            </w:r>
          </w:p>
        </w:tc>
      </w:tr>
      <w:tr>
        <w:trPr>
          <w:trHeight w:val="432" w:hRule="exact"/>
        </w:trPr>
        <w:tc>
          <w:tcPr>
            <w:tcW w:w="2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5"/>
              <w:ind w:left="643" w:right="0"/>
              <w:jc w:val="left"/>
              <w:rPr>
                <w:rFonts w:ascii="宋体" w:hAnsi="宋体" w:cs="宋体" w:eastAsia="宋体" w:hint="default"/>
                <w:sz w:val="18"/>
                <w:szCs w:val="18"/>
              </w:rPr>
            </w:pPr>
            <w:r>
              <w:rPr>
                <w:rFonts w:ascii="宋体" w:hAnsi="宋体" w:cs="宋体" w:eastAsia="宋体" w:hint="default"/>
                <w:sz w:val="18"/>
                <w:szCs w:val="18"/>
              </w:rPr>
              <w:t>筹资活动现金流入量</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spacing w:val="-1"/>
                <w:sz w:val="18"/>
              </w:rPr>
              <w:t>146,865,000.00</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0"/>
              <w:jc w:val="right"/>
              <w:rPr>
                <w:rFonts w:ascii="Times New Roman" w:hAnsi="Times New Roman" w:cs="Times New Roman" w:eastAsia="Times New Roman" w:hint="default"/>
                <w:sz w:val="18"/>
                <w:szCs w:val="18"/>
              </w:rPr>
            </w:pPr>
            <w:r>
              <w:rPr>
                <w:rFonts w:ascii="Times New Roman"/>
                <w:spacing w:val="-1"/>
                <w:sz w:val="18"/>
              </w:rPr>
              <w:t>784,725,376.00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0"/>
              <w:jc w:val="right"/>
              <w:rPr>
                <w:rFonts w:ascii="Times New Roman" w:hAnsi="Times New Roman" w:cs="Times New Roman" w:eastAsia="Times New Roman" w:hint="default"/>
                <w:sz w:val="18"/>
                <w:szCs w:val="18"/>
              </w:rPr>
            </w:pPr>
            <w:r>
              <w:rPr>
                <w:rFonts w:ascii="Times New Roman"/>
                <w:sz w:val="18"/>
              </w:rPr>
              <w:t>-81.28%</w:t>
            </w:r>
          </w:p>
        </w:tc>
      </w:tr>
      <w:tr>
        <w:trPr>
          <w:trHeight w:val="520" w:hRule="exact"/>
        </w:trPr>
        <w:tc>
          <w:tcPr>
            <w:tcW w:w="2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left="643" w:right="0"/>
              <w:jc w:val="left"/>
              <w:rPr>
                <w:rFonts w:ascii="宋体" w:hAnsi="宋体" w:cs="宋体" w:eastAsia="宋体" w:hint="default"/>
                <w:sz w:val="18"/>
                <w:szCs w:val="18"/>
              </w:rPr>
            </w:pPr>
            <w:r>
              <w:rPr>
                <w:rFonts w:ascii="宋体" w:hAnsi="宋体" w:cs="宋体" w:eastAsia="宋体" w:hint="default"/>
                <w:sz w:val="18"/>
                <w:szCs w:val="18"/>
              </w:rPr>
              <w:t>筹资活动现金流出量</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Times New Roman" w:hAnsi="Times New Roman" w:cs="Times New Roman" w:eastAsia="Times New Roman" w:hint="default"/>
                <w:sz w:val="18"/>
                <w:szCs w:val="18"/>
              </w:rPr>
            </w:pPr>
            <w:r>
              <w:rPr>
                <w:rFonts w:ascii="Times New Roman"/>
                <w:spacing w:val="-1"/>
                <w:sz w:val="18"/>
              </w:rPr>
              <w:t>243,758,312.99</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0"/>
              <w:jc w:val="right"/>
              <w:rPr>
                <w:rFonts w:ascii="Times New Roman" w:hAnsi="Times New Roman" w:cs="Times New Roman" w:eastAsia="Times New Roman" w:hint="default"/>
                <w:sz w:val="18"/>
                <w:szCs w:val="18"/>
              </w:rPr>
            </w:pPr>
            <w:r>
              <w:rPr>
                <w:rFonts w:ascii="Times New Roman"/>
                <w:spacing w:val="-1"/>
                <w:sz w:val="18"/>
              </w:rPr>
              <w:t>363,260,980.89</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0"/>
              <w:jc w:val="right"/>
              <w:rPr>
                <w:rFonts w:ascii="Times New Roman" w:hAnsi="Times New Roman" w:cs="Times New Roman" w:eastAsia="Times New Roman" w:hint="default"/>
                <w:sz w:val="18"/>
                <w:szCs w:val="18"/>
              </w:rPr>
            </w:pPr>
            <w:r>
              <w:rPr>
                <w:rFonts w:ascii="Times New Roman"/>
                <w:sz w:val="18"/>
              </w:rPr>
              <w:t>-32.90%</w:t>
            </w:r>
          </w:p>
        </w:tc>
      </w:tr>
      <w:tr>
        <w:trPr>
          <w:trHeight w:val="475" w:hRule="exact"/>
        </w:trPr>
        <w:tc>
          <w:tcPr>
            <w:tcW w:w="2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四、汇率变动对现金的影响</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w w:val="95"/>
                <w:sz w:val="18"/>
              </w:rPr>
              <w:t>-22,757.86</w:t>
            </w:r>
            <w:r>
              <w:rPr>
                <w:rFonts w:ascii="Times New Roman"/>
                <w:sz w:val="18"/>
              </w:rPr>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8"/>
                <w:szCs w:val="18"/>
              </w:rPr>
            </w:pPr>
            <w:r>
              <w:rPr>
                <w:rFonts w:ascii="Times New Roman"/>
                <w:w w:val="95"/>
                <w:sz w:val="18"/>
              </w:rPr>
              <w:t>-31,007.16</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8"/>
                <w:szCs w:val="18"/>
              </w:rPr>
            </w:pPr>
            <w:r>
              <w:rPr>
                <w:rFonts w:ascii="Times New Roman"/>
                <w:w w:val="95"/>
                <w:sz w:val="18"/>
              </w:rPr>
              <w:t>26.6%</w:t>
            </w:r>
            <w:r>
              <w:rPr>
                <w:rFonts w:ascii="Times New Roman"/>
                <w:sz w:val="18"/>
              </w:rPr>
            </w:r>
          </w:p>
        </w:tc>
      </w:tr>
      <w:tr>
        <w:trPr>
          <w:trHeight w:val="484" w:hRule="exact"/>
        </w:trPr>
        <w:tc>
          <w:tcPr>
            <w:tcW w:w="2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103"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pacing w:val="-1"/>
                <w:sz w:val="18"/>
              </w:rPr>
              <w:t>-145,811,924.80</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spacing w:val="-1"/>
                <w:sz w:val="18"/>
              </w:rPr>
              <w:t>390,229,313.22</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w w:val="95"/>
                <w:sz w:val="18"/>
              </w:rPr>
              <w:t>-137.37%</w:t>
            </w:r>
            <w:r>
              <w:rPr>
                <w:rFonts w:ascii="Times New Roman"/>
                <w:sz w:val="18"/>
              </w:rPr>
            </w:r>
          </w:p>
        </w:tc>
      </w:tr>
      <w:tr>
        <w:trPr>
          <w:trHeight w:val="445" w:hRule="exact"/>
        </w:trPr>
        <w:tc>
          <w:tcPr>
            <w:tcW w:w="2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left="643" w:right="0"/>
              <w:jc w:val="left"/>
              <w:rPr>
                <w:rFonts w:ascii="宋体" w:hAnsi="宋体" w:cs="宋体" w:eastAsia="宋体" w:hint="default"/>
                <w:sz w:val="18"/>
                <w:szCs w:val="18"/>
              </w:rPr>
            </w:pPr>
            <w:r>
              <w:rPr>
                <w:rFonts w:ascii="宋体" w:hAnsi="宋体" w:cs="宋体" w:eastAsia="宋体" w:hint="default"/>
                <w:sz w:val="18"/>
                <w:szCs w:val="18"/>
              </w:rPr>
              <w:t>现金流入总计</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Times New Roman" w:hAnsi="Times New Roman" w:cs="Times New Roman" w:eastAsia="Times New Roman" w:hint="default"/>
                <w:sz w:val="18"/>
                <w:szCs w:val="18"/>
              </w:rPr>
            </w:pPr>
            <w:r>
              <w:rPr>
                <w:rFonts w:ascii="Times New Roman"/>
                <w:spacing w:val="-1"/>
                <w:sz w:val="18"/>
              </w:rPr>
              <w:t>796,665,496.25</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Times New Roman" w:hAnsi="Times New Roman" w:cs="Times New Roman" w:eastAsia="Times New Roman" w:hint="default"/>
                <w:sz w:val="18"/>
                <w:szCs w:val="18"/>
              </w:rPr>
            </w:pPr>
            <w:r>
              <w:rPr>
                <w:rFonts w:ascii="Times New Roman"/>
                <w:spacing w:val="-1"/>
                <w:sz w:val="18"/>
              </w:rPr>
              <w:t>1,240,295,356.05</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0"/>
              <w:jc w:val="right"/>
              <w:rPr>
                <w:rFonts w:ascii="Times New Roman" w:hAnsi="Times New Roman" w:cs="Times New Roman" w:eastAsia="Times New Roman" w:hint="default"/>
                <w:sz w:val="18"/>
                <w:szCs w:val="18"/>
              </w:rPr>
            </w:pPr>
            <w:r>
              <w:rPr>
                <w:rFonts w:ascii="Times New Roman"/>
                <w:w w:val="95"/>
                <w:sz w:val="18"/>
              </w:rPr>
              <w:t>-35.77%</w:t>
            </w:r>
            <w:r>
              <w:rPr>
                <w:rFonts w:ascii="Times New Roman"/>
                <w:sz w:val="18"/>
              </w:rPr>
            </w:r>
          </w:p>
        </w:tc>
      </w:tr>
      <w:tr>
        <w:trPr>
          <w:trHeight w:val="409" w:hRule="exact"/>
        </w:trPr>
        <w:tc>
          <w:tcPr>
            <w:tcW w:w="2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643" w:right="0"/>
              <w:jc w:val="left"/>
              <w:rPr>
                <w:rFonts w:ascii="宋体" w:hAnsi="宋体" w:cs="宋体" w:eastAsia="宋体" w:hint="default"/>
                <w:sz w:val="18"/>
                <w:szCs w:val="18"/>
              </w:rPr>
            </w:pPr>
            <w:r>
              <w:rPr>
                <w:rFonts w:ascii="宋体" w:hAnsi="宋体" w:cs="宋体" w:eastAsia="宋体" w:hint="default"/>
                <w:sz w:val="18"/>
                <w:szCs w:val="18"/>
              </w:rPr>
              <w:t>现金流出总计</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942,477,421.05</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850,066,042.83</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10.87%</w:t>
            </w:r>
            <w:r>
              <w:rPr>
                <w:rFonts w:ascii="Times New Roman"/>
                <w:sz w:val="18"/>
              </w:rPr>
            </w:r>
          </w:p>
        </w:tc>
      </w:tr>
    </w:tbl>
    <w:p>
      <w:pPr>
        <w:spacing w:line="237" w:lineRule="auto" w:before="11"/>
        <w:ind w:left="258" w:right="141" w:firstLine="360"/>
        <w:jc w:val="both"/>
        <w:rPr>
          <w:rFonts w:ascii="宋体" w:hAnsi="宋体" w:cs="宋体" w:eastAsia="宋体" w:hint="default"/>
          <w:sz w:val="18"/>
          <w:szCs w:val="18"/>
        </w:rPr>
      </w:pPr>
      <w:r>
        <w:rPr>
          <w:rFonts w:ascii="宋体" w:hAnsi="宋体" w:cs="宋体" w:eastAsia="宋体" w:hint="default"/>
          <w:sz w:val="18"/>
          <w:szCs w:val="18"/>
        </w:rPr>
        <w:t>经营活动产生的现金流量净额增加原因主要系公司销售规模扩大及销售回款增加所致。投资活动产生的现金</w:t>
      </w:r>
      <w:r>
        <w:rPr>
          <w:rFonts w:ascii="宋体" w:hAnsi="宋体" w:cs="宋体" w:eastAsia="宋体" w:hint="default"/>
          <w:spacing w:val="1"/>
          <w:sz w:val="18"/>
          <w:szCs w:val="18"/>
        </w:rPr>
        <w:t> </w:t>
      </w:r>
      <w:r>
        <w:rPr>
          <w:rFonts w:ascii="宋体" w:hAnsi="宋体" w:cs="宋体" w:eastAsia="宋体" w:hint="default"/>
          <w:sz w:val="18"/>
          <w:szCs w:val="18"/>
        </w:rPr>
        <w:t>流量净额增加原因主要系本期购买固定资产支付现金增加所致。筹资活动产生的现金流量净额减少主要系吸收投</w:t>
      </w:r>
      <w:r>
        <w:rPr>
          <w:rFonts w:ascii="宋体" w:hAnsi="宋体" w:cs="宋体" w:eastAsia="宋体" w:hint="default"/>
          <w:spacing w:val="-24"/>
          <w:sz w:val="18"/>
          <w:szCs w:val="18"/>
        </w:rPr>
        <w:t> </w:t>
      </w:r>
      <w:r>
        <w:rPr>
          <w:rFonts w:ascii="宋体" w:hAnsi="宋体" w:cs="宋体" w:eastAsia="宋体" w:hint="default"/>
          <w:spacing w:val="-24"/>
          <w:sz w:val="18"/>
          <w:szCs w:val="18"/>
        </w:rPr>
      </w:r>
      <w:r>
        <w:rPr>
          <w:rFonts w:ascii="宋体" w:hAnsi="宋体" w:cs="宋体" w:eastAsia="宋体" w:hint="default"/>
          <w:sz w:val="18"/>
          <w:szCs w:val="18"/>
        </w:rPr>
        <w:t>资款减少及归还银行借款所致。</w:t>
      </w:r>
    </w:p>
    <w:p>
      <w:pPr>
        <w:spacing w:before="29"/>
        <w:ind w:left="740" w:right="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8</w:t>
      </w:r>
      <w:r>
        <w:rPr>
          <w:rFonts w:ascii="宋体" w:hAnsi="宋体" w:cs="宋体" w:eastAsia="宋体" w:hint="default"/>
          <w:b/>
          <w:bCs/>
          <w:sz w:val="24"/>
          <w:szCs w:val="24"/>
        </w:rPr>
        <w:t>、公司投资情况</w:t>
      </w:r>
      <w:r>
        <w:rPr>
          <w:rFonts w:ascii="宋体" w:hAnsi="宋体" w:cs="宋体" w:eastAsia="宋体" w:hint="default"/>
          <w:sz w:val="24"/>
          <w:szCs w:val="24"/>
        </w:rPr>
      </w:r>
    </w:p>
    <w:p>
      <w:pPr>
        <w:spacing w:line="331" w:lineRule="exact" w:before="19"/>
        <w:ind w:left="740" w:right="0"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）募集资金投资情况</w:t>
      </w:r>
      <w:r>
        <w:rPr>
          <w:rFonts w:ascii="宋体" w:hAnsi="宋体" w:cs="宋体" w:eastAsia="宋体" w:hint="default"/>
          <w:sz w:val="24"/>
          <w:szCs w:val="24"/>
        </w:rPr>
      </w:r>
    </w:p>
    <w:p>
      <w:pPr>
        <w:pStyle w:val="BodyText"/>
        <w:spacing w:line="470" w:lineRule="exact"/>
        <w:ind w:left="738" w:right="0"/>
        <w:jc w:val="left"/>
      </w:pPr>
      <w:r>
        <w:rPr>
          <w:spacing w:val="-240"/>
          <w:position w:val="-3"/>
          <w:sz w:val="36"/>
          <w:szCs w:val="36"/>
        </w:rPr>
        <w:t>○</w:t>
      </w:r>
      <w:r>
        <w:rPr>
          <w:rFonts w:ascii="Times New Roman" w:hAnsi="Times New Roman" w:cs="Times New Roman" w:eastAsia="Times New Roman" w:hint="default"/>
        </w:rPr>
        <w:t>1  </w:t>
      </w:r>
      <w:r>
        <w:rPr/>
        <w:t>募集资金基本情况</w:t>
      </w:r>
    </w:p>
    <w:p>
      <w:pPr>
        <w:spacing w:line="319" w:lineRule="auto" w:before="69"/>
        <w:ind w:left="738" w:right="0" w:firstLine="2"/>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b/>
          <w:bCs/>
          <w:sz w:val="24"/>
          <w:szCs w:val="24"/>
        </w:rPr>
        <w:t>1)</w:t>
      </w:r>
      <w:r>
        <w:rPr>
          <w:rFonts w:ascii="Times New Roman" w:hAnsi="Times New Roman" w:cs="Times New Roman" w:eastAsia="Times New Roman" w:hint="default"/>
          <w:b/>
          <w:bCs/>
          <w:spacing w:val="37"/>
          <w:sz w:val="24"/>
          <w:szCs w:val="24"/>
        </w:rPr>
        <w:t> </w:t>
      </w:r>
      <w:r>
        <w:rPr>
          <w:rFonts w:ascii="宋体" w:hAnsi="宋体" w:cs="宋体" w:eastAsia="宋体" w:hint="default"/>
          <w:b/>
          <w:bCs/>
          <w:sz w:val="24"/>
          <w:szCs w:val="24"/>
        </w:rPr>
        <w:t>公开发行募集资金的基本情况</w:t>
      </w:r>
      <w:r>
        <w:rPr>
          <w:rFonts w:ascii="宋体" w:hAnsi="宋体" w:cs="宋体" w:eastAsia="宋体" w:hint="default"/>
          <w:b/>
          <w:bCs/>
          <w:spacing w:val="1"/>
          <w:w w:val="99"/>
          <w:sz w:val="24"/>
          <w:szCs w:val="24"/>
        </w:rPr>
        <w:t> </w:t>
      </w:r>
      <w:r>
        <w:rPr>
          <w:rFonts w:ascii="宋体" w:hAnsi="宋体" w:cs="宋体" w:eastAsia="宋体" w:hint="default"/>
          <w:sz w:val="24"/>
          <w:szCs w:val="24"/>
        </w:rPr>
        <w:t>经中国证券监督管理委员会证监发行字［</w:t>
      </w:r>
      <w:r>
        <w:rPr>
          <w:rFonts w:ascii="Times New Roman" w:hAnsi="Times New Roman" w:cs="Times New Roman" w:eastAsia="Times New Roman" w:hint="default"/>
          <w:sz w:val="24"/>
          <w:szCs w:val="24"/>
        </w:rPr>
        <w:t>2007</w:t>
      </w:r>
      <w:r>
        <w:rPr>
          <w:rFonts w:ascii="宋体" w:hAnsi="宋体" w:cs="宋体" w:eastAsia="宋体" w:hint="default"/>
          <w:sz w:val="24"/>
          <w:szCs w:val="24"/>
        </w:rPr>
        <w:t>］</w:t>
      </w:r>
      <w:r>
        <w:rPr>
          <w:rFonts w:ascii="Times New Roman" w:hAnsi="Times New Roman" w:cs="Times New Roman" w:eastAsia="Times New Roman" w:hint="default"/>
          <w:sz w:val="24"/>
          <w:szCs w:val="24"/>
        </w:rPr>
        <w:t>254</w:t>
      </w:r>
      <w:r>
        <w:rPr>
          <w:rFonts w:ascii="宋体" w:hAnsi="宋体" w:cs="宋体" w:eastAsia="宋体" w:hint="default"/>
          <w:sz w:val="24"/>
          <w:szCs w:val="24"/>
        </w:rPr>
        <w:t>号文核准，本公司于</w:t>
      </w:r>
      <w:r>
        <w:rPr>
          <w:rFonts w:ascii="Times New Roman" w:hAnsi="Times New Roman" w:cs="Times New Roman" w:eastAsia="Times New Roman" w:hint="default"/>
          <w:sz w:val="24"/>
          <w:szCs w:val="24"/>
        </w:rPr>
        <w:t>2007</w:t>
      </w:r>
      <w:r>
        <w:rPr>
          <w:rFonts w:ascii="宋体" w:hAnsi="宋体" w:cs="宋体" w:eastAsia="宋体" w:hint="default"/>
          <w:sz w:val="24"/>
          <w:szCs w:val="24"/>
        </w:rPr>
        <w:t>年</w:t>
      </w:r>
      <w:r>
        <w:rPr>
          <w:rFonts w:ascii="Times New Roman" w:hAnsi="Times New Roman" w:cs="Times New Roman" w:eastAsia="Times New Roman" w:hint="default"/>
          <w:sz w:val="24"/>
          <w:szCs w:val="24"/>
        </w:rPr>
        <w:t>9</w:t>
      </w:r>
    </w:p>
    <w:p>
      <w:pPr>
        <w:pStyle w:val="BodyText"/>
        <w:spacing w:line="312" w:lineRule="exact"/>
        <w:ind w:right="0"/>
        <w:jc w:val="both"/>
      </w:pPr>
      <w:r>
        <w:rPr/>
        <w:t>月向社会公众公开发行人民币普通股（</w:t>
      </w:r>
      <w:r>
        <w:rPr>
          <w:rFonts w:ascii="Times New Roman" w:hAnsi="Times New Roman" w:cs="Times New Roman" w:eastAsia="Times New Roman" w:hint="default"/>
        </w:rPr>
        <w:t>A</w:t>
      </w:r>
      <w:r>
        <w:rPr/>
        <w:t>股）</w:t>
      </w:r>
      <w:r>
        <w:rPr>
          <w:rFonts w:ascii="Times New Roman" w:hAnsi="Times New Roman" w:cs="Times New Roman" w:eastAsia="Times New Roman" w:hint="default"/>
        </w:rPr>
        <w:t>1,300</w:t>
      </w:r>
      <w:r>
        <w:rPr/>
        <w:t>万股，股票面值为人民币</w:t>
      </w:r>
      <w:r>
        <w:rPr>
          <w:rFonts w:ascii="Times New Roman" w:hAnsi="Times New Roman" w:cs="Times New Roman" w:eastAsia="Times New Roman" w:hint="default"/>
        </w:rPr>
        <w:t>1.00</w:t>
      </w:r>
      <w:r>
        <w:rPr/>
        <w:t>元。</w:t>
      </w:r>
    </w:p>
    <w:p>
      <w:pPr>
        <w:pStyle w:val="BodyText"/>
        <w:spacing w:line="295" w:lineRule="auto" w:before="67"/>
        <w:ind w:right="119"/>
        <w:jc w:val="both"/>
      </w:pPr>
      <w:r>
        <w:rPr/>
        <w:t>本次发行由主承销商国海证券有限责任公司组织的承销团通过深圳证券交易所，采用</w:t>
      </w:r>
      <w:r>
        <w:rPr>
          <w:spacing w:val="-117"/>
        </w:rPr>
        <w:t> </w:t>
      </w:r>
      <w:r>
        <w:rPr>
          <w:spacing w:val="-117"/>
        </w:rPr>
      </w:r>
      <w:r>
        <w:rPr/>
        <w:t>网下向询价对象询价配售与网上向社会公众投资者定价发行相结合的方式进行，股票</w:t>
      </w:r>
      <w:r>
        <w:rPr>
          <w:spacing w:val="-117"/>
        </w:rPr>
        <w:t> </w:t>
      </w:r>
      <w:r>
        <w:rPr>
          <w:spacing w:val="-117"/>
        </w:rPr>
      </w:r>
      <w:r>
        <w:rPr/>
        <w:t>发行每股人民币</w:t>
      </w:r>
      <w:r>
        <w:rPr>
          <w:rFonts w:ascii="Times New Roman" w:hAnsi="Times New Roman" w:cs="Times New Roman" w:eastAsia="Times New Roman" w:hint="default"/>
        </w:rPr>
        <w:t>19.13</w:t>
      </w:r>
      <w:r>
        <w:rPr/>
        <w:t>元，应募集股款为人民币</w:t>
      </w:r>
      <w:r>
        <w:rPr>
          <w:rFonts w:ascii="Times New Roman" w:hAnsi="Times New Roman" w:cs="Times New Roman" w:eastAsia="Times New Roman" w:hint="default"/>
        </w:rPr>
        <w:t>248,690,000.00</w:t>
      </w:r>
      <w:r>
        <w:rPr/>
        <w:t>元。截至</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12</w:t>
      </w:r>
      <w:r>
        <w:rPr/>
        <w:t>日</w:t>
      </w:r>
      <w:r>
        <w:rPr>
          <w:spacing w:val="-115"/>
        </w:rPr>
        <w:t> </w:t>
      </w:r>
      <w:r>
        <w:rPr>
          <w:spacing w:val="22"/>
        </w:rPr>
        <w:t>止，本公司募集资金计人民币</w:t>
      </w:r>
      <w:r>
        <w:rPr>
          <w:spacing w:val="-96"/>
        </w:rPr>
        <w:t> </w:t>
      </w:r>
      <w:r>
        <w:rPr>
          <w:rFonts w:ascii="Times New Roman" w:hAnsi="Times New Roman" w:cs="Times New Roman" w:eastAsia="Times New Roman" w:hint="default"/>
        </w:rPr>
        <w:t>248,690,000.00</w:t>
      </w:r>
      <w:r>
        <w:rPr>
          <w:rFonts w:ascii="Times New Roman" w:hAnsi="Times New Roman" w:cs="Times New Roman" w:eastAsia="Times New Roman" w:hint="default"/>
          <w:spacing w:val="-34"/>
        </w:rPr>
        <w:t> </w:t>
      </w:r>
      <w:r>
        <w:rPr>
          <w:spacing w:val="22"/>
        </w:rPr>
        <w:t>元，扣除与发行有关的费用人民币</w:t>
      </w:r>
      <w:r>
        <w:rPr>
          <w:spacing w:val="-117"/>
        </w:rPr>
        <w:t> </w:t>
      </w:r>
      <w:r>
        <w:rPr>
          <w:rFonts w:ascii="Times New Roman" w:hAnsi="Times New Roman" w:cs="Times New Roman" w:eastAsia="Times New Roman" w:hint="default"/>
        </w:rPr>
        <w:t>15,755,773.12</w:t>
      </w:r>
      <w:r>
        <w:rPr/>
        <w:t>元，本公司实际募集资金净额为人民币</w:t>
      </w:r>
      <w:r>
        <w:rPr>
          <w:rFonts w:ascii="Times New Roman" w:hAnsi="Times New Roman" w:cs="Times New Roman" w:eastAsia="Times New Roman" w:hint="default"/>
        </w:rPr>
        <w:t>232,934,226.88</w:t>
      </w:r>
      <w:r>
        <w:rPr/>
        <w:t>元。本公司上述注</w:t>
      </w:r>
      <w:r>
        <w:rPr>
          <w:spacing w:val="1"/>
        </w:rPr>
        <w:t> </w:t>
      </w:r>
      <w:r>
        <w:rPr>
          <w:spacing w:val="4"/>
        </w:rPr>
        <w:t>册资本变更事项业经深圳大华天诚会计师事务所于</w:t>
      </w:r>
      <w:r>
        <w:rPr>
          <w:rFonts w:ascii="Times New Roman" w:hAnsi="Times New Roman" w:cs="Times New Roman" w:eastAsia="Times New Roman" w:hint="default"/>
          <w:spacing w:val="4"/>
        </w:rPr>
        <w:t>2007</w:t>
      </w:r>
      <w:r>
        <w:rPr>
          <w:spacing w:val="4"/>
        </w:rPr>
        <w:t>年</w:t>
      </w:r>
      <w:r>
        <w:rPr>
          <w:rFonts w:ascii="Times New Roman" w:hAnsi="Times New Roman" w:cs="Times New Roman" w:eastAsia="Times New Roman" w:hint="default"/>
          <w:spacing w:val="4"/>
        </w:rPr>
        <w:t>9</w:t>
      </w:r>
      <w:r>
        <w:rPr>
          <w:spacing w:val="4"/>
        </w:rPr>
        <w:t>月</w:t>
      </w:r>
      <w:r>
        <w:rPr>
          <w:rFonts w:ascii="Times New Roman" w:hAnsi="Times New Roman" w:cs="Times New Roman" w:eastAsia="Times New Roman" w:hint="default"/>
          <w:spacing w:val="4"/>
        </w:rPr>
        <w:t>12</w:t>
      </w:r>
      <w:r>
        <w:rPr>
          <w:spacing w:val="4"/>
        </w:rPr>
        <w:t>日出具深华</w:t>
      </w:r>
      <w:r>
        <w:rPr>
          <w:rFonts w:ascii="Times New Roman" w:hAnsi="Times New Roman" w:cs="Times New Roman" w:eastAsia="Times New Roman" w:hint="default"/>
          <w:spacing w:val="4"/>
        </w:rPr>
        <w:t>[2007]</w:t>
      </w:r>
      <w:r>
        <w:rPr>
          <w:spacing w:val="4"/>
        </w:rPr>
        <w:t>验</w:t>
      </w:r>
    </w:p>
    <w:p>
      <w:pPr>
        <w:spacing w:after="0" w:line="295" w:lineRule="auto"/>
        <w:jc w:val="both"/>
        <w:sectPr>
          <w:pgSz w:w="11910" w:h="16840"/>
          <w:pgMar w:header="470" w:footer="1266" w:top="900" w:bottom="1460" w:left="1160" w:right="14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240" w:lineRule="auto" w:before="26"/>
        <w:ind w:right="0"/>
        <w:jc w:val="both"/>
      </w:pPr>
      <w:r>
        <w:rPr/>
        <w:t>字</w:t>
      </w:r>
      <w:r>
        <w:rPr>
          <w:rFonts w:ascii="Times New Roman" w:hAnsi="Times New Roman" w:cs="Times New Roman" w:eastAsia="Times New Roman" w:hint="default"/>
        </w:rPr>
        <w:t>90</w:t>
      </w:r>
      <w:r>
        <w:rPr/>
        <w:t>号验资报告验证确认。</w:t>
      </w:r>
    </w:p>
    <w:p>
      <w:pPr>
        <w:pStyle w:val="BodyText"/>
        <w:spacing w:line="288" w:lineRule="auto" w:before="107"/>
        <w:ind w:right="195" w:firstLine="480"/>
        <w:jc w:val="both"/>
      </w:pPr>
      <w:r>
        <w:rPr>
          <w:spacing w:val="12"/>
        </w:rPr>
        <w:t>截止</w:t>
      </w:r>
      <w:r>
        <w:rPr>
          <w:spacing w:val="-92"/>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3"/>
        </w:rPr>
        <w:t> </w:t>
      </w:r>
      <w:r>
        <w:rPr/>
        <w:t>年</w:t>
      </w:r>
      <w:r>
        <w:rPr>
          <w:spacing w:val="-92"/>
        </w:rPr>
        <w:t> </w:t>
      </w:r>
      <w:r>
        <w:rPr>
          <w:rFonts w:ascii="Times New Roman" w:hAnsi="Times New Roman" w:cs="Times New Roman" w:eastAsia="Times New Roman" w:hint="default"/>
        </w:rPr>
        <w:t>12</w:t>
      </w:r>
      <w:r>
        <w:rPr>
          <w:rFonts w:ascii="Times New Roman" w:hAnsi="Times New Roman" w:cs="Times New Roman" w:eastAsia="Times New Roman" w:hint="default"/>
          <w:spacing w:val="-32"/>
        </w:rPr>
        <w:t> </w:t>
      </w:r>
      <w:r>
        <w:rPr/>
        <w:t>月</w:t>
      </w:r>
      <w:r>
        <w:rPr>
          <w:spacing w:val="-92"/>
        </w:rPr>
        <w:t> </w:t>
      </w:r>
      <w:r>
        <w:rPr>
          <w:rFonts w:ascii="Times New Roman" w:hAnsi="Times New Roman" w:cs="Times New Roman" w:eastAsia="Times New Roman" w:hint="default"/>
        </w:rPr>
        <w:t>31</w:t>
      </w:r>
      <w:r>
        <w:rPr>
          <w:rFonts w:ascii="Times New Roman" w:hAnsi="Times New Roman" w:cs="Times New Roman" w:eastAsia="Times New Roman" w:hint="default"/>
          <w:spacing w:val="-33"/>
        </w:rPr>
        <w:t> </w:t>
      </w:r>
      <w:r>
        <w:rPr>
          <w:spacing w:val="23"/>
        </w:rPr>
        <w:t>日，本公司公开发行的募集资金账户合计减少的金额为</w:t>
      </w:r>
      <w:r>
        <w:rPr>
          <w:spacing w:val="-95"/>
        </w:rPr>
        <w:t> </w:t>
      </w:r>
      <w:r>
        <w:rPr>
          <w:rFonts w:ascii="Times New Roman" w:hAnsi="Times New Roman" w:cs="Times New Roman" w:eastAsia="Times New Roman" w:hint="default"/>
        </w:rPr>
        <w:t>228,248,129.03</w:t>
      </w:r>
      <w:r>
        <w:rPr/>
        <w:t>元，其中：</w:t>
      </w:r>
      <w:r>
        <w:rPr>
          <w:rFonts w:ascii="Times New Roman" w:hAnsi="Times New Roman" w:cs="Times New Roman" w:eastAsia="Times New Roman" w:hint="default"/>
        </w:rPr>
        <w:t>1</w:t>
      </w:r>
      <w:r>
        <w:rPr/>
        <w:t>、募集资金累计投入募集资金项目的金额为</w:t>
      </w:r>
      <w:r>
        <w:rPr>
          <w:rFonts w:ascii="Times New Roman" w:hAnsi="Times New Roman" w:cs="Times New Roman" w:eastAsia="Times New Roman" w:hint="default"/>
        </w:rPr>
        <w:t>230,682,383.46</w:t>
      </w:r>
      <w:r>
        <w:rPr>
          <w:rFonts w:ascii="Times New Roman" w:hAnsi="Times New Roman" w:cs="Times New Roman" w:eastAsia="Times New Roman" w:hint="default"/>
          <w:spacing w:val="-57"/>
        </w:rPr>
        <w:t> </w:t>
      </w:r>
      <w:r>
        <w:rPr>
          <w:spacing w:val="-4"/>
        </w:rPr>
        <w:t>元，其中：（</w:t>
      </w:r>
      <w:r>
        <w:rPr>
          <w:rFonts w:ascii="Times New Roman" w:hAnsi="Times New Roman" w:cs="Times New Roman" w:eastAsia="Times New Roman" w:hint="default"/>
          <w:spacing w:val="-4"/>
        </w:rPr>
        <w:t>1</w:t>
      </w:r>
      <w:r>
        <w:rPr>
          <w:spacing w:val="-4"/>
        </w:rPr>
        <w:t>）以前年度使用的金额为</w:t>
      </w:r>
      <w:r>
        <w:rPr>
          <w:rFonts w:ascii="Times New Roman" w:hAnsi="Times New Roman" w:cs="Times New Roman" w:eastAsia="Times New Roman" w:hint="default"/>
          <w:spacing w:val="-4"/>
        </w:rPr>
        <w:t>214,845,109.92</w:t>
      </w:r>
      <w:r>
        <w:rPr>
          <w:spacing w:val="-4"/>
        </w:rPr>
        <w:t>元，其中：①公司于募集资金到</w:t>
      </w:r>
      <w:r>
        <w:rPr>
          <w:spacing w:val="-99"/>
        </w:rPr>
        <w:t> </w:t>
      </w:r>
      <w:r>
        <w:rPr>
          <w:spacing w:val="-99"/>
        </w:rPr>
      </w:r>
      <w:r>
        <w:rPr>
          <w:spacing w:val="6"/>
        </w:rPr>
        <w:t>位后置换已利用自筹资金和银行贷款先期投入募集资金项目的金额为</w:t>
      </w:r>
      <w:r>
        <w:rPr>
          <w:rFonts w:ascii="Times New Roman" w:hAnsi="Times New Roman" w:cs="Times New Roman" w:eastAsia="Times New Roman" w:hint="default"/>
          <w:spacing w:val="6"/>
        </w:rPr>
        <w:t>28,667,900.00</w:t>
      </w:r>
      <w:r>
        <w:rPr>
          <w:rFonts w:ascii="Times New Roman" w:hAnsi="Times New Roman" w:cs="Times New Roman" w:eastAsia="Times New Roman" w:hint="default"/>
          <w:spacing w:val="-31"/>
        </w:rPr>
        <w:t> </w:t>
      </w:r>
      <w:r>
        <w:rPr/>
        <w:t>元；②募集资金到位后直接投入募集资金项目的金额为</w:t>
      </w:r>
      <w:r>
        <w:rPr>
          <w:rFonts w:ascii="Times New Roman" w:hAnsi="Times New Roman" w:cs="Times New Roman" w:eastAsia="Times New Roman" w:hint="default"/>
        </w:rPr>
        <w:t>99,560,609.92</w:t>
      </w:r>
      <w:r>
        <w:rPr/>
        <w:t>元，③募集资金</w:t>
      </w:r>
      <w:r>
        <w:rPr>
          <w:spacing w:val="-57"/>
        </w:rPr>
        <w:t> </w:t>
      </w:r>
      <w:r>
        <w:rPr/>
        <w:t>项目变更补充流动资金的金额为</w:t>
      </w:r>
      <w:r>
        <w:rPr>
          <w:rFonts w:ascii="Times New Roman" w:hAnsi="Times New Roman" w:cs="Times New Roman" w:eastAsia="Times New Roman" w:hint="default"/>
        </w:rPr>
        <w:t>31,348,900.00</w:t>
      </w:r>
      <w:r>
        <w:rPr/>
        <w:t>元；④本公司超募资金部分用于补充流</w:t>
      </w:r>
      <w:r>
        <w:rPr>
          <w:spacing w:val="-57"/>
        </w:rPr>
        <w:t> </w:t>
      </w:r>
      <w:r>
        <w:rPr/>
        <w:t>动资金的金额为</w:t>
      </w:r>
      <w:r>
        <w:rPr>
          <w:rFonts w:ascii="Times New Roman" w:hAnsi="Times New Roman" w:cs="Times New Roman" w:eastAsia="Times New Roman" w:hint="default"/>
        </w:rPr>
        <w:t>55,267,700.00</w:t>
      </w:r>
      <w:r>
        <w:rPr/>
        <w:t>元；（</w:t>
      </w:r>
      <w:r>
        <w:rPr>
          <w:rFonts w:ascii="Times New Roman" w:hAnsi="Times New Roman" w:cs="Times New Roman" w:eastAsia="Times New Roman" w:hint="default"/>
        </w:rPr>
        <w:t>2</w:t>
      </w:r>
      <w:r>
        <w:rPr/>
        <w:t>）本年度使用的募集资金的金额为</w:t>
      </w:r>
      <w:r>
        <w:rPr>
          <w:rFonts w:ascii="Times New Roman" w:hAnsi="Times New Roman" w:cs="Times New Roman" w:eastAsia="Times New Roman" w:hint="default"/>
        </w:rPr>
        <w:t>15,837,223.54</w:t>
      </w:r>
      <w:r>
        <w:rPr>
          <w:rFonts w:ascii="Times New Roman" w:hAnsi="Times New Roman" w:cs="Times New Roman" w:eastAsia="Times New Roman" w:hint="default"/>
          <w:spacing w:val="-51"/>
        </w:rPr>
        <w:t> </w:t>
      </w:r>
      <w:r>
        <w:rPr/>
        <w:t>元。</w:t>
      </w:r>
      <w:r>
        <w:rPr>
          <w:rFonts w:ascii="Times New Roman" w:hAnsi="Times New Roman" w:cs="Times New Roman" w:eastAsia="Times New Roman" w:hint="default"/>
        </w:rPr>
        <w:t>2</w:t>
      </w:r>
      <w:r>
        <w:rPr/>
        <w:t>、使募集资金账户利息收入及手续费支出净额</w:t>
      </w:r>
      <w:r>
        <w:rPr>
          <w:rFonts w:ascii="Times New Roman" w:hAnsi="Times New Roman" w:cs="Times New Roman" w:eastAsia="Times New Roman" w:hint="default"/>
        </w:rPr>
        <w:t>2,434,204.43</w:t>
      </w:r>
      <w:r>
        <w:rPr/>
        <w:t>元。</w:t>
      </w:r>
    </w:p>
    <w:p>
      <w:pPr>
        <w:pStyle w:val="BodyText"/>
        <w:spacing w:line="319" w:lineRule="auto" w:before="54"/>
        <w:ind w:left="738" w:right="205"/>
        <w:jc w:val="left"/>
      </w:pPr>
      <w:r>
        <w:rPr/>
        <w:t>截止</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日，公开发行募集资金余额为人民币</w:t>
      </w:r>
      <w:r>
        <w:rPr>
          <w:rFonts w:ascii="Times New Roman" w:hAnsi="Times New Roman" w:cs="Times New Roman" w:eastAsia="Times New Roman" w:hint="default"/>
        </w:rPr>
        <w:t>4,686,097.85</w:t>
      </w:r>
      <w:r>
        <w:rPr/>
        <w:t>元。 </w:t>
      </w:r>
      <w:r>
        <w:rPr>
          <w:rFonts w:ascii="Times New Roman" w:hAnsi="Times New Roman" w:cs="Times New Roman" w:eastAsia="Times New Roman" w:hint="default"/>
          <w:b/>
          <w:bCs/>
        </w:rPr>
        <w:t>2</w:t>
      </w:r>
      <w:r>
        <w:rPr>
          <w:rFonts w:ascii="宋体" w:hAnsi="宋体" w:cs="宋体" w:eastAsia="宋体" w:hint="default"/>
          <w:b/>
          <w:bCs/>
        </w:rPr>
        <w:t>）非公开发行募集资金基本情况</w:t>
      </w:r>
      <w:r>
        <w:rPr>
          <w:rFonts w:ascii="宋体" w:hAnsi="宋体" w:cs="宋体" w:eastAsia="宋体" w:hint="default"/>
          <w:b/>
          <w:bCs/>
          <w:spacing w:val="1"/>
          <w:w w:val="99"/>
        </w:rPr>
        <w:t> </w:t>
      </w:r>
      <w:r>
        <w:rPr>
          <w:spacing w:val="2"/>
        </w:rPr>
        <w:t>经中国证券监督管理委员会证监许可</w:t>
      </w:r>
      <w:r>
        <w:rPr>
          <w:rFonts w:ascii="Times New Roman" w:hAnsi="Times New Roman" w:cs="Times New Roman" w:eastAsia="Times New Roman" w:hint="default"/>
          <w:spacing w:val="2"/>
        </w:rPr>
        <w:t>[2010]1771</w:t>
      </w:r>
      <w:r>
        <w:rPr>
          <w:spacing w:val="2"/>
        </w:rPr>
        <w:t>号文《关于核准深圳市惠程电气</w:t>
      </w:r>
      <w:r>
        <w:rPr/>
      </w:r>
    </w:p>
    <w:p>
      <w:pPr>
        <w:pStyle w:val="BodyText"/>
        <w:spacing w:line="312" w:lineRule="exact"/>
        <w:ind w:right="0"/>
        <w:jc w:val="both"/>
      </w:pPr>
      <w:r>
        <w:rPr/>
        <w:t>股份有限公司非公开发行股票的批复》的核准，同意惠程电气于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22</w:t>
      </w:r>
      <w:r>
        <w:rPr/>
        <w:t>日非公</w:t>
      </w:r>
    </w:p>
    <w:p>
      <w:pPr>
        <w:pStyle w:val="BodyText"/>
        <w:spacing w:line="288" w:lineRule="auto" w:before="67"/>
        <w:ind w:right="215"/>
        <w:jc w:val="both"/>
      </w:pPr>
      <w:r>
        <w:rPr/>
        <w:t>开发行人民币普通股（</w:t>
      </w:r>
      <w:r>
        <w:rPr>
          <w:rFonts w:ascii="Times New Roman" w:hAnsi="Times New Roman" w:cs="Times New Roman" w:eastAsia="Times New Roman" w:hint="default"/>
        </w:rPr>
        <w:t>A</w:t>
      </w:r>
      <w:r>
        <w:rPr/>
        <w:t>股）</w:t>
      </w:r>
      <w:r>
        <w:rPr>
          <w:rFonts w:ascii="Times New Roman" w:hAnsi="Times New Roman" w:cs="Times New Roman" w:eastAsia="Times New Roman" w:hint="default"/>
        </w:rPr>
        <w:t>15,021,600</w:t>
      </w:r>
      <w:r>
        <w:rPr/>
        <w:t>股，每股面值人民币</w:t>
      </w:r>
      <w:r>
        <w:rPr>
          <w:rFonts w:ascii="Times New Roman" w:hAnsi="Times New Roman" w:cs="Times New Roman" w:eastAsia="Times New Roman" w:hint="default"/>
        </w:rPr>
        <w:t>1.00</w:t>
      </w:r>
      <w:r>
        <w:rPr/>
        <w:t>元，每股发行认购价</w:t>
      </w:r>
      <w:r>
        <w:rPr>
          <w:spacing w:val="-109"/>
        </w:rPr>
        <w:t> </w:t>
      </w:r>
      <w:r>
        <w:rPr>
          <w:spacing w:val="-2"/>
        </w:rPr>
        <w:t>格为人民币</w:t>
      </w:r>
      <w:r>
        <w:rPr>
          <w:rFonts w:ascii="Times New Roman" w:hAnsi="Times New Roman" w:cs="Times New Roman" w:eastAsia="Times New Roman" w:hint="default"/>
          <w:spacing w:val="-2"/>
        </w:rPr>
        <w:t>30.11</w:t>
      </w:r>
      <w:r>
        <w:rPr>
          <w:spacing w:val="-2"/>
        </w:rPr>
        <w:t>元，共计募集人民币</w:t>
      </w:r>
      <w:r>
        <w:rPr>
          <w:rFonts w:ascii="Times New Roman" w:hAnsi="Times New Roman" w:cs="Times New Roman" w:eastAsia="Times New Roman" w:hint="default"/>
          <w:spacing w:val="-2"/>
        </w:rPr>
        <w:t>452,300,376.00</w:t>
      </w:r>
      <w:r>
        <w:rPr>
          <w:spacing w:val="-2"/>
        </w:rPr>
        <w:t>元。截至</w:t>
      </w:r>
      <w:r>
        <w:rPr>
          <w:rFonts w:ascii="Times New Roman" w:hAnsi="Times New Roman" w:cs="Times New Roman" w:eastAsia="Times New Roman" w:hint="default"/>
          <w:spacing w:val="-2"/>
        </w:rPr>
        <w:t>2010</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23</w:t>
      </w:r>
      <w:r>
        <w:rPr>
          <w:spacing w:val="-2"/>
        </w:rPr>
        <w:t>日止，本公</w:t>
      </w:r>
      <w:r>
        <w:rPr>
          <w:spacing w:val="-115"/>
        </w:rPr>
        <w:t> </w:t>
      </w:r>
      <w:r>
        <w:rPr>
          <w:spacing w:val="-115"/>
        </w:rPr>
      </w:r>
      <w:r>
        <w:rPr/>
        <w:t>司共计募集资金人民币</w:t>
      </w:r>
      <w:r>
        <w:rPr>
          <w:rFonts w:ascii="Times New Roman" w:hAnsi="Times New Roman" w:cs="Times New Roman" w:eastAsia="Times New Roman" w:hint="default"/>
        </w:rPr>
        <w:t>452,300,376.00</w:t>
      </w:r>
      <w:r>
        <w:rPr/>
        <w:t>元，扣除与发行有关的费用人民币</w:t>
      </w:r>
      <w:r>
        <w:rPr>
          <w:rFonts w:ascii="Times New Roman" w:hAnsi="Times New Roman" w:cs="Times New Roman" w:eastAsia="Times New Roman" w:hint="default"/>
        </w:rPr>
        <w:t>15,315,000.00 </w:t>
      </w:r>
      <w:r>
        <w:rPr/>
        <w:t>元，本公司实际募集资金净额为人民币</w:t>
      </w:r>
      <w:r>
        <w:rPr>
          <w:rFonts w:ascii="Times New Roman" w:hAnsi="Times New Roman" w:cs="Times New Roman" w:eastAsia="Times New Roman" w:hint="default"/>
        </w:rPr>
        <w:t>436,985,376.00</w:t>
      </w:r>
      <w:r>
        <w:rPr>
          <w:rFonts w:ascii="Times New Roman" w:hAnsi="Times New Roman" w:cs="Times New Roman" w:eastAsia="Times New Roman" w:hint="default"/>
          <w:spacing w:val="30"/>
        </w:rPr>
        <w:t> </w:t>
      </w:r>
      <w:r>
        <w:rPr>
          <w:spacing w:val="2"/>
        </w:rPr>
        <w:t>元。本公司上述注册资本变更</w:t>
      </w:r>
      <w:r>
        <w:rPr>
          <w:spacing w:val="-113"/>
        </w:rPr>
        <w:t> </w:t>
      </w:r>
      <w:r>
        <w:rPr>
          <w:spacing w:val="-113"/>
        </w:rPr>
      </w:r>
      <w:r>
        <w:rPr>
          <w:spacing w:val="4"/>
        </w:rPr>
        <w:t>事项业经立信大华会计师事务所于</w:t>
      </w:r>
      <w:r>
        <w:rPr>
          <w:rFonts w:ascii="Times New Roman" w:hAnsi="Times New Roman" w:cs="Times New Roman" w:eastAsia="Times New Roman" w:hint="default"/>
          <w:spacing w:val="4"/>
        </w:rPr>
        <w:t>2010</w:t>
      </w:r>
      <w:r>
        <w:rPr>
          <w:spacing w:val="4"/>
        </w:rPr>
        <w:t>年</w:t>
      </w:r>
      <w:r>
        <w:rPr>
          <w:rFonts w:ascii="Times New Roman" w:hAnsi="Times New Roman" w:cs="Times New Roman" w:eastAsia="Times New Roman" w:hint="default"/>
          <w:spacing w:val="4"/>
        </w:rPr>
        <w:t>12</w:t>
      </w:r>
      <w:r>
        <w:rPr>
          <w:spacing w:val="4"/>
        </w:rPr>
        <w:t>月</w:t>
      </w:r>
      <w:r>
        <w:rPr>
          <w:rFonts w:ascii="Times New Roman" w:hAnsi="Times New Roman" w:cs="Times New Roman" w:eastAsia="Times New Roman" w:hint="default"/>
          <w:spacing w:val="4"/>
        </w:rPr>
        <w:t>23</w:t>
      </w:r>
      <w:r>
        <w:rPr>
          <w:spacing w:val="4"/>
        </w:rPr>
        <w:t>日出具立信大华验字</w:t>
      </w:r>
      <w:r>
        <w:rPr>
          <w:rFonts w:ascii="Times New Roman" w:hAnsi="Times New Roman" w:cs="Times New Roman" w:eastAsia="Times New Roman" w:hint="default"/>
          <w:spacing w:val="4"/>
        </w:rPr>
        <w:t>[2010]190</w:t>
      </w:r>
      <w:r>
        <w:rPr>
          <w:spacing w:val="4"/>
        </w:rPr>
        <w:t>号验</w:t>
      </w:r>
      <w:r>
        <w:rPr>
          <w:spacing w:val="-85"/>
        </w:rPr>
        <w:t> </w:t>
      </w:r>
      <w:r>
        <w:rPr/>
        <w:t>资报告验证确认。</w:t>
      </w:r>
    </w:p>
    <w:p>
      <w:pPr>
        <w:pStyle w:val="BodyText"/>
        <w:spacing w:line="288" w:lineRule="auto" w:before="78"/>
        <w:ind w:right="94" w:firstLine="480"/>
        <w:jc w:val="left"/>
      </w:pPr>
      <w:r>
        <w:rPr/>
        <w:t>截止</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日，本公司非公开发行的募集资金合计账户合计减少的金额为</w:t>
      </w:r>
      <w:r>
        <w:rPr>
          <w:spacing w:val="1"/>
        </w:rPr>
        <w:t> </w:t>
      </w:r>
      <w:r>
        <w:rPr>
          <w:rFonts w:ascii="Times New Roman" w:hAnsi="Times New Roman" w:cs="Times New Roman" w:eastAsia="Times New Roman" w:hint="default"/>
          <w:spacing w:val="-3"/>
        </w:rPr>
        <w:t>217,148,800.92</w:t>
      </w:r>
      <w:r>
        <w:rPr>
          <w:spacing w:val="-3"/>
        </w:rPr>
        <w:t>元，其中：</w:t>
      </w:r>
      <w:r>
        <w:rPr>
          <w:rFonts w:ascii="Times New Roman" w:hAnsi="Times New Roman" w:cs="Times New Roman" w:eastAsia="Times New Roman" w:hint="default"/>
          <w:spacing w:val="-3"/>
        </w:rPr>
        <w:t>1</w:t>
      </w:r>
      <w:r>
        <w:rPr>
          <w:spacing w:val="-3"/>
        </w:rPr>
        <w:t>、本年度累计投入募集资金项目的金额为</w:t>
      </w:r>
      <w:r>
        <w:rPr>
          <w:rFonts w:ascii="Times New Roman" w:hAnsi="Times New Roman" w:cs="Times New Roman" w:eastAsia="Times New Roman" w:hint="default"/>
          <w:spacing w:val="-3"/>
        </w:rPr>
        <w:t>179,943,440.58</w:t>
      </w:r>
      <w:r>
        <w:rPr>
          <w:spacing w:val="-3"/>
        </w:rPr>
        <w:t>元，</w:t>
      </w:r>
      <w:r>
        <w:rPr>
          <w:spacing w:val="-74"/>
        </w:rPr>
        <w:t> </w:t>
      </w:r>
      <w:r>
        <w:rPr>
          <w:spacing w:val="-4"/>
        </w:rPr>
        <w:t>其中：（</w:t>
      </w:r>
      <w:r>
        <w:rPr>
          <w:rFonts w:ascii="Times New Roman" w:hAnsi="Times New Roman" w:cs="Times New Roman" w:eastAsia="Times New Roman" w:hint="default"/>
          <w:spacing w:val="-4"/>
        </w:rPr>
        <w:t>1</w:t>
      </w:r>
      <w:r>
        <w:rPr>
          <w:spacing w:val="-4"/>
        </w:rPr>
        <w:t>）公司募集资金到位后置换已利用自筹资金和银行贷款先期投入募集资金项</w:t>
      </w:r>
      <w:r>
        <w:rPr>
          <w:spacing w:val="-83"/>
        </w:rPr>
        <w:t> </w:t>
      </w:r>
      <w:r>
        <w:rPr>
          <w:spacing w:val="-83"/>
        </w:rPr>
      </w:r>
      <w:r>
        <w:rPr>
          <w:spacing w:val="4"/>
        </w:rPr>
        <w:t>目的金额为</w:t>
      </w:r>
      <w:r>
        <w:rPr>
          <w:rFonts w:ascii="Times New Roman" w:hAnsi="Times New Roman" w:cs="Times New Roman" w:eastAsia="Times New Roman" w:hint="default"/>
          <w:spacing w:val="4"/>
        </w:rPr>
        <w:t>60,938,300.00</w:t>
      </w:r>
      <w:r>
        <w:rPr>
          <w:spacing w:val="4"/>
        </w:rPr>
        <w:t>元；（</w:t>
      </w:r>
      <w:r>
        <w:rPr>
          <w:rFonts w:ascii="Times New Roman" w:hAnsi="Times New Roman" w:cs="Times New Roman" w:eastAsia="Times New Roman" w:hint="default"/>
          <w:spacing w:val="4"/>
        </w:rPr>
        <w:t>2</w:t>
      </w:r>
      <w:r>
        <w:rPr>
          <w:spacing w:val="4"/>
        </w:rPr>
        <w:t>）募集资金到位后直接投入募集资金项目的金额为</w:t>
      </w:r>
      <w:r>
        <w:rPr>
          <w:spacing w:val="-97"/>
        </w:rPr>
        <w:t> </w:t>
      </w:r>
      <w:r>
        <w:rPr>
          <w:rFonts w:ascii="Times New Roman" w:hAnsi="Times New Roman" w:cs="Times New Roman" w:eastAsia="Times New Roman" w:hint="default"/>
          <w:spacing w:val="2"/>
        </w:rPr>
        <w:t>119,005,140.58</w:t>
      </w:r>
      <w:r>
        <w:rPr>
          <w:spacing w:val="2"/>
        </w:rPr>
        <w:t>元；</w:t>
      </w:r>
      <w:r>
        <w:rPr>
          <w:rFonts w:ascii="Times New Roman" w:hAnsi="Times New Roman" w:cs="Times New Roman" w:eastAsia="Times New Roman" w:hint="default"/>
          <w:spacing w:val="2"/>
        </w:rPr>
        <w:t>2</w:t>
      </w:r>
      <w:r>
        <w:rPr>
          <w:spacing w:val="2"/>
        </w:rPr>
        <w:t>、本年度暂时使用募集资金补充流动资金的金额为</w:t>
      </w:r>
      <w:r>
        <w:rPr>
          <w:rFonts w:ascii="Times New Roman" w:hAnsi="Times New Roman" w:cs="Times New Roman" w:eastAsia="Times New Roman" w:hint="default"/>
          <w:spacing w:val="2"/>
        </w:rPr>
        <w:t>40,000,000.00</w:t>
      </w:r>
      <w:r>
        <w:rPr>
          <w:rFonts w:ascii="Times New Roman" w:hAnsi="Times New Roman" w:cs="Times New Roman" w:eastAsia="Times New Roman" w:hint="default"/>
          <w:spacing w:val="-40"/>
        </w:rPr>
        <w:t> </w:t>
      </w:r>
      <w:r>
        <w:rPr>
          <w:spacing w:val="10"/>
        </w:rPr>
        <w:t>元；</w:t>
      </w:r>
      <w:r>
        <w:rPr>
          <w:rFonts w:ascii="Times New Roman" w:hAnsi="Times New Roman" w:cs="Times New Roman" w:eastAsia="Times New Roman" w:hint="default"/>
          <w:spacing w:val="10"/>
        </w:rPr>
        <w:t>3</w:t>
      </w:r>
      <w:r>
        <w:rPr>
          <w:spacing w:val="10"/>
        </w:rPr>
        <w:t>、本年度子公司吉林高琦使用募集资金购买理财产品获得投资收益的金额为 </w:t>
      </w:r>
      <w:r>
        <w:rPr>
          <w:rFonts w:ascii="Times New Roman" w:hAnsi="Times New Roman" w:cs="Times New Roman" w:eastAsia="Times New Roman" w:hint="default"/>
          <w:spacing w:val="-5"/>
        </w:rPr>
        <w:t>1,005,852.20</w:t>
      </w:r>
      <w:r>
        <w:rPr>
          <w:spacing w:val="-5"/>
        </w:rPr>
        <w:t>元；</w:t>
      </w:r>
      <w:r>
        <w:rPr>
          <w:rFonts w:ascii="Times New Roman" w:hAnsi="Times New Roman" w:cs="Times New Roman" w:eastAsia="Times New Roman" w:hint="default"/>
          <w:spacing w:val="-5"/>
        </w:rPr>
        <w:t>4</w:t>
      </w:r>
      <w:r>
        <w:rPr>
          <w:spacing w:val="-5"/>
        </w:rPr>
        <w:t>、募集资金账户累计获得利息收入扣除手续费支出的净额</w:t>
      </w:r>
      <w:r>
        <w:rPr>
          <w:rFonts w:ascii="Times New Roman" w:hAnsi="Times New Roman" w:cs="Times New Roman" w:eastAsia="Times New Roman" w:hint="default"/>
          <w:spacing w:val="-5"/>
        </w:rPr>
        <w:t>1,788,787.46</w:t>
      </w:r>
      <w:r>
        <w:rPr>
          <w:rFonts w:ascii="Times New Roman" w:hAnsi="Times New Roman" w:cs="Times New Roman" w:eastAsia="Times New Roman" w:hint="default"/>
          <w:spacing w:val="-44"/>
        </w:rPr>
        <w:t> </w:t>
      </w:r>
      <w:r>
        <w:rPr/>
        <w:t>元。</w:t>
      </w:r>
    </w:p>
    <w:p>
      <w:pPr>
        <w:pStyle w:val="BodyText"/>
        <w:spacing w:line="316" w:lineRule="auto" w:before="78"/>
        <w:ind w:left="738" w:right="235"/>
        <w:jc w:val="left"/>
      </w:pPr>
      <w:r>
        <w:rPr/>
        <w:t>截止</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日，募集资金账户余额中包含未支付发行费用</w:t>
      </w:r>
      <w:r>
        <w:rPr>
          <w:rFonts w:ascii="Times New Roman" w:hAnsi="Times New Roman" w:cs="Times New Roman" w:eastAsia="Times New Roman" w:hint="default"/>
        </w:rPr>
        <w:t>965,000.00</w:t>
      </w:r>
      <w:r>
        <w:rPr/>
        <w:t>元</w:t>
      </w:r>
      <w:r>
        <w:rPr>
          <w:rFonts w:ascii="Times New Roman" w:hAnsi="Times New Roman" w:cs="Times New Roman" w:eastAsia="Times New Roman" w:hint="default"/>
        </w:rPr>
        <w:t>. </w:t>
      </w:r>
      <w:r>
        <w:rPr>
          <w:spacing w:val="-1"/>
        </w:rPr>
        <w:t>截止</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日，非公开发行的募集资金余额为人民币</w:t>
      </w:r>
      <w:r>
        <w:rPr>
          <w:rFonts w:ascii="Times New Roman" w:hAnsi="Times New Roman" w:cs="Times New Roman" w:eastAsia="Times New Roman" w:hint="default"/>
          <w:spacing w:val="-1"/>
        </w:rPr>
        <w:t>220,801,575.08</w:t>
      </w:r>
      <w:r>
        <w:rPr>
          <w:spacing w:val="-1"/>
        </w:rPr>
        <w:t>元。</w:t>
      </w:r>
    </w:p>
    <w:p>
      <w:pPr>
        <w:pStyle w:val="BodyText"/>
        <w:spacing w:line="394" w:lineRule="exact"/>
        <w:ind w:left="684" w:right="235" w:firstLine="54"/>
        <w:jc w:val="left"/>
      </w:pPr>
      <w:r>
        <w:rPr>
          <w:spacing w:val="-240"/>
          <w:position w:val="-3"/>
          <w:sz w:val="36"/>
          <w:szCs w:val="36"/>
        </w:rPr>
        <w:t>○</w:t>
      </w:r>
      <w:r>
        <w:rPr>
          <w:rFonts w:ascii="Times New Roman" w:hAnsi="Times New Roman" w:cs="Times New Roman" w:eastAsia="Times New Roman" w:hint="default"/>
        </w:rPr>
        <w:t>2  </w:t>
      </w:r>
      <w:r>
        <w:rPr/>
        <w:t>募集资金的管理情况</w:t>
      </w:r>
    </w:p>
    <w:p>
      <w:pPr>
        <w:tabs>
          <w:tab w:pos="1098" w:val="left" w:leader="none"/>
        </w:tabs>
        <w:spacing w:line="316" w:lineRule="auto" w:before="69"/>
        <w:ind w:left="738" w:right="221" w:hanging="54"/>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tab/>
      </w:r>
      <w:r>
        <w:rPr>
          <w:rFonts w:ascii="宋体" w:hAnsi="宋体" w:cs="宋体" w:eastAsia="宋体" w:hint="default"/>
          <w:b/>
          <w:bCs/>
          <w:sz w:val="24"/>
          <w:szCs w:val="24"/>
        </w:rPr>
        <w:t>募集资金的管理情况</w:t>
      </w:r>
      <w:r>
        <w:rPr>
          <w:rFonts w:ascii="宋体" w:hAnsi="宋体" w:cs="宋体" w:eastAsia="宋体" w:hint="default"/>
          <w:b/>
          <w:bCs/>
          <w:spacing w:val="1"/>
          <w:w w:val="99"/>
          <w:sz w:val="24"/>
          <w:szCs w:val="24"/>
        </w:rPr>
        <w:t> </w:t>
      </w:r>
      <w:r>
        <w:rPr>
          <w:rFonts w:ascii="宋体" w:hAnsi="宋体" w:cs="宋体" w:eastAsia="宋体" w:hint="default"/>
          <w:spacing w:val="-7"/>
          <w:sz w:val="24"/>
          <w:szCs w:val="24"/>
        </w:rPr>
        <w:t>为了规范募集资金的管理和使用，保护投资者权益，本公司依照《公司法》、《证</w:t>
      </w:r>
      <w:r>
        <w:rPr>
          <w:rFonts w:ascii="宋体" w:hAnsi="宋体" w:cs="宋体" w:eastAsia="宋体" w:hint="default"/>
          <w:sz w:val="24"/>
          <w:szCs w:val="24"/>
        </w:rPr>
      </w:r>
    </w:p>
    <w:p>
      <w:pPr>
        <w:pStyle w:val="BodyText"/>
        <w:spacing w:line="240" w:lineRule="auto" w:before="10"/>
        <w:ind w:right="0"/>
        <w:jc w:val="both"/>
      </w:pPr>
      <w:r>
        <w:rPr>
          <w:spacing w:val="3"/>
        </w:rPr>
        <w:t>券法</w:t>
      </w:r>
      <w:r>
        <w:rPr>
          <w:spacing w:val="-117"/>
        </w:rPr>
        <w:t>》、</w:t>
      </w:r>
      <w:r>
        <w:rPr>
          <w:spacing w:val="3"/>
        </w:rPr>
        <w:t>《深圳证券交易所股票上市规则</w:t>
      </w:r>
      <w:r>
        <w:rPr>
          <w:spacing w:val="-117"/>
        </w:rPr>
        <w:t>》、</w:t>
      </w:r>
      <w:r>
        <w:rPr>
          <w:spacing w:val="3"/>
        </w:rPr>
        <w:t>《中小企业板上市公司募集资金管理细则》</w:t>
      </w:r>
      <w:r>
        <w:rPr/>
      </w:r>
    </w:p>
    <w:p>
      <w:pPr>
        <w:spacing w:after="0" w:line="240" w:lineRule="auto"/>
        <w:jc w:val="both"/>
        <w:sectPr>
          <w:footerReference w:type="default" r:id="rId22"/>
          <w:pgSz w:w="11910" w:h="16840"/>
          <w:pgMar w:footer="1266" w:header="470" w:top="900" w:bottom="1460" w:left="1160" w:right="1360"/>
          <w:pgNumType w:start="53"/>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302" w:lineRule="auto" w:before="26"/>
        <w:ind w:right="221"/>
        <w:jc w:val="both"/>
      </w:pPr>
      <w:r>
        <w:rPr/>
        <w:t>（</w:t>
      </w:r>
      <w:r>
        <w:rPr>
          <w:rFonts w:ascii="Times New Roman" w:hAnsi="Times New Roman" w:cs="Times New Roman" w:eastAsia="Times New Roman" w:hint="default"/>
        </w:rPr>
        <w:t>2008</w:t>
      </w:r>
      <w:r>
        <w:rPr/>
        <w:t>年修订）等法律法规，结合公司实际情况，制定了《深圳市惠程电气股份有限 </w:t>
      </w:r>
      <w:r>
        <w:rPr>
          <w:spacing w:val="-13"/>
        </w:rPr>
        <w:t>公司募集资金管理制度》（以下简称“管理制度”），该《管理制度》经本公司第二届二</w:t>
      </w:r>
      <w:r>
        <w:rPr>
          <w:spacing w:val="-86"/>
        </w:rPr>
        <w:t> </w:t>
      </w:r>
      <w:r>
        <w:rPr>
          <w:spacing w:val="-86"/>
        </w:rPr>
      </w:r>
      <w:r>
        <w:rPr>
          <w:spacing w:val="-6"/>
        </w:rPr>
        <w:t>十五次董事会审议通过，并业经本公司</w:t>
      </w:r>
      <w:r>
        <w:rPr>
          <w:rFonts w:ascii="Times New Roman" w:hAnsi="Times New Roman" w:cs="Times New Roman" w:eastAsia="Times New Roman" w:hint="default"/>
          <w:spacing w:val="-6"/>
        </w:rPr>
        <w:t>2008</w:t>
      </w:r>
      <w:r>
        <w:rPr>
          <w:spacing w:val="-6"/>
        </w:rPr>
        <w:t>年第二次临时股东大会表决通过。根据《管</w:t>
      </w:r>
      <w:r>
        <w:rPr>
          <w:spacing w:val="-102"/>
        </w:rPr>
        <w:t> </w:t>
      </w:r>
      <w:r>
        <w:rPr>
          <w:spacing w:val="-102"/>
        </w:rPr>
      </w:r>
      <w:r>
        <w:rPr/>
        <w:t>理制度》的要求，并结合公司经营需要，本公司对募集资金实行专户存储，并对募集</w:t>
      </w:r>
      <w:r>
        <w:rPr>
          <w:spacing w:val="-117"/>
        </w:rPr>
        <w:t> </w:t>
      </w:r>
      <w:r>
        <w:rPr>
          <w:spacing w:val="-117"/>
        </w:rPr>
      </w:r>
      <w:r>
        <w:rPr/>
        <w:t>资金的使用实行严格的审批手续，以保证专款专用。所有募集资金项目投资的支出，</w:t>
      </w:r>
      <w:r>
        <w:rPr>
          <w:spacing w:val="-117"/>
        </w:rPr>
        <w:t> </w:t>
      </w:r>
      <w:r>
        <w:rPr>
          <w:spacing w:val="-117"/>
        </w:rPr>
      </w:r>
      <w:r>
        <w:rPr/>
        <w:t>均首先由有关部门提出资金使用计划，在董事会授权范围内，经主管经理签字后报财</w:t>
      </w:r>
      <w:r>
        <w:rPr>
          <w:spacing w:val="-117"/>
        </w:rPr>
        <w:t> </w:t>
      </w:r>
      <w:r>
        <w:rPr>
          <w:spacing w:val="-117"/>
        </w:rPr>
      </w:r>
      <w:r>
        <w:rPr/>
        <w:t>务部，由财务部审核后，逐级由财务负责人及总经理签字后予以付款；凡超过董事会</w:t>
      </w:r>
      <w:r>
        <w:rPr>
          <w:spacing w:val="-117"/>
        </w:rPr>
        <w:t> </w:t>
      </w:r>
      <w:r>
        <w:rPr>
          <w:spacing w:val="-117"/>
        </w:rPr>
      </w:r>
      <w:r>
        <w:rPr/>
        <w:t>授权范围的，必须报董事会审批。募集资金使用必须严格遵守公司内部控制制度的规</w:t>
      </w:r>
      <w:r>
        <w:rPr>
          <w:spacing w:val="-117"/>
        </w:rPr>
        <w:t> </w:t>
      </w:r>
      <w:r>
        <w:rPr>
          <w:spacing w:val="-117"/>
        </w:rPr>
      </w:r>
      <w:r>
        <w:rPr/>
        <w:t>定，明确各控制环节的相关责任，按投资计划申请、审批、使用募集资金，并对使用</w:t>
      </w:r>
      <w:r>
        <w:rPr>
          <w:spacing w:val="-117"/>
        </w:rPr>
        <w:t> </w:t>
      </w:r>
      <w:r>
        <w:rPr>
          <w:spacing w:val="-117"/>
        </w:rPr>
      </w:r>
      <w:r>
        <w:rPr/>
        <w:t>情况进行内部检查与考核。公司在进行项目投资时，资金支出必须严格按照公司资金</w:t>
      </w:r>
      <w:r>
        <w:rPr>
          <w:spacing w:val="-117"/>
        </w:rPr>
        <w:t> </w:t>
      </w:r>
      <w:r>
        <w:rPr>
          <w:spacing w:val="-117"/>
        </w:rPr>
      </w:r>
      <w:r>
        <w:rPr/>
        <w:t>管理制度履行资金使用审批手续。</w:t>
      </w:r>
    </w:p>
    <w:p>
      <w:pPr>
        <w:pStyle w:val="BodyText"/>
        <w:spacing w:line="304" w:lineRule="auto" w:before="64"/>
        <w:ind w:right="205" w:firstLine="480"/>
        <w:jc w:val="left"/>
      </w:pPr>
      <w:r>
        <w:rPr/>
        <w:t>根据本公司与保荐机构国海证券有限公司及兴业银行深圳深南支行、中国银行深 圳南头支行、兴业银行罗湖支行、上海浦东发展银行深圳分行、招商银行科技园支行</w:t>
      </w:r>
    </w:p>
    <w:p>
      <w:pPr>
        <w:pStyle w:val="BodyText"/>
        <w:spacing w:line="302" w:lineRule="auto" w:before="20"/>
        <w:ind w:right="100"/>
        <w:jc w:val="left"/>
      </w:pPr>
      <w:r>
        <w:rPr>
          <w:spacing w:val="-6"/>
        </w:rPr>
        <w:t>（上述银行统称“开户银行”）签订的《深圳市惠程电气股份有限公司募集资金三方监</w:t>
      </w:r>
      <w:r>
        <w:rPr>
          <w:spacing w:val="-114"/>
        </w:rPr>
        <w:t> </w:t>
      </w:r>
      <w:r>
        <w:rPr>
          <w:spacing w:val="-114"/>
        </w:rPr>
      </w:r>
      <w:r>
        <w:rPr/>
        <w:t>管协议》规定：国海证券有限责任公司作为公司的保荐机构，依据有关规定指定保荐</w:t>
      </w:r>
      <w:r>
        <w:rPr>
          <w:spacing w:val="-117"/>
        </w:rPr>
        <w:t> </w:t>
      </w:r>
      <w:r>
        <w:rPr>
          <w:spacing w:val="-117"/>
        </w:rPr>
      </w:r>
      <w:r>
        <w:rPr/>
        <w:t>代表人或其他工作人员对公司募集资金使用情况进行监督，公司和开户银行应当配合</w:t>
      </w:r>
      <w:r>
        <w:rPr>
          <w:spacing w:val="-117"/>
        </w:rPr>
        <w:t> </w:t>
      </w:r>
      <w:r>
        <w:rPr>
          <w:spacing w:val="-117"/>
        </w:rPr>
      </w:r>
      <w:r>
        <w:rPr>
          <w:spacing w:val="-6"/>
        </w:rPr>
        <w:t>国海证券有限责任公司的调查与查询；开户银行按月（每月</w:t>
      </w:r>
      <w:r>
        <w:rPr>
          <w:rFonts w:ascii="Times New Roman" w:hAnsi="Times New Roman" w:cs="Times New Roman" w:eastAsia="Times New Roman" w:hint="default"/>
          <w:spacing w:val="-6"/>
        </w:rPr>
        <w:t>5</w:t>
      </w:r>
      <w:r>
        <w:rPr>
          <w:spacing w:val="-6"/>
        </w:rPr>
        <w:t>日前）向公司出具对帐单，</w:t>
      </w:r>
      <w:r>
        <w:rPr>
          <w:spacing w:val="-108"/>
        </w:rPr>
        <w:t> </w:t>
      </w:r>
      <w:r>
        <w:rPr>
          <w:spacing w:val="-108"/>
        </w:rPr>
      </w:r>
      <w:r>
        <w:rPr/>
        <w:t>并抄送国海证券有限责任公司，开户银行应保证对帐单内容真实、准确、完整；公司</w:t>
      </w:r>
      <w:r>
        <w:rPr>
          <w:spacing w:val="-117"/>
        </w:rPr>
        <w:t> </w:t>
      </w:r>
      <w:r>
        <w:rPr>
          <w:spacing w:val="-117"/>
        </w:rPr>
      </w:r>
      <w:r>
        <w:rPr>
          <w:spacing w:val="4"/>
        </w:rPr>
        <w:t>一次或</w:t>
      </w:r>
      <w:r>
        <w:rPr>
          <w:rFonts w:ascii="Times New Roman" w:hAnsi="Times New Roman" w:cs="Times New Roman" w:eastAsia="Times New Roman" w:hint="default"/>
          <w:spacing w:val="4"/>
        </w:rPr>
        <w:t>12</w:t>
      </w:r>
      <w:r>
        <w:rPr>
          <w:spacing w:val="4"/>
        </w:rPr>
        <w:t>个月内累计从专户中支取金额超过</w:t>
      </w:r>
      <w:r>
        <w:rPr>
          <w:rFonts w:ascii="Times New Roman" w:hAnsi="Times New Roman" w:cs="Times New Roman" w:eastAsia="Times New Roman" w:hint="default"/>
          <w:spacing w:val="4"/>
        </w:rPr>
        <w:t>1,000</w:t>
      </w:r>
      <w:r>
        <w:rPr>
          <w:spacing w:val="4"/>
        </w:rPr>
        <w:t>万元或者募集资金总额的百分之五</w:t>
      </w:r>
      <w:r>
        <w:rPr>
          <w:spacing w:val="-86"/>
        </w:rPr>
        <w:t> </w:t>
      </w:r>
      <w:r>
        <w:rPr/>
        <w:t>的，开户银行应及时以传真方式通知国海证券有限责任公司，同时提供专户的支出清</w:t>
      </w:r>
      <w:r>
        <w:rPr>
          <w:spacing w:val="-117"/>
        </w:rPr>
        <w:t> </w:t>
      </w:r>
      <w:r>
        <w:rPr>
          <w:spacing w:val="-117"/>
        </w:rPr>
      </w:r>
      <w:r>
        <w:rPr/>
        <w:t>单；开户银行连续三次未及时向国海证券有限责任公司出具对帐单或通知专户大额支</w:t>
      </w:r>
      <w:r>
        <w:rPr>
          <w:spacing w:val="-117"/>
        </w:rPr>
        <w:t> </w:t>
      </w:r>
      <w:r>
        <w:rPr>
          <w:spacing w:val="-117"/>
        </w:rPr>
      </w:r>
      <w:r>
        <w:rPr/>
        <w:t>取情况，以及存在未配合国海证券有限责任公司查询与调查专户资料情形的，公司可</w:t>
      </w:r>
      <w:r>
        <w:rPr>
          <w:spacing w:val="-117"/>
        </w:rPr>
        <w:t> </w:t>
      </w:r>
      <w:r>
        <w:rPr>
          <w:spacing w:val="-117"/>
        </w:rPr>
      </w:r>
      <w:r>
        <w:rPr/>
        <w:t>以单方面终止协议并注销募集资金专户。</w:t>
      </w:r>
    </w:p>
    <w:p>
      <w:pPr>
        <w:pStyle w:val="BodyText"/>
        <w:spacing w:line="302" w:lineRule="auto" w:before="64"/>
        <w:ind w:right="100" w:firstLine="480"/>
        <w:jc w:val="left"/>
      </w:pPr>
      <w:r>
        <w:rPr/>
        <w:t>根据本公司与保荐机构国海证券有限公司及招商银行科技园支行和上海浦东发展 </w:t>
      </w:r>
      <w:r>
        <w:rPr>
          <w:spacing w:val="-6"/>
        </w:rPr>
        <w:t>银行深圳分行签订的《深圳市惠程电气股份有限公司募集资金三方监管协议》；与本公</w:t>
      </w:r>
      <w:r>
        <w:rPr>
          <w:spacing w:val="-112"/>
        </w:rPr>
        <w:t> </w:t>
      </w:r>
      <w:r>
        <w:rPr>
          <w:spacing w:val="-112"/>
        </w:rPr>
      </w:r>
      <w:r>
        <w:rPr>
          <w:spacing w:val="-12"/>
        </w:rPr>
        <w:t>司之子公司吉林高琦聚酰亚胺材料有限公司（“吉林高琦”）、保荐机构国海证券有限公</w:t>
      </w:r>
      <w:r>
        <w:rPr>
          <w:spacing w:val="-112"/>
        </w:rPr>
        <w:t> </w:t>
      </w:r>
      <w:r>
        <w:rPr>
          <w:spacing w:val="-112"/>
        </w:rPr>
      </w:r>
      <w:r>
        <w:rPr/>
        <w:t>司和上海浦东发展银行吉林支行签订的《吉林高琦聚酰亚胺材料有限公司募集资金四</w:t>
      </w:r>
      <w:r>
        <w:rPr>
          <w:spacing w:val="-117"/>
        </w:rPr>
        <w:t> </w:t>
      </w:r>
      <w:r>
        <w:rPr>
          <w:spacing w:val="-117"/>
        </w:rPr>
      </w:r>
      <w:r>
        <w:rPr/>
        <w:t>方监管协议》规定：国海证券有限责任公司作为公司的保荐机构，依据有关规定指定</w:t>
      </w:r>
      <w:r>
        <w:rPr>
          <w:spacing w:val="-117"/>
        </w:rPr>
        <w:t> </w:t>
      </w:r>
      <w:r>
        <w:rPr>
          <w:spacing w:val="-117"/>
        </w:rPr>
      </w:r>
      <w:r>
        <w:rPr/>
        <w:t>保荐代表人或其他工作人员对公司募集资金使用情况进行监督，公司和开户银行应当</w:t>
      </w:r>
      <w:r>
        <w:rPr>
          <w:spacing w:val="-117"/>
        </w:rPr>
        <w:t> </w:t>
      </w:r>
      <w:r>
        <w:rPr>
          <w:spacing w:val="-117"/>
        </w:rPr>
      </w:r>
      <w:r>
        <w:rPr>
          <w:spacing w:val="-3"/>
        </w:rPr>
        <w:t>配合国海证券有限责任公司的调查与查询；开户银行按月（每月</w:t>
      </w:r>
      <w:r>
        <w:rPr>
          <w:rFonts w:ascii="Times New Roman" w:hAnsi="Times New Roman" w:cs="Times New Roman" w:eastAsia="Times New Roman" w:hint="default"/>
          <w:spacing w:val="-3"/>
        </w:rPr>
        <w:t>5</w:t>
      </w:r>
      <w:r>
        <w:rPr>
          <w:spacing w:val="-3"/>
        </w:rPr>
        <w:t>日前）向公司出具对</w:t>
      </w:r>
      <w:r>
        <w:rPr>
          <w:spacing w:val="-114"/>
        </w:rPr>
        <w:t> </w:t>
      </w:r>
      <w:r>
        <w:rPr>
          <w:spacing w:val="-114"/>
        </w:rPr>
      </w:r>
      <w:r>
        <w:rPr>
          <w:spacing w:val="-3"/>
        </w:rPr>
        <w:t>帐单，并抄送国海证券有限责任公司，开户银行应保证对帐单内容真实、准确、完整；</w:t>
      </w:r>
      <w:r>
        <w:rPr>
          <w:spacing w:val="-108"/>
        </w:rPr>
        <w:t> </w:t>
      </w:r>
      <w:r>
        <w:rPr>
          <w:spacing w:val="-108"/>
        </w:rPr>
      </w:r>
      <w:r>
        <w:rPr>
          <w:spacing w:val="4"/>
        </w:rPr>
        <w:t>公司一次或</w:t>
      </w:r>
      <w:r>
        <w:rPr>
          <w:rFonts w:ascii="Times New Roman" w:hAnsi="Times New Roman" w:cs="Times New Roman" w:eastAsia="Times New Roman" w:hint="default"/>
          <w:spacing w:val="4"/>
        </w:rPr>
        <w:t>12</w:t>
      </w:r>
      <w:r>
        <w:rPr>
          <w:spacing w:val="4"/>
        </w:rPr>
        <w:t>个月内累计从专户中支取金额超过</w:t>
      </w:r>
      <w:r>
        <w:rPr>
          <w:rFonts w:ascii="Times New Roman" w:hAnsi="Times New Roman" w:cs="Times New Roman" w:eastAsia="Times New Roman" w:hint="default"/>
          <w:spacing w:val="4"/>
        </w:rPr>
        <w:t>1,000</w:t>
      </w:r>
      <w:r>
        <w:rPr>
          <w:spacing w:val="4"/>
        </w:rPr>
        <w:t>万元或者募集资金总额的百分</w:t>
      </w:r>
      <w:r>
        <w:rPr>
          <w:spacing w:val="-84"/>
        </w:rPr>
        <w:t> </w:t>
      </w:r>
      <w:r>
        <w:rPr/>
        <w:t>之五的，开户银行应及时以传真方式通知国海证券有限责任公司，同时提供专户的支</w:t>
      </w:r>
      <w:r>
        <w:rPr>
          <w:spacing w:val="-117"/>
        </w:rPr>
        <w:t> </w:t>
      </w:r>
      <w:r>
        <w:rPr>
          <w:spacing w:val="-117"/>
        </w:rPr>
      </w:r>
      <w:r>
        <w:rPr/>
        <w:t>出清单；开户银行连续三次未及时向国海证券有限责任公司出具对帐单或通知专户大</w:t>
      </w:r>
    </w:p>
    <w:p>
      <w:pPr>
        <w:spacing w:after="0" w:line="302" w:lineRule="auto"/>
        <w:jc w:val="left"/>
        <w:sectPr>
          <w:footerReference w:type="default" r:id="rId23"/>
          <w:pgSz w:w="11910" w:h="16840"/>
          <w:pgMar w:footer="1266" w:header="470" w:top="900" w:bottom="1460" w:left="1160" w:right="1360"/>
          <w:pgNumType w:start="54"/>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304" w:lineRule="auto" w:before="26"/>
        <w:ind w:right="0"/>
        <w:jc w:val="left"/>
      </w:pPr>
      <w:r>
        <w:rPr/>
        <w:t>额支取情况，以及存在未配合国海证券有限责任公司查询与调查专户资料情形的，公</w:t>
      </w:r>
      <w:r>
        <w:rPr>
          <w:spacing w:val="-117"/>
        </w:rPr>
        <w:t> </w:t>
      </w:r>
      <w:r>
        <w:rPr>
          <w:spacing w:val="-117"/>
        </w:rPr>
      </w:r>
      <w:r>
        <w:rPr/>
        <w:t>司可以单方面终止协议并注销募集资金专户。</w:t>
      </w:r>
    </w:p>
    <w:p>
      <w:pPr>
        <w:spacing w:line="240" w:lineRule="auto" w:before="0"/>
        <w:rPr>
          <w:rFonts w:ascii="宋体" w:hAnsi="宋体" w:cs="宋体" w:eastAsia="宋体" w:hint="default"/>
          <w:sz w:val="24"/>
          <w:szCs w:val="24"/>
        </w:rPr>
      </w:pPr>
    </w:p>
    <w:p>
      <w:pPr>
        <w:tabs>
          <w:tab w:pos="1098" w:val="left" w:leader="none"/>
        </w:tabs>
        <w:spacing w:before="186"/>
        <w:ind w:left="684" w:right="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tab/>
      </w:r>
      <w:r>
        <w:rPr>
          <w:rFonts w:ascii="宋体" w:hAnsi="宋体" w:cs="宋体" w:eastAsia="宋体" w:hint="default"/>
          <w:b/>
          <w:bCs/>
          <w:sz w:val="24"/>
          <w:szCs w:val="24"/>
        </w:rPr>
        <w:t>募集资金专户存储情况</w:t>
      </w:r>
      <w:r>
        <w:rPr>
          <w:rFonts w:ascii="宋体" w:hAnsi="宋体" w:cs="宋体" w:eastAsia="宋体" w:hint="default"/>
          <w:sz w:val="24"/>
          <w:szCs w:val="24"/>
        </w:rPr>
      </w:r>
    </w:p>
    <w:p>
      <w:pPr>
        <w:tabs>
          <w:tab w:pos="1098" w:val="left" w:leader="none"/>
        </w:tabs>
        <w:spacing w:before="34"/>
        <w:ind w:left="678" w:right="0" w:firstLine="0"/>
        <w:jc w:val="left"/>
        <w:rPr>
          <w:rFonts w:ascii="宋体" w:hAnsi="宋体" w:cs="宋体" w:eastAsia="宋体" w:hint="default"/>
          <w:sz w:val="21"/>
          <w:szCs w:val="21"/>
        </w:rPr>
      </w:pPr>
      <w:r>
        <w:rPr>
          <w:rFonts w:ascii="Wingdings" w:hAnsi="Wingdings" w:cs="Wingdings" w:eastAsia="Wingdings" w:hint="default"/>
          <w:sz w:val="21"/>
          <w:szCs w:val="21"/>
        </w:rPr>
        <w:t></w:t>
      </w:r>
      <w:r>
        <w:rPr>
          <w:rFonts w:ascii="Times New Roman" w:hAnsi="Times New Roman" w:cs="Times New Roman" w:eastAsia="Times New Roman" w:hint="default"/>
          <w:sz w:val="21"/>
          <w:szCs w:val="21"/>
        </w:rPr>
        <w:tab/>
      </w:r>
      <w:r>
        <w:rPr>
          <w:rFonts w:ascii="宋体" w:hAnsi="宋体" w:cs="宋体" w:eastAsia="宋体" w:hint="default"/>
          <w:sz w:val="21"/>
          <w:szCs w:val="21"/>
        </w:rPr>
        <w:t>公开发行的募集资金的存储情况</w:t>
      </w:r>
    </w:p>
    <w:p>
      <w:pPr>
        <w:spacing w:line="240" w:lineRule="auto" w:before="10"/>
        <w:rPr>
          <w:rFonts w:ascii="宋体" w:hAnsi="宋体" w:cs="宋体" w:eastAsia="宋体" w:hint="default"/>
          <w:sz w:val="18"/>
          <w:szCs w:val="18"/>
        </w:rPr>
      </w:pPr>
    </w:p>
    <w:p>
      <w:pPr>
        <w:spacing w:line="274" w:lineRule="exact" w:before="0"/>
        <w:ind w:left="671" w:right="0" w:firstLine="0"/>
        <w:jc w:val="left"/>
        <w:rPr>
          <w:rFonts w:ascii="宋体" w:hAnsi="宋体" w:cs="宋体" w:eastAsia="宋体" w:hint="default"/>
          <w:sz w:val="21"/>
          <w:szCs w:val="21"/>
        </w:rPr>
      </w:pPr>
      <w:r>
        <w:rPr>
          <w:rFonts w:ascii="宋体" w:hAnsi="宋体" w:cs="宋体" w:eastAsia="宋体" w:hint="default"/>
          <w:b/>
          <w:bCs/>
          <w:sz w:val="21"/>
          <w:szCs w:val="21"/>
        </w:rPr>
        <w:t>截至</w:t>
      </w:r>
      <w:r>
        <w:rPr>
          <w:rFonts w:ascii="宋体" w:hAnsi="宋体" w:cs="宋体" w:eastAsia="宋体" w:hint="default"/>
          <w:b/>
          <w:bCs/>
          <w:spacing w:val="-56"/>
          <w:sz w:val="21"/>
          <w:szCs w:val="21"/>
        </w:rPr>
        <w:t> </w:t>
      </w:r>
      <w:r>
        <w:rPr>
          <w:rFonts w:ascii="宋体" w:hAnsi="宋体" w:cs="宋体" w:eastAsia="宋体" w:hint="default"/>
          <w:b/>
          <w:bCs/>
          <w:sz w:val="21"/>
          <w:szCs w:val="21"/>
        </w:rPr>
        <w:t>2011</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6"/>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日止，公开发行的募集资金的存储情况列示如下：</w:t>
      </w:r>
      <w:r>
        <w:rPr>
          <w:rFonts w:ascii="宋体" w:hAnsi="宋体" w:cs="宋体" w:eastAsia="宋体" w:hint="default"/>
          <w:sz w:val="21"/>
          <w:szCs w:val="21"/>
        </w:rPr>
      </w:r>
    </w:p>
    <w:p>
      <w:pPr>
        <w:spacing w:line="274" w:lineRule="exact" w:before="0"/>
        <w:ind w:left="0" w:right="142" w:firstLine="0"/>
        <w:jc w:val="right"/>
        <w:rPr>
          <w:rFonts w:ascii="宋体" w:hAnsi="宋体" w:cs="宋体" w:eastAsia="宋体" w:hint="default"/>
          <w:sz w:val="21"/>
          <w:szCs w:val="21"/>
        </w:rPr>
      </w:pPr>
      <w:r>
        <w:rPr>
          <w:rFonts w:ascii="宋体" w:hAnsi="宋体" w:cs="宋体" w:eastAsia="宋体" w:hint="default"/>
          <w:sz w:val="21"/>
          <w:szCs w:val="21"/>
        </w:rPr>
        <w:t>金额单位：人民币元</w:t>
      </w:r>
    </w:p>
    <w:p>
      <w:pPr>
        <w:spacing w:line="240" w:lineRule="auto" w:before="11"/>
        <w:rPr>
          <w:rFonts w:ascii="宋体" w:hAnsi="宋体" w:cs="宋体" w:eastAsia="宋体" w:hint="default"/>
          <w:sz w:val="12"/>
          <w:szCs w:val="12"/>
        </w:rPr>
      </w:pPr>
    </w:p>
    <w:tbl>
      <w:tblPr>
        <w:tblW w:w="0" w:type="auto"/>
        <w:jc w:val="left"/>
        <w:tblInd w:w="395" w:type="dxa"/>
        <w:tblLayout w:type="fixed"/>
        <w:tblCellMar>
          <w:top w:w="0" w:type="dxa"/>
          <w:left w:w="0" w:type="dxa"/>
          <w:bottom w:w="0" w:type="dxa"/>
          <w:right w:w="0" w:type="dxa"/>
        </w:tblCellMar>
        <w:tblLook w:val="01E0"/>
      </w:tblPr>
      <w:tblGrid>
        <w:gridCol w:w="2694"/>
        <w:gridCol w:w="2128"/>
        <w:gridCol w:w="1417"/>
        <w:gridCol w:w="1417"/>
        <w:gridCol w:w="1134"/>
      </w:tblGrid>
      <w:tr>
        <w:trPr>
          <w:trHeight w:val="494"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5"/>
              <w:ind w:left="103" w:right="0"/>
              <w:jc w:val="left"/>
              <w:rPr>
                <w:rFonts w:ascii="宋体" w:hAnsi="宋体" w:cs="宋体" w:eastAsia="宋体" w:hint="default"/>
                <w:sz w:val="18"/>
                <w:szCs w:val="18"/>
              </w:rPr>
            </w:pPr>
            <w:r>
              <w:rPr>
                <w:rFonts w:ascii="宋体" w:hAnsi="宋体" w:cs="宋体" w:eastAsia="宋体" w:hint="default"/>
                <w:sz w:val="18"/>
                <w:szCs w:val="18"/>
              </w:rPr>
              <w:t>银行名称</w:t>
            </w:r>
          </w:p>
        </w:tc>
        <w:tc>
          <w:tcPr>
            <w:tcW w:w="21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5"/>
              <w:ind w:left="103" w:right="0"/>
              <w:jc w:val="left"/>
              <w:rPr>
                <w:rFonts w:ascii="宋体" w:hAnsi="宋体" w:cs="宋体" w:eastAsia="宋体" w:hint="default"/>
                <w:sz w:val="18"/>
                <w:szCs w:val="18"/>
              </w:rPr>
            </w:pPr>
            <w:r>
              <w:rPr>
                <w:rFonts w:ascii="宋体" w:hAnsi="宋体" w:cs="宋体" w:eastAsia="宋体" w:hint="default"/>
                <w:sz w:val="18"/>
                <w:szCs w:val="18"/>
              </w:rPr>
              <w:t>账号</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5"/>
              <w:ind w:right="133"/>
              <w:jc w:val="right"/>
              <w:rPr>
                <w:rFonts w:ascii="宋体" w:hAnsi="宋体" w:cs="宋体" w:eastAsia="宋体" w:hint="default"/>
                <w:sz w:val="18"/>
                <w:szCs w:val="18"/>
              </w:rPr>
            </w:pPr>
            <w:r>
              <w:rPr>
                <w:rFonts w:ascii="宋体" w:hAnsi="宋体" w:cs="宋体" w:eastAsia="宋体" w:hint="default"/>
                <w:sz w:val="18"/>
                <w:szCs w:val="18"/>
              </w:rPr>
              <w:t>初时存放金额*</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5"/>
              <w:ind w:left="101" w:right="0"/>
              <w:jc w:val="left"/>
              <w:rPr>
                <w:rFonts w:ascii="宋体" w:hAnsi="宋体" w:cs="宋体" w:eastAsia="宋体" w:hint="default"/>
                <w:sz w:val="18"/>
                <w:szCs w:val="18"/>
              </w:rPr>
            </w:pPr>
            <w:r>
              <w:rPr>
                <w:rFonts w:ascii="宋体" w:hAnsi="宋体" w:cs="宋体" w:eastAsia="宋体" w:hint="default"/>
                <w:sz w:val="18"/>
                <w:szCs w:val="18"/>
              </w:rPr>
              <w:t>截止日余额</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5"/>
              <w:ind w:left="103" w:right="0"/>
              <w:jc w:val="left"/>
              <w:rPr>
                <w:rFonts w:ascii="宋体" w:hAnsi="宋体" w:cs="宋体" w:eastAsia="宋体" w:hint="default"/>
                <w:sz w:val="18"/>
                <w:szCs w:val="18"/>
              </w:rPr>
            </w:pPr>
            <w:r>
              <w:rPr>
                <w:rFonts w:ascii="宋体" w:hAnsi="宋体" w:cs="宋体" w:eastAsia="宋体" w:hint="default"/>
                <w:sz w:val="18"/>
                <w:szCs w:val="18"/>
              </w:rPr>
              <w:t>存储方式</w:t>
            </w:r>
          </w:p>
        </w:tc>
      </w:tr>
      <w:tr>
        <w:trPr>
          <w:trHeight w:val="325"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兴业银行深圳深南支行</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337100100100067001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pacing w:val="-1"/>
                <w:sz w:val="18"/>
              </w:rPr>
              <w:t>191,229,300.00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4,612,312.08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活期</w:t>
            </w:r>
          </w:p>
        </w:tc>
      </w:tr>
      <w:tr>
        <w:trPr>
          <w:trHeight w:val="325"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中国银行深圳南头支行</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8112046324208091001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pacing w:val="-1"/>
                <w:sz w:val="18"/>
              </w:rPr>
              <w:t>50,000,000.00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z w:val="18"/>
              </w:rPr>
              <w:t>73,785.77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活期</w:t>
            </w:r>
          </w:p>
        </w:tc>
      </w:tr>
      <w:tr>
        <w:trPr>
          <w:trHeight w:val="325"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212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pacing w:val="-1"/>
                <w:sz w:val="18"/>
              </w:rPr>
              <w:t>241,229,300.00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pacing w:val="-1"/>
                <w:sz w:val="18"/>
              </w:rPr>
              <w:t>4,686,097.85</w:t>
            </w:r>
          </w:p>
        </w:tc>
        <w:tc>
          <w:tcPr>
            <w:tcW w:w="1134" w:type="dxa"/>
            <w:tcBorders>
              <w:top w:val="single" w:sz="4" w:space="0" w:color="000000"/>
              <w:left w:val="single" w:sz="4" w:space="0" w:color="000000"/>
              <w:bottom w:val="single" w:sz="4" w:space="0" w:color="000000"/>
              <w:right w:val="single" w:sz="4" w:space="0" w:color="000000"/>
            </w:tcBorders>
          </w:tcPr>
          <w:p>
            <w:pPr/>
          </w:p>
        </w:tc>
      </w:tr>
    </w:tbl>
    <w:p>
      <w:pPr>
        <w:spacing w:line="241" w:lineRule="exact" w:before="0"/>
        <w:ind w:left="67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初始存放金额中包含未扣除的发行费用</w:t>
      </w:r>
      <w:r>
        <w:rPr>
          <w:rFonts w:ascii="宋体" w:hAnsi="宋体" w:cs="宋体" w:eastAsia="宋体" w:hint="default"/>
          <w:spacing w:val="-54"/>
          <w:sz w:val="21"/>
          <w:szCs w:val="21"/>
        </w:rPr>
        <w:t> </w:t>
      </w:r>
      <w:r>
        <w:rPr>
          <w:rFonts w:ascii="宋体" w:hAnsi="宋体" w:cs="宋体" w:eastAsia="宋体" w:hint="default"/>
          <w:sz w:val="21"/>
          <w:szCs w:val="21"/>
        </w:rPr>
        <w:t>8,295,073.12</w:t>
      </w:r>
      <w:r>
        <w:rPr>
          <w:rFonts w:ascii="宋体" w:hAnsi="宋体" w:cs="宋体" w:eastAsia="宋体" w:hint="default"/>
          <w:spacing w:val="-53"/>
          <w:sz w:val="21"/>
          <w:szCs w:val="21"/>
        </w:rPr>
        <w:t> </w:t>
      </w:r>
      <w:r>
        <w:rPr>
          <w:rFonts w:ascii="宋体" w:hAnsi="宋体" w:cs="宋体" w:eastAsia="宋体" w:hint="default"/>
          <w:sz w:val="21"/>
          <w:szCs w:val="21"/>
        </w:rPr>
        <w:t>元。</w:t>
      </w:r>
    </w:p>
    <w:p>
      <w:pPr>
        <w:tabs>
          <w:tab w:pos="1098" w:val="left" w:leader="none"/>
        </w:tabs>
        <w:spacing w:before="133"/>
        <w:ind w:left="678" w:right="0" w:firstLine="0"/>
        <w:jc w:val="left"/>
        <w:rPr>
          <w:rFonts w:ascii="宋体" w:hAnsi="宋体" w:cs="宋体" w:eastAsia="宋体" w:hint="default"/>
          <w:sz w:val="21"/>
          <w:szCs w:val="21"/>
        </w:rPr>
      </w:pPr>
      <w:r>
        <w:rPr>
          <w:rFonts w:ascii="Wingdings" w:hAnsi="Wingdings" w:cs="Wingdings" w:eastAsia="Wingdings" w:hint="default"/>
          <w:sz w:val="21"/>
          <w:szCs w:val="21"/>
        </w:rPr>
        <w:t></w:t>
      </w:r>
      <w:r>
        <w:rPr>
          <w:rFonts w:ascii="Times New Roman" w:hAnsi="Times New Roman" w:cs="Times New Roman" w:eastAsia="Times New Roman" w:hint="default"/>
          <w:sz w:val="21"/>
          <w:szCs w:val="21"/>
        </w:rPr>
        <w:tab/>
      </w:r>
      <w:r>
        <w:rPr>
          <w:rFonts w:ascii="宋体" w:hAnsi="宋体" w:cs="宋体" w:eastAsia="宋体" w:hint="default"/>
          <w:sz w:val="21"/>
          <w:szCs w:val="21"/>
        </w:rPr>
        <w:t>非公开发行的募集资金的存储情况</w:t>
      </w:r>
    </w:p>
    <w:p>
      <w:pPr>
        <w:spacing w:before="119"/>
        <w:ind w:left="678" w:right="0" w:firstLine="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8"/>
          <w:sz w:val="21"/>
          <w:szCs w:val="21"/>
        </w:rPr>
        <w:t> </w:t>
      </w:r>
      <w:r>
        <w:rPr>
          <w:rFonts w:ascii="宋体" w:hAnsi="宋体" w:cs="宋体" w:eastAsia="宋体" w:hint="default"/>
          <w:sz w:val="21"/>
          <w:szCs w:val="21"/>
        </w:rPr>
        <w:t>2011</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宋体" w:hAnsi="宋体" w:cs="宋体" w:eastAsia="宋体" w:hint="default"/>
          <w:sz w:val="21"/>
          <w:szCs w:val="21"/>
        </w:rPr>
        <w:t>12</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宋体" w:hAnsi="宋体" w:cs="宋体" w:eastAsia="宋体" w:hint="default"/>
          <w:sz w:val="21"/>
          <w:szCs w:val="21"/>
        </w:rPr>
        <w:t>31</w:t>
      </w:r>
      <w:r>
        <w:rPr>
          <w:rFonts w:ascii="宋体" w:hAnsi="宋体" w:cs="宋体" w:eastAsia="宋体" w:hint="default"/>
          <w:spacing w:val="-57"/>
          <w:sz w:val="21"/>
          <w:szCs w:val="21"/>
        </w:rPr>
        <w:t> </w:t>
      </w:r>
      <w:r>
        <w:rPr>
          <w:rFonts w:ascii="宋体" w:hAnsi="宋体" w:cs="宋体" w:eastAsia="宋体" w:hint="default"/>
          <w:sz w:val="21"/>
          <w:szCs w:val="21"/>
        </w:rPr>
        <w:t>日止，非公开发行的募集资金的存储情况列示如下：</w:t>
      </w:r>
    </w:p>
    <w:p>
      <w:pPr>
        <w:spacing w:before="133"/>
        <w:ind w:left="0" w:right="142" w:firstLine="0"/>
        <w:jc w:val="right"/>
        <w:rPr>
          <w:rFonts w:ascii="宋体" w:hAnsi="宋体" w:cs="宋体" w:eastAsia="宋体" w:hint="default"/>
          <w:sz w:val="21"/>
          <w:szCs w:val="21"/>
        </w:rPr>
      </w:pPr>
      <w:r>
        <w:rPr>
          <w:rFonts w:ascii="宋体" w:hAnsi="宋体" w:cs="宋体" w:eastAsia="宋体" w:hint="default"/>
          <w:sz w:val="21"/>
          <w:szCs w:val="21"/>
        </w:rPr>
        <w:t>金额单位：人民币元</w:t>
      </w:r>
    </w:p>
    <w:p>
      <w:pPr>
        <w:spacing w:line="240" w:lineRule="auto" w:before="11"/>
        <w:rPr>
          <w:rFonts w:ascii="宋体" w:hAnsi="宋体" w:cs="宋体" w:eastAsia="宋体" w:hint="default"/>
          <w:sz w:val="12"/>
          <w:szCs w:val="12"/>
        </w:rPr>
      </w:pPr>
    </w:p>
    <w:tbl>
      <w:tblPr>
        <w:tblW w:w="0" w:type="auto"/>
        <w:jc w:val="left"/>
        <w:tblInd w:w="395" w:type="dxa"/>
        <w:tblLayout w:type="fixed"/>
        <w:tblCellMar>
          <w:top w:w="0" w:type="dxa"/>
          <w:left w:w="0" w:type="dxa"/>
          <w:bottom w:w="0" w:type="dxa"/>
          <w:right w:w="0" w:type="dxa"/>
        </w:tblCellMar>
        <w:tblLook w:val="01E0"/>
      </w:tblPr>
      <w:tblGrid>
        <w:gridCol w:w="2694"/>
        <w:gridCol w:w="2128"/>
        <w:gridCol w:w="1417"/>
        <w:gridCol w:w="1417"/>
        <w:gridCol w:w="1134"/>
      </w:tblGrid>
      <w:tr>
        <w:trPr>
          <w:trHeight w:val="494"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5"/>
              <w:ind w:left="103" w:right="0"/>
              <w:jc w:val="left"/>
              <w:rPr>
                <w:rFonts w:ascii="宋体" w:hAnsi="宋体" w:cs="宋体" w:eastAsia="宋体" w:hint="default"/>
                <w:sz w:val="18"/>
                <w:szCs w:val="18"/>
              </w:rPr>
            </w:pPr>
            <w:r>
              <w:rPr>
                <w:rFonts w:ascii="宋体" w:hAnsi="宋体" w:cs="宋体" w:eastAsia="宋体" w:hint="default"/>
                <w:sz w:val="18"/>
                <w:szCs w:val="18"/>
              </w:rPr>
              <w:t>银行名称</w:t>
            </w:r>
          </w:p>
        </w:tc>
        <w:tc>
          <w:tcPr>
            <w:tcW w:w="21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5"/>
              <w:ind w:left="103" w:right="0"/>
              <w:jc w:val="left"/>
              <w:rPr>
                <w:rFonts w:ascii="宋体" w:hAnsi="宋体" w:cs="宋体" w:eastAsia="宋体" w:hint="default"/>
                <w:sz w:val="18"/>
                <w:szCs w:val="18"/>
              </w:rPr>
            </w:pPr>
            <w:r>
              <w:rPr>
                <w:rFonts w:ascii="宋体" w:hAnsi="宋体" w:cs="宋体" w:eastAsia="宋体" w:hint="default"/>
                <w:sz w:val="18"/>
                <w:szCs w:val="18"/>
              </w:rPr>
              <w:t>账号</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5"/>
              <w:ind w:right="133"/>
              <w:jc w:val="right"/>
              <w:rPr>
                <w:rFonts w:ascii="宋体" w:hAnsi="宋体" w:cs="宋体" w:eastAsia="宋体" w:hint="default"/>
                <w:sz w:val="18"/>
                <w:szCs w:val="18"/>
              </w:rPr>
            </w:pPr>
            <w:r>
              <w:rPr>
                <w:rFonts w:ascii="宋体" w:hAnsi="宋体" w:cs="宋体" w:eastAsia="宋体" w:hint="default"/>
                <w:sz w:val="18"/>
                <w:szCs w:val="18"/>
              </w:rPr>
              <w:t>初时存放金额*</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5"/>
              <w:ind w:left="101" w:right="0"/>
              <w:jc w:val="left"/>
              <w:rPr>
                <w:rFonts w:ascii="宋体" w:hAnsi="宋体" w:cs="宋体" w:eastAsia="宋体" w:hint="default"/>
                <w:sz w:val="18"/>
                <w:szCs w:val="18"/>
              </w:rPr>
            </w:pPr>
            <w:r>
              <w:rPr>
                <w:rFonts w:ascii="宋体" w:hAnsi="宋体" w:cs="宋体" w:eastAsia="宋体" w:hint="default"/>
                <w:sz w:val="18"/>
                <w:szCs w:val="18"/>
              </w:rPr>
              <w:t>截止日余额</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5"/>
              <w:ind w:left="103" w:right="0"/>
              <w:jc w:val="left"/>
              <w:rPr>
                <w:rFonts w:ascii="宋体" w:hAnsi="宋体" w:cs="宋体" w:eastAsia="宋体" w:hint="default"/>
                <w:sz w:val="18"/>
                <w:szCs w:val="18"/>
              </w:rPr>
            </w:pPr>
            <w:r>
              <w:rPr>
                <w:rFonts w:ascii="宋体" w:hAnsi="宋体" w:cs="宋体" w:eastAsia="宋体" w:hint="default"/>
                <w:sz w:val="18"/>
                <w:szCs w:val="18"/>
              </w:rPr>
              <w:t>存储方式</w:t>
            </w:r>
          </w:p>
        </w:tc>
      </w:tr>
      <w:tr>
        <w:trPr>
          <w:trHeight w:val="325"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兴业银行深圳分行</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337010100100375110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331,408,300.00</w:t>
            </w: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活期</w:t>
            </w:r>
          </w:p>
        </w:tc>
      </w:tr>
      <w:tr>
        <w:trPr>
          <w:trHeight w:val="325"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上海浦东发展银行深圳分行</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79170155200002600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pacing w:val="-1"/>
                <w:sz w:val="18"/>
              </w:rPr>
              <w:t>40,000,000.00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15,437,562.18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活期</w:t>
            </w:r>
          </w:p>
        </w:tc>
      </w:tr>
      <w:tr>
        <w:trPr>
          <w:trHeight w:val="325"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招商银行科技园支行</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755901623610804</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pacing w:val="-1"/>
                <w:sz w:val="18"/>
              </w:rPr>
              <w:t>67,492,076.00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pacing w:val="-1"/>
                <w:sz w:val="18"/>
              </w:rPr>
              <w:t>36,870,574.89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活期</w:t>
            </w:r>
          </w:p>
        </w:tc>
      </w:tr>
      <w:tr>
        <w:trPr>
          <w:trHeight w:val="32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中国银行吉林市分行营业部</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163611084094</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注销</w:t>
            </w:r>
          </w:p>
        </w:tc>
      </w:tr>
      <w:tr>
        <w:trPr>
          <w:trHeight w:val="325"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上海浦东发展银行吉林支行</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10410154500000199</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168,493,438.01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活期</w:t>
            </w:r>
          </w:p>
        </w:tc>
      </w:tr>
      <w:tr>
        <w:trPr>
          <w:trHeight w:val="325"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212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438,900,376.00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220,801,575.08</w:t>
            </w:r>
          </w:p>
        </w:tc>
        <w:tc>
          <w:tcPr>
            <w:tcW w:w="1134" w:type="dxa"/>
            <w:tcBorders>
              <w:top w:val="single" w:sz="4" w:space="0" w:color="000000"/>
              <w:left w:val="single" w:sz="4" w:space="0" w:color="000000"/>
              <w:bottom w:val="single" w:sz="4" w:space="0" w:color="000000"/>
              <w:right w:val="single" w:sz="4" w:space="0" w:color="000000"/>
            </w:tcBorders>
          </w:tcPr>
          <w:p>
            <w:pPr/>
          </w:p>
        </w:tc>
      </w:tr>
    </w:tbl>
    <w:p>
      <w:pPr>
        <w:spacing w:line="241" w:lineRule="exact" w:before="0"/>
        <w:ind w:left="67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初始存放金额中包含未扣除的发行费用</w:t>
      </w:r>
      <w:r>
        <w:rPr>
          <w:rFonts w:ascii="宋体" w:hAnsi="宋体" w:cs="宋体" w:eastAsia="宋体" w:hint="default"/>
          <w:spacing w:val="-44"/>
          <w:sz w:val="21"/>
          <w:szCs w:val="21"/>
        </w:rPr>
        <w:t> </w:t>
      </w:r>
      <w:r>
        <w:rPr>
          <w:rFonts w:ascii="宋体" w:hAnsi="宋体" w:cs="宋体" w:eastAsia="宋体" w:hint="default"/>
          <w:sz w:val="21"/>
          <w:szCs w:val="21"/>
        </w:rPr>
        <w:t>1,915,000.00</w:t>
      </w:r>
      <w:r>
        <w:rPr>
          <w:rFonts w:ascii="宋体" w:hAnsi="宋体" w:cs="宋体" w:eastAsia="宋体" w:hint="default"/>
          <w:spacing w:val="-43"/>
          <w:sz w:val="21"/>
          <w:szCs w:val="21"/>
        </w:rPr>
        <w:t> </w:t>
      </w:r>
      <w:r>
        <w:rPr>
          <w:rFonts w:ascii="宋体" w:hAnsi="宋体" w:cs="宋体" w:eastAsia="宋体" w:hint="default"/>
          <w:sz w:val="21"/>
          <w:szCs w:val="21"/>
        </w:rPr>
        <w:t>元，截止</w:t>
      </w:r>
      <w:r>
        <w:rPr>
          <w:rFonts w:ascii="宋体" w:hAnsi="宋体" w:cs="宋体" w:eastAsia="宋体" w:hint="default"/>
          <w:spacing w:val="-44"/>
          <w:sz w:val="21"/>
          <w:szCs w:val="21"/>
        </w:rPr>
        <w:t> </w:t>
      </w:r>
      <w:r>
        <w:rPr>
          <w:rFonts w:ascii="宋体" w:hAnsi="宋体" w:cs="宋体" w:eastAsia="宋体" w:hint="default"/>
          <w:sz w:val="21"/>
          <w:szCs w:val="21"/>
        </w:rPr>
        <w:t>2011</w:t>
      </w:r>
      <w:r>
        <w:rPr>
          <w:rFonts w:ascii="宋体" w:hAnsi="宋体" w:cs="宋体" w:eastAsia="宋体" w:hint="default"/>
          <w:spacing w:val="-45"/>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宋体" w:hAnsi="宋体" w:cs="宋体" w:eastAsia="宋体" w:hint="default"/>
          <w:sz w:val="21"/>
          <w:szCs w:val="21"/>
        </w:rPr>
        <w:t>12</w:t>
      </w:r>
      <w:r>
        <w:rPr>
          <w:rFonts w:ascii="宋体" w:hAnsi="宋体" w:cs="宋体" w:eastAsia="宋体" w:hint="default"/>
          <w:spacing w:val="-43"/>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宋体" w:hAnsi="宋体" w:cs="宋体" w:eastAsia="宋体" w:hint="default"/>
          <w:sz w:val="21"/>
          <w:szCs w:val="21"/>
        </w:rPr>
        <w:t>31</w:t>
      </w:r>
      <w:r>
        <w:rPr>
          <w:rFonts w:ascii="宋体" w:hAnsi="宋体" w:cs="宋体" w:eastAsia="宋体" w:hint="default"/>
          <w:spacing w:val="-45"/>
          <w:sz w:val="21"/>
          <w:szCs w:val="21"/>
        </w:rPr>
        <w:t> </w:t>
      </w:r>
      <w:r>
        <w:rPr>
          <w:rFonts w:ascii="宋体" w:hAnsi="宋体" w:cs="宋体" w:eastAsia="宋体" w:hint="default"/>
          <w:sz w:val="21"/>
          <w:szCs w:val="21"/>
        </w:rPr>
        <w:t>日，募集</w:t>
      </w:r>
    </w:p>
    <w:p>
      <w:pPr>
        <w:spacing w:before="134"/>
        <w:ind w:left="258" w:right="0" w:firstLine="0"/>
        <w:jc w:val="left"/>
        <w:rPr>
          <w:rFonts w:ascii="宋体" w:hAnsi="宋体" w:cs="宋体" w:eastAsia="宋体" w:hint="default"/>
          <w:sz w:val="21"/>
          <w:szCs w:val="21"/>
        </w:rPr>
      </w:pPr>
      <w:r>
        <w:rPr>
          <w:rFonts w:ascii="宋体" w:hAnsi="宋体" w:cs="宋体" w:eastAsia="宋体" w:hint="default"/>
          <w:sz w:val="21"/>
          <w:szCs w:val="21"/>
        </w:rPr>
        <w:t>资金账户余额中包含未支付发行费用</w:t>
      </w:r>
      <w:r>
        <w:rPr>
          <w:rFonts w:ascii="宋体" w:hAnsi="宋体" w:cs="宋体" w:eastAsia="宋体" w:hint="default"/>
          <w:spacing w:val="-65"/>
          <w:sz w:val="21"/>
          <w:szCs w:val="21"/>
        </w:rPr>
        <w:t> </w:t>
      </w:r>
      <w:r>
        <w:rPr>
          <w:rFonts w:ascii="宋体" w:hAnsi="宋体" w:cs="宋体" w:eastAsia="宋体" w:hint="default"/>
          <w:sz w:val="21"/>
          <w:szCs w:val="21"/>
        </w:rPr>
        <w:t>965,000.00</w:t>
      </w:r>
      <w:r>
        <w:rPr>
          <w:rFonts w:ascii="宋体" w:hAnsi="宋体" w:cs="宋体" w:eastAsia="宋体" w:hint="default"/>
          <w:spacing w:val="-65"/>
          <w:sz w:val="21"/>
          <w:szCs w:val="21"/>
        </w:rPr>
        <w:t> </w:t>
      </w:r>
      <w:r>
        <w:rPr>
          <w:rFonts w:ascii="宋体" w:hAnsi="宋体" w:cs="宋体" w:eastAsia="宋体" w:hint="default"/>
          <w:sz w:val="21"/>
          <w:szCs w:val="21"/>
        </w:rPr>
        <w:t>元</w:t>
      </w:r>
    </w:p>
    <w:p>
      <w:pPr>
        <w:pStyle w:val="BodyText"/>
        <w:spacing w:line="240" w:lineRule="auto" w:before="148"/>
        <w:ind w:left="684" w:right="0"/>
        <w:jc w:val="left"/>
      </w:pPr>
      <w:r>
        <w:rPr>
          <w:spacing w:val="-240"/>
          <w:position w:val="-3"/>
          <w:sz w:val="36"/>
          <w:szCs w:val="36"/>
        </w:rPr>
        <w:t>○</w:t>
      </w:r>
      <w:r>
        <w:rPr>
          <w:rFonts w:ascii="Times New Roman" w:hAnsi="Times New Roman" w:cs="Times New Roman" w:eastAsia="Times New Roman" w:hint="default"/>
        </w:rPr>
        <w:t>3  </w:t>
      </w:r>
      <w:r>
        <w:rPr/>
        <w:t>本年度募集资金的实际使用情况</w:t>
      </w:r>
    </w:p>
    <w:p>
      <w:pPr>
        <w:tabs>
          <w:tab w:pos="1098" w:val="left" w:leader="none"/>
        </w:tabs>
        <w:spacing w:line="319" w:lineRule="auto" w:before="78"/>
        <w:ind w:left="738" w:right="4605" w:hanging="54"/>
        <w:jc w:val="left"/>
        <w:rPr>
          <w:rFonts w:ascii="宋体" w:hAnsi="宋体" w:cs="宋体" w:eastAsia="宋体" w:hint="default"/>
          <w:sz w:val="24"/>
          <w:szCs w:val="24"/>
        </w:rPr>
      </w:pPr>
      <w:r>
        <w:rPr>
          <w:rFonts w:ascii="Times New Roman" w:hAnsi="Times New Roman" w:cs="Times New Roman" w:eastAsia="Times New Roman" w:hint="default"/>
          <w:b/>
          <w:bCs/>
          <w:sz w:val="21"/>
          <w:szCs w:val="21"/>
        </w:rPr>
        <w:t>1)</w:t>
        <w:tab/>
      </w:r>
      <w:r>
        <w:rPr>
          <w:rFonts w:ascii="宋体" w:hAnsi="宋体" w:cs="宋体" w:eastAsia="宋体" w:hint="default"/>
          <w:b/>
          <w:bCs/>
          <w:sz w:val="24"/>
          <w:szCs w:val="24"/>
        </w:rPr>
        <w:t>募集资金使用情况对照表</w:t>
      </w:r>
      <w:r>
        <w:rPr>
          <w:rFonts w:ascii="宋体" w:hAnsi="宋体" w:cs="宋体" w:eastAsia="宋体" w:hint="default"/>
          <w:b/>
          <w:bCs/>
          <w:w w:val="99"/>
          <w:sz w:val="24"/>
          <w:szCs w:val="24"/>
        </w:rPr>
        <w:t> </w:t>
      </w:r>
      <w:r>
        <w:rPr>
          <w:rFonts w:ascii="宋体" w:hAnsi="宋体" w:cs="宋体" w:eastAsia="宋体" w:hint="default"/>
          <w:sz w:val="24"/>
          <w:szCs w:val="24"/>
        </w:rPr>
        <w:t>募集资金使用情况对照表详见附表</w:t>
      </w:r>
      <w:r>
        <w:rPr>
          <w:rFonts w:ascii="Times New Roman" w:hAnsi="Times New Roman" w:cs="Times New Roman" w:eastAsia="Times New Roman" w:hint="default"/>
          <w:sz w:val="24"/>
          <w:szCs w:val="24"/>
        </w:rPr>
        <w:t>1</w:t>
      </w:r>
      <w:r>
        <w:rPr>
          <w:rFonts w:ascii="宋体" w:hAnsi="宋体" w:cs="宋体" w:eastAsia="宋体" w:hint="default"/>
          <w:sz w:val="24"/>
          <w:szCs w:val="24"/>
        </w:rPr>
        <w:t>。</w:t>
      </w:r>
    </w:p>
    <w:p>
      <w:pPr>
        <w:spacing w:line="316" w:lineRule="auto" w:before="29"/>
        <w:ind w:left="684" w:right="131" w:firstLine="0"/>
        <w:jc w:val="left"/>
        <w:rPr>
          <w:rFonts w:ascii="宋体" w:hAnsi="宋体" w:cs="宋体" w:eastAsia="宋体" w:hint="default"/>
          <w:sz w:val="24"/>
          <w:szCs w:val="24"/>
        </w:rPr>
      </w:pPr>
      <w:r>
        <w:rPr>
          <w:rFonts w:ascii="宋体" w:hAnsi="宋体" w:cs="宋体" w:eastAsia="宋体" w:hint="default"/>
          <w:sz w:val="24"/>
          <w:szCs w:val="24"/>
        </w:rPr>
        <w:t>2)</w:t>
      </w:r>
      <w:r>
        <w:rPr>
          <w:rFonts w:ascii="宋体" w:hAnsi="宋体" w:cs="宋体" w:eastAsia="宋体" w:hint="default"/>
          <w:spacing w:val="26"/>
          <w:sz w:val="24"/>
          <w:szCs w:val="24"/>
        </w:rPr>
        <w:t> </w:t>
      </w:r>
      <w:r>
        <w:rPr>
          <w:rFonts w:ascii="宋体" w:hAnsi="宋体" w:cs="宋体" w:eastAsia="宋体" w:hint="default"/>
          <w:b/>
          <w:bCs/>
          <w:spacing w:val="4"/>
          <w:sz w:val="24"/>
          <w:szCs w:val="24"/>
        </w:rPr>
        <w:t>募集资金投资项目（以下简称“募投项目”）无法单独核算效益的原因及其</w:t>
      </w:r>
      <w:r>
        <w:rPr>
          <w:rFonts w:ascii="宋体" w:hAnsi="宋体" w:cs="宋体" w:eastAsia="宋体" w:hint="default"/>
          <w:b/>
          <w:bCs/>
          <w:spacing w:val="4"/>
          <w:w w:val="99"/>
          <w:sz w:val="24"/>
          <w:szCs w:val="24"/>
        </w:rPr>
        <w:t> </w:t>
      </w:r>
      <w:r>
        <w:rPr>
          <w:rFonts w:ascii="宋体" w:hAnsi="宋体" w:cs="宋体" w:eastAsia="宋体" w:hint="default"/>
          <w:b/>
          <w:bCs/>
          <w:sz w:val="24"/>
          <w:szCs w:val="24"/>
        </w:rPr>
        <w:t>情况</w:t>
      </w:r>
      <w:r>
        <w:rPr>
          <w:rFonts w:ascii="宋体" w:hAnsi="宋体" w:cs="宋体" w:eastAsia="宋体" w:hint="default"/>
          <w:b/>
          <w:bCs/>
          <w:spacing w:val="1"/>
          <w:w w:val="99"/>
          <w:sz w:val="24"/>
          <w:szCs w:val="24"/>
        </w:rPr>
        <w:t> </w:t>
      </w:r>
      <w:r>
        <w:rPr>
          <w:rFonts w:ascii="Times New Roman" w:hAnsi="Times New Roman" w:cs="Times New Roman" w:eastAsia="Times New Roman" w:hint="default"/>
          <w:spacing w:val="-6"/>
          <w:sz w:val="24"/>
          <w:szCs w:val="24"/>
        </w:rPr>
        <w:t>“</w:t>
      </w:r>
      <w:r>
        <w:rPr>
          <w:rFonts w:ascii="宋体" w:hAnsi="宋体" w:cs="宋体" w:eastAsia="宋体" w:hint="default"/>
          <w:spacing w:val="-6"/>
          <w:sz w:val="24"/>
          <w:szCs w:val="24"/>
        </w:rPr>
        <w:t>新型电气绝缘材料及产品研究开发中心</w:t>
      </w:r>
      <w:r>
        <w:rPr>
          <w:rFonts w:ascii="Times New Roman" w:hAnsi="Times New Roman" w:cs="Times New Roman" w:eastAsia="Times New Roman" w:hint="default"/>
          <w:spacing w:val="-6"/>
          <w:sz w:val="24"/>
          <w:szCs w:val="24"/>
        </w:rPr>
        <w:t>”</w:t>
      </w:r>
      <w:r>
        <w:rPr>
          <w:rFonts w:ascii="宋体" w:hAnsi="宋体" w:cs="宋体" w:eastAsia="宋体" w:hint="default"/>
          <w:spacing w:val="-6"/>
          <w:sz w:val="24"/>
          <w:szCs w:val="24"/>
        </w:rPr>
        <w:t>属于研发投入，无法单独核算效益。“高</w:t>
      </w:r>
    </w:p>
    <w:p>
      <w:pPr>
        <w:pStyle w:val="BodyText"/>
        <w:spacing w:line="298" w:lineRule="exact"/>
        <w:ind w:right="0"/>
        <w:jc w:val="left"/>
      </w:pPr>
      <w:r>
        <w:rPr/>
        <w:t>性能耐热聚酰亚胺纤维产业化项目”</w:t>
      </w:r>
      <w:r>
        <w:rPr>
          <w:spacing w:val="-45"/>
        </w:rPr>
        <w:t> </w:t>
      </w:r>
      <w:r>
        <w:rPr>
          <w:spacing w:val="-1"/>
        </w:rPr>
        <w:t>处于建设期</w:t>
      </w:r>
      <w:r>
        <w:rPr>
          <w:spacing w:val="-44"/>
        </w:rPr>
        <w:t>，</w:t>
      </w:r>
      <w:r>
        <w:rPr>
          <w:spacing w:val="-1"/>
        </w:rPr>
        <w:t>尚无效益</w:t>
      </w:r>
      <w:r>
        <w:rPr>
          <w:spacing w:val="-164"/>
        </w:rPr>
        <w:t>。</w:t>
      </w:r>
      <w:r>
        <w:rPr>
          <w:spacing w:val="-1"/>
        </w:rPr>
        <w:t>“补充营运资金</w:t>
      </w:r>
      <w:r>
        <w:rPr>
          <w:spacing w:val="-44"/>
        </w:rPr>
        <w:t>”和</w:t>
      </w:r>
      <w:r>
        <w:rPr>
          <w:spacing w:val="1"/>
        </w:rPr>
        <w:t>“</w:t>
      </w:r>
      <w:r>
        <w:rPr/>
        <w:t>募</w:t>
      </w:r>
    </w:p>
    <w:p>
      <w:pPr>
        <w:pStyle w:val="BodyText"/>
        <w:spacing w:line="240" w:lineRule="auto" w:before="85"/>
        <w:ind w:right="0"/>
        <w:jc w:val="left"/>
      </w:pPr>
      <w:r>
        <w:rPr/>
        <w:t>集资金变更补充流动资金</w:t>
      </w:r>
      <w:r>
        <w:rPr>
          <w:rFonts w:ascii="Times New Roman" w:hAnsi="Times New Roman" w:cs="Times New Roman" w:eastAsia="Times New Roman" w:hint="default"/>
        </w:rPr>
        <w:t>”</w:t>
      </w:r>
      <w:r>
        <w:rPr/>
        <w:t>无预计效益。</w:t>
      </w:r>
    </w:p>
    <w:p>
      <w:pPr>
        <w:tabs>
          <w:tab w:pos="1098" w:val="left" w:leader="none"/>
        </w:tabs>
        <w:spacing w:line="316" w:lineRule="auto" w:before="117"/>
        <w:ind w:left="738" w:right="1125" w:hanging="54"/>
        <w:jc w:val="left"/>
        <w:rPr>
          <w:rFonts w:ascii="宋体" w:hAnsi="宋体" w:cs="宋体" w:eastAsia="宋体" w:hint="default"/>
          <w:sz w:val="24"/>
          <w:szCs w:val="24"/>
        </w:rPr>
      </w:pPr>
      <w:r>
        <w:rPr>
          <w:rFonts w:ascii="Times New Roman" w:hAnsi="Times New Roman" w:cs="Times New Roman" w:eastAsia="Times New Roman" w:hint="default"/>
          <w:b/>
          <w:bCs/>
          <w:sz w:val="21"/>
          <w:szCs w:val="21"/>
        </w:rPr>
        <w:t>3)</w:t>
        <w:tab/>
      </w:r>
      <w:r>
        <w:rPr>
          <w:rFonts w:ascii="宋体" w:hAnsi="宋体" w:cs="宋体" w:eastAsia="宋体" w:hint="default"/>
          <w:b/>
          <w:bCs/>
          <w:sz w:val="24"/>
          <w:szCs w:val="24"/>
        </w:rPr>
        <w:t>募集资金投资项目的实施地点、实施方式变更情况</w:t>
      </w:r>
      <w:r>
        <w:rPr>
          <w:rFonts w:ascii="宋体" w:hAnsi="宋体" w:cs="宋体" w:eastAsia="宋体" w:hint="default"/>
          <w:b/>
          <w:bCs/>
          <w:spacing w:val="1"/>
          <w:w w:val="99"/>
          <w:sz w:val="24"/>
          <w:szCs w:val="24"/>
        </w:rPr>
        <w:t> </w:t>
      </w:r>
      <w:r>
        <w:rPr>
          <w:rFonts w:ascii="宋体" w:hAnsi="宋体" w:cs="宋体" w:eastAsia="宋体" w:hint="default"/>
          <w:sz w:val="24"/>
          <w:szCs w:val="24"/>
        </w:rPr>
        <w:t>本公司本年不存在募投资金投资项目的实施地点、实施方式变更情况。</w:t>
      </w:r>
    </w:p>
    <w:p>
      <w:pPr>
        <w:spacing w:after="0" w:line="316" w:lineRule="auto"/>
        <w:jc w:val="left"/>
        <w:rPr>
          <w:rFonts w:ascii="宋体" w:hAnsi="宋体" w:cs="宋体" w:eastAsia="宋体" w:hint="default"/>
          <w:sz w:val="24"/>
          <w:szCs w:val="24"/>
        </w:rPr>
        <w:sectPr>
          <w:pgSz w:w="11910" w:h="16840"/>
          <w:pgMar w:header="470" w:footer="1266" w:top="900" w:bottom="1460" w:left="1160" w:right="144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p>
      <w:pPr>
        <w:tabs>
          <w:tab w:pos="1098" w:val="left" w:leader="none"/>
        </w:tabs>
        <w:spacing w:line="312" w:lineRule="auto" w:before="26"/>
        <w:ind w:left="738" w:right="4485" w:hanging="54"/>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tab/>
      </w:r>
      <w:r>
        <w:rPr>
          <w:rFonts w:ascii="宋体" w:hAnsi="宋体" w:cs="宋体" w:eastAsia="宋体" w:hint="default"/>
          <w:b/>
          <w:bCs/>
          <w:sz w:val="24"/>
          <w:szCs w:val="24"/>
        </w:rPr>
        <w:t>超募资金使用情况</w:t>
      </w:r>
      <w:r>
        <w:rPr>
          <w:rFonts w:ascii="宋体" w:hAnsi="宋体" w:cs="宋体" w:eastAsia="宋体" w:hint="default"/>
          <w:b/>
          <w:bCs/>
          <w:spacing w:val="1"/>
          <w:w w:val="99"/>
          <w:sz w:val="24"/>
          <w:szCs w:val="24"/>
        </w:rPr>
        <w:t> </w:t>
      </w:r>
      <w:r>
        <w:rPr>
          <w:rFonts w:ascii="宋体" w:hAnsi="宋体" w:cs="宋体" w:eastAsia="宋体" w:hint="default"/>
          <w:sz w:val="24"/>
          <w:szCs w:val="24"/>
        </w:rPr>
        <w:t>本公司本年不存在超募资金使用情况。</w:t>
      </w:r>
    </w:p>
    <w:p>
      <w:pPr>
        <w:tabs>
          <w:tab w:pos="1098" w:val="left" w:leader="none"/>
        </w:tabs>
        <w:spacing w:line="316" w:lineRule="auto" w:before="62"/>
        <w:ind w:left="738" w:right="142" w:hanging="54"/>
        <w:jc w:val="left"/>
        <w:rPr>
          <w:rFonts w:ascii="宋体" w:hAnsi="宋体" w:cs="宋体" w:eastAsia="宋体" w:hint="default"/>
          <w:sz w:val="24"/>
          <w:szCs w:val="24"/>
        </w:rPr>
      </w:pPr>
      <w:r>
        <w:rPr>
          <w:rFonts w:ascii="Times New Roman" w:hAnsi="Times New Roman" w:cs="Times New Roman" w:eastAsia="Times New Roman" w:hint="default"/>
          <w:b/>
          <w:bCs/>
          <w:sz w:val="21"/>
          <w:szCs w:val="21"/>
        </w:rPr>
        <w:t>5)</w:t>
        <w:tab/>
      </w:r>
      <w:r>
        <w:rPr>
          <w:rFonts w:ascii="宋体" w:hAnsi="宋体" w:cs="宋体" w:eastAsia="宋体" w:hint="default"/>
          <w:b/>
          <w:bCs/>
          <w:sz w:val="24"/>
          <w:szCs w:val="24"/>
        </w:rPr>
        <w:t>募集资金投资项目先期投入及置换情况</w:t>
      </w:r>
      <w:r>
        <w:rPr>
          <w:rFonts w:ascii="宋体" w:hAnsi="宋体" w:cs="宋体" w:eastAsia="宋体" w:hint="default"/>
          <w:b/>
          <w:bCs/>
          <w:spacing w:val="1"/>
          <w:w w:val="99"/>
          <w:sz w:val="24"/>
          <w:szCs w:val="24"/>
        </w:rPr>
        <w:t> </w:t>
      </w:r>
      <w:r>
        <w:rPr>
          <w:rFonts w:ascii="宋体" w:hAnsi="宋体" w:cs="宋体" w:eastAsia="宋体" w:hint="default"/>
          <w:spacing w:val="-1"/>
          <w:sz w:val="24"/>
          <w:szCs w:val="24"/>
        </w:rPr>
        <w:t>经立信大华会计师事务所出具的立信大华核字</w:t>
      </w:r>
      <w:r>
        <w:rPr>
          <w:rFonts w:ascii="Times New Roman" w:hAnsi="Times New Roman" w:cs="Times New Roman" w:eastAsia="Times New Roman" w:hint="default"/>
          <w:spacing w:val="-1"/>
          <w:sz w:val="24"/>
          <w:szCs w:val="24"/>
        </w:rPr>
        <w:t>[2011]176</w:t>
      </w:r>
      <w:r>
        <w:rPr>
          <w:rFonts w:ascii="宋体" w:hAnsi="宋体" w:cs="宋体" w:eastAsia="宋体" w:hint="default"/>
          <w:spacing w:val="-1"/>
          <w:sz w:val="24"/>
          <w:szCs w:val="24"/>
        </w:rPr>
        <w:t>号《深圳市惠程电气股份</w:t>
      </w:r>
    </w:p>
    <w:p>
      <w:pPr>
        <w:pStyle w:val="BodyText"/>
        <w:spacing w:line="298" w:lineRule="exact"/>
        <w:ind w:right="0"/>
        <w:jc w:val="both"/>
      </w:pPr>
      <w:r>
        <w:rPr/>
        <w:t>有限公司自筹资金预先投入募集资金投资项目的鉴证报告</w:t>
      </w:r>
      <w:r>
        <w:rPr>
          <w:spacing w:val="-120"/>
        </w:rPr>
        <w:t>》</w:t>
      </w:r>
      <w:r>
        <w:rPr>
          <w:spacing w:val="-99"/>
        </w:rPr>
        <w:t>、</w:t>
      </w:r>
      <w:r>
        <w:rPr>
          <w:spacing w:val="-1"/>
        </w:rPr>
        <w:t>保荐机构国海证券有限责</w:t>
      </w:r>
      <w:r>
        <w:rPr/>
      </w:r>
    </w:p>
    <w:p>
      <w:pPr>
        <w:pStyle w:val="BodyText"/>
        <w:spacing w:line="297" w:lineRule="auto" w:before="85"/>
        <w:ind w:right="140"/>
        <w:jc w:val="both"/>
      </w:pPr>
      <w:r>
        <w:rPr/>
        <w:t>任公司出具《关于深圳市惠程电气股份有限公司以募集资金置换预先已投入募集资金</w:t>
      </w:r>
      <w:r>
        <w:rPr>
          <w:spacing w:val="-117"/>
        </w:rPr>
        <w:t> </w:t>
      </w:r>
      <w:r>
        <w:rPr>
          <w:spacing w:val="-117"/>
        </w:rPr>
      </w:r>
      <w:r>
        <w:rPr>
          <w:spacing w:val="-3"/>
        </w:rPr>
        <w:t>投资项目自筹资金的核查意见》，本公司于</w:t>
      </w: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4</w:t>
      </w:r>
      <w:r>
        <w:rPr>
          <w:spacing w:val="-3"/>
        </w:rPr>
        <w:t>月</w:t>
      </w:r>
      <w:r>
        <w:rPr>
          <w:rFonts w:ascii="Times New Roman" w:hAnsi="Times New Roman" w:cs="Times New Roman" w:eastAsia="Times New Roman" w:hint="default"/>
          <w:spacing w:val="-3"/>
        </w:rPr>
        <w:t>12</w:t>
      </w:r>
      <w:r>
        <w:rPr>
          <w:spacing w:val="-3"/>
        </w:rPr>
        <w:t>日召开的第三届董事会第二十</w:t>
      </w:r>
      <w:r>
        <w:rPr>
          <w:spacing w:val="-114"/>
        </w:rPr>
        <w:t> </w:t>
      </w:r>
      <w:r>
        <w:rPr/>
        <w:t>五次会议，审议通过了《关于用募集资金置换已预先投入募集资金投资项目自筹资金</w:t>
      </w:r>
      <w:r>
        <w:rPr>
          <w:spacing w:val="-117"/>
        </w:rPr>
        <w:t> </w:t>
      </w:r>
      <w:r>
        <w:rPr>
          <w:spacing w:val="-117"/>
        </w:rPr>
      </w:r>
      <w:r>
        <w:rPr>
          <w:spacing w:val="-4"/>
        </w:rPr>
        <w:t>的议案》，公司用募集资金置换预先已投入募集资金投资项目建设的自筹资金</w:t>
      </w:r>
      <w:r>
        <w:rPr>
          <w:rFonts w:ascii="Times New Roman" w:hAnsi="Times New Roman" w:cs="Times New Roman" w:eastAsia="Times New Roman" w:hint="default"/>
          <w:spacing w:val="-4"/>
        </w:rPr>
        <w:t>6,093.83</w:t>
      </w:r>
      <w:r>
        <w:rPr>
          <w:rFonts w:ascii="Times New Roman" w:hAnsi="Times New Roman" w:cs="Times New Roman" w:eastAsia="Times New Roman" w:hint="default"/>
          <w:spacing w:val="-19"/>
        </w:rPr>
        <w:t> </w:t>
      </w:r>
      <w:r>
        <w:rPr/>
        <w:t>万元。</w:t>
      </w:r>
    </w:p>
    <w:p>
      <w:pPr>
        <w:tabs>
          <w:tab w:pos="1098" w:val="left" w:leader="none"/>
        </w:tabs>
        <w:spacing w:line="312" w:lineRule="auto" w:before="77"/>
        <w:ind w:left="738" w:right="143" w:hanging="54"/>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6)</w:t>
        <w:tab/>
      </w:r>
      <w:r>
        <w:rPr>
          <w:rFonts w:ascii="宋体" w:hAnsi="宋体" w:cs="宋体" w:eastAsia="宋体" w:hint="default"/>
          <w:b/>
          <w:bCs/>
          <w:sz w:val="24"/>
          <w:szCs w:val="24"/>
        </w:rPr>
        <w:t>用闲置募集资金暂时补充流动资金情况</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本公司于</w:t>
      </w:r>
      <w:r>
        <w:rPr>
          <w:rFonts w:ascii="Times New Roman" w:hAnsi="Times New Roman" w:cs="Times New Roman" w:eastAsia="Times New Roman" w:hint="default"/>
          <w:spacing w:val="-3"/>
          <w:sz w:val="24"/>
          <w:szCs w:val="24"/>
        </w:rPr>
        <w:t>2011</w:t>
      </w:r>
      <w:r>
        <w:rPr>
          <w:rFonts w:ascii="宋体" w:hAnsi="宋体" w:cs="宋体" w:eastAsia="宋体" w:hint="default"/>
          <w:spacing w:val="-3"/>
          <w:sz w:val="24"/>
          <w:szCs w:val="24"/>
        </w:rPr>
        <w:t>年</w:t>
      </w:r>
      <w:r>
        <w:rPr>
          <w:rFonts w:ascii="Times New Roman" w:hAnsi="Times New Roman" w:cs="Times New Roman" w:eastAsia="Times New Roman" w:hint="default"/>
          <w:spacing w:val="-3"/>
          <w:sz w:val="24"/>
          <w:szCs w:val="24"/>
        </w:rPr>
        <w:t>1</w:t>
      </w:r>
      <w:r>
        <w:rPr>
          <w:rFonts w:ascii="宋体" w:hAnsi="宋体" w:cs="宋体" w:eastAsia="宋体" w:hint="default"/>
          <w:spacing w:val="-3"/>
          <w:sz w:val="24"/>
          <w:szCs w:val="24"/>
        </w:rPr>
        <w:t>月</w:t>
      </w:r>
      <w:r>
        <w:rPr>
          <w:rFonts w:ascii="Times New Roman" w:hAnsi="Times New Roman" w:cs="Times New Roman" w:eastAsia="Times New Roman" w:hint="default"/>
          <w:spacing w:val="-3"/>
          <w:sz w:val="24"/>
          <w:szCs w:val="24"/>
        </w:rPr>
        <w:t>25</w:t>
      </w:r>
      <w:r>
        <w:rPr>
          <w:rFonts w:ascii="宋体" w:hAnsi="宋体" w:cs="宋体" w:eastAsia="宋体" w:hint="default"/>
          <w:spacing w:val="-3"/>
          <w:sz w:val="24"/>
          <w:szCs w:val="24"/>
        </w:rPr>
        <w:t>日召开的第三届董事会第二十三次会议，审议通过了《关于</w:t>
      </w:r>
    </w:p>
    <w:p>
      <w:pPr>
        <w:pStyle w:val="BodyText"/>
        <w:spacing w:line="288" w:lineRule="auto"/>
        <w:ind w:right="139"/>
        <w:jc w:val="both"/>
      </w:pPr>
      <w:r>
        <w:rPr>
          <w:spacing w:val="-2"/>
        </w:rPr>
        <w:t>用部分闲置募集资金暂时补充流动资金的议案》，根据该决议，公司将</w:t>
      </w:r>
      <w:r>
        <w:rPr>
          <w:rFonts w:ascii="Times New Roman" w:hAnsi="Times New Roman" w:cs="Times New Roman" w:eastAsia="Times New Roman" w:hint="default"/>
          <w:spacing w:val="-2"/>
        </w:rPr>
        <w:t>4,000</w:t>
      </w:r>
      <w:r>
        <w:rPr>
          <w:spacing w:val="-2"/>
        </w:rPr>
        <w:t>万元的闲</w:t>
      </w:r>
      <w:r>
        <w:rPr>
          <w:spacing w:val="-89"/>
        </w:rPr>
        <w:t> </w:t>
      </w:r>
      <w:r>
        <w:rPr>
          <w:spacing w:val="-3"/>
        </w:rPr>
        <w:t>置募集资金暂时补充流动资金，使用期限不超过六个月。截至</w:t>
      </w: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7</w:t>
      </w:r>
      <w:r>
        <w:rPr>
          <w:spacing w:val="-3"/>
        </w:rPr>
        <w:t>月</w:t>
      </w:r>
      <w:r>
        <w:rPr>
          <w:rFonts w:ascii="Times New Roman" w:hAnsi="Times New Roman" w:cs="Times New Roman" w:eastAsia="Times New Roman" w:hint="default"/>
          <w:spacing w:val="-3"/>
        </w:rPr>
        <w:t>25</w:t>
      </w:r>
      <w:r>
        <w:rPr>
          <w:spacing w:val="-3"/>
        </w:rPr>
        <w:t>日，公司已</w:t>
      </w:r>
      <w:r>
        <w:rPr>
          <w:spacing w:val="-96"/>
        </w:rPr>
        <w:t> </w:t>
      </w:r>
      <w:r>
        <w:rPr>
          <w:spacing w:val="-96"/>
        </w:rPr>
      </w:r>
      <w:r>
        <w:rPr/>
        <w:t>按照承诺归还补充流动资金的金额</w:t>
      </w:r>
      <w:r>
        <w:rPr>
          <w:rFonts w:ascii="Times New Roman" w:hAnsi="Times New Roman" w:cs="Times New Roman" w:eastAsia="Times New Roman" w:hint="default"/>
        </w:rPr>
        <w:t>4,000</w:t>
      </w:r>
      <w:r>
        <w:rPr/>
        <w:t>万元至募集资金专用账户。</w:t>
      </w:r>
    </w:p>
    <w:p>
      <w:pPr>
        <w:pStyle w:val="BodyText"/>
        <w:spacing w:line="288" w:lineRule="auto" w:before="55"/>
        <w:ind w:right="141" w:firstLine="480"/>
        <w:jc w:val="both"/>
      </w:pPr>
      <w:r>
        <w:rPr>
          <w:spacing w:val="-3"/>
        </w:rPr>
        <w:t>公司于</w:t>
      </w: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8</w:t>
      </w:r>
      <w:r>
        <w:rPr>
          <w:spacing w:val="-3"/>
        </w:rPr>
        <w:t>月</w:t>
      </w:r>
      <w:r>
        <w:rPr>
          <w:rFonts w:ascii="Times New Roman" w:hAnsi="Times New Roman" w:cs="Times New Roman" w:eastAsia="Times New Roman" w:hint="default"/>
          <w:spacing w:val="-3"/>
        </w:rPr>
        <w:t>17</w:t>
      </w:r>
      <w:r>
        <w:rPr>
          <w:spacing w:val="-3"/>
        </w:rPr>
        <w:t>日召开的第三届董事会第二十七次会议，审议通过了《关于再</w:t>
      </w:r>
      <w:r>
        <w:rPr/>
        <w:t> </w:t>
      </w:r>
      <w:r>
        <w:rPr>
          <w:spacing w:val="-2"/>
        </w:rPr>
        <w:t>次使用部分闲置募集资金暂时补充流动资金的议案》，根据该决议，公司将</w:t>
      </w:r>
      <w:r>
        <w:rPr>
          <w:rFonts w:ascii="Times New Roman" w:hAnsi="Times New Roman" w:cs="Times New Roman" w:eastAsia="Times New Roman" w:hint="default"/>
          <w:spacing w:val="-2"/>
        </w:rPr>
        <w:t>4,000</w:t>
      </w:r>
      <w:r>
        <w:rPr>
          <w:spacing w:val="-2"/>
        </w:rPr>
        <w:t>万元</w:t>
      </w:r>
      <w:r>
        <w:rPr>
          <w:spacing w:val="-91"/>
        </w:rPr>
        <w:t> </w:t>
      </w:r>
      <w:r>
        <w:rPr>
          <w:spacing w:val="-3"/>
        </w:rPr>
        <w:t>的闲置募集资金暂时补充流动资金，使用期限不超过六个月。截至</w:t>
      </w:r>
      <w:r>
        <w:rPr>
          <w:rFonts w:ascii="Times New Roman" w:hAnsi="Times New Roman" w:cs="Times New Roman" w:eastAsia="Times New Roman" w:hint="default"/>
          <w:spacing w:val="-3"/>
        </w:rPr>
        <w:t>2012</w:t>
      </w:r>
      <w:r>
        <w:rPr>
          <w:spacing w:val="-3"/>
        </w:rPr>
        <w:t>年</w:t>
      </w:r>
      <w:r>
        <w:rPr>
          <w:rFonts w:ascii="Times New Roman" w:hAnsi="Times New Roman" w:cs="Times New Roman" w:eastAsia="Times New Roman" w:hint="default"/>
          <w:spacing w:val="-3"/>
        </w:rPr>
        <w:t>2</w:t>
      </w:r>
      <w:r>
        <w:rPr>
          <w:spacing w:val="-3"/>
        </w:rPr>
        <w:t>月</w:t>
      </w:r>
      <w:r>
        <w:rPr>
          <w:rFonts w:ascii="Times New Roman" w:hAnsi="Times New Roman" w:cs="Times New Roman" w:eastAsia="Times New Roman" w:hint="default"/>
          <w:spacing w:val="-3"/>
        </w:rPr>
        <w:t>17</w:t>
      </w:r>
      <w:r>
        <w:rPr>
          <w:spacing w:val="-3"/>
        </w:rPr>
        <w:t>日，公</w:t>
      </w:r>
      <w:r>
        <w:rPr>
          <w:spacing w:val="-100"/>
        </w:rPr>
        <w:t> </w:t>
      </w:r>
      <w:r>
        <w:rPr>
          <w:spacing w:val="-100"/>
        </w:rPr>
      </w:r>
      <w:r>
        <w:rPr/>
        <w:t>司已按照承诺归还补充流动资金的金额</w:t>
      </w:r>
      <w:r>
        <w:rPr>
          <w:rFonts w:ascii="Times New Roman" w:hAnsi="Times New Roman" w:cs="Times New Roman" w:eastAsia="Times New Roman" w:hint="default"/>
        </w:rPr>
        <w:t>4,000</w:t>
      </w:r>
      <w:r>
        <w:rPr/>
        <w:t>万元至募集资金专用账户。</w:t>
      </w:r>
    </w:p>
    <w:p>
      <w:pPr>
        <w:tabs>
          <w:tab w:pos="1098" w:val="left" w:leader="none"/>
        </w:tabs>
        <w:spacing w:line="312" w:lineRule="auto" w:before="63"/>
        <w:ind w:left="738" w:right="3285" w:hanging="54"/>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7)</w:t>
        <w:tab/>
      </w:r>
      <w:r>
        <w:rPr>
          <w:rFonts w:ascii="宋体" w:hAnsi="宋体" w:cs="宋体" w:eastAsia="宋体" w:hint="default"/>
          <w:b/>
          <w:bCs/>
          <w:sz w:val="24"/>
          <w:szCs w:val="24"/>
        </w:rPr>
        <w:t>尚未使用的募集资金用途和去向</w:t>
      </w:r>
      <w:r>
        <w:rPr>
          <w:rFonts w:ascii="宋体" w:hAnsi="宋体" w:cs="宋体" w:eastAsia="宋体" w:hint="default"/>
          <w:b/>
          <w:bCs/>
          <w:spacing w:val="1"/>
          <w:w w:val="99"/>
          <w:sz w:val="24"/>
          <w:szCs w:val="24"/>
        </w:rPr>
        <w:t> </w:t>
      </w:r>
      <w:r>
        <w:rPr>
          <w:rFonts w:ascii="宋体" w:hAnsi="宋体" w:cs="宋体" w:eastAsia="宋体" w:hint="default"/>
          <w:sz w:val="24"/>
          <w:szCs w:val="24"/>
        </w:rPr>
        <w:t>尚未使用的募集资金仍存放于募集资金专用账户。</w:t>
      </w:r>
    </w:p>
    <w:p>
      <w:pPr>
        <w:spacing w:line="240" w:lineRule="auto" w:before="13"/>
        <w:rPr>
          <w:rFonts w:ascii="宋体" w:hAnsi="宋体" w:cs="宋体" w:eastAsia="宋体" w:hint="default"/>
          <w:sz w:val="29"/>
          <w:szCs w:val="29"/>
        </w:rPr>
      </w:pPr>
    </w:p>
    <w:p>
      <w:pPr>
        <w:pStyle w:val="BodyText"/>
        <w:spacing w:line="276" w:lineRule="auto"/>
        <w:ind w:left="738" w:right="4466" w:hanging="54"/>
        <w:jc w:val="left"/>
      </w:pPr>
      <w:r>
        <w:rPr>
          <w:spacing w:val="-120"/>
          <w:position w:val="-3"/>
          <w:sz w:val="36"/>
          <w:szCs w:val="36"/>
        </w:rPr>
        <w:t>○</w:t>
      </w:r>
      <w:r>
        <w:rPr>
          <w:rFonts w:ascii="Times New Roman" w:hAnsi="Times New Roman" w:cs="Times New Roman" w:eastAsia="Times New Roman" w:hint="default"/>
          <w:spacing w:val="-120"/>
        </w:rPr>
        <w:t>4</w:t>
      </w:r>
      <w:r>
        <w:rPr>
          <w:rFonts w:ascii="Times New Roman" w:hAnsi="Times New Roman" w:cs="Times New Roman" w:eastAsia="Times New Roman" w:hint="default"/>
        </w:rPr>
        <w:t> </w:t>
      </w:r>
      <w:r>
        <w:rPr/>
        <w:t>变更募投项目的资金使用情况 本公司本年未变更募集资金投资项目。</w:t>
      </w:r>
    </w:p>
    <w:p>
      <w:pPr>
        <w:pStyle w:val="BodyText"/>
        <w:spacing w:line="461" w:lineRule="exact"/>
        <w:ind w:left="684" w:right="0"/>
        <w:jc w:val="left"/>
      </w:pPr>
      <w:r>
        <w:rPr>
          <w:spacing w:val="-240"/>
          <w:position w:val="-3"/>
          <w:sz w:val="36"/>
          <w:szCs w:val="36"/>
        </w:rPr>
        <w:t>○</w:t>
      </w:r>
      <w:r>
        <w:rPr>
          <w:rFonts w:ascii="Times New Roman" w:hAnsi="Times New Roman" w:cs="Times New Roman" w:eastAsia="Times New Roman" w:hint="default"/>
        </w:rPr>
        <w:t>5  </w:t>
      </w:r>
      <w:r>
        <w:rPr/>
        <w:t>募集资金使用及披露中存在的问题</w:t>
      </w:r>
    </w:p>
    <w:p>
      <w:pPr>
        <w:pStyle w:val="BodyText"/>
        <w:spacing w:line="240" w:lineRule="auto" w:before="68"/>
        <w:ind w:left="738" w:right="0"/>
        <w:jc w:val="left"/>
      </w:pPr>
      <w:r>
        <w:rPr>
          <w:rFonts w:ascii="Times New Roman" w:hAnsi="Times New Roman" w:cs="Times New Roman" w:eastAsia="Times New Roman" w:hint="default"/>
        </w:rPr>
        <w:t>2011</w:t>
      </w:r>
      <w:r>
        <w:rPr/>
        <w:t>年度，本公司募集资金使用存在以下募集资金管理违规的情况：</w:t>
      </w:r>
    </w:p>
    <w:p>
      <w:pPr>
        <w:pStyle w:val="BodyText"/>
        <w:spacing w:line="297" w:lineRule="auto" w:before="108"/>
        <w:ind w:left="1098" w:right="139" w:hanging="420"/>
        <w:jc w:val="both"/>
      </w:pPr>
      <w:r>
        <w:rPr>
          <w:rFonts w:ascii="Wingdings" w:hAnsi="Wingdings" w:cs="Wingdings" w:eastAsia="Wingdings" w:hint="default"/>
          <w:w w:val="100"/>
        </w:rPr>
        <w:t></w:t>
      </w:r>
      <w:r>
        <w:rPr>
          <w:rFonts w:ascii="Wingdings" w:hAnsi="Wingdings" w:cs="Wingdings" w:eastAsia="Wingdings" w:hint="default"/>
          <w:spacing w:val="12"/>
          <w:w w:val="100"/>
        </w:rPr>
        <w:t></w:t>
      </w:r>
      <w:r>
        <w:rPr>
          <w:rFonts w:ascii="Times New Roman" w:hAnsi="Times New Roman" w:cs="Times New Roman" w:eastAsia="Times New Roman" w:hint="default"/>
          <w:spacing w:val="12"/>
          <w:w w:val="100"/>
        </w:rPr>
      </w:r>
      <w:r>
        <w:rPr>
          <w:spacing w:val="-4"/>
        </w:rPr>
        <w:t>吉林高琦聚酰亚胺材料有限公司（以下简称“吉林高琦”）相关工作人员错误</w:t>
      </w:r>
      <w:r>
        <w:rPr/>
        <w:t> </w:t>
      </w:r>
      <w:r>
        <w:rPr>
          <w:spacing w:val="-4"/>
        </w:rPr>
        <w:t>理解募集资金存储管理的监管要求，把监管行发行的保本型理财产品理解为银</w:t>
      </w:r>
      <w:r>
        <w:rPr>
          <w:spacing w:val="-1"/>
        </w:rPr>
        <w:t> </w:t>
      </w:r>
      <w:r>
        <w:rPr>
          <w:spacing w:val="-3"/>
        </w:rPr>
        <w:t>行一般性的资金存储，从增加利息收入的角度，在未通知深圳惠程相关负责人</w:t>
      </w:r>
      <w:r>
        <w:rPr/>
        <w:t> 的情况下，于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25</w:t>
      </w:r>
      <w:r>
        <w:rPr/>
        <w:t>日开始，先后五次用暂时闲置募集资金购买了监管</w:t>
      </w:r>
      <w:r>
        <w:rPr>
          <w:spacing w:val="1"/>
        </w:rPr>
        <w:t> </w:t>
      </w:r>
      <w:r>
        <w:rPr>
          <w:spacing w:val="-3"/>
        </w:rPr>
        <w:t>行中国银行吉林市分行推荐的无风险的结构性理财产品，深圳惠程和保荐机构</w:t>
      </w:r>
      <w:r>
        <w:rPr/>
        <w:t> </w:t>
      </w:r>
      <w:r>
        <w:rPr>
          <w:spacing w:val="-3"/>
        </w:rPr>
        <w:t>对吉林高琦例行检查时发现该情况，并责令立即纠正，吉林高琦已</w:t>
      </w: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1</w:t>
      </w:r>
      <w:r>
        <w:rPr>
          <w:rFonts w:ascii="Times New Roman" w:hAnsi="Times New Roman" w:cs="Times New Roman" w:eastAsia="Times New Roman" w:hint="default"/>
        </w:rPr>
        <w:t> </w:t>
      </w:r>
      <w:r>
        <w:rPr>
          <w:spacing w:val="-3"/>
        </w:rPr>
        <w:t>日提前赎回所剩最后一笔产品。至此，之前购买的所有理财产品本息已全部收</w:t>
      </w:r>
    </w:p>
    <w:p>
      <w:pPr>
        <w:spacing w:after="0" w:line="297" w:lineRule="auto"/>
        <w:jc w:val="both"/>
        <w:sectPr>
          <w:pgSz w:w="11910" w:h="16840"/>
          <w:pgMar w:header="470" w:footer="1266" w:top="900" w:bottom="1460" w:left="1160" w:right="14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pStyle w:val="BodyText"/>
        <w:spacing w:line="240" w:lineRule="auto" w:before="26"/>
        <w:ind w:left="1098" w:right="0"/>
        <w:jc w:val="left"/>
      </w:pPr>
      <w:r>
        <w:rPr/>
        <w:t>回至募集资金专用账户。</w:t>
      </w:r>
    </w:p>
    <w:p>
      <w:pPr>
        <w:pStyle w:val="BodyText"/>
        <w:spacing w:line="297" w:lineRule="auto" w:before="125"/>
        <w:ind w:left="1098" w:right="133" w:hanging="420"/>
        <w:jc w:val="both"/>
      </w:pPr>
      <w:r>
        <w:rPr>
          <w:rFonts w:ascii="Wingdings" w:hAnsi="Wingdings" w:cs="Wingdings" w:eastAsia="Wingdings" w:hint="default"/>
        </w:rPr>
        <w:t></w:t>
      </w:r>
      <w:r>
        <w:rPr>
          <w:rFonts w:ascii="Wingdings" w:hAnsi="Wingdings" w:cs="Wingdings" w:eastAsia="Wingdings" w:hint="default"/>
          <w:spacing w:val="1"/>
        </w:rPr>
        <w:t></w:t>
      </w:r>
      <w:r>
        <w:rPr>
          <w:rFonts w:ascii="Times New Roman" w:hAnsi="Times New Roman" w:cs="Times New Roman" w:eastAsia="Times New Roman" w:hint="default"/>
          <w:spacing w:val="1"/>
        </w:rPr>
      </w:r>
      <w:r>
        <w:rPr>
          <w:spacing w:val="-3"/>
        </w:rPr>
        <w:t>由于吉林高琦所在地吉林市九站经济开发区，位置远离市区，且园区内乙醇等</w:t>
      </w:r>
      <w:r>
        <w:rPr/>
        <w:t> </w:t>
      </w:r>
      <w:r>
        <w:rPr>
          <w:spacing w:val="-3"/>
        </w:rPr>
        <w:t>化工工厂众多，空气中刺激性气体含量较高，公司考虑到以上因素以募集资金</w:t>
      </w:r>
      <w:r>
        <w:rPr/>
        <w:t> </w:t>
      </w:r>
      <w:r>
        <w:rPr>
          <w:spacing w:val="6"/>
        </w:rPr>
        <w:t>支付</w:t>
      </w:r>
      <w:r>
        <w:rPr>
          <w:rFonts w:ascii="Times New Roman" w:hAnsi="Times New Roman" w:cs="Times New Roman" w:eastAsia="Times New Roman" w:hint="default"/>
          <w:spacing w:val="6"/>
        </w:rPr>
        <w:t>992,953.00</w:t>
      </w:r>
      <w:r>
        <w:rPr>
          <w:spacing w:val="6"/>
        </w:rPr>
        <w:t>元在高新工业园外的生活社区购置了四套商品房作为专家宿</w:t>
      </w:r>
      <w:r>
        <w:rPr>
          <w:spacing w:val="9"/>
        </w:rPr>
        <w:t> </w:t>
      </w:r>
      <w:r>
        <w:rPr>
          <w:spacing w:val="-3"/>
        </w:rPr>
        <w:t>舍。募集资金可行性研究报告上无对此特别说明，吉林高琦未按照募集资金用</w:t>
      </w:r>
      <w:r>
        <w:rPr/>
        <w:t> 途使用，事后吉林高琦已将款项归还募集资金账户。</w:t>
      </w:r>
    </w:p>
    <w:p>
      <w:pPr>
        <w:pStyle w:val="BodyText"/>
        <w:spacing w:line="288" w:lineRule="auto" w:before="67"/>
        <w:ind w:left="1098" w:right="139" w:hanging="420"/>
        <w:jc w:val="both"/>
      </w:pPr>
      <w:r>
        <w:rPr>
          <w:rFonts w:ascii="Wingdings" w:hAnsi="Wingdings" w:cs="Wingdings" w:eastAsia="Wingdings" w:hint="default"/>
        </w:rPr>
        <w:t></w:t>
      </w:r>
      <w:r>
        <w:rPr>
          <w:rFonts w:ascii="Wingdings" w:hAnsi="Wingdings" w:cs="Wingdings" w:eastAsia="Wingdings" w:hint="default"/>
          <w:spacing w:val="20"/>
        </w:rPr>
        <w:t></w:t>
      </w:r>
      <w:r>
        <w:rPr>
          <w:rFonts w:ascii="Times New Roman" w:hAnsi="Times New Roman" w:cs="Times New Roman" w:eastAsia="Times New Roman" w:hint="default"/>
          <w:spacing w:val="20"/>
        </w:rPr>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4</w:t>
      </w:r>
      <w:r>
        <w:rPr/>
        <w:t>月，吉林高琦在未经相关董事会审议批准的情况下，提前将募集资金</w:t>
      </w:r>
      <w:r>
        <w:rPr>
          <w:spacing w:val="1"/>
        </w:rPr>
        <w:t> </w:t>
      </w:r>
      <w:r>
        <w:rPr>
          <w:rFonts w:ascii="Times New Roman" w:hAnsi="Times New Roman" w:cs="Times New Roman" w:eastAsia="Times New Roman" w:hint="default"/>
          <w:spacing w:val="-2"/>
        </w:rPr>
        <w:t>57,346,200.00</w:t>
      </w:r>
      <w:r>
        <w:rPr>
          <w:spacing w:val="-2"/>
        </w:rPr>
        <w:t>元置换前期投入的自有资金，当月吉林高琦已将该款项归还募集</w:t>
      </w:r>
      <w:r>
        <w:rPr>
          <w:spacing w:val="-1"/>
        </w:rPr>
        <w:t> </w:t>
      </w:r>
      <w:r>
        <w:rPr/>
        <w:t>资金账户。</w:t>
      </w:r>
    </w:p>
    <w:p>
      <w:pPr>
        <w:pStyle w:val="BodyText"/>
        <w:spacing w:line="290" w:lineRule="auto" w:before="78"/>
        <w:ind w:left="1098" w:right="136" w:hanging="420"/>
        <w:jc w:val="both"/>
      </w:pPr>
      <w:r>
        <w:rPr>
          <w:rFonts w:ascii="Wingdings" w:hAnsi="Wingdings" w:cs="Wingdings" w:eastAsia="Wingdings" w:hint="default"/>
        </w:rPr>
        <w:t></w:t>
      </w:r>
      <w:r>
        <w:rPr>
          <w:rFonts w:ascii="Wingdings" w:hAnsi="Wingdings" w:cs="Wingdings" w:eastAsia="Wingdings" w:hint="default"/>
          <w:spacing w:val="-1"/>
        </w:rPr>
        <w:t></w:t>
      </w:r>
      <w:r>
        <w:rPr>
          <w:rFonts w:ascii="Times New Roman" w:hAnsi="Times New Roman" w:cs="Times New Roman" w:eastAsia="Times New Roman" w:hint="default"/>
          <w:spacing w:val="-1"/>
        </w:rPr>
      </w:r>
      <w:r>
        <w:rPr>
          <w:spacing w:val="4"/>
        </w:rPr>
        <w:t>吉林高琦在无明确划分依据的情况下使用募集资金发放非募集资金项目工人 </w:t>
      </w:r>
      <w:r>
        <w:rPr/>
        <w:t>工资</w:t>
      </w:r>
      <w:r>
        <w:rPr>
          <w:rFonts w:ascii="Times New Roman" w:hAnsi="Times New Roman" w:cs="Times New Roman" w:eastAsia="Times New Roman" w:hint="default"/>
        </w:rPr>
        <w:t>651,620.26</w:t>
      </w:r>
      <w:r>
        <w:rPr/>
        <w:t>元，公司已将该款项归还募集资金账户。</w:t>
      </w:r>
    </w:p>
    <w:p>
      <w:pPr>
        <w:spacing w:after="0" w:line="290" w:lineRule="auto"/>
        <w:jc w:val="both"/>
        <w:sectPr>
          <w:pgSz w:w="11910" w:h="16840"/>
          <w:pgMar w:header="470" w:footer="1266" w:top="900" w:bottom="1460" w:left="1160" w:right="1440"/>
        </w:sectPr>
      </w:pPr>
    </w:p>
    <w:p>
      <w:pPr>
        <w:spacing w:line="240" w:lineRule="auto" w:before="11"/>
        <w:rPr>
          <w:rFonts w:ascii="宋体" w:hAnsi="宋体" w:cs="宋体" w:eastAsia="宋体" w:hint="default"/>
          <w:sz w:val="8"/>
          <w:szCs w:val="8"/>
        </w:rPr>
      </w:pPr>
      <w:r>
        <w:rPr/>
        <w:pict>
          <v:group style="position:absolute;margin-left:64.911003pt;margin-top:31.200001pt;width:706.9pt;height:21.75pt;mso-position-horizontal-relative:page;mso-position-vertical-relative:page;z-index:-789112" coordorigin="1298,624" coordsize="14138,435">
            <v:shape style="position:absolute;left:1298;top:624;width:1546;height:434" type="#_x0000_t75" stroked="false">
              <v:imagedata r:id="rId26" o:title=""/>
            </v:shape>
            <v:group style="position:absolute;left:1410;top:1021;width:14019;height:2" coordorigin="1410,1021" coordsize="14019,2">
              <v:shape style="position:absolute;left:1410;top:1021;width:14019;height:2" coordorigin="1410,1021" coordsize="14019,0" path="m1410,1021l15428,1021e" filled="false" stroked="true" strokeweight=".72pt" strokecolor="#000000">
                <v:path arrowok="t"/>
              </v:shape>
            </v:group>
            <w10:wrap type="none"/>
          </v:group>
        </w:pict>
      </w:r>
    </w:p>
    <w:p>
      <w:pPr>
        <w:pStyle w:val="BodyText"/>
        <w:spacing w:line="499" w:lineRule="exact"/>
        <w:ind w:left="259" w:right="0"/>
        <w:jc w:val="left"/>
      </w:pPr>
      <w:r>
        <w:rPr>
          <w:spacing w:val="-261"/>
          <w:w w:val="99"/>
          <w:position w:val="-4"/>
          <w:sz w:val="40"/>
          <w:szCs w:val="40"/>
        </w:rPr>
        <w:t>○</w:t>
      </w:r>
      <w:r>
        <w:rPr/>
        <w:t>3</w:t>
      </w:r>
      <w:r>
        <w:rPr>
          <w:spacing w:val="20"/>
        </w:rPr>
        <w:t> </w:t>
      </w:r>
      <w:r>
        <w:rPr/>
        <w:t>2011</w:t>
      </w:r>
      <w:r>
        <w:rPr>
          <w:spacing w:val="-60"/>
        </w:rPr>
        <w:t> </w:t>
      </w:r>
      <w:r>
        <w:rPr/>
        <w:t>年度募集资金的实际使用情况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spacing w:before="1"/>
        <w:ind w:left="4829" w:right="0" w:firstLine="0"/>
        <w:jc w:val="left"/>
        <w:rPr>
          <w:rFonts w:ascii="宋体" w:hAnsi="宋体" w:cs="宋体" w:eastAsia="宋体" w:hint="default"/>
          <w:sz w:val="32"/>
          <w:szCs w:val="32"/>
        </w:rPr>
      </w:pPr>
      <w:r>
        <w:rPr>
          <w:rFonts w:ascii="宋体" w:hAnsi="宋体" w:cs="宋体" w:eastAsia="宋体" w:hint="default"/>
          <w:b/>
          <w:bCs/>
          <w:sz w:val="32"/>
          <w:szCs w:val="32"/>
        </w:rPr>
        <w:t>公开发行募集资金使用情况对照表</w:t>
      </w:r>
      <w:r>
        <w:rPr>
          <w:rFonts w:ascii="宋体" w:hAnsi="宋体" w:cs="宋体" w:eastAsia="宋体" w:hint="default"/>
          <w:sz w:val="32"/>
          <w:szCs w:val="32"/>
        </w:rPr>
      </w:r>
    </w:p>
    <w:p>
      <w:pPr>
        <w:tabs>
          <w:tab w:pos="7549" w:val="left" w:leader="none"/>
          <w:tab w:pos="12628" w:val="left" w:leader="none"/>
        </w:tabs>
        <w:spacing w:before="186"/>
        <w:ind w:left="1429" w:right="0" w:firstLine="0"/>
        <w:jc w:val="left"/>
        <w:rPr>
          <w:rFonts w:ascii="宋体" w:hAnsi="宋体" w:cs="宋体" w:eastAsia="宋体" w:hint="default"/>
          <w:sz w:val="18"/>
          <w:szCs w:val="18"/>
        </w:rPr>
      </w:pPr>
      <w:r>
        <w:rPr/>
        <w:pict>
          <v:group style="position:absolute;margin-left:65.121002pt;margin-top:42.491707pt;width:709.15pt;height:350pt;mso-position-horizontal-relative:page;mso-position-vertical-relative:paragraph;z-index:-788368" coordorigin="1302,850" coordsize="14183,7000">
            <v:group style="position:absolute;left:1332;top:865;width:7859;height:2" coordorigin="1332,865" coordsize="7859,2">
              <v:shape style="position:absolute;left:1332;top:865;width:7859;height:2" coordorigin="1332,865" coordsize="7859,0" path="m1332,865l9191,865e" filled="false" stroked="true" strokeweight="1.5pt" strokecolor="#000000">
                <v:path arrowok="t"/>
              </v:shape>
            </v:group>
            <v:group style="position:absolute;left:9191;top:865;width:1743;height:2" coordorigin="9191,865" coordsize="1743,2">
              <v:shape style="position:absolute;left:9191;top:865;width:1743;height:2" coordorigin="9191,865" coordsize="1743,0" path="m9191,865l10933,865e" filled="false" stroked="true" strokeweight="1.5pt" strokecolor="#000000">
                <v:path arrowok="t"/>
              </v:shape>
            </v:group>
            <v:group style="position:absolute;left:10933;top:865;width:4530;height:2" coordorigin="10933,865" coordsize="4530,2">
              <v:shape style="position:absolute;left:10933;top:865;width:4530;height:2" coordorigin="10933,865" coordsize="4530,0" path="m10933,865l15463,865e" filled="false" stroked="true" strokeweight="1.5pt" strokecolor="#000000">
                <v:path arrowok="t"/>
              </v:shape>
              <v:shape style="position:absolute;left:5615;top:861;width:5347;height:838" type="#_x0000_t75" stroked="false">
                <v:imagedata r:id="rId27" o:title=""/>
              </v:shape>
              <v:shape style="position:absolute;left:1313;top:1660;width:14171;height:449" type="#_x0000_t75" stroked="false">
                <v:imagedata r:id="rId28" o:title=""/>
              </v:shape>
              <v:shape style="position:absolute;left:1313;top:2070;width:9649;height:449" type="#_x0000_t75" stroked="false">
                <v:imagedata r:id="rId29" o:title=""/>
              </v:shape>
            </v:group>
            <v:group style="position:absolute;left:1317;top:7834;width:1856;height:2" coordorigin="1317,7834" coordsize="1856,2">
              <v:shape style="position:absolute;left:1317;top:7834;width:1856;height:2" coordorigin="1317,7834" coordsize="1856,0" path="m1317,7834l3173,7834e" filled="false" stroked="true" strokeweight="1.5pt" strokecolor="#000000">
                <v:path arrowok="t"/>
              </v:shape>
            </v:group>
            <v:group style="position:absolute;left:3173;top:7834;width:1356;height:2" coordorigin="3173,7834" coordsize="1356,2">
              <v:shape style="position:absolute;left:3173;top:7834;width:1356;height:2" coordorigin="3173,7834" coordsize="1356,0" path="m3173,7834l4529,7834e" filled="false" stroked="true" strokeweight="1.5pt" strokecolor="#000000">
                <v:path arrowok="t"/>
              </v:shape>
            </v:group>
            <v:group style="position:absolute;left:4529;top:7834;width:1106;height:2" coordorigin="4529,7834" coordsize="1106,2">
              <v:shape style="position:absolute;left:4529;top:7834;width:1106;height:2" coordorigin="4529,7834" coordsize="1106,0" path="m4529,7834l5634,7834e" filled="false" stroked="true" strokeweight="1.5pt" strokecolor="#000000">
                <v:path arrowok="t"/>
              </v:shape>
            </v:group>
            <v:group style="position:absolute;left:5634;top:7834;width:1266;height:2" coordorigin="5634,7834" coordsize="1266,2">
              <v:shape style="position:absolute;left:5634;top:7834;width:1266;height:2" coordorigin="5634,7834" coordsize="1266,0" path="m5634,7834l6900,7834e" filled="false" stroked="true" strokeweight="1.5pt" strokecolor="#000000">
                <v:path arrowok="t"/>
              </v:shape>
            </v:group>
            <v:group style="position:absolute;left:6900;top:7834;width:993;height:2" coordorigin="6900,7834" coordsize="993,2">
              <v:shape style="position:absolute;left:6900;top:7834;width:993;height:2" coordorigin="6900,7834" coordsize="993,0" path="m6900,7834l7892,7834e" filled="false" stroked="true" strokeweight="1.5pt" strokecolor="#000000">
                <v:path arrowok="t"/>
              </v:shape>
            </v:group>
            <v:group style="position:absolute;left:7892;top:7834;width:1269;height:2" coordorigin="7892,7834" coordsize="1269,2">
              <v:shape style="position:absolute;left:7892;top:7834;width:1269;height:2" coordorigin="7892,7834" coordsize="1269,0" path="m7892,7834l9161,7834e" filled="false" stroked="true" strokeweight="1.5pt" strokecolor="#000000">
                <v:path arrowok="t"/>
              </v:shape>
            </v:group>
            <v:group style="position:absolute;left:9161;top:7834;width:30;height:2" coordorigin="9161,7834" coordsize="30,2">
              <v:shape style="position:absolute;left:9161;top:7834;width:30;height:2" coordorigin="9161,7834" coordsize="30,0" path="m9161,7834l9191,7834e" filled="false" stroked="true" strokeweight="1.5pt" strokecolor="#000000">
                <v:path arrowok="t"/>
              </v:shape>
            </v:group>
            <v:group style="position:absolute;left:9191;top:7834;width:1743;height:2" coordorigin="9191,7834" coordsize="1743,2">
              <v:shape style="position:absolute;left:9191;top:7834;width:1743;height:2" coordorigin="9191,7834" coordsize="1743,0" path="m9191,7834l10933,7834e" filled="false" stroked="true" strokeweight="1.5pt" strokecolor="#000000">
                <v:path arrowok="t"/>
              </v:shape>
            </v:group>
            <v:group style="position:absolute;left:10933;top:7834;width:1468;height:2" coordorigin="10933,7834" coordsize="1468,2">
              <v:shape style="position:absolute;left:10933;top:7834;width:1468;height:2" coordorigin="10933,7834" coordsize="1468,0" path="m10933,7834l12401,7834e" filled="false" stroked="true" strokeweight="1.5pt" strokecolor="#000000">
                <v:path arrowok="t"/>
              </v:shape>
            </v:group>
            <v:group style="position:absolute;left:12401;top:7834;width:856;height:2" coordorigin="12401,7834" coordsize="856,2">
              <v:shape style="position:absolute;left:12401;top:7834;width:856;height:2" coordorigin="12401,7834" coordsize="856,0" path="m12401,7834l13256,7834e" filled="false" stroked="true" strokeweight="1.5pt" strokecolor="#000000">
                <v:path arrowok="t"/>
              </v:shape>
            </v:group>
            <v:group style="position:absolute;left:13256;top:7834;width:933;height:2" coordorigin="13256,7834" coordsize="933,2">
              <v:shape style="position:absolute;left:13256;top:7834;width:933;height:2" coordorigin="13256,7834" coordsize="933,0" path="m13256,7834l14189,7834e" filled="false" stroked="true" strokeweight="1.5pt" strokecolor="#000000">
                <v:path arrowok="t"/>
              </v:shape>
              <v:shape style="position:absolute;left:1313;top:2481;width:14172;height:5339" type="#_x0000_t75" stroked="false">
                <v:imagedata r:id="rId30" o:title=""/>
              </v:shape>
            </v:group>
            <v:group style="position:absolute;left:14189;top:7834;width:1275;height:2" coordorigin="14189,7834" coordsize="1275,2">
              <v:shape style="position:absolute;left:14189;top:7834;width:1275;height:2" coordorigin="14189,7834" coordsize="1275,0" path="m14189,7834l15463,7834e" filled="false" stroked="true" strokeweight="1.5pt" strokecolor="#000000">
                <v:path arrowok="t"/>
              </v:shape>
              <v:shape style="position:absolute;left:9301;top:1106;width:15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本年度投入募集资金总</w:t>
                      </w:r>
                    </w:p>
                  </w:txbxContent>
                </v:textbox>
                <w10:wrap type="none"/>
              </v:shape>
              <v:shape style="position:absolute;left:3035;top:1305;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募集资金总额</w:t>
                      </w:r>
                    </w:p>
                  </w:txbxContent>
                </v:textbox>
                <w10:wrap type="none"/>
              </v:shape>
              <v:shape style="position:absolute;left:7041;top:129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23,293.42</w:t>
                      </w:r>
                    </w:p>
                  </w:txbxContent>
                </v:textbox>
                <w10:wrap type="none"/>
              </v:shape>
              <v:shape style="position:absolute;left:12885;top:1291;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1,583.72</w:t>
                      </w:r>
                    </w:p>
                  </w:txbxContent>
                </v:textbox>
                <w10:wrap type="none"/>
              </v:shape>
              <v:shape style="position:absolute;left:9977;top:1506;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额</w:t>
                      </w:r>
                    </w:p>
                  </w:txbxContent>
                </v:textbox>
                <w10:wrap type="none"/>
              </v:shape>
              <v:shape style="position:absolute;left:1440;top:1916;width:22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报告期内变更用途的募集资金总额</w:t>
                      </w:r>
                    </w:p>
                  </w:txbxContent>
                </v:textbox>
                <w10:wrap type="none"/>
              </v:shape>
              <v:shape style="position:absolute;left:7371;top:1804;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9301;top:2126;width:15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已累计投入募集资金总</w:t>
                      </w:r>
                    </w:p>
                  </w:txbxContent>
                </v:textbox>
                <w10:wrap type="none"/>
              </v:shape>
              <v:shape style="position:absolute;left:12800;top:2087;width:801;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spacing w:val="-1"/>
                          <w:sz w:val="20"/>
                        </w:rPr>
                        <w:t>23,068.23</w:t>
                      </w:r>
                    </w:p>
                  </w:txbxContent>
                </v:textbox>
                <w10:wrap type="none"/>
              </v:shape>
              <v:shape style="position:absolute;left:1440;top:2325;width:19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累计变更用途的募集资金总额</w:t>
                      </w:r>
                    </w:p>
                  </w:txbxContent>
                </v:textbox>
                <w10:wrap type="none"/>
              </v:shape>
              <v:shape style="position:absolute;left:7087;top:2311;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3,134.89</w:t>
                      </w:r>
                    </w:p>
                  </w:txbxContent>
                </v:textbox>
                <w10:wrap type="none"/>
              </v:shape>
              <v:shape style="position:absolute;left:9977;top:2526;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额</w:t>
                      </w:r>
                    </w:p>
                  </w:txbxContent>
                </v:textbox>
                <w10:wrap type="none"/>
              </v:shape>
              <v:shape style="position:absolute;left:1440;top:2736;width:22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累计变更用途的募集资金总额比例</w:t>
                      </w:r>
                    </w:p>
                  </w:txbxContent>
                </v:textbox>
                <w10:wrap type="none"/>
              </v:shape>
              <v:shape style="position:absolute;left:7124;top:2721;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13.46%</w:t>
                      </w:r>
                    </w:p>
                  </w:txbxContent>
                </v:textbox>
                <w10:wrap type="none"/>
              </v:shape>
              <v:shape style="position:absolute;left:1503;top:3146;width:13850;height:159" type="#_x0000_t202" filled="false" stroked="false">
                <v:textbox inset="0,0,0,0">
                  <w:txbxContent>
                    <w:p>
                      <w:pPr>
                        <w:tabs>
                          <w:tab w:pos="1827" w:val="left" w:leader="none"/>
                          <w:tab w:pos="3207" w:val="left" w:leader="none"/>
                          <w:tab w:pos="4243" w:val="left" w:leader="none"/>
                          <w:tab w:pos="5522" w:val="left" w:leader="none"/>
                          <w:tab w:pos="6502" w:val="left" w:leader="none"/>
                          <w:tab w:pos="7769" w:val="left" w:leader="none"/>
                          <w:tab w:pos="11027" w:val="left" w:leader="none"/>
                          <w:tab w:pos="11924" w:val="left" w:leader="none"/>
                          <w:tab w:pos="12799" w:val="left" w:leader="none"/>
                        </w:tabs>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承诺投资项目和超募资</w:t>
                        <w:tab/>
                        <w:t>是否已变更项目</w:t>
                        <w:tab/>
                        <w:t>募集资金承</w:t>
                        <w:tab/>
                        <w:t>调整后投资总额</w:t>
                        <w:tab/>
                        <w:t>本年度投入</w:t>
                        <w:tab/>
                        <w:t>截至期末累计投</w:t>
                        <w:tab/>
                        <w:t>截至期末投入进度（</w:t>
                      </w:r>
                      <w:r>
                        <w:rPr>
                          <w:rFonts w:ascii="Times New Roman" w:hAnsi="Times New Roman" w:cs="Times New Roman" w:eastAsia="Times New Roman" w:hint="default"/>
                          <w:sz w:val="15"/>
                          <w:szCs w:val="15"/>
                        </w:rPr>
                        <w:t>%</w:t>
                      </w:r>
                      <w:r>
                        <w:rPr>
                          <w:rFonts w:ascii="宋体" w:hAnsi="宋体" w:cs="宋体" w:eastAsia="宋体" w:hint="default"/>
                          <w:sz w:val="15"/>
                          <w:szCs w:val="15"/>
                        </w:rPr>
                        <w:t>） </w:t>
                      </w:r>
                      <w:r>
                        <w:rPr>
                          <w:rFonts w:ascii="宋体" w:hAnsi="宋体" w:cs="宋体" w:eastAsia="宋体" w:hint="default"/>
                          <w:spacing w:val="21"/>
                          <w:sz w:val="15"/>
                          <w:szCs w:val="15"/>
                        </w:rPr>
                        <w:t> </w:t>
                      </w:r>
                      <w:r>
                        <w:rPr>
                          <w:rFonts w:ascii="宋体" w:hAnsi="宋体" w:cs="宋体" w:eastAsia="宋体" w:hint="default"/>
                          <w:sz w:val="15"/>
                          <w:szCs w:val="15"/>
                        </w:rPr>
                        <w:t>项目达到预定可使</w:t>
                        <w:tab/>
                        <w:t>本年度实</w:t>
                        <w:tab/>
                        <w:t>是否达到</w:t>
                        <w:tab/>
                        <w:t>项目可行性是否</w:t>
                      </w:r>
                    </w:p>
                  </w:txbxContent>
                </v:textbox>
                <w10:wrap type="none"/>
              </v:shape>
              <v:shape style="position:absolute;left:2029;top:354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金投向</w:t>
                      </w:r>
                    </w:p>
                  </w:txbxContent>
                </v:textbox>
                <w10:wrap type="none"/>
              </v:shape>
              <v:shape style="position:absolute;left:3331;top:3546;width:2130;height:150" type="#_x0000_t202" filled="false" stroked="false">
                <v:textbox inset="0,0,0,0">
                  <w:txbxContent>
                    <w:p>
                      <w:pPr>
                        <w:tabs>
                          <w:tab w:pos="137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（含部分变更）</w:t>
                        <w:tab/>
                        <w:t>诺投资总额</w:t>
                      </w:r>
                    </w:p>
                  </w:txbxContent>
                </v:textbox>
                <w10:wrap type="none"/>
              </v:shape>
              <v:shape style="position:absolute;left:6183;top:3562;width:177;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w:t>
                      </w:r>
                    </w:p>
                  </w:txbxContent>
                </v:textbox>
                <w10:wrap type="none"/>
              </v:shape>
              <v:shape style="position:absolute;left:7250;top:354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8219;top:3546;width:627;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入金额</w:t>
                      </w:r>
                      <w:r>
                        <w:rPr>
                          <w:rFonts w:ascii="Times New Roman" w:hAnsi="Times New Roman" w:cs="Times New Roman" w:eastAsia="Times New Roman" w:hint="default"/>
                          <w:sz w:val="15"/>
                          <w:szCs w:val="15"/>
                        </w:rPr>
                        <w:t>(2)</w:t>
                      </w:r>
                    </w:p>
                  </w:txbxContent>
                </v:textbox>
                <w10:wrap type="none"/>
              </v:shape>
              <v:shape style="position:absolute;left:9693;top:3546;width:718;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(3)</w:t>
                      </w:r>
                      <w:r>
                        <w:rPr>
                          <w:rFonts w:ascii="宋体" w:hAnsi="宋体" w:cs="宋体" w:eastAsia="宋体" w:hint="default"/>
                          <w:spacing w:val="-1"/>
                          <w:sz w:val="15"/>
                          <w:szCs w:val="15"/>
                        </w:rPr>
                        <w:t>＝</w:t>
                      </w:r>
                      <w:r>
                        <w:rPr>
                          <w:rFonts w:ascii="Times New Roman" w:hAnsi="Times New Roman" w:cs="Times New Roman" w:eastAsia="Times New Roman" w:hint="default"/>
                          <w:spacing w:val="-1"/>
                          <w:sz w:val="15"/>
                          <w:szCs w:val="15"/>
                        </w:rPr>
                        <w:t>(2)/(1)</w:t>
                      </w:r>
                    </w:p>
                  </w:txbxContent>
                </v:textbox>
                <w10:wrap type="none"/>
              </v:shape>
              <v:shape style="position:absolute;left:11297;top:354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用状态日期</w:t>
                      </w:r>
                    </w:p>
                  </w:txbxContent>
                </v:textbox>
                <w10:wrap type="none"/>
              </v:shape>
              <v:shape style="position:absolute;left:12531;top:3546;width:2746;height:150" type="#_x0000_t202" filled="false" stroked="false">
                <v:textbox inset="0,0,0,0">
                  <w:txbxContent>
                    <w:p>
                      <w:pPr>
                        <w:tabs>
                          <w:tab w:pos="896" w:val="left" w:leader="none"/>
                          <w:tab w:pos="1845"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现的效益</w:t>
                        <w:tab/>
                        <w:t>预计效益</w:t>
                        <w:tab/>
                        <w:t>发生重大变化</w:t>
                      </w:r>
                    </w:p>
                  </w:txbxContent>
                </v:textbox>
                <w10:wrap type="none"/>
              </v:shape>
              <v:shape style="position:absolute;left:1440;top:3956;width:1575;height:1374" type="#_x0000_t202" filled="false" stroked="false">
                <v:textbox inset="0,0,0,0">
                  <w:txbxContent>
                    <w:p>
                      <w:pPr>
                        <w:spacing w:line="150" w:lineRule="exact" w:before="0"/>
                        <w:ind w:left="0" w:right="0" w:firstLine="363"/>
                        <w:jc w:val="left"/>
                        <w:rPr>
                          <w:rFonts w:ascii="宋体" w:hAnsi="宋体" w:cs="宋体" w:eastAsia="宋体" w:hint="default"/>
                          <w:sz w:val="15"/>
                          <w:szCs w:val="15"/>
                        </w:rPr>
                      </w:pPr>
                      <w:r>
                        <w:rPr>
                          <w:rFonts w:ascii="宋体" w:hAnsi="宋体" w:cs="宋体" w:eastAsia="宋体" w:hint="default"/>
                          <w:sz w:val="15"/>
                          <w:szCs w:val="15"/>
                        </w:rPr>
                        <w:t>承诺投资项目</w:t>
                      </w:r>
                    </w:p>
                    <w:p>
                      <w:pPr>
                        <w:spacing w:line="247" w:lineRule="auto" w:before="13"/>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1、电气绝缘特种纤维复</w:t>
                      </w:r>
                      <w:r>
                        <w:rPr>
                          <w:rFonts w:ascii="宋体" w:hAnsi="宋体" w:cs="宋体" w:eastAsia="宋体" w:hint="default"/>
                          <w:spacing w:val="-66"/>
                          <w:sz w:val="15"/>
                          <w:szCs w:val="15"/>
                        </w:rPr>
                        <w:t> </w:t>
                      </w:r>
                      <w:r>
                        <w:rPr>
                          <w:rFonts w:ascii="宋体" w:hAnsi="宋体" w:cs="宋体" w:eastAsia="宋体" w:hint="default"/>
                          <w:spacing w:val="-66"/>
                          <w:sz w:val="15"/>
                          <w:szCs w:val="15"/>
                        </w:rPr>
                      </w:r>
                      <w:r>
                        <w:rPr>
                          <w:rFonts w:ascii="宋体" w:hAnsi="宋体" w:cs="宋体" w:eastAsia="宋体" w:hint="default"/>
                          <w:sz w:val="15"/>
                          <w:szCs w:val="15"/>
                        </w:rPr>
                        <w:t>合材料</w:t>
                      </w:r>
                      <w:r>
                        <w:rPr>
                          <w:rFonts w:ascii="宋体" w:hAnsi="宋体" w:cs="宋体" w:eastAsia="宋体" w:hint="default"/>
                          <w:spacing w:val="-39"/>
                          <w:sz w:val="15"/>
                          <w:szCs w:val="15"/>
                        </w:rPr>
                        <w:t> </w:t>
                      </w:r>
                      <w:r>
                        <w:rPr>
                          <w:rFonts w:ascii="宋体" w:hAnsi="宋体" w:cs="宋体" w:eastAsia="宋体" w:hint="default"/>
                          <w:sz w:val="15"/>
                          <w:szCs w:val="15"/>
                        </w:rPr>
                        <w:t>SMC</w:t>
                      </w:r>
                      <w:r>
                        <w:rPr>
                          <w:rFonts w:ascii="宋体" w:hAnsi="宋体" w:cs="宋体" w:eastAsia="宋体" w:hint="default"/>
                          <w:spacing w:val="-39"/>
                          <w:sz w:val="15"/>
                          <w:szCs w:val="15"/>
                        </w:rPr>
                        <w:t> </w:t>
                      </w:r>
                      <w:r>
                        <w:rPr>
                          <w:rFonts w:ascii="宋体" w:hAnsi="宋体" w:cs="宋体" w:eastAsia="宋体" w:hint="default"/>
                          <w:sz w:val="15"/>
                          <w:szCs w:val="15"/>
                        </w:rPr>
                        <w:t>及制品项目</w:t>
                      </w:r>
                      <w:r>
                        <w:rPr>
                          <w:rFonts w:ascii="宋体" w:hAnsi="宋体" w:cs="宋体" w:eastAsia="宋体" w:hint="default"/>
                          <w:sz w:val="15"/>
                          <w:szCs w:val="15"/>
                        </w:rPr>
                        <w:t> </w:t>
                      </w:r>
                      <w:r>
                        <w:rPr>
                          <w:rFonts w:ascii="宋体" w:hAnsi="宋体" w:cs="宋体" w:eastAsia="宋体" w:hint="default"/>
                          <w:spacing w:val="-1"/>
                          <w:sz w:val="15"/>
                          <w:szCs w:val="15"/>
                        </w:rPr>
                        <w:t>2、高性能硅橡胶电气绝</w:t>
                      </w:r>
                      <w:r>
                        <w:rPr>
                          <w:rFonts w:ascii="宋体" w:hAnsi="宋体" w:cs="宋体" w:eastAsia="宋体" w:hint="default"/>
                          <w:spacing w:val="-66"/>
                          <w:sz w:val="15"/>
                          <w:szCs w:val="15"/>
                        </w:rPr>
                        <w:t> </w:t>
                      </w:r>
                      <w:r>
                        <w:rPr>
                          <w:rFonts w:ascii="宋体" w:hAnsi="宋体" w:cs="宋体" w:eastAsia="宋体" w:hint="default"/>
                          <w:spacing w:val="-66"/>
                          <w:sz w:val="15"/>
                          <w:szCs w:val="15"/>
                        </w:rPr>
                      </w:r>
                      <w:r>
                        <w:rPr>
                          <w:rFonts w:ascii="宋体" w:hAnsi="宋体" w:cs="宋体" w:eastAsia="宋体" w:hint="default"/>
                          <w:sz w:val="15"/>
                          <w:szCs w:val="15"/>
                        </w:rPr>
                        <w:t>缘制品项目 </w:t>
                      </w:r>
                      <w:r>
                        <w:rPr>
                          <w:rFonts w:ascii="宋体" w:hAnsi="宋体" w:cs="宋体" w:eastAsia="宋体" w:hint="default"/>
                          <w:spacing w:val="-1"/>
                          <w:sz w:val="15"/>
                          <w:szCs w:val="15"/>
                        </w:rPr>
                        <w:t>3、新型电气绝缘材料及</w:t>
                      </w:r>
                      <w:r>
                        <w:rPr>
                          <w:rFonts w:ascii="宋体" w:hAnsi="宋体" w:cs="宋体" w:eastAsia="宋体" w:hint="default"/>
                          <w:spacing w:val="-66"/>
                          <w:sz w:val="15"/>
                          <w:szCs w:val="15"/>
                        </w:rPr>
                        <w:t> </w:t>
                      </w:r>
                      <w:r>
                        <w:rPr>
                          <w:rFonts w:ascii="宋体" w:hAnsi="宋体" w:cs="宋体" w:eastAsia="宋体" w:hint="default"/>
                          <w:spacing w:val="-66"/>
                          <w:sz w:val="15"/>
                          <w:szCs w:val="15"/>
                        </w:rPr>
                      </w:r>
                      <w:r>
                        <w:rPr>
                          <w:rFonts w:ascii="宋体" w:hAnsi="宋体" w:cs="宋体" w:eastAsia="宋体" w:hint="default"/>
                          <w:sz w:val="15"/>
                          <w:szCs w:val="15"/>
                        </w:rPr>
                        <w:t>产品研究开发中心</w:t>
                      </w:r>
                    </w:p>
                  </w:txbxContent>
                </v:textbox>
                <w10:wrap type="none"/>
              </v:shape>
              <v:shape style="position:absolute;left:3781;top:4365;width:150;height:971"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否</w:t>
                      </w:r>
                    </w:p>
                    <w:p>
                      <w:pPr>
                        <w:spacing w:line="410" w:lineRule="atLeas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 否</w:t>
                      </w:r>
                    </w:p>
                  </w:txbxContent>
                </v:textbox>
                <w10:wrap type="none"/>
              </v:shape>
              <v:shape style="position:absolute;left:1440;top:5595;width:1200;height:868"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承诺投资项目小计</w:t>
                      </w:r>
                    </w:p>
                    <w:p>
                      <w:pPr>
                        <w:spacing w:line="300" w:lineRule="atLeast" w:before="110"/>
                        <w:ind w:left="0" w:right="72" w:firstLine="0"/>
                        <w:jc w:val="left"/>
                        <w:rPr>
                          <w:rFonts w:ascii="宋体" w:hAnsi="宋体" w:cs="宋体" w:eastAsia="宋体" w:hint="default"/>
                          <w:sz w:val="15"/>
                          <w:szCs w:val="15"/>
                        </w:rPr>
                      </w:pPr>
                      <w:r>
                        <w:rPr>
                          <w:rFonts w:ascii="宋体" w:hAnsi="宋体" w:cs="宋体" w:eastAsia="宋体" w:hint="default"/>
                          <w:sz w:val="15"/>
                          <w:szCs w:val="15"/>
                        </w:rPr>
                        <w:t>超募资金投向 1、补充营运资金</w:t>
                      </w:r>
                    </w:p>
                  </w:txbxContent>
                </v:textbox>
                <w10:wrap type="none"/>
              </v:shape>
              <v:shape style="position:absolute;left:3781;top:6416;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否</w:t>
                      </w:r>
                    </w:p>
                  </w:txbxContent>
                </v:textbox>
                <w10:wrap type="none"/>
              </v:shape>
              <v:shape style="position:absolute;left:1440;top:6626;width:1575;height:345" type="#_x0000_t202" filled="false" stroked="false">
                <v:textbox inset="0,0,0,0">
                  <w:txbxContent>
                    <w:p>
                      <w:pPr>
                        <w:spacing w:line="149"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2、募集资金变更补充流</w:t>
                      </w:r>
                    </w:p>
                    <w:p>
                      <w:pPr>
                        <w:spacing w:line="195"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动资金</w:t>
                      </w:r>
                    </w:p>
                  </w:txbxContent>
                </v:textbox>
                <w10:wrap type="none"/>
              </v:shape>
              <v:shape style="position:absolute;left:3781;top:6825;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否</w:t>
                      </w:r>
                    </w:p>
                  </w:txbxContent>
                </v:textbox>
                <w10:wrap type="none"/>
              </v:shape>
              <v:shape style="position:absolute;left:1440;top:7236;width:1200;height:561"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超募资金投向小计</w:t>
                      </w:r>
                    </w:p>
                    <w:p>
                      <w:pPr>
                        <w:spacing w:line="240" w:lineRule="auto" w:before="5"/>
                        <w:rPr>
                          <w:rFonts w:ascii="宋体" w:hAnsi="宋体" w:cs="宋体" w:eastAsia="宋体" w:hint="default"/>
                          <w:sz w:val="16"/>
                          <w:szCs w:val="16"/>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group>
            <w10:wrap type="none"/>
          </v:group>
        </w:pict>
      </w:r>
      <w:r>
        <w:rPr>
          <w:rFonts w:ascii="宋体" w:hAnsi="宋体" w:cs="宋体" w:eastAsia="宋体" w:hint="default"/>
          <w:sz w:val="18"/>
          <w:szCs w:val="18"/>
        </w:rPr>
        <w:t>编制单位：深圳市惠程电气股份有限公司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w:t>
        <w:tab/>
        <w:t>单位：人民币万元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tbl>
      <w:tblPr>
        <w:tblW w:w="0" w:type="auto"/>
        <w:jc w:val="left"/>
        <w:tblInd w:w="3515" w:type="dxa"/>
        <w:tblLayout w:type="fixed"/>
        <w:tblCellMar>
          <w:top w:w="0" w:type="dxa"/>
          <w:left w:w="0" w:type="dxa"/>
          <w:bottom w:w="0" w:type="dxa"/>
          <w:right w:w="0" w:type="dxa"/>
        </w:tblCellMar>
        <w:tblLook w:val="01E0"/>
      </w:tblPr>
      <w:tblGrid>
        <w:gridCol w:w="1069"/>
        <w:gridCol w:w="1179"/>
        <w:gridCol w:w="1080"/>
        <w:gridCol w:w="1388"/>
        <w:gridCol w:w="944"/>
        <w:gridCol w:w="2054"/>
        <w:gridCol w:w="986"/>
        <w:gridCol w:w="882"/>
        <w:gridCol w:w="675"/>
      </w:tblGrid>
      <w:tr>
        <w:trPr>
          <w:trHeight w:val="408"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31"/>
              <w:jc w:val="right"/>
              <w:rPr>
                <w:rFonts w:ascii="Times New Roman" w:hAnsi="Times New Roman" w:cs="Times New Roman" w:eastAsia="Times New Roman" w:hint="default"/>
                <w:sz w:val="18"/>
                <w:szCs w:val="18"/>
              </w:rPr>
            </w:pPr>
            <w:r>
              <w:rPr>
                <w:rFonts w:ascii="Times New Roman"/>
                <w:sz w:val="18"/>
              </w:rPr>
              <w:t>9,603.50</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3"/>
              <w:jc w:val="right"/>
              <w:rPr>
                <w:rFonts w:ascii="Times New Roman" w:hAnsi="Times New Roman" w:cs="Times New Roman" w:eastAsia="Times New Roman" w:hint="default"/>
                <w:sz w:val="18"/>
                <w:szCs w:val="18"/>
              </w:rPr>
            </w:pPr>
            <w:r>
              <w:rPr>
                <w:rFonts w:ascii="Times New Roman"/>
                <w:sz w:val="18"/>
              </w:rPr>
              <w:t>9,603.50</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31"/>
              <w:jc w:val="right"/>
              <w:rPr>
                <w:rFonts w:ascii="Times New Roman" w:hAnsi="Times New Roman" w:cs="Times New Roman" w:eastAsia="Times New Roman" w:hint="default"/>
                <w:sz w:val="20"/>
                <w:szCs w:val="20"/>
              </w:rPr>
            </w:pPr>
            <w:r>
              <w:rPr>
                <w:rFonts w:ascii="Times New Roman"/>
                <w:spacing w:val="-1"/>
                <w:sz w:val="20"/>
              </w:rPr>
              <w:t>1,003.53</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50"/>
              <w:jc w:val="right"/>
              <w:rPr>
                <w:rFonts w:ascii="Times New Roman" w:hAnsi="Times New Roman" w:cs="Times New Roman" w:eastAsia="Times New Roman" w:hint="default"/>
                <w:sz w:val="20"/>
                <w:szCs w:val="20"/>
              </w:rPr>
            </w:pPr>
            <w:r>
              <w:rPr>
                <w:rFonts w:ascii="Times New Roman"/>
                <w:spacing w:val="-1"/>
                <w:sz w:val="20"/>
              </w:rPr>
              <w:t>9,603.47</w:t>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2"/>
              <w:jc w:val="right"/>
              <w:rPr>
                <w:rFonts w:ascii="Times New Roman" w:hAnsi="Times New Roman" w:cs="Times New Roman" w:eastAsia="Times New Roman" w:hint="default"/>
                <w:sz w:val="21"/>
                <w:szCs w:val="21"/>
              </w:rPr>
            </w:pPr>
            <w:r>
              <w:rPr>
                <w:rFonts w:ascii="Times New Roman"/>
                <w:spacing w:val="-1"/>
                <w:sz w:val="21"/>
              </w:rPr>
              <w:t>100.00</w:t>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10"/>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27"/>
              <w:jc w:val="center"/>
              <w:rPr>
                <w:rFonts w:ascii="Times New Roman" w:hAnsi="Times New Roman" w:cs="Times New Roman" w:eastAsia="Times New Roman" w:hint="default"/>
                <w:sz w:val="18"/>
                <w:szCs w:val="18"/>
              </w:rPr>
            </w:pPr>
            <w:r>
              <w:rPr>
                <w:rFonts w:ascii="Times New Roman"/>
                <w:sz w:val="18"/>
              </w:rPr>
              <w:t>2,670.18</w:t>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15"/>
              <w:jc w:val="center"/>
              <w:rPr>
                <w:rFonts w:ascii="宋体" w:hAnsi="宋体" w:cs="宋体" w:eastAsia="宋体" w:hint="default"/>
                <w:sz w:val="18"/>
                <w:szCs w:val="18"/>
              </w:rPr>
            </w:pPr>
            <w:r>
              <w:rPr>
                <w:rFonts w:ascii="宋体" w:hAnsi="宋体" w:cs="宋体" w:eastAsia="宋体" w:hint="default"/>
                <w:sz w:val="18"/>
                <w:szCs w:val="18"/>
              </w:rPr>
              <w:t>否</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3"/>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31"/>
              <w:jc w:val="right"/>
              <w:rPr>
                <w:rFonts w:ascii="Times New Roman" w:hAnsi="Times New Roman" w:cs="Times New Roman" w:eastAsia="Times New Roman" w:hint="default"/>
                <w:sz w:val="18"/>
                <w:szCs w:val="18"/>
              </w:rPr>
            </w:pPr>
            <w:r>
              <w:rPr>
                <w:rFonts w:ascii="Times New Roman"/>
                <w:sz w:val="18"/>
              </w:rPr>
              <w:t>5,793.57</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43"/>
              <w:jc w:val="right"/>
              <w:rPr>
                <w:rFonts w:ascii="Times New Roman" w:hAnsi="Times New Roman" w:cs="Times New Roman" w:eastAsia="Times New Roman" w:hint="default"/>
                <w:sz w:val="18"/>
                <w:szCs w:val="18"/>
              </w:rPr>
            </w:pPr>
            <w:r>
              <w:rPr>
                <w:rFonts w:ascii="Times New Roman"/>
                <w:sz w:val="18"/>
              </w:rPr>
              <w:t>2,658.68</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31"/>
              <w:jc w:val="right"/>
              <w:rPr>
                <w:rFonts w:ascii="Times New Roman" w:hAnsi="Times New Roman" w:cs="Times New Roman" w:eastAsia="Times New Roman" w:hint="default"/>
                <w:sz w:val="20"/>
                <w:szCs w:val="20"/>
              </w:rPr>
            </w:pPr>
            <w:r>
              <w:rPr>
                <w:rFonts w:ascii="Times New Roman"/>
                <w:w w:val="100"/>
                <w:sz w:val="20"/>
              </w:rPr>
              <w:t>-</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50"/>
              <w:jc w:val="right"/>
              <w:rPr>
                <w:rFonts w:ascii="Times New Roman" w:hAnsi="Times New Roman" w:cs="Times New Roman" w:eastAsia="Times New Roman" w:hint="default"/>
                <w:sz w:val="18"/>
                <w:szCs w:val="18"/>
              </w:rPr>
            </w:pPr>
            <w:r>
              <w:rPr>
                <w:rFonts w:ascii="Times New Roman"/>
                <w:sz w:val="18"/>
              </w:rPr>
              <w:t>2,658.68</w:t>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2"/>
              <w:jc w:val="right"/>
              <w:rPr>
                <w:rFonts w:ascii="Times New Roman" w:hAnsi="Times New Roman" w:cs="Times New Roman" w:eastAsia="Times New Roman" w:hint="default"/>
                <w:sz w:val="21"/>
                <w:szCs w:val="21"/>
              </w:rPr>
            </w:pPr>
            <w:r>
              <w:rPr>
                <w:rFonts w:ascii="Times New Roman"/>
                <w:spacing w:val="-1"/>
                <w:sz w:val="21"/>
              </w:rPr>
              <w:t>100.00</w:t>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10"/>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27"/>
              <w:jc w:val="center"/>
              <w:rPr>
                <w:rFonts w:ascii="Times New Roman" w:hAnsi="Times New Roman" w:cs="Times New Roman" w:eastAsia="Times New Roman" w:hint="default"/>
                <w:sz w:val="18"/>
                <w:szCs w:val="18"/>
              </w:rPr>
            </w:pPr>
            <w:r>
              <w:rPr>
                <w:rFonts w:ascii="Times New Roman"/>
                <w:sz w:val="18"/>
              </w:rPr>
              <w:t>1,567.35</w:t>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5"/>
              <w:jc w:val="center"/>
              <w:rPr>
                <w:rFonts w:ascii="宋体" w:hAnsi="宋体" w:cs="宋体" w:eastAsia="宋体" w:hint="default"/>
                <w:sz w:val="18"/>
                <w:szCs w:val="18"/>
              </w:rPr>
            </w:pPr>
            <w:r>
              <w:rPr>
                <w:rFonts w:ascii="宋体" w:hAnsi="宋体" w:cs="宋体" w:eastAsia="宋体" w:hint="default"/>
                <w:sz w:val="18"/>
                <w:szCs w:val="18"/>
              </w:rPr>
              <w:t>否</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3"/>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15"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31"/>
              <w:jc w:val="right"/>
              <w:rPr>
                <w:rFonts w:ascii="Times New Roman" w:hAnsi="Times New Roman" w:cs="Times New Roman" w:eastAsia="Times New Roman" w:hint="default"/>
                <w:sz w:val="18"/>
                <w:szCs w:val="18"/>
              </w:rPr>
            </w:pPr>
            <w:r>
              <w:rPr>
                <w:rFonts w:ascii="Times New Roman"/>
                <w:sz w:val="18"/>
              </w:rPr>
              <w:t>2,369.58</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43"/>
              <w:jc w:val="right"/>
              <w:rPr>
                <w:rFonts w:ascii="Times New Roman" w:hAnsi="Times New Roman" w:cs="Times New Roman" w:eastAsia="Times New Roman" w:hint="default"/>
                <w:sz w:val="18"/>
                <w:szCs w:val="18"/>
              </w:rPr>
            </w:pPr>
            <w:r>
              <w:rPr>
                <w:rFonts w:ascii="Times New Roman"/>
                <w:sz w:val="18"/>
              </w:rPr>
              <w:t>2,369.58</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31"/>
              <w:jc w:val="right"/>
              <w:rPr>
                <w:rFonts w:ascii="Times New Roman" w:hAnsi="Times New Roman" w:cs="Times New Roman" w:eastAsia="Times New Roman" w:hint="default"/>
                <w:sz w:val="20"/>
                <w:szCs w:val="20"/>
              </w:rPr>
            </w:pPr>
            <w:r>
              <w:rPr>
                <w:rFonts w:ascii="Times New Roman"/>
                <w:spacing w:val="-1"/>
                <w:sz w:val="20"/>
              </w:rPr>
              <w:t>580.20</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50"/>
              <w:jc w:val="right"/>
              <w:rPr>
                <w:rFonts w:ascii="Times New Roman" w:hAnsi="Times New Roman" w:cs="Times New Roman" w:eastAsia="Times New Roman" w:hint="default"/>
                <w:sz w:val="20"/>
                <w:szCs w:val="20"/>
              </w:rPr>
            </w:pPr>
            <w:r>
              <w:rPr>
                <w:rFonts w:ascii="Times New Roman"/>
                <w:spacing w:val="-1"/>
                <w:sz w:val="20"/>
              </w:rPr>
              <w:t>2,144.42</w:t>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64"/>
              <w:jc w:val="right"/>
              <w:rPr>
                <w:rFonts w:ascii="Times New Roman" w:hAnsi="Times New Roman" w:cs="Times New Roman" w:eastAsia="Times New Roman" w:hint="default"/>
                <w:sz w:val="21"/>
                <w:szCs w:val="21"/>
              </w:rPr>
            </w:pPr>
            <w:r>
              <w:rPr>
                <w:rFonts w:ascii="Times New Roman"/>
                <w:spacing w:val="-1"/>
                <w:sz w:val="21"/>
              </w:rPr>
              <w:t>90.50</w:t>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10"/>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39"/>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15"/>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3"/>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285"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9"/>
              <w:jc w:val="right"/>
              <w:rPr>
                <w:rFonts w:ascii="Times New Roman" w:hAnsi="Times New Roman" w:cs="Times New Roman" w:eastAsia="Times New Roman" w:hint="default"/>
                <w:sz w:val="18"/>
                <w:szCs w:val="18"/>
              </w:rPr>
            </w:pPr>
            <w:r>
              <w:rPr>
                <w:rFonts w:ascii="Times New Roman"/>
                <w:sz w:val="18"/>
              </w:rPr>
              <w:t>17,766.65</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3"/>
              <w:jc w:val="right"/>
              <w:rPr>
                <w:rFonts w:ascii="Times New Roman" w:hAnsi="Times New Roman" w:cs="Times New Roman" w:eastAsia="Times New Roman" w:hint="default"/>
                <w:sz w:val="18"/>
                <w:szCs w:val="18"/>
              </w:rPr>
            </w:pPr>
            <w:r>
              <w:rPr>
                <w:rFonts w:ascii="Times New Roman"/>
                <w:sz w:val="18"/>
              </w:rPr>
              <w:t>14,631.76</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1"/>
              <w:jc w:val="right"/>
              <w:rPr>
                <w:rFonts w:ascii="Times New Roman" w:hAnsi="Times New Roman" w:cs="Times New Roman" w:eastAsia="Times New Roman" w:hint="default"/>
                <w:sz w:val="18"/>
                <w:szCs w:val="18"/>
              </w:rPr>
            </w:pPr>
            <w:r>
              <w:rPr>
                <w:rFonts w:ascii="Times New Roman"/>
                <w:sz w:val="18"/>
              </w:rPr>
              <w:t>1,583.73</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50"/>
              <w:jc w:val="right"/>
              <w:rPr>
                <w:rFonts w:ascii="Times New Roman" w:hAnsi="Times New Roman" w:cs="Times New Roman" w:eastAsia="Times New Roman" w:hint="default"/>
                <w:sz w:val="18"/>
                <w:szCs w:val="18"/>
              </w:rPr>
            </w:pPr>
            <w:r>
              <w:rPr>
                <w:rFonts w:ascii="Times New Roman"/>
                <w:sz w:val="18"/>
              </w:rPr>
              <w:t>14,406.57</w:t>
            </w:r>
          </w:p>
        </w:tc>
        <w:tc>
          <w:tcPr>
            <w:tcW w:w="944" w:type="dxa"/>
            <w:tcBorders>
              <w:top w:val="nil" w:sz="6" w:space="0" w:color="auto"/>
              <w:left w:val="nil" w:sz="6" w:space="0" w:color="auto"/>
              <w:bottom w:val="nil" w:sz="6" w:space="0" w:color="auto"/>
              <w:right w:val="nil" w:sz="6" w:space="0" w:color="auto"/>
            </w:tcBorders>
          </w:tcPr>
          <w:p>
            <w:pPr/>
          </w:p>
        </w:tc>
        <w:tc>
          <w:tcPr>
            <w:tcW w:w="2054"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882" w:type="dxa"/>
            <w:tcBorders>
              <w:top w:val="nil" w:sz="6" w:space="0" w:color="auto"/>
              <w:left w:val="nil" w:sz="6" w:space="0" w:color="auto"/>
              <w:bottom w:val="nil" w:sz="6" w:space="0" w:color="auto"/>
              <w:right w:val="nil" w:sz="6" w:space="0" w:color="auto"/>
            </w:tcBorders>
          </w:tcPr>
          <w:p>
            <w:pPr/>
          </w:p>
        </w:tc>
        <w:tc>
          <w:tcPr>
            <w:tcW w:w="675" w:type="dxa"/>
            <w:tcBorders>
              <w:top w:val="nil" w:sz="6" w:space="0" w:color="auto"/>
              <w:left w:val="nil" w:sz="6" w:space="0" w:color="auto"/>
              <w:bottom w:val="nil" w:sz="6" w:space="0" w:color="auto"/>
              <w:right w:val="nil" w:sz="6" w:space="0" w:color="auto"/>
            </w:tcBorders>
          </w:tcPr>
          <w:p>
            <w:pPr/>
          </w:p>
        </w:tc>
      </w:tr>
      <w:tr>
        <w:trPr>
          <w:trHeight w:val="360" w:hRule="exact"/>
        </w:trPr>
        <w:tc>
          <w:tcPr>
            <w:tcW w:w="1069" w:type="dxa"/>
            <w:tcBorders>
              <w:top w:val="nil" w:sz="6" w:space="0" w:color="auto"/>
              <w:left w:val="nil" w:sz="6" w:space="0" w:color="auto"/>
              <w:bottom w:val="nil" w:sz="6" w:space="0" w:color="auto"/>
              <w:right w:val="nil" w:sz="6" w:space="0" w:color="auto"/>
            </w:tcBorders>
          </w:tcPr>
          <w:p>
            <w:pPr/>
          </w:p>
        </w:tc>
        <w:tc>
          <w:tcPr>
            <w:tcW w:w="1179"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2054"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882" w:type="dxa"/>
            <w:tcBorders>
              <w:top w:val="nil" w:sz="6" w:space="0" w:color="auto"/>
              <w:left w:val="nil" w:sz="6" w:space="0" w:color="auto"/>
              <w:bottom w:val="nil" w:sz="6" w:space="0" w:color="auto"/>
              <w:right w:val="nil" w:sz="6" w:space="0" w:color="auto"/>
            </w:tcBorders>
          </w:tcPr>
          <w:p>
            <w:pPr/>
          </w:p>
        </w:tc>
        <w:tc>
          <w:tcPr>
            <w:tcW w:w="675" w:type="dxa"/>
            <w:tcBorders>
              <w:top w:val="nil" w:sz="6" w:space="0" w:color="auto"/>
              <w:left w:val="nil" w:sz="6" w:space="0" w:color="auto"/>
              <w:bottom w:val="nil" w:sz="6" w:space="0" w:color="auto"/>
              <w:right w:val="nil" w:sz="6" w:space="0" w:color="auto"/>
            </w:tcBorders>
          </w:tcPr>
          <w:p>
            <w:pPr/>
          </w:p>
        </w:tc>
      </w:tr>
      <w:tr>
        <w:trPr>
          <w:trHeight w:val="575"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86"/>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43"/>
              <w:jc w:val="right"/>
              <w:rPr>
                <w:rFonts w:ascii="Times New Roman" w:hAnsi="Times New Roman" w:cs="Times New Roman" w:eastAsia="Times New Roman" w:hint="default"/>
                <w:sz w:val="18"/>
                <w:szCs w:val="18"/>
              </w:rPr>
            </w:pPr>
            <w:r>
              <w:rPr>
                <w:rFonts w:ascii="Times New Roman"/>
                <w:sz w:val="18"/>
              </w:rPr>
              <w:t>5,526.77</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6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50"/>
              <w:jc w:val="right"/>
              <w:rPr>
                <w:rFonts w:ascii="Times New Roman" w:hAnsi="Times New Roman" w:cs="Times New Roman" w:eastAsia="Times New Roman" w:hint="default"/>
                <w:sz w:val="18"/>
                <w:szCs w:val="18"/>
              </w:rPr>
            </w:pPr>
            <w:r>
              <w:rPr>
                <w:rFonts w:ascii="Times New Roman"/>
                <w:sz w:val="18"/>
              </w:rPr>
              <w:t>5,526.77</w:t>
            </w:r>
          </w:p>
        </w:tc>
        <w:tc>
          <w:tcPr>
            <w:tcW w:w="5541"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392" w:right="0"/>
              <w:jc w:val="left"/>
              <w:rPr>
                <w:rFonts w:ascii="Times New Roman" w:hAnsi="Times New Roman" w:cs="Times New Roman" w:eastAsia="Times New Roman" w:hint="default"/>
                <w:sz w:val="18"/>
                <w:szCs w:val="18"/>
              </w:rPr>
            </w:pPr>
            <w:r>
              <w:rPr>
                <w:rFonts w:ascii="Times New Roman"/>
                <w:sz w:val="18"/>
              </w:rPr>
              <w:t>100.00</w:t>
            </w:r>
          </w:p>
        </w:tc>
      </w:tr>
      <w:tr>
        <w:trPr>
          <w:trHeight w:val="406" w:hRule="exact"/>
        </w:trPr>
        <w:tc>
          <w:tcPr>
            <w:tcW w:w="1069" w:type="dxa"/>
            <w:tcBorders>
              <w:top w:val="nil" w:sz="6" w:space="0" w:color="auto"/>
              <w:left w:val="nil" w:sz="6" w:space="0" w:color="auto"/>
              <w:bottom w:val="nil" w:sz="6" w:space="0" w:color="auto"/>
              <w:right w:val="nil" w:sz="6" w:space="0" w:color="auto"/>
            </w:tcBorders>
          </w:tcPr>
          <w:p>
            <w:pP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43"/>
              <w:jc w:val="right"/>
              <w:rPr>
                <w:rFonts w:ascii="Times New Roman" w:hAnsi="Times New Roman" w:cs="Times New Roman" w:eastAsia="Times New Roman" w:hint="default"/>
                <w:sz w:val="18"/>
                <w:szCs w:val="18"/>
              </w:rPr>
            </w:pPr>
            <w:r>
              <w:rPr>
                <w:rFonts w:ascii="Times New Roman"/>
                <w:sz w:val="18"/>
              </w:rPr>
              <w:t>3,134.89</w:t>
            </w:r>
          </w:p>
        </w:tc>
        <w:tc>
          <w:tcPr>
            <w:tcW w:w="1080"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50"/>
              <w:jc w:val="right"/>
              <w:rPr>
                <w:rFonts w:ascii="Times New Roman" w:hAnsi="Times New Roman" w:cs="Times New Roman" w:eastAsia="Times New Roman" w:hint="default"/>
                <w:sz w:val="18"/>
                <w:szCs w:val="18"/>
              </w:rPr>
            </w:pPr>
            <w:r>
              <w:rPr>
                <w:rFonts w:ascii="Times New Roman"/>
                <w:sz w:val="18"/>
              </w:rPr>
              <w:t>3,134.89</w:t>
            </w:r>
          </w:p>
        </w:tc>
        <w:tc>
          <w:tcPr>
            <w:tcW w:w="5541"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92"/>
              <w:ind w:left="392" w:right="0"/>
              <w:jc w:val="left"/>
              <w:rPr>
                <w:rFonts w:ascii="Times New Roman" w:hAnsi="Times New Roman" w:cs="Times New Roman" w:eastAsia="Times New Roman" w:hint="default"/>
                <w:sz w:val="18"/>
                <w:szCs w:val="18"/>
              </w:rPr>
            </w:pPr>
            <w:r>
              <w:rPr>
                <w:rFonts w:ascii="Times New Roman"/>
                <w:sz w:val="18"/>
              </w:rPr>
              <w:t>100.00</w:t>
            </w:r>
          </w:p>
        </w:tc>
      </w:tr>
      <w:tr>
        <w:trPr>
          <w:trHeight w:val="416"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86"/>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3"/>
              <w:jc w:val="right"/>
              <w:rPr>
                <w:rFonts w:ascii="Times New Roman" w:hAnsi="Times New Roman" w:cs="Times New Roman" w:eastAsia="Times New Roman" w:hint="default"/>
                <w:sz w:val="20"/>
                <w:szCs w:val="20"/>
              </w:rPr>
            </w:pPr>
            <w:r>
              <w:rPr>
                <w:rFonts w:ascii="Times New Roman"/>
                <w:spacing w:val="-1"/>
                <w:sz w:val="20"/>
              </w:rPr>
              <w:t>8,661.66</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3"/>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50"/>
              <w:jc w:val="right"/>
              <w:rPr>
                <w:rFonts w:ascii="Times New Roman" w:hAnsi="Times New Roman" w:cs="Times New Roman" w:eastAsia="Times New Roman" w:hint="default"/>
                <w:sz w:val="20"/>
                <w:szCs w:val="20"/>
              </w:rPr>
            </w:pPr>
            <w:r>
              <w:rPr>
                <w:rFonts w:ascii="Times New Roman"/>
                <w:spacing w:val="-1"/>
                <w:sz w:val="20"/>
              </w:rPr>
              <w:t>8,661.66</w:t>
            </w:r>
          </w:p>
        </w:tc>
        <w:tc>
          <w:tcPr>
            <w:tcW w:w="5541" w:type="dxa"/>
            <w:gridSpan w:val="5"/>
            <w:tcBorders>
              <w:top w:val="nil" w:sz="6" w:space="0" w:color="auto"/>
              <w:left w:val="nil" w:sz="6" w:space="0" w:color="auto"/>
              <w:bottom w:val="nil" w:sz="6" w:space="0" w:color="auto"/>
              <w:right w:val="nil" w:sz="6" w:space="0" w:color="auto"/>
            </w:tcBorders>
          </w:tcPr>
          <w:p>
            <w:pPr/>
          </w:p>
        </w:tc>
      </w:tr>
      <w:tr>
        <w:trPr>
          <w:trHeight w:val="413"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31"/>
              <w:jc w:val="right"/>
              <w:rPr>
                <w:rFonts w:ascii="Times New Roman" w:hAnsi="Times New Roman" w:cs="Times New Roman" w:eastAsia="Times New Roman" w:hint="default"/>
                <w:sz w:val="20"/>
                <w:szCs w:val="20"/>
              </w:rPr>
            </w:pPr>
            <w:r>
              <w:rPr>
                <w:rFonts w:ascii="Times New Roman"/>
                <w:spacing w:val="-1"/>
                <w:sz w:val="20"/>
              </w:rPr>
              <w:t>17,766.65</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Times New Roman" w:hAnsi="Times New Roman" w:cs="Times New Roman" w:eastAsia="Times New Roman" w:hint="default"/>
                <w:sz w:val="20"/>
                <w:szCs w:val="20"/>
              </w:rPr>
            </w:pPr>
            <w:r>
              <w:rPr>
                <w:rFonts w:ascii="Times New Roman"/>
                <w:spacing w:val="-1"/>
                <w:sz w:val="20"/>
              </w:rPr>
              <w:t>23,293.42</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32"/>
              <w:jc w:val="right"/>
              <w:rPr>
                <w:rFonts w:ascii="Times New Roman" w:hAnsi="Times New Roman" w:cs="Times New Roman" w:eastAsia="Times New Roman" w:hint="default"/>
                <w:sz w:val="20"/>
                <w:szCs w:val="20"/>
              </w:rPr>
            </w:pPr>
            <w:r>
              <w:rPr>
                <w:rFonts w:ascii="Times New Roman"/>
                <w:spacing w:val="-1"/>
                <w:sz w:val="20"/>
              </w:rPr>
              <w:t>1,583.73</w:t>
            </w:r>
            <w:r>
              <w:rPr>
                <w:rFonts w:ascii="Times New Roman"/>
                <w:sz w:val="20"/>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51"/>
              <w:jc w:val="right"/>
              <w:rPr>
                <w:rFonts w:ascii="Times New Roman" w:hAnsi="Times New Roman" w:cs="Times New Roman" w:eastAsia="Times New Roman" w:hint="default"/>
                <w:sz w:val="20"/>
                <w:szCs w:val="20"/>
              </w:rPr>
            </w:pPr>
            <w:r>
              <w:rPr>
                <w:rFonts w:ascii="Times New Roman"/>
                <w:spacing w:val="-1"/>
                <w:sz w:val="20"/>
              </w:rPr>
              <w:t>23,068.23</w:t>
            </w:r>
          </w:p>
        </w:tc>
        <w:tc>
          <w:tcPr>
            <w:tcW w:w="5541" w:type="dxa"/>
            <w:gridSpan w:val="5"/>
            <w:tcBorders>
              <w:top w:val="nil" w:sz="6" w:space="0" w:color="auto"/>
              <w:left w:val="nil" w:sz="6" w:space="0" w:color="auto"/>
              <w:bottom w:val="nil" w:sz="6" w:space="0" w:color="auto"/>
              <w:right w:val="nil" w:sz="6" w:space="0" w:color="auto"/>
            </w:tcBorders>
          </w:tcPr>
          <w:p>
            <w:pPr/>
          </w:p>
        </w:tc>
      </w:tr>
    </w:tbl>
    <w:p>
      <w:pPr>
        <w:spacing w:after="0"/>
        <w:sectPr>
          <w:headerReference w:type="default" r:id="rId24"/>
          <w:footerReference w:type="default" r:id="rId25"/>
          <w:pgSz w:w="16840" w:h="11910" w:orient="landscape"/>
          <w:pgMar w:header="777" w:footer="707" w:top="960" w:bottom="900" w:left="1180" w:right="1240"/>
          <w:pgNumType w:start="58"/>
        </w:sectPr>
      </w:pPr>
    </w:p>
    <w:p>
      <w:pPr>
        <w:spacing w:line="240" w:lineRule="auto" w:before="12"/>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6840" w:h="11910" w:orient="landscape"/>
          <w:pgMar w:header="777" w:footer="707" w:top="960" w:bottom="900" w:left="1180" w:right="1240"/>
        </w:sectPr>
      </w:pPr>
    </w:p>
    <w:p>
      <w:pPr>
        <w:spacing w:line="489" w:lineRule="auto" w:before="53"/>
        <w:ind w:left="259" w:right="0" w:firstLine="0"/>
        <w:jc w:val="both"/>
        <w:rPr>
          <w:rFonts w:ascii="宋体" w:hAnsi="宋体" w:cs="宋体" w:eastAsia="宋体" w:hint="default"/>
          <w:sz w:val="15"/>
          <w:szCs w:val="15"/>
        </w:rPr>
      </w:pPr>
      <w:r>
        <w:rPr/>
        <w:pict>
          <v:group style="position:absolute;margin-left:65.121002pt;margin-top:-7.850256pt;width:709.85pt;height:436.15pt;mso-position-horizontal-relative:page;mso-position-vertical-relative:paragraph;z-index:-788320" coordorigin="1302,-157" coordsize="14197,8723">
            <v:group style="position:absolute;left:1332;top:-142;width:14132;height:2" coordorigin="1332,-142" coordsize="14132,2">
              <v:shape style="position:absolute;left:1332;top:-142;width:14132;height:2" coordorigin="1332,-142" coordsize="14132,0" path="m1332,-142l15463,-142e" filled="false" stroked="true" strokeweight="1.5pt" strokecolor="#000000">
                <v:path arrowok="t"/>
              </v:shape>
              <v:shape style="position:absolute;left:3144;top:-156;width:67;height:1258" type="#_x0000_t75" stroked="false">
                <v:imagedata r:id="rId31" o:title=""/>
              </v:shape>
            </v:group>
            <v:group style="position:absolute;left:1317;top:8551;width:1856;height:2" coordorigin="1317,8551" coordsize="1856,2">
              <v:shape style="position:absolute;left:1317;top:8551;width:1856;height:2" coordorigin="1317,8551" coordsize="1856,0" path="m1317,8551l3173,8551e" filled="false" stroked="true" strokeweight="1.5pt" strokecolor="#000000">
                <v:path arrowok="t"/>
              </v:shape>
              <v:shape style="position:absolute;left:1303;top:1044;width:14196;height:7511" type="#_x0000_t75" stroked="false">
                <v:imagedata r:id="rId32" o:title=""/>
              </v:shape>
            </v:group>
            <v:group style="position:absolute;left:3173;top:8551;width:12291;height:2" coordorigin="3173,8551" coordsize="12291,2">
              <v:shape style="position:absolute;left:3173;top:8551;width:12291;height:2" coordorigin="3173,8551" coordsize="12291,0" path="m3173,8551l15463,8551e" filled="false" stroked="true" strokeweight="1.5pt" strokecolor="#000000">
                <v:path arrowok="t"/>
              </v:shape>
            </v:group>
            <w10:wrap type="none"/>
          </v:group>
        </w:pict>
      </w:r>
      <w:r>
        <w:rPr>
          <w:rFonts w:ascii="宋体" w:hAnsi="宋体" w:cs="宋体" w:eastAsia="宋体" w:hint="default"/>
          <w:spacing w:val="12"/>
          <w:sz w:val="15"/>
          <w:szCs w:val="15"/>
        </w:rPr>
        <w:t>未达到计划进度或预计</w:t>
      </w:r>
      <w:r>
        <w:rPr>
          <w:rFonts w:ascii="宋体" w:hAnsi="宋体" w:cs="宋体" w:eastAsia="宋体" w:hint="default"/>
          <w:spacing w:val="-70"/>
          <w:sz w:val="15"/>
          <w:szCs w:val="15"/>
        </w:rPr>
        <w:t> </w:t>
      </w:r>
      <w:r>
        <w:rPr>
          <w:rFonts w:ascii="宋体" w:hAnsi="宋体" w:cs="宋体" w:eastAsia="宋体" w:hint="default"/>
          <w:spacing w:val="-2"/>
          <w:sz w:val="15"/>
          <w:szCs w:val="15"/>
        </w:rPr>
        <w:t>收益的情况和原因（分具</w:t>
      </w:r>
      <w:r>
        <w:rPr>
          <w:rFonts w:ascii="宋体" w:hAnsi="宋体" w:cs="宋体" w:eastAsia="宋体" w:hint="default"/>
          <w:sz w:val="15"/>
          <w:szCs w:val="15"/>
        </w:rPr>
        <w:t> 体项目）</w:t>
      </w:r>
    </w:p>
    <w:p>
      <w:pPr>
        <w:spacing w:before="59"/>
        <w:ind w:left="161" w:right="295" w:firstLine="0"/>
        <w:jc w:val="left"/>
        <w:rPr>
          <w:rFonts w:ascii="宋体" w:hAnsi="宋体" w:cs="宋体" w:eastAsia="宋体" w:hint="default"/>
          <w:sz w:val="15"/>
          <w:szCs w:val="15"/>
        </w:rPr>
      </w:pPr>
      <w:r>
        <w:rPr/>
        <w:br w:type="column"/>
      </w:r>
      <w:r>
        <w:rPr>
          <w:rFonts w:ascii="宋体" w:hAnsi="宋体" w:cs="宋体" w:eastAsia="宋体" w:hint="default"/>
          <w:sz w:val="15"/>
          <w:szCs w:val="15"/>
        </w:rPr>
        <w:t>公司“新型电气绝缘材料及产品研究开发中心”投入进度较慢，主要原因是公司努力采取措施使用生产设备进行研发和调试，节约研发专用设备的投入，以及国际国内经济环境变化导 致设备考察选型周期延长。</w:t>
      </w:r>
    </w:p>
    <w:p>
      <w:pPr>
        <w:spacing w:before="0"/>
        <w:ind w:left="161" w:right="233" w:firstLine="0"/>
        <w:jc w:val="left"/>
        <w:rPr>
          <w:rFonts w:ascii="宋体" w:hAnsi="宋体" w:cs="宋体" w:eastAsia="宋体" w:hint="default"/>
          <w:sz w:val="15"/>
          <w:szCs w:val="15"/>
        </w:rPr>
      </w:pPr>
      <w:r>
        <w:rPr>
          <w:rFonts w:ascii="宋体" w:hAnsi="宋体" w:cs="宋体" w:eastAsia="宋体" w:hint="default"/>
          <w:sz w:val="15"/>
          <w:szCs w:val="15"/>
        </w:rPr>
        <w:t>公司“电气绝缘特种纤维复合材料</w:t>
      </w:r>
      <w:r>
        <w:rPr>
          <w:rFonts w:ascii="宋体" w:hAnsi="宋体" w:cs="宋体" w:eastAsia="宋体" w:hint="default"/>
          <w:spacing w:val="-40"/>
          <w:sz w:val="15"/>
          <w:szCs w:val="15"/>
        </w:rPr>
        <w:t> </w:t>
      </w:r>
      <w:r>
        <w:rPr>
          <w:rFonts w:ascii="宋体" w:hAnsi="宋体" w:cs="宋体" w:eastAsia="宋体" w:hint="default"/>
          <w:sz w:val="15"/>
          <w:szCs w:val="15"/>
        </w:rPr>
        <w:t>SMC</w:t>
      </w:r>
      <w:r>
        <w:rPr>
          <w:rFonts w:ascii="宋体" w:hAnsi="宋体" w:cs="宋体" w:eastAsia="宋体" w:hint="default"/>
          <w:spacing w:val="-40"/>
          <w:sz w:val="15"/>
          <w:szCs w:val="15"/>
        </w:rPr>
        <w:t> </w:t>
      </w:r>
      <w:r>
        <w:rPr>
          <w:rFonts w:ascii="宋体" w:hAnsi="宋体" w:cs="宋体" w:eastAsia="宋体" w:hint="default"/>
          <w:sz w:val="15"/>
          <w:szCs w:val="15"/>
        </w:rPr>
        <w:t>及制品项目”和”</w:t>
      </w:r>
      <w:r>
        <w:rPr>
          <w:rFonts w:ascii="宋体" w:hAnsi="宋体" w:cs="宋体" w:eastAsia="宋体" w:hint="default"/>
          <w:spacing w:val="-8"/>
          <w:sz w:val="15"/>
          <w:szCs w:val="15"/>
        </w:rPr>
        <w:t> </w:t>
      </w:r>
      <w:r>
        <w:rPr>
          <w:rFonts w:ascii="宋体" w:hAnsi="宋体" w:cs="宋体" w:eastAsia="宋体" w:hint="default"/>
          <w:sz w:val="15"/>
          <w:szCs w:val="15"/>
        </w:rPr>
        <w:t>“高性能硅橡胶电气绝缘制品项目”由于市场竞争激烈，销售价格下降，产品毛利率下降，销售费用率提高，尚未完全达到预</w:t>
      </w:r>
      <w:r>
        <w:rPr>
          <w:rFonts w:ascii="宋体" w:hAnsi="宋体" w:cs="宋体" w:eastAsia="宋体" w:hint="default"/>
          <w:sz w:val="15"/>
          <w:szCs w:val="15"/>
        </w:rPr>
        <w:t> 计效益。</w:t>
      </w:r>
    </w:p>
    <w:p>
      <w:pPr>
        <w:spacing w:after="0"/>
        <w:jc w:val="left"/>
        <w:rPr>
          <w:rFonts w:ascii="宋体" w:hAnsi="宋体" w:cs="宋体" w:eastAsia="宋体" w:hint="default"/>
          <w:sz w:val="15"/>
          <w:szCs w:val="15"/>
        </w:rPr>
        <w:sectPr>
          <w:type w:val="continuous"/>
          <w:pgSz w:w="16840" w:h="11910" w:orient="landscape"/>
          <w:pgMar w:top="900" w:bottom="1460" w:left="1180" w:right="1240"/>
          <w:cols w:num="2" w:equalWidth="0">
            <w:col w:w="1904" w:space="40"/>
            <w:col w:w="12476"/>
          </w:cols>
        </w:sectPr>
      </w:pPr>
    </w:p>
    <w:p>
      <w:pPr>
        <w:tabs>
          <w:tab w:pos="8064" w:val="left" w:leader="none"/>
        </w:tabs>
        <w:spacing w:before="57"/>
        <w:ind w:left="259" w:right="0" w:firstLine="0"/>
        <w:jc w:val="left"/>
        <w:rPr>
          <w:rFonts w:ascii="宋体" w:hAnsi="宋体" w:cs="宋体" w:eastAsia="宋体" w:hint="default"/>
          <w:sz w:val="15"/>
          <w:szCs w:val="15"/>
        </w:rPr>
      </w:pPr>
      <w:r>
        <w:rPr>
          <w:rFonts w:ascii="宋体" w:hAnsi="宋体" w:cs="宋体" w:eastAsia="宋体" w:hint="default"/>
          <w:spacing w:val="12"/>
          <w:sz w:val="15"/>
          <w:szCs w:val="15"/>
        </w:rPr>
        <w:t>项目可行性发生重大变</w:t>
        <w:tab/>
      </w:r>
      <w:r>
        <w:rPr>
          <w:rFonts w:ascii="宋体" w:hAnsi="宋体" w:cs="宋体" w:eastAsia="宋体" w:hint="default"/>
          <w:position w:val="-9"/>
          <w:sz w:val="15"/>
          <w:szCs w:val="15"/>
        </w:rPr>
        <w:t>无</w:t>
      </w:r>
      <w:r>
        <w:rPr>
          <w:rFonts w:ascii="宋体" w:hAnsi="宋体" w:cs="宋体" w:eastAsia="宋体" w:hint="default"/>
          <w:sz w:val="15"/>
          <w:szCs w:val="15"/>
        </w:rPr>
      </w:r>
    </w:p>
    <w:p>
      <w:pPr>
        <w:spacing w:before="104"/>
        <w:ind w:left="259" w:right="0" w:firstLine="0"/>
        <w:jc w:val="left"/>
        <w:rPr>
          <w:rFonts w:ascii="宋体" w:hAnsi="宋体" w:cs="宋体" w:eastAsia="宋体" w:hint="default"/>
          <w:sz w:val="15"/>
          <w:szCs w:val="15"/>
        </w:rPr>
      </w:pPr>
      <w:r>
        <w:rPr>
          <w:rFonts w:ascii="宋体" w:hAnsi="宋体" w:cs="宋体" w:eastAsia="宋体" w:hint="default"/>
          <w:sz w:val="15"/>
          <w:szCs w:val="15"/>
        </w:rPr>
        <w:t>化的情况说明</w:t>
      </w:r>
    </w:p>
    <w:p>
      <w:pPr>
        <w:spacing w:line="240" w:lineRule="auto" w:before="2"/>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type w:val="continuous"/>
          <w:pgSz w:w="16840" w:h="11910" w:orient="landscape"/>
          <w:pgMar w:top="900" w:bottom="1460" w:left="1180" w:right="1240"/>
        </w:sectPr>
      </w:pPr>
    </w:p>
    <w:p>
      <w:pPr>
        <w:spacing w:line="489" w:lineRule="auto" w:before="53"/>
        <w:ind w:left="259" w:right="-19" w:firstLine="0"/>
        <w:jc w:val="left"/>
        <w:rPr>
          <w:rFonts w:ascii="宋体" w:hAnsi="宋体" w:cs="宋体" w:eastAsia="宋体" w:hint="default"/>
          <w:sz w:val="15"/>
          <w:szCs w:val="15"/>
        </w:rPr>
      </w:pPr>
      <w:r>
        <w:rPr>
          <w:rFonts w:ascii="宋体" w:hAnsi="宋体" w:cs="宋体" w:eastAsia="宋体" w:hint="default"/>
          <w:spacing w:val="-2"/>
          <w:sz w:val="15"/>
          <w:szCs w:val="15"/>
        </w:rPr>
        <w:t>超募资金的金额、用途及</w:t>
      </w:r>
      <w:r>
        <w:rPr>
          <w:rFonts w:ascii="宋体" w:hAnsi="宋体" w:cs="宋体" w:eastAsia="宋体" w:hint="default"/>
          <w:sz w:val="15"/>
          <w:szCs w:val="15"/>
        </w:rPr>
        <w:t> 使用进展情况</w:t>
      </w:r>
    </w:p>
    <w:p>
      <w:pPr>
        <w:spacing w:line="195" w:lineRule="exact" w:before="55"/>
        <w:ind w:left="177" w:right="0" w:firstLine="0"/>
        <w:jc w:val="left"/>
        <w:rPr>
          <w:rFonts w:ascii="宋体" w:hAnsi="宋体" w:cs="宋体" w:eastAsia="宋体" w:hint="default"/>
          <w:sz w:val="15"/>
          <w:szCs w:val="15"/>
        </w:rPr>
      </w:pPr>
      <w:r>
        <w:rPr/>
        <w:br w:type="column"/>
      </w:r>
      <w:r>
        <w:rPr>
          <w:rFonts w:ascii="宋体" w:hAnsi="宋体" w:cs="宋体" w:eastAsia="宋体" w:hint="default"/>
          <w:sz w:val="15"/>
          <w:szCs w:val="15"/>
        </w:rPr>
        <w:t>超募资金的金额为</w:t>
      </w:r>
      <w:r>
        <w:rPr>
          <w:rFonts w:ascii="宋体" w:hAnsi="宋体" w:cs="宋体" w:eastAsia="宋体" w:hint="default"/>
          <w:spacing w:val="-40"/>
          <w:sz w:val="15"/>
          <w:szCs w:val="15"/>
        </w:rPr>
        <w:t> </w:t>
      </w:r>
      <w:r>
        <w:rPr>
          <w:rFonts w:ascii="宋体" w:hAnsi="宋体" w:cs="宋体" w:eastAsia="宋体" w:hint="default"/>
          <w:sz w:val="15"/>
          <w:szCs w:val="15"/>
        </w:rPr>
        <w:t>55,267,700.00</w:t>
      </w:r>
      <w:r>
        <w:rPr>
          <w:rFonts w:ascii="宋体" w:hAnsi="宋体" w:cs="宋体" w:eastAsia="宋体" w:hint="default"/>
          <w:spacing w:val="-41"/>
          <w:sz w:val="15"/>
          <w:szCs w:val="15"/>
        </w:rPr>
        <w:t> </w:t>
      </w:r>
      <w:r>
        <w:rPr>
          <w:rFonts w:ascii="宋体" w:hAnsi="宋体" w:cs="宋体" w:eastAsia="宋体" w:hint="default"/>
          <w:sz w:val="15"/>
          <w:szCs w:val="15"/>
        </w:rPr>
        <w:t>元,根据</w:t>
      </w:r>
      <w:r>
        <w:rPr>
          <w:rFonts w:ascii="宋体" w:hAnsi="宋体" w:cs="宋体" w:eastAsia="宋体" w:hint="default"/>
          <w:spacing w:val="-40"/>
          <w:sz w:val="15"/>
          <w:szCs w:val="15"/>
        </w:rPr>
        <w:t> </w:t>
      </w:r>
      <w:r>
        <w:rPr>
          <w:rFonts w:ascii="宋体" w:hAnsi="宋体" w:cs="宋体" w:eastAsia="宋体" w:hint="default"/>
          <w:sz w:val="15"/>
          <w:szCs w:val="15"/>
        </w:rPr>
        <w:t>2007</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0"/>
          <w:sz w:val="15"/>
          <w:szCs w:val="15"/>
        </w:rPr>
        <w:t> </w:t>
      </w:r>
      <w:r>
        <w:rPr>
          <w:rFonts w:ascii="宋体" w:hAnsi="宋体" w:cs="宋体" w:eastAsia="宋体" w:hint="default"/>
          <w:sz w:val="15"/>
          <w:szCs w:val="15"/>
        </w:rPr>
        <w:t>9</w:t>
      </w:r>
      <w:r>
        <w:rPr>
          <w:rFonts w:ascii="宋体" w:hAnsi="宋体" w:cs="宋体" w:eastAsia="宋体" w:hint="default"/>
          <w:spacing w:val="-41"/>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宋体" w:hAnsi="宋体" w:cs="宋体" w:eastAsia="宋体" w:hint="default"/>
          <w:sz w:val="15"/>
          <w:szCs w:val="15"/>
        </w:rPr>
        <w:t>27</w:t>
      </w:r>
      <w:r>
        <w:rPr>
          <w:rFonts w:ascii="宋体" w:hAnsi="宋体" w:cs="宋体" w:eastAsia="宋体" w:hint="default"/>
          <w:spacing w:val="-40"/>
          <w:sz w:val="15"/>
          <w:szCs w:val="15"/>
        </w:rPr>
        <w:t> </w:t>
      </w:r>
      <w:r>
        <w:rPr>
          <w:rFonts w:ascii="宋体" w:hAnsi="宋体" w:cs="宋体" w:eastAsia="宋体" w:hint="default"/>
          <w:sz w:val="15"/>
          <w:szCs w:val="15"/>
        </w:rPr>
        <w:t>日召开的第二届董事会第十三次会议决议，并经国海证券有限公司保荐人等发表了意见，同意公司《关于募集资金超出部分使</w:t>
      </w:r>
    </w:p>
    <w:p>
      <w:pPr>
        <w:spacing w:line="195" w:lineRule="exact" w:before="0"/>
        <w:ind w:left="177" w:right="0" w:firstLine="0"/>
        <w:jc w:val="left"/>
        <w:rPr>
          <w:rFonts w:ascii="宋体" w:hAnsi="宋体" w:cs="宋体" w:eastAsia="宋体" w:hint="default"/>
          <w:sz w:val="15"/>
          <w:szCs w:val="15"/>
        </w:rPr>
      </w:pPr>
      <w:r>
        <w:rPr>
          <w:rFonts w:ascii="宋体" w:hAnsi="宋体" w:cs="宋体" w:eastAsia="宋体" w:hint="default"/>
          <w:sz w:val="15"/>
          <w:szCs w:val="15"/>
        </w:rPr>
        <w:t>用的议案</w:t>
      </w:r>
      <w:r>
        <w:rPr>
          <w:rFonts w:ascii="宋体" w:hAnsi="宋体" w:cs="宋体" w:eastAsia="宋体" w:hint="default"/>
          <w:spacing w:val="-75"/>
          <w:sz w:val="15"/>
          <w:szCs w:val="15"/>
        </w:rPr>
        <w:t>》，</w:t>
      </w:r>
      <w:r>
        <w:rPr>
          <w:rFonts w:ascii="宋体" w:hAnsi="宋体" w:cs="宋体" w:eastAsia="宋体" w:hint="default"/>
          <w:sz w:val="15"/>
          <w:szCs w:val="15"/>
        </w:rPr>
        <w:t>：决</w:t>
      </w:r>
      <w:r>
        <w:rPr>
          <w:rFonts w:ascii="宋体" w:hAnsi="宋体" w:cs="宋体" w:eastAsia="宋体" w:hint="default"/>
          <w:spacing w:val="-2"/>
          <w:sz w:val="15"/>
          <w:szCs w:val="15"/>
        </w:rPr>
        <w:t>定</w:t>
      </w:r>
      <w:r>
        <w:rPr>
          <w:rFonts w:ascii="宋体" w:hAnsi="宋体" w:cs="宋体" w:eastAsia="宋体" w:hint="default"/>
          <w:sz w:val="15"/>
          <w:szCs w:val="15"/>
        </w:rPr>
        <w:t>将本次发行募集资金净额超过拟投资项目需要量的部分</w:t>
      </w:r>
      <w:r>
        <w:rPr>
          <w:rFonts w:ascii="宋体" w:hAnsi="宋体" w:cs="宋体" w:eastAsia="宋体" w:hint="default"/>
          <w:spacing w:val="-38"/>
          <w:sz w:val="15"/>
          <w:szCs w:val="15"/>
        </w:rPr>
        <w:t> </w:t>
      </w:r>
      <w:r>
        <w:rPr>
          <w:rFonts w:ascii="宋体" w:hAnsi="宋体" w:cs="宋体" w:eastAsia="宋体" w:hint="default"/>
          <w:sz w:val="15"/>
          <w:szCs w:val="15"/>
        </w:rPr>
        <w:t>55,267</w:t>
      </w:r>
      <w:r>
        <w:rPr>
          <w:rFonts w:ascii="宋体" w:hAnsi="宋体" w:cs="宋体" w:eastAsia="宋体" w:hint="default"/>
          <w:spacing w:val="-2"/>
          <w:sz w:val="15"/>
          <w:szCs w:val="15"/>
        </w:rPr>
        <w:t>.</w:t>
      </w:r>
      <w:r>
        <w:rPr>
          <w:rFonts w:ascii="宋体" w:hAnsi="宋体" w:cs="宋体" w:eastAsia="宋体" w:hint="default"/>
          <w:sz w:val="15"/>
          <w:szCs w:val="15"/>
        </w:rPr>
        <w:t>700.00</w:t>
      </w:r>
      <w:r>
        <w:rPr>
          <w:rFonts w:ascii="宋体" w:hAnsi="宋体" w:cs="宋体" w:eastAsia="宋体" w:hint="default"/>
          <w:spacing w:val="-39"/>
          <w:sz w:val="15"/>
          <w:szCs w:val="15"/>
        </w:rPr>
        <w:t> </w:t>
      </w:r>
      <w:r>
        <w:rPr>
          <w:rFonts w:ascii="宋体" w:hAnsi="宋体" w:cs="宋体" w:eastAsia="宋体" w:hint="default"/>
          <w:sz w:val="15"/>
          <w:szCs w:val="15"/>
        </w:rPr>
        <w:t>元用于补充公司流动资金。</w:t>
      </w:r>
    </w:p>
    <w:p>
      <w:pPr>
        <w:spacing w:after="0" w:line="195" w:lineRule="exact"/>
        <w:jc w:val="left"/>
        <w:rPr>
          <w:rFonts w:ascii="宋体" w:hAnsi="宋体" w:cs="宋体" w:eastAsia="宋体" w:hint="default"/>
          <w:sz w:val="15"/>
          <w:szCs w:val="15"/>
        </w:rPr>
        <w:sectPr>
          <w:type w:val="continuous"/>
          <w:pgSz w:w="16840" w:h="11910" w:orient="landscape"/>
          <w:pgMar w:top="900" w:bottom="1460" w:left="1180" w:right="1240"/>
          <w:cols w:num="2" w:equalWidth="0">
            <w:col w:w="1889" w:space="40"/>
            <w:col w:w="12491"/>
          </w:cols>
        </w:sectPr>
      </w:pPr>
    </w:p>
    <w:p>
      <w:pPr>
        <w:tabs>
          <w:tab w:pos="8064" w:val="left" w:leader="none"/>
        </w:tabs>
        <w:spacing w:before="57"/>
        <w:ind w:left="259" w:right="0" w:firstLine="0"/>
        <w:jc w:val="left"/>
        <w:rPr>
          <w:rFonts w:ascii="宋体" w:hAnsi="宋体" w:cs="宋体" w:eastAsia="宋体" w:hint="default"/>
          <w:sz w:val="15"/>
          <w:szCs w:val="15"/>
        </w:rPr>
      </w:pPr>
      <w:r>
        <w:rPr>
          <w:rFonts w:ascii="宋体" w:hAnsi="宋体" w:cs="宋体" w:eastAsia="宋体" w:hint="default"/>
          <w:spacing w:val="12"/>
          <w:sz w:val="15"/>
          <w:szCs w:val="15"/>
        </w:rPr>
        <w:t>募集资金投资项目实施</w:t>
        <w:tab/>
      </w:r>
      <w:r>
        <w:rPr>
          <w:rFonts w:ascii="宋体" w:hAnsi="宋体" w:cs="宋体" w:eastAsia="宋体" w:hint="default"/>
          <w:position w:val="-9"/>
          <w:sz w:val="15"/>
          <w:szCs w:val="15"/>
        </w:rPr>
        <w:t>无</w:t>
      </w:r>
      <w:r>
        <w:rPr>
          <w:rFonts w:ascii="宋体" w:hAnsi="宋体" w:cs="宋体" w:eastAsia="宋体" w:hint="default"/>
          <w:sz w:val="15"/>
          <w:szCs w:val="15"/>
        </w:rPr>
      </w:r>
    </w:p>
    <w:p>
      <w:pPr>
        <w:spacing w:before="104"/>
        <w:ind w:left="259" w:right="0" w:firstLine="0"/>
        <w:jc w:val="left"/>
        <w:rPr>
          <w:rFonts w:ascii="宋体" w:hAnsi="宋体" w:cs="宋体" w:eastAsia="宋体" w:hint="default"/>
          <w:sz w:val="15"/>
          <w:szCs w:val="15"/>
        </w:rPr>
      </w:pPr>
      <w:r>
        <w:rPr>
          <w:rFonts w:ascii="宋体" w:hAnsi="宋体" w:cs="宋体" w:eastAsia="宋体" w:hint="default"/>
          <w:sz w:val="15"/>
          <w:szCs w:val="15"/>
        </w:rPr>
        <w:t>地点变更情况</w:t>
      </w:r>
    </w:p>
    <w:p>
      <w:pPr>
        <w:spacing w:line="240" w:lineRule="auto" w:before="2"/>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type w:val="continuous"/>
          <w:pgSz w:w="16840" w:h="11910" w:orient="landscape"/>
          <w:pgMar w:top="900" w:bottom="1460" w:left="1180" w:right="1240"/>
        </w:sectPr>
      </w:pPr>
    </w:p>
    <w:p>
      <w:pPr>
        <w:spacing w:line="489" w:lineRule="auto" w:before="53"/>
        <w:ind w:left="259" w:right="0" w:firstLine="0"/>
        <w:jc w:val="left"/>
        <w:rPr>
          <w:rFonts w:ascii="宋体" w:hAnsi="宋体" w:cs="宋体" w:eastAsia="宋体" w:hint="default"/>
          <w:sz w:val="15"/>
          <w:szCs w:val="15"/>
        </w:rPr>
      </w:pPr>
      <w:r>
        <w:rPr>
          <w:rFonts w:ascii="宋体" w:hAnsi="宋体" w:cs="宋体" w:eastAsia="宋体" w:hint="default"/>
          <w:spacing w:val="12"/>
          <w:sz w:val="15"/>
          <w:szCs w:val="15"/>
        </w:rPr>
        <w:t>募集资金投资项目实施</w:t>
      </w:r>
      <w:r>
        <w:rPr>
          <w:rFonts w:ascii="宋体" w:hAnsi="宋体" w:cs="宋体" w:eastAsia="宋体" w:hint="default"/>
          <w:spacing w:val="-70"/>
          <w:sz w:val="15"/>
          <w:szCs w:val="15"/>
        </w:rPr>
        <w:t> </w:t>
      </w:r>
      <w:r>
        <w:rPr>
          <w:rFonts w:ascii="宋体" w:hAnsi="宋体" w:cs="宋体" w:eastAsia="宋体" w:hint="default"/>
          <w:sz w:val="15"/>
          <w:szCs w:val="15"/>
        </w:rPr>
        <w:t>方式调整情况</w:t>
      </w:r>
    </w:p>
    <w:p>
      <w:pPr>
        <w:spacing w:line="489" w:lineRule="auto" w:before="57"/>
        <w:ind w:left="259" w:right="0" w:firstLine="0"/>
        <w:jc w:val="left"/>
        <w:rPr>
          <w:rFonts w:ascii="宋体" w:hAnsi="宋体" w:cs="宋体" w:eastAsia="宋体" w:hint="default"/>
          <w:sz w:val="15"/>
          <w:szCs w:val="15"/>
        </w:rPr>
      </w:pPr>
      <w:r>
        <w:rPr>
          <w:rFonts w:ascii="宋体" w:hAnsi="宋体" w:cs="宋体" w:eastAsia="宋体" w:hint="default"/>
          <w:spacing w:val="12"/>
          <w:sz w:val="15"/>
          <w:szCs w:val="15"/>
        </w:rPr>
        <w:t>募集资金投资项目先期</w:t>
      </w:r>
      <w:r>
        <w:rPr>
          <w:rFonts w:ascii="宋体" w:hAnsi="宋体" w:cs="宋体" w:eastAsia="宋体" w:hint="default"/>
          <w:spacing w:val="-70"/>
          <w:sz w:val="15"/>
          <w:szCs w:val="15"/>
        </w:rPr>
        <w:t> </w:t>
      </w:r>
      <w:r>
        <w:rPr>
          <w:rFonts w:ascii="宋体" w:hAnsi="宋体" w:cs="宋体" w:eastAsia="宋体" w:hint="default"/>
          <w:sz w:val="15"/>
          <w:szCs w:val="15"/>
        </w:rPr>
        <w:t>投入及置换情况</w:t>
      </w:r>
    </w:p>
    <w:p>
      <w:pPr>
        <w:spacing w:line="240" w:lineRule="auto" w:before="12"/>
        <w:rPr>
          <w:rFonts w:ascii="宋体" w:hAnsi="宋体" w:cs="宋体" w:eastAsia="宋体" w:hint="default"/>
          <w:sz w:val="10"/>
          <w:szCs w:val="10"/>
        </w:rPr>
      </w:pPr>
    </w:p>
    <w:p>
      <w:pPr>
        <w:spacing w:line="489" w:lineRule="auto" w:before="0"/>
        <w:ind w:left="259" w:right="0" w:firstLine="0"/>
        <w:jc w:val="left"/>
        <w:rPr>
          <w:rFonts w:ascii="宋体" w:hAnsi="宋体" w:cs="宋体" w:eastAsia="宋体" w:hint="default"/>
          <w:sz w:val="15"/>
          <w:szCs w:val="15"/>
        </w:rPr>
      </w:pPr>
      <w:r>
        <w:rPr>
          <w:rFonts w:ascii="宋体" w:hAnsi="宋体" w:cs="宋体" w:eastAsia="宋体" w:hint="default"/>
          <w:spacing w:val="12"/>
          <w:sz w:val="15"/>
          <w:szCs w:val="15"/>
        </w:rPr>
        <w:t>用闲置募集资金暂时补</w:t>
      </w:r>
      <w:r>
        <w:rPr>
          <w:rFonts w:ascii="宋体" w:hAnsi="宋体" w:cs="宋体" w:eastAsia="宋体" w:hint="default"/>
          <w:spacing w:val="-70"/>
          <w:sz w:val="15"/>
          <w:szCs w:val="15"/>
        </w:rPr>
        <w:t> </w:t>
      </w:r>
      <w:r>
        <w:rPr>
          <w:rFonts w:ascii="宋体" w:hAnsi="宋体" w:cs="宋体" w:eastAsia="宋体" w:hint="default"/>
          <w:sz w:val="15"/>
          <w:szCs w:val="15"/>
        </w:rPr>
        <w:t>充流动资金情况</w:t>
      </w:r>
    </w:p>
    <w:p>
      <w:pPr>
        <w:spacing w:line="240" w:lineRule="auto" w:before="8"/>
        <w:rPr>
          <w:rFonts w:ascii="宋体" w:hAnsi="宋体" w:cs="宋体" w:eastAsia="宋体" w:hint="default"/>
          <w:sz w:val="11"/>
          <w:szCs w:val="11"/>
        </w:rPr>
      </w:pPr>
      <w:r>
        <w:rPr/>
        <w:br w:type="column"/>
      </w:r>
      <w:r>
        <w:rPr>
          <w:rFonts w:ascii="宋体"/>
          <w:sz w:val="11"/>
        </w:rPr>
      </w:r>
    </w:p>
    <w:p>
      <w:pPr>
        <w:spacing w:before="0"/>
        <w:ind w:left="6067" w:right="6219" w:firstLine="0"/>
        <w:jc w:val="center"/>
        <w:rPr>
          <w:rFonts w:ascii="宋体" w:hAnsi="宋体" w:cs="宋体" w:eastAsia="宋体" w:hint="default"/>
          <w:sz w:val="15"/>
          <w:szCs w:val="15"/>
        </w:rPr>
      </w:pPr>
      <w:r>
        <w:rPr>
          <w:rFonts w:ascii="宋体" w:hAnsi="宋体" w:cs="宋体" w:eastAsia="宋体" w:hint="default"/>
          <w:sz w:val="15"/>
          <w:szCs w:val="15"/>
        </w:rPr>
        <w:t>无</w:t>
      </w:r>
    </w:p>
    <w:p>
      <w:pPr>
        <w:spacing w:line="240" w:lineRule="auto" w:before="0"/>
        <w:rPr>
          <w:rFonts w:ascii="宋体" w:hAnsi="宋体" w:cs="宋体" w:eastAsia="宋体" w:hint="default"/>
          <w:sz w:val="14"/>
          <w:szCs w:val="14"/>
        </w:rPr>
      </w:pPr>
    </w:p>
    <w:p>
      <w:pPr>
        <w:spacing w:line="240" w:lineRule="auto" w:before="1"/>
        <w:rPr>
          <w:rFonts w:ascii="宋体" w:hAnsi="宋体" w:cs="宋体" w:eastAsia="宋体" w:hint="default"/>
          <w:sz w:val="18"/>
          <w:szCs w:val="18"/>
        </w:rPr>
      </w:pPr>
    </w:p>
    <w:p>
      <w:pPr>
        <w:spacing w:before="0"/>
        <w:ind w:left="161" w:right="312" w:firstLine="0"/>
        <w:jc w:val="both"/>
        <w:rPr>
          <w:rFonts w:ascii="宋体" w:hAnsi="宋体" w:cs="宋体" w:eastAsia="宋体" w:hint="default"/>
          <w:sz w:val="15"/>
          <w:szCs w:val="15"/>
        </w:rPr>
      </w:pPr>
      <w:r>
        <w:rPr>
          <w:rFonts w:ascii="宋体" w:hAnsi="宋体" w:cs="宋体" w:eastAsia="宋体" w:hint="default"/>
          <w:sz w:val="15"/>
          <w:szCs w:val="15"/>
        </w:rPr>
        <w:t>经广东大华德律会计师事务所（原“深圳大华天诚会计师事务所</w:t>
      </w:r>
      <w:r>
        <w:rPr>
          <w:rFonts w:ascii="宋体" w:hAnsi="宋体" w:cs="宋体" w:eastAsia="宋体" w:hint="default"/>
          <w:spacing w:val="-75"/>
          <w:sz w:val="15"/>
          <w:szCs w:val="15"/>
        </w:rPr>
        <w:t>”</w:t>
      </w:r>
      <w:r>
        <w:rPr>
          <w:rFonts w:ascii="宋体" w:hAnsi="宋体" w:cs="宋体" w:eastAsia="宋体" w:hint="default"/>
          <w:sz w:val="15"/>
          <w:szCs w:val="15"/>
        </w:rPr>
        <w:t>）出</w:t>
      </w:r>
      <w:r>
        <w:rPr>
          <w:rFonts w:ascii="宋体" w:hAnsi="宋体" w:cs="宋体" w:eastAsia="宋体" w:hint="default"/>
          <w:spacing w:val="-2"/>
          <w:sz w:val="15"/>
          <w:szCs w:val="15"/>
        </w:rPr>
        <w:t>具</w:t>
      </w:r>
      <w:r>
        <w:rPr>
          <w:rFonts w:ascii="宋体" w:hAnsi="宋体" w:cs="宋体" w:eastAsia="宋体" w:hint="default"/>
          <w:sz w:val="15"/>
          <w:szCs w:val="15"/>
        </w:rPr>
        <w:t>的《关于深圳市惠程电气股份有限公司募集资金投资项目预先已投入资金使用情况专项审核报告</w:t>
      </w:r>
      <w:r>
        <w:rPr>
          <w:rFonts w:ascii="宋体" w:hAnsi="宋体" w:cs="宋体" w:eastAsia="宋体" w:hint="default"/>
          <w:spacing w:val="-75"/>
          <w:sz w:val="15"/>
          <w:szCs w:val="15"/>
        </w:rPr>
        <w:t>》</w:t>
      </w:r>
      <w:r>
        <w:rPr>
          <w:rFonts w:ascii="宋体" w:hAnsi="宋体" w:cs="宋体" w:eastAsia="宋体" w:hint="default"/>
          <w:sz w:val="15"/>
          <w:szCs w:val="15"/>
        </w:rPr>
        <w:t>、保荐机</w:t>
      </w:r>
      <w:r>
        <w:rPr>
          <w:rFonts w:ascii="宋体" w:hAnsi="宋体" w:cs="宋体" w:eastAsia="宋体" w:hint="default"/>
          <w:spacing w:val="-2"/>
          <w:sz w:val="15"/>
          <w:szCs w:val="15"/>
        </w:rPr>
        <w:t>构</w:t>
      </w:r>
      <w:r>
        <w:rPr>
          <w:rFonts w:ascii="宋体" w:hAnsi="宋体" w:cs="宋体" w:eastAsia="宋体" w:hint="default"/>
          <w:sz w:val="15"/>
          <w:szCs w:val="15"/>
        </w:rPr>
        <w:t>国</w:t>
      </w:r>
      <w:r>
        <w:rPr>
          <w:rFonts w:ascii="宋体" w:hAnsi="宋体" w:cs="宋体" w:eastAsia="宋体" w:hint="default"/>
          <w:sz w:val="15"/>
          <w:szCs w:val="15"/>
        </w:rPr>
        <w:t> 海证券有限责任公司出具的《国海证券关于深圳惠程募集资金使用等相关事项的核查意见（二</w:t>
      </w:r>
      <w:r>
        <w:rPr>
          <w:rFonts w:ascii="宋体" w:hAnsi="宋体" w:cs="宋体" w:eastAsia="宋体" w:hint="default"/>
          <w:spacing w:val="-75"/>
          <w:sz w:val="15"/>
          <w:szCs w:val="15"/>
        </w:rPr>
        <w:t>）》</w:t>
      </w:r>
      <w:r>
        <w:rPr>
          <w:rFonts w:ascii="宋体" w:hAnsi="宋体" w:cs="宋体" w:eastAsia="宋体" w:hint="default"/>
          <w:sz w:val="15"/>
          <w:szCs w:val="15"/>
        </w:rPr>
        <w:t>，本公司第</w:t>
      </w:r>
      <w:r>
        <w:rPr>
          <w:rFonts w:ascii="宋体" w:hAnsi="宋体" w:cs="宋体" w:eastAsia="宋体" w:hint="default"/>
          <w:spacing w:val="-2"/>
          <w:sz w:val="15"/>
          <w:szCs w:val="15"/>
        </w:rPr>
        <w:t>二</w:t>
      </w:r>
      <w:r>
        <w:rPr>
          <w:rFonts w:ascii="宋体" w:hAnsi="宋体" w:cs="宋体" w:eastAsia="宋体" w:hint="default"/>
          <w:sz w:val="15"/>
          <w:szCs w:val="15"/>
        </w:rPr>
        <w:t>届董事会第十三次会议审议通过了《关于用募集资金置换公司预先已投入</w:t>
      </w:r>
      <w:r>
        <w:rPr>
          <w:rFonts w:ascii="宋体" w:hAnsi="宋体" w:cs="宋体" w:eastAsia="宋体" w:hint="default"/>
          <w:sz w:val="15"/>
          <w:szCs w:val="15"/>
        </w:rPr>
        <w:t> 募集资金投资项目的自筹资金的议案</w:t>
      </w:r>
      <w:r>
        <w:rPr>
          <w:rFonts w:ascii="宋体" w:hAnsi="宋体" w:cs="宋体" w:eastAsia="宋体" w:hint="default"/>
          <w:spacing w:val="-75"/>
          <w:sz w:val="15"/>
          <w:szCs w:val="15"/>
        </w:rPr>
        <w:t>》</w:t>
      </w:r>
      <w:r>
        <w:rPr>
          <w:rFonts w:ascii="宋体" w:hAnsi="宋体" w:cs="宋体" w:eastAsia="宋体" w:hint="default"/>
          <w:sz w:val="15"/>
          <w:szCs w:val="15"/>
        </w:rPr>
        <w:t>，公司用募集</w:t>
      </w:r>
      <w:r>
        <w:rPr>
          <w:rFonts w:ascii="宋体" w:hAnsi="宋体" w:cs="宋体" w:eastAsia="宋体" w:hint="default"/>
          <w:spacing w:val="-2"/>
          <w:sz w:val="15"/>
          <w:szCs w:val="15"/>
        </w:rPr>
        <w:t>资</w:t>
      </w:r>
      <w:r>
        <w:rPr>
          <w:rFonts w:ascii="宋体" w:hAnsi="宋体" w:cs="宋体" w:eastAsia="宋体" w:hint="default"/>
          <w:sz w:val="15"/>
          <w:szCs w:val="15"/>
        </w:rPr>
        <w:t>金置换公司预先已投入募集资金投资项目建设的自筹资金</w:t>
      </w:r>
      <w:r>
        <w:rPr>
          <w:rFonts w:ascii="宋体" w:hAnsi="宋体" w:cs="宋体" w:eastAsia="宋体" w:hint="default"/>
          <w:spacing w:val="-38"/>
          <w:sz w:val="15"/>
          <w:szCs w:val="15"/>
        </w:rPr>
        <w:t> </w:t>
      </w:r>
      <w:r>
        <w:rPr>
          <w:rFonts w:ascii="宋体" w:hAnsi="宋体" w:cs="宋体" w:eastAsia="宋体" w:hint="default"/>
          <w:sz w:val="15"/>
          <w:szCs w:val="15"/>
        </w:rPr>
        <w:t>2,866.79</w:t>
      </w:r>
      <w:r>
        <w:rPr>
          <w:rFonts w:ascii="宋体" w:hAnsi="宋体" w:cs="宋体" w:eastAsia="宋体" w:hint="default"/>
          <w:spacing w:val="-38"/>
          <w:sz w:val="15"/>
          <w:szCs w:val="15"/>
        </w:rPr>
        <w:t> </w:t>
      </w:r>
      <w:r>
        <w:rPr>
          <w:rFonts w:ascii="宋体" w:hAnsi="宋体" w:cs="宋体" w:eastAsia="宋体" w:hint="default"/>
          <w:sz w:val="15"/>
          <w:szCs w:val="15"/>
        </w:rPr>
        <w:t>万</w:t>
      </w:r>
      <w:r>
        <w:rPr>
          <w:rFonts w:ascii="宋体" w:hAnsi="宋体" w:cs="宋体" w:eastAsia="宋体" w:hint="default"/>
          <w:spacing w:val="-2"/>
          <w:sz w:val="15"/>
          <w:szCs w:val="15"/>
        </w:rPr>
        <w:t>元</w:t>
      </w:r>
      <w:r>
        <w:rPr>
          <w:rFonts w:ascii="宋体" w:hAnsi="宋体" w:cs="宋体" w:eastAsia="宋体" w:hint="default"/>
          <w:sz w:val="15"/>
          <w:szCs w:val="15"/>
        </w:rPr>
        <w:t>。</w:t>
      </w:r>
    </w:p>
    <w:p>
      <w:pPr>
        <w:spacing w:line="195" w:lineRule="exact" w:before="115"/>
        <w:ind w:left="161" w:right="0" w:firstLine="0"/>
        <w:jc w:val="both"/>
        <w:rPr>
          <w:rFonts w:ascii="宋体" w:hAnsi="宋体" w:cs="宋体" w:eastAsia="宋体" w:hint="default"/>
          <w:sz w:val="15"/>
          <w:szCs w:val="15"/>
        </w:rPr>
      </w:pPr>
      <w:r>
        <w:rPr>
          <w:rFonts w:ascii="宋体" w:hAnsi="宋体" w:cs="宋体" w:eastAsia="宋体" w:hint="default"/>
          <w:sz w:val="15"/>
          <w:szCs w:val="15"/>
        </w:rPr>
        <w:t>2007</w:t>
      </w:r>
      <w:r>
        <w:rPr>
          <w:rFonts w:ascii="宋体" w:hAnsi="宋体" w:cs="宋体" w:eastAsia="宋体" w:hint="default"/>
          <w:spacing w:val="-39"/>
          <w:sz w:val="15"/>
          <w:szCs w:val="15"/>
        </w:rPr>
        <w:t> </w:t>
      </w:r>
      <w:r>
        <w:rPr>
          <w:rFonts w:ascii="宋体" w:hAnsi="宋体" w:cs="宋体" w:eastAsia="宋体" w:hint="default"/>
          <w:sz w:val="15"/>
          <w:szCs w:val="15"/>
        </w:rPr>
        <w:t>年公司将</w:t>
      </w:r>
      <w:r>
        <w:rPr>
          <w:rFonts w:ascii="宋体" w:hAnsi="宋体" w:cs="宋体" w:eastAsia="宋体" w:hint="default"/>
          <w:spacing w:val="-39"/>
          <w:sz w:val="15"/>
          <w:szCs w:val="15"/>
        </w:rPr>
        <w:t> </w:t>
      </w:r>
      <w:r>
        <w:rPr>
          <w:rFonts w:ascii="宋体" w:hAnsi="宋体" w:cs="宋体" w:eastAsia="宋体" w:hint="default"/>
          <w:sz w:val="15"/>
          <w:szCs w:val="15"/>
        </w:rPr>
        <w:t>6,000</w:t>
      </w:r>
      <w:r>
        <w:rPr>
          <w:rFonts w:ascii="宋体" w:hAnsi="宋体" w:cs="宋体" w:eastAsia="宋体" w:hint="default"/>
          <w:spacing w:val="-2"/>
          <w:sz w:val="15"/>
          <w:szCs w:val="15"/>
        </w:rPr>
        <w:t> </w:t>
      </w:r>
      <w:r>
        <w:rPr>
          <w:rFonts w:ascii="宋体" w:hAnsi="宋体" w:cs="宋体" w:eastAsia="宋体" w:hint="default"/>
          <w:sz w:val="15"/>
          <w:szCs w:val="15"/>
        </w:rPr>
        <w:t>万元募集资金暂时用于补充流动资金，并于</w:t>
      </w:r>
      <w:r>
        <w:rPr>
          <w:rFonts w:ascii="宋体" w:hAnsi="宋体" w:cs="宋体" w:eastAsia="宋体" w:hint="default"/>
          <w:spacing w:val="-39"/>
          <w:sz w:val="15"/>
          <w:szCs w:val="15"/>
        </w:rPr>
        <w:t> </w:t>
      </w:r>
      <w:r>
        <w:rPr>
          <w:rFonts w:ascii="宋体" w:hAnsi="宋体" w:cs="宋体" w:eastAsia="宋体" w:hint="default"/>
          <w:sz w:val="15"/>
          <w:szCs w:val="15"/>
        </w:rPr>
        <w:t>2008</w:t>
      </w:r>
      <w:r>
        <w:rPr>
          <w:rFonts w:ascii="宋体" w:hAnsi="宋体" w:cs="宋体" w:eastAsia="宋体" w:hint="default"/>
          <w:spacing w:val="-2"/>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4</w:t>
      </w:r>
      <w:r>
        <w:rPr>
          <w:rFonts w:ascii="宋体" w:hAnsi="宋体" w:cs="宋体" w:eastAsia="宋体"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15</w:t>
      </w:r>
      <w:r>
        <w:rPr>
          <w:rFonts w:ascii="宋体" w:hAnsi="宋体" w:cs="宋体" w:eastAsia="宋体" w:hint="default"/>
          <w:spacing w:val="-2"/>
          <w:sz w:val="15"/>
          <w:szCs w:val="15"/>
        </w:rPr>
        <w:t> </w:t>
      </w:r>
      <w:r>
        <w:rPr>
          <w:rFonts w:ascii="宋体" w:hAnsi="宋体" w:cs="宋体" w:eastAsia="宋体" w:hint="default"/>
          <w:sz w:val="15"/>
          <w:szCs w:val="15"/>
        </w:rPr>
        <w:t>日，向募集资金专用账户归还全部</w:t>
      </w:r>
      <w:r>
        <w:rPr>
          <w:rFonts w:ascii="宋体" w:hAnsi="宋体" w:cs="宋体" w:eastAsia="宋体" w:hint="default"/>
          <w:spacing w:val="-39"/>
          <w:sz w:val="15"/>
          <w:szCs w:val="15"/>
        </w:rPr>
        <w:t> </w:t>
      </w:r>
      <w:r>
        <w:rPr>
          <w:rFonts w:ascii="宋体" w:hAnsi="宋体" w:cs="宋体" w:eastAsia="宋体" w:hint="default"/>
          <w:sz w:val="15"/>
          <w:szCs w:val="15"/>
        </w:rPr>
        <w:t>6,000</w:t>
      </w:r>
      <w:r>
        <w:rPr>
          <w:rFonts w:ascii="宋体" w:hAnsi="宋体" w:cs="宋体" w:eastAsia="宋体" w:hint="default"/>
          <w:spacing w:val="-3"/>
          <w:sz w:val="15"/>
          <w:szCs w:val="15"/>
        </w:rPr>
        <w:t> </w:t>
      </w:r>
      <w:r>
        <w:rPr>
          <w:rFonts w:ascii="宋体" w:hAnsi="宋体" w:cs="宋体" w:eastAsia="宋体" w:hint="default"/>
          <w:sz w:val="15"/>
          <w:szCs w:val="15"/>
        </w:rPr>
        <w:t>万元。</w:t>
      </w:r>
    </w:p>
    <w:p>
      <w:pPr>
        <w:spacing w:line="195" w:lineRule="exact" w:before="0"/>
        <w:ind w:left="161" w:right="0" w:firstLine="0"/>
        <w:jc w:val="both"/>
        <w:rPr>
          <w:rFonts w:ascii="宋体" w:hAnsi="宋体" w:cs="宋体" w:eastAsia="宋体" w:hint="default"/>
          <w:sz w:val="15"/>
          <w:szCs w:val="15"/>
        </w:rPr>
      </w:pPr>
      <w:r>
        <w:rPr>
          <w:rFonts w:ascii="宋体" w:hAnsi="宋体" w:cs="宋体" w:eastAsia="宋体" w:hint="default"/>
          <w:sz w:val="15"/>
          <w:szCs w:val="15"/>
        </w:rPr>
        <w:t>公司于</w:t>
      </w:r>
      <w:r>
        <w:rPr>
          <w:rFonts w:ascii="宋体" w:hAnsi="宋体" w:cs="宋体" w:eastAsia="宋体" w:hint="default"/>
          <w:spacing w:val="-39"/>
          <w:sz w:val="15"/>
          <w:szCs w:val="15"/>
        </w:rPr>
        <w:t> </w:t>
      </w:r>
      <w:r>
        <w:rPr>
          <w:rFonts w:ascii="宋体" w:hAnsi="宋体" w:cs="宋体" w:eastAsia="宋体" w:hint="default"/>
          <w:sz w:val="15"/>
          <w:szCs w:val="15"/>
        </w:rPr>
        <w:t>2008</w:t>
      </w:r>
      <w:r>
        <w:rPr>
          <w:rFonts w:ascii="宋体" w:hAnsi="宋体" w:cs="宋体" w:eastAsia="宋体"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40"/>
          <w:sz w:val="15"/>
          <w:szCs w:val="15"/>
        </w:rPr>
        <w:t> </w:t>
      </w:r>
      <w:r>
        <w:rPr>
          <w:rFonts w:ascii="宋体" w:hAnsi="宋体" w:cs="宋体" w:eastAsia="宋体" w:hint="default"/>
          <w:sz w:val="15"/>
          <w:szCs w:val="15"/>
        </w:rPr>
        <w:t>4</w:t>
      </w:r>
      <w:r>
        <w:rPr>
          <w:rFonts w:ascii="宋体" w:hAnsi="宋体" w:cs="宋体" w:eastAsia="宋体" w:hint="default"/>
          <w:spacing w:val="-1"/>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29</w:t>
      </w:r>
      <w:r>
        <w:rPr>
          <w:rFonts w:ascii="宋体" w:hAnsi="宋体" w:cs="宋体" w:eastAsia="宋体" w:hint="default"/>
          <w:spacing w:val="-1"/>
          <w:sz w:val="15"/>
          <w:szCs w:val="15"/>
        </w:rPr>
        <w:t> </w:t>
      </w:r>
      <w:r>
        <w:rPr>
          <w:rFonts w:ascii="宋体" w:hAnsi="宋体" w:cs="宋体" w:eastAsia="宋体" w:hint="default"/>
          <w:sz w:val="15"/>
          <w:szCs w:val="15"/>
        </w:rPr>
        <w:t>日召开的</w:t>
      </w:r>
      <w:r>
        <w:rPr>
          <w:rFonts w:ascii="宋体" w:hAnsi="宋体" w:cs="宋体" w:eastAsia="宋体" w:hint="default"/>
          <w:spacing w:val="-40"/>
          <w:sz w:val="15"/>
          <w:szCs w:val="15"/>
        </w:rPr>
        <w:t> </w:t>
      </w:r>
      <w:r>
        <w:rPr>
          <w:rFonts w:ascii="宋体" w:hAnsi="宋体" w:cs="宋体" w:eastAsia="宋体" w:hint="default"/>
          <w:sz w:val="15"/>
          <w:szCs w:val="15"/>
        </w:rPr>
        <w:t>2007</w:t>
      </w:r>
      <w:r>
        <w:rPr>
          <w:rFonts w:ascii="宋体" w:hAnsi="宋体" w:cs="宋体" w:eastAsia="宋体" w:hint="default"/>
          <w:spacing w:val="-1"/>
          <w:sz w:val="15"/>
          <w:szCs w:val="15"/>
        </w:rPr>
        <w:t> </w:t>
      </w:r>
      <w:r>
        <w:rPr>
          <w:rFonts w:ascii="宋体" w:hAnsi="宋体" w:cs="宋体" w:eastAsia="宋体" w:hint="default"/>
          <w:sz w:val="15"/>
          <w:szCs w:val="15"/>
        </w:rPr>
        <w:t>年度股东大会审议通过了《关于继续使用部分闲置募集资金</w:t>
      </w:r>
      <w:r>
        <w:rPr>
          <w:rFonts w:ascii="宋体" w:hAnsi="宋体" w:cs="宋体" w:eastAsia="宋体" w:hint="default"/>
          <w:spacing w:val="-39"/>
          <w:sz w:val="15"/>
          <w:szCs w:val="15"/>
        </w:rPr>
        <w:t> </w:t>
      </w:r>
      <w:r>
        <w:rPr>
          <w:rFonts w:ascii="宋体" w:hAnsi="宋体" w:cs="宋体" w:eastAsia="宋体" w:hint="default"/>
          <w:sz w:val="15"/>
          <w:szCs w:val="15"/>
        </w:rPr>
        <w:t>4,000</w:t>
      </w:r>
      <w:r>
        <w:rPr>
          <w:rFonts w:ascii="宋体" w:hAnsi="宋体" w:cs="宋体" w:eastAsia="宋体" w:hint="default"/>
          <w:spacing w:val="-1"/>
          <w:sz w:val="15"/>
          <w:szCs w:val="15"/>
        </w:rPr>
        <w:t> </w:t>
      </w:r>
      <w:r>
        <w:rPr>
          <w:rFonts w:ascii="宋体" w:hAnsi="宋体" w:cs="宋体" w:eastAsia="宋体" w:hint="default"/>
          <w:sz w:val="15"/>
          <w:szCs w:val="15"/>
        </w:rPr>
        <w:t>万元补充流动资金的议案》。根据该决议，公司将</w:t>
      </w:r>
      <w:r>
        <w:rPr>
          <w:rFonts w:ascii="宋体" w:hAnsi="宋体" w:cs="宋体" w:eastAsia="宋体" w:hint="default"/>
          <w:spacing w:val="-39"/>
          <w:sz w:val="15"/>
          <w:szCs w:val="15"/>
        </w:rPr>
        <w:t> </w:t>
      </w:r>
      <w:r>
        <w:rPr>
          <w:rFonts w:ascii="宋体" w:hAnsi="宋体" w:cs="宋体" w:eastAsia="宋体" w:hint="default"/>
          <w:sz w:val="15"/>
          <w:szCs w:val="15"/>
        </w:rPr>
        <w:t>4,000</w:t>
      </w:r>
      <w:r>
        <w:rPr>
          <w:rFonts w:ascii="宋体" w:hAnsi="宋体" w:cs="宋体" w:eastAsia="宋体" w:hint="default"/>
          <w:spacing w:val="-1"/>
          <w:sz w:val="15"/>
          <w:szCs w:val="15"/>
        </w:rPr>
        <w:t> </w:t>
      </w:r>
      <w:r>
        <w:rPr>
          <w:rFonts w:ascii="宋体" w:hAnsi="宋体" w:cs="宋体" w:eastAsia="宋体" w:hint="default"/>
          <w:sz w:val="15"/>
          <w:szCs w:val="15"/>
        </w:rPr>
        <w:t>万元募集资金暂时</w:t>
      </w:r>
    </w:p>
    <w:p>
      <w:pPr>
        <w:spacing w:line="195" w:lineRule="exact" w:before="0"/>
        <w:ind w:left="161" w:right="0" w:firstLine="0"/>
        <w:jc w:val="both"/>
        <w:rPr>
          <w:rFonts w:ascii="宋体" w:hAnsi="宋体" w:cs="宋体" w:eastAsia="宋体" w:hint="default"/>
          <w:sz w:val="15"/>
          <w:szCs w:val="15"/>
        </w:rPr>
      </w:pPr>
      <w:r>
        <w:rPr>
          <w:rFonts w:ascii="宋体" w:hAnsi="宋体" w:cs="宋体" w:eastAsia="宋体" w:hint="default"/>
          <w:sz w:val="15"/>
          <w:szCs w:val="15"/>
        </w:rPr>
        <w:t>用于补充流动资金，期限不超过</w:t>
      </w:r>
      <w:r>
        <w:rPr>
          <w:rFonts w:ascii="宋体" w:hAnsi="宋体" w:cs="宋体" w:eastAsia="宋体" w:hint="default"/>
          <w:spacing w:val="-39"/>
          <w:sz w:val="15"/>
          <w:szCs w:val="15"/>
        </w:rPr>
        <w:t> </w:t>
      </w:r>
      <w:r>
        <w:rPr>
          <w:rFonts w:ascii="宋体" w:hAnsi="宋体" w:cs="宋体" w:eastAsia="宋体" w:hint="default"/>
          <w:sz w:val="15"/>
          <w:szCs w:val="15"/>
        </w:rPr>
        <w:t>6</w:t>
      </w:r>
      <w:r>
        <w:rPr>
          <w:rFonts w:ascii="宋体" w:hAnsi="宋体" w:cs="宋体" w:eastAsia="宋体" w:hint="default"/>
          <w:spacing w:val="-2"/>
          <w:sz w:val="15"/>
          <w:szCs w:val="15"/>
        </w:rPr>
        <w:t> </w:t>
      </w:r>
      <w:r>
        <w:rPr>
          <w:rFonts w:ascii="宋体" w:hAnsi="宋体" w:cs="宋体" w:eastAsia="宋体" w:hint="default"/>
          <w:sz w:val="15"/>
          <w:szCs w:val="15"/>
        </w:rPr>
        <w:t>个月。截至</w:t>
      </w:r>
      <w:r>
        <w:rPr>
          <w:rFonts w:ascii="宋体" w:hAnsi="宋体" w:cs="宋体" w:eastAsia="宋体" w:hint="default"/>
          <w:spacing w:val="-39"/>
          <w:sz w:val="15"/>
          <w:szCs w:val="15"/>
        </w:rPr>
        <w:t> </w:t>
      </w:r>
      <w:r>
        <w:rPr>
          <w:rFonts w:ascii="宋体" w:hAnsi="宋体" w:cs="宋体" w:eastAsia="宋体" w:hint="default"/>
          <w:sz w:val="15"/>
          <w:szCs w:val="15"/>
        </w:rPr>
        <w:t>2008</w:t>
      </w:r>
      <w:r>
        <w:rPr>
          <w:rFonts w:ascii="宋体" w:hAnsi="宋体" w:cs="宋体" w:eastAsia="宋体" w:hint="default"/>
          <w:spacing w:val="-3"/>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10 月</w:t>
      </w:r>
      <w:r>
        <w:rPr>
          <w:rFonts w:ascii="宋体" w:hAnsi="宋体" w:cs="宋体" w:eastAsia="宋体" w:hint="default"/>
          <w:spacing w:val="-40"/>
          <w:sz w:val="15"/>
          <w:szCs w:val="15"/>
        </w:rPr>
        <w:t> </w:t>
      </w:r>
      <w:r>
        <w:rPr>
          <w:rFonts w:ascii="宋体" w:hAnsi="宋体" w:cs="宋体" w:eastAsia="宋体" w:hint="default"/>
          <w:sz w:val="15"/>
          <w:szCs w:val="15"/>
        </w:rPr>
        <w:t>28</w:t>
      </w:r>
      <w:r>
        <w:rPr>
          <w:rFonts w:ascii="宋体" w:hAnsi="宋体" w:cs="宋体" w:eastAsia="宋体" w:hint="default"/>
          <w:spacing w:val="-2"/>
          <w:sz w:val="15"/>
          <w:szCs w:val="15"/>
        </w:rPr>
        <w:t> </w:t>
      </w:r>
      <w:r>
        <w:rPr>
          <w:rFonts w:ascii="宋体" w:hAnsi="宋体" w:cs="宋体" w:eastAsia="宋体" w:hint="default"/>
          <w:sz w:val="15"/>
          <w:szCs w:val="15"/>
        </w:rPr>
        <w:t>日，公司已按照承诺归还补充流动资金的金额</w:t>
      </w:r>
      <w:r>
        <w:rPr>
          <w:rFonts w:ascii="宋体" w:hAnsi="宋体" w:cs="宋体" w:eastAsia="宋体" w:hint="default"/>
          <w:spacing w:val="-39"/>
          <w:sz w:val="15"/>
          <w:szCs w:val="15"/>
        </w:rPr>
        <w:t> </w:t>
      </w:r>
      <w:r>
        <w:rPr>
          <w:rFonts w:ascii="宋体" w:hAnsi="宋体" w:cs="宋体" w:eastAsia="宋体" w:hint="default"/>
          <w:sz w:val="15"/>
          <w:szCs w:val="15"/>
        </w:rPr>
        <w:t>4,000</w:t>
      </w:r>
      <w:r>
        <w:rPr>
          <w:rFonts w:ascii="宋体" w:hAnsi="宋体" w:cs="宋体" w:eastAsia="宋体" w:hint="default"/>
          <w:spacing w:val="-2"/>
          <w:sz w:val="15"/>
          <w:szCs w:val="15"/>
        </w:rPr>
        <w:t> </w:t>
      </w:r>
      <w:r>
        <w:rPr>
          <w:rFonts w:ascii="宋体" w:hAnsi="宋体" w:cs="宋体" w:eastAsia="宋体" w:hint="default"/>
          <w:sz w:val="15"/>
          <w:szCs w:val="15"/>
        </w:rPr>
        <w:t>万元至募集资金专用账户。</w:t>
      </w:r>
    </w:p>
    <w:p>
      <w:pPr>
        <w:spacing w:line="194" w:lineRule="exact" w:before="0"/>
        <w:ind w:left="161" w:right="0" w:firstLine="0"/>
        <w:jc w:val="both"/>
        <w:rPr>
          <w:rFonts w:ascii="宋体" w:hAnsi="宋体" w:cs="宋体" w:eastAsia="宋体" w:hint="default"/>
          <w:sz w:val="15"/>
          <w:szCs w:val="15"/>
        </w:rPr>
      </w:pPr>
      <w:r>
        <w:rPr>
          <w:rFonts w:ascii="宋体" w:hAnsi="宋体" w:cs="宋体" w:eastAsia="宋体" w:hint="default"/>
          <w:sz w:val="15"/>
          <w:szCs w:val="15"/>
        </w:rPr>
        <w:t>公司于</w:t>
      </w:r>
      <w:r>
        <w:rPr>
          <w:rFonts w:ascii="宋体" w:hAnsi="宋体" w:cs="宋体" w:eastAsia="宋体" w:hint="default"/>
          <w:spacing w:val="-39"/>
          <w:sz w:val="15"/>
          <w:szCs w:val="15"/>
        </w:rPr>
        <w:t> </w:t>
      </w:r>
      <w:r>
        <w:rPr>
          <w:rFonts w:ascii="宋体" w:hAnsi="宋体" w:cs="宋体" w:eastAsia="宋体" w:hint="default"/>
          <w:sz w:val="15"/>
          <w:szCs w:val="15"/>
        </w:rPr>
        <w:t>2008</w:t>
      </w:r>
      <w:r>
        <w:rPr>
          <w:rFonts w:ascii="宋体" w:hAnsi="宋体" w:cs="宋体" w:eastAsia="宋体"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40"/>
          <w:sz w:val="15"/>
          <w:szCs w:val="15"/>
        </w:rPr>
        <w:t> </w:t>
      </w:r>
      <w:r>
        <w:rPr>
          <w:rFonts w:ascii="宋体" w:hAnsi="宋体" w:cs="宋体" w:eastAsia="宋体" w:hint="default"/>
          <w:sz w:val="15"/>
          <w:szCs w:val="15"/>
        </w:rPr>
        <w:t>11</w:t>
      </w:r>
      <w:r>
        <w:rPr>
          <w:rFonts w:ascii="宋体" w:hAnsi="宋体" w:cs="宋体" w:eastAsia="宋体" w:hint="default"/>
          <w:spacing w:val="-1"/>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28</w:t>
      </w:r>
      <w:r>
        <w:rPr>
          <w:rFonts w:ascii="宋体" w:hAnsi="宋体" w:cs="宋体" w:eastAsia="宋体" w:hint="default"/>
          <w:spacing w:val="-1"/>
          <w:sz w:val="15"/>
          <w:szCs w:val="15"/>
        </w:rPr>
        <w:t> </w:t>
      </w:r>
      <w:r>
        <w:rPr>
          <w:rFonts w:ascii="宋体" w:hAnsi="宋体" w:cs="宋体" w:eastAsia="宋体" w:hint="default"/>
          <w:sz w:val="15"/>
          <w:szCs w:val="15"/>
        </w:rPr>
        <w:t>日召开的</w:t>
      </w:r>
      <w:r>
        <w:rPr>
          <w:rFonts w:ascii="宋体" w:hAnsi="宋体" w:cs="宋体" w:eastAsia="宋体" w:hint="default"/>
          <w:spacing w:val="-40"/>
          <w:sz w:val="15"/>
          <w:szCs w:val="15"/>
        </w:rPr>
        <w:t> </w:t>
      </w:r>
      <w:r>
        <w:rPr>
          <w:rFonts w:ascii="宋体" w:hAnsi="宋体" w:cs="宋体" w:eastAsia="宋体" w:hint="default"/>
          <w:sz w:val="15"/>
          <w:szCs w:val="15"/>
        </w:rPr>
        <w:t>2008</w:t>
      </w:r>
      <w:r>
        <w:rPr>
          <w:rFonts w:ascii="宋体" w:hAnsi="宋体" w:cs="宋体" w:eastAsia="宋体" w:hint="default"/>
          <w:spacing w:val="-39"/>
          <w:sz w:val="15"/>
          <w:szCs w:val="15"/>
        </w:rPr>
        <w:t> </w:t>
      </w:r>
      <w:r>
        <w:rPr>
          <w:rFonts w:ascii="宋体" w:hAnsi="宋体" w:cs="宋体" w:eastAsia="宋体" w:hint="default"/>
          <w:sz w:val="15"/>
          <w:szCs w:val="15"/>
        </w:rPr>
        <w:t>年第二次临时股东大会审议通过了《关于继续使用部分闲置募集资金</w:t>
      </w:r>
      <w:r>
        <w:rPr>
          <w:rFonts w:ascii="宋体" w:hAnsi="宋体" w:cs="宋体" w:eastAsia="宋体" w:hint="default"/>
          <w:spacing w:val="-39"/>
          <w:sz w:val="15"/>
          <w:szCs w:val="15"/>
        </w:rPr>
        <w:t> </w:t>
      </w:r>
      <w:r>
        <w:rPr>
          <w:rFonts w:ascii="宋体" w:hAnsi="宋体" w:cs="宋体" w:eastAsia="宋体" w:hint="default"/>
          <w:sz w:val="15"/>
          <w:szCs w:val="15"/>
        </w:rPr>
        <w:t>4,000</w:t>
      </w:r>
      <w:r>
        <w:rPr>
          <w:rFonts w:ascii="宋体" w:hAnsi="宋体" w:cs="宋体" w:eastAsia="宋体" w:hint="default"/>
          <w:spacing w:val="-1"/>
          <w:sz w:val="15"/>
          <w:szCs w:val="15"/>
        </w:rPr>
        <w:t> </w:t>
      </w:r>
      <w:r>
        <w:rPr>
          <w:rFonts w:ascii="宋体" w:hAnsi="宋体" w:cs="宋体" w:eastAsia="宋体" w:hint="default"/>
          <w:sz w:val="15"/>
          <w:szCs w:val="15"/>
        </w:rPr>
        <w:t>万元补充流动资金的议案》。根据该决议，公司将</w:t>
      </w:r>
      <w:r>
        <w:rPr>
          <w:rFonts w:ascii="宋体" w:hAnsi="宋体" w:cs="宋体" w:eastAsia="宋体" w:hint="default"/>
          <w:spacing w:val="-39"/>
          <w:sz w:val="15"/>
          <w:szCs w:val="15"/>
        </w:rPr>
        <w:t> </w:t>
      </w:r>
      <w:r>
        <w:rPr>
          <w:rFonts w:ascii="宋体" w:hAnsi="宋体" w:cs="宋体" w:eastAsia="宋体" w:hint="default"/>
          <w:sz w:val="15"/>
          <w:szCs w:val="15"/>
        </w:rPr>
        <w:t>4,000</w:t>
      </w:r>
      <w:r>
        <w:rPr>
          <w:rFonts w:ascii="宋体" w:hAnsi="宋体" w:cs="宋体" w:eastAsia="宋体" w:hint="default"/>
          <w:spacing w:val="-1"/>
          <w:sz w:val="15"/>
          <w:szCs w:val="15"/>
        </w:rPr>
        <w:t> </w:t>
      </w:r>
      <w:r>
        <w:rPr>
          <w:rFonts w:ascii="宋体" w:hAnsi="宋体" w:cs="宋体" w:eastAsia="宋体" w:hint="default"/>
          <w:sz w:val="15"/>
          <w:szCs w:val="15"/>
        </w:rPr>
        <w:t>万元募集</w:t>
      </w:r>
    </w:p>
    <w:p>
      <w:pPr>
        <w:spacing w:line="195" w:lineRule="exact" w:before="0"/>
        <w:ind w:left="161" w:right="0" w:firstLine="0"/>
        <w:jc w:val="both"/>
        <w:rPr>
          <w:rFonts w:ascii="宋体" w:hAnsi="宋体" w:cs="宋体" w:eastAsia="宋体" w:hint="default"/>
          <w:sz w:val="15"/>
          <w:szCs w:val="15"/>
        </w:rPr>
      </w:pPr>
      <w:r>
        <w:rPr>
          <w:rFonts w:ascii="宋体" w:hAnsi="宋体" w:cs="宋体" w:eastAsia="宋体" w:hint="default"/>
          <w:sz w:val="15"/>
          <w:szCs w:val="15"/>
        </w:rPr>
        <w:t>资金暂时用于补充流动资金，期限不超过</w:t>
      </w:r>
      <w:r>
        <w:rPr>
          <w:rFonts w:ascii="宋体" w:hAnsi="宋体" w:cs="宋体" w:eastAsia="宋体" w:hint="default"/>
          <w:spacing w:val="-39"/>
          <w:sz w:val="15"/>
          <w:szCs w:val="15"/>
        </w:rPr>
        <w:t> </w:t>
      </w:r>
      <w:r>
        <w:rPr>
          <w:rFonts w:ascii="宋体" w:hAnsi="宋体" w:cs="宋体" w:eastAsia="宋体" w:hint="default"/>
          <w:sz w:val="15"/>
          <w:szCs w:val="15"/>
        </w:rPr>
        <w:t>6</w:t>
      </w:r>
      <w:r>
        <w:rPr>
          <w:rFonts w:ascii="宋体" w:hAnsi="宋体" w:cs="宋体" w:eastAsia="宋体" w:hint="default"/>
          <w:spacing w:val="-1"/>
          <w:sz w:val="15"/>
          <w:szCs w:val="15"/>
        </w:rPr>
        <w:t> </w:t>
      </w:r>
      <w:r>
        <w:rPr>
          <w:rFonts w:ascii="宋体" w:hAnsi="宋体" w:cs="宋体" w:eastAsia="宋体" w:hint="default"/>
          <w:sz w:val="15"/>
          <w:szCs w:val="15"/>
        </w:rPr>
        <w:t>个月。截至</w:t>
      </w:r>
      <w:r>
        <w:rPr>
          <w:rFonts w:ascii="宋体" w:hAnsi="宋体" w:cs="宋体" w:eastAsia="宋体" w:hint="default"/>
          <w:spacing w:val="-39"/>
          <w:sz w:val="15"/>
          <w:szCs w:val="15"/>
        </w:rPr>
        <w:t> </w:t>
      </w:r>
      <w:r>
        <w:rPr>
          <w:rFonts w:ascii="宋体" w:hAnsi="宋体" w:cs="宋体" w:eastAsia="宋体" w:hint="default"/>
          <w:sz w:val="15"/>
          <w:szCs w:val="15"/>
        </w:rPr>
        <w:t>2009</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13</w:t>
      </w:r>
      <w:r>
        <w:rPr>
          <w:rFonts w:ascii="宋体" w:hAnsi="宋体" w:cs="宋体" w:eastAsia="宋体" w:hint="default"/>
          <w:spacing w:val="-40"/>
          <w:sz w:val="15"/>
          <w:szCs w:val="15"/>
        </w:rPr>
        <w:t> </w:t>
      </w:r>
      <w:r>
        <w:rPr>
          <w:rFonts w:ascii="宋体" w:hAnsi="宋体" w:cs="宋体" w:eastAsia="宋体" w:hint="default"/>
          <w:sz w:val="15"/>
          <w:szCs w:val="15"/>
        </w:rPr>
        <w:t>日,</w:t>
      </w:r>
      <w:r>
        <w:rPr>
          <w:rFonts w:ascii="宋体" w:hAnsi="宋体" w:cs="宋体" w:eastAsia="宋体" w:hint="default"/>
          <w:spacing w:val="-1"/>
          <w:sz w:val="15"/>
          <w:szCs w:val="15"/>
        </w:rPr>
        <w:t> </w:t>
      </w:r>
      <w:r>
        <w:rPr>
          <w:rFonts w:ascii="宋体" w:hAnsi="宋体" w:cs="宋体" w:eastAsia="宋体" w:hint="default"/>
          <w:sz w:val="15"/>
          <w:szCs w:val="15"/>
        </w:rPr>
        <w:t>公司已按照承诺归还补充流动资金的金额</w:t>
      </w:r>
      <w:r>
        <w:rPr>
          <w:rFonts w:ascii="宋体" w:hAnsi="宋体" w:cs="宋体" w:eastAsia="宋体" w:hint="default"/>
          <w:spacing w:val="-39"/>
          <w:sz w:val="15"/>
          <w:szCs w:val="15"/>
        </w:rPr>
        <w:t> </w:t>
      </w:r>
      <w:r>
        <w:rPr>
          <w:rFonts w:ascii="宋体" w:hAnsi="宋体" w:cs="宋体" w:eastAsia="宋体" w:hint="default"/>
          <w:sz w:val="15"/>
          <w:szCs w:val="15"/>
        </w:rPr>
        <w:t>4,000</w:t>
      </w:r>
      <w:r>
        <w:rPr>
          <w:rFonts w:ascii="宋体" w:hAnsi="宋体" w:cs="宋体" w:eastAsia="宋体" w:hint="default"/>
          <w:spacing w:val="-1"/>
          <w:sz w:val="15"/>
          <w:szCs w:val="15"/>
        </w:rPr>
        <w:t> </w:t>
      </w:r>
      <w:r>
        <w:rPr>
          <w:rFonts w:ascii="宋体" w:hAnsi="宋体" w:cs="宋体" w:eastAsia="宋体" w:hint="default"/>
          <w:sz w:val="15"/>
          <w:szCs w:val="15"/>
        </w:rPr>
        <w:t>万元至募集资金专用账户。</w:t>
      </w:r>
    </w:p>
    <w:p>
      <w:pPr>
        <w:spacing w:after="0" w:line="195" w:lineRule="exact"/>
        <w:jc w:val="both"/>
        <w:rPr>
          <w:rFonts w:ascii="宋体" w:hAnsi="宋体" w:cs="宋体" w:eastAsia="宋体" w:hint="default"/>
          <w:sz w:val="15"/>
          <w:szCs w:val="15"/>
        </w:rPr>
        <w:sectPr>
          <w:type w:val="continuous"/>
          <w:pgSz w:w="16840" w:h="11910" w:orient="landscape"/>
          <w:pgMar w:top="900" w:bottom="1460" w:left="1180" w:right="1240"/>
          <w:cols w:num="2" w:equalWidth="0">
            <w:col w:w="1904" w:space="40"/>
            <w:col w:w="12476"/>
          </w:cols>
        </w:sectPr>
      </w:pPr>
    </w:p>
    <w:p>
      <w:pPr>
        <w:spacing w:line="240" w:lineRule="auto" w:before="12"/>
        <w:rPr>
          <w:rFonts w:ascii="宋体" w:hAnsi="宋体" w:cs="宋体" w:eastAsia="宋体" w:hint="default"/>
          <w:sz w:val="10"/>
          <w:szCs w:val="10"/>
        </w:rPr>
      </w:pPr>
    </w:p>
    <w:p>
      <w:pPr>
        <w:spacing w:line="489" w:lineRule="auto" w:before="0"/>
        <w:ind w:left="259" w:right="0" w:firstLine="0"/>
        <w:jc w:val="left"/>
        <w:rPr>
          <w:rFonts w:ascii="宋体" w:hAnsi="宋体" w:cs="宋体" w:eastAsia="宋体" w:hint="default"/>
          <w:sz w:val="15"/>
          <w:szCs w:val="15"/>
        </w:rPr>
      </w:pPr>
      <w:r>
        <w:rPr>
          <w:rFonts w:ascii="宋体" w:hAnsi="宋体" w:cs="宋体" w:eastAsia="宋体" w:hint="default"/>
          <w:spacing w:val="12"/>
          <w:sz w:val="15"/>
          <w:szCs w:val="15"/>
        </w:rPr>
        <w:t>项目实施出现募集资金</w:t>
      </w:r>
      <w:r>
        <w:rPr>
          <w:rFonts w:ascii="宋体" w:hAnsi="宋体" w:cs="宋体" w:eastAsia="宋体" w:hint="default"/>
          <w:spacing w:val="-70"/>
          <w:sz w:val="15"/>
          <w:szCs w:val="15"/>
        </w:rPr>
        <w:t> </w:t>
      </w:r>
      <w:r>
        <w:rPr>
          <w:rFonts w:ascii="宋体" w:hAnsi="宋体" w:cs="宋体" w:eastAsia="宋体" w:hint="default"/>
          <w:sz w:val="15"/>
          <w:szCs w:val="15"/>
        </w:rPr>
        <w:t>结余的金额及原因</w:t>
      </w:r>
    </w:p>
    <w:p>
      <w:pPr>
        <w:spacing w:line="240" w:lineRule="auto" w:before="12"/>
        <w:rPr>
          <w:rFonts w:ascii="宋体" w:hAnsi="宋体" w:cs="宋体" w:eastAsia="宋体" w:hint="default"/>
          <w:sz w:val="10"/>
          <w:szCs w:val="10"/>
        </w:rPr>
      </w:pPr>
      <w:r>
        <w:rPr/>
        <w:br w:type="column"/>
      </w:r>
      <w:r>
        <w:rPr>
          <w:rFonts w:ascii="宋体"/>
          <w:sz w:val="10"/>
        </w:rPr>
      </w:r>
    </w:p>
    <w:p>
      <w:pPr>
        <w:spacing w:before="0"/>
        <w:ind w:left="161" w:right="231" w:firstLine="0"/>
        <w:jc w:val="left"/>
        <w:rPr>
          <w:rFonts w:ascii="宋体" w:hAnsi="宋体" w:cs="宋体" w:eastAsia="宋体" w:hint="default"/>
          <w:sz w:val="15"/>
          <w:szCs w:val="15"/>
        </w:rPr>
      </w:pPr>
      <w:r>
        <w:rPr>
          <w:rFonts w:ascii="宋体" w:hAnsi="宋体" w:cs="宋体" w:eastAsia="宋体" w:hint="default"/>
          <w:sz w:val="15"/>
          <w:szCs w:val="15"/>
        </w:rPr>
        <w:t>公司高性能绝缘项目已于本年达到实施投资的目的，结余金额为</w:t>
      </w:r>
      <w:r>
        <w:rPr>
          <w:rFonts w:ascii="宋体" w:hAnsi="宋体" w:cs="宋体" w:eastAsia="宋体" w:hint="default"/>
          <w:spacing w:val="-43"/>
          <w:sz w:val="15"/>
          <w:szCs w:val="15"/>
        </w:rPr>
        <w:t> </w:t>
      </w:r>
      <w:r>
        <w:rPr>
          <w:rFonts w:ascii="宋体" w:hAnsi="宋体" w:cs="宋体" w:eastAsia="宋体" w:hint="default"/>
          <w:sz w:val="15"/>
          <w:szCs w:val="15"/>
        </w:rPr>
        <w:t>3,134.89</w:t>
      </w:r>
      <w:r>
        <w:rPr>
          <w:rFonts w:ascii="宋体" w:hAnsi="宋体" w:cs="宋体" w:eastAsia="宋体" w:hint="default"/>
          <w:spacing w:val="-43"/>
          <w:sz w:val="15"/>
          <w:szCs w:val="15"/>
        </w:rPr>
        <w:t> </w:t>
      </w:r>
      <w:r>
        <w:rPr>
          <w:rFonts w:ascii="宋体" w:hAnsi="宋体" w:cs="宋体" w:eastAsia="宋体" w:hint="default"/>
          <w:sz w:val="15"/>
          <w:szCs w:val="15"/>
        </w:rPr>
        <w:t>万元。其出现结余的原因系项目实施过程中，公司通过深入挖潜、合理调配已购置设备的生产能力，改进工艺</w:t>
      </w:r>
      <w:r>
        <w:rPr>
          <w:rFonts w:ascii="宋体" w:hAnsi="宋体" w:cs="宋体" w:eastAsia="宋体" w:hint="default"/>
          <w:sz w:val="15"/>
          <w:szCs w:val="15"/>
        </w:rPr>
        <w:t> 路线，将部分原计划进口的设备改为国内采购，取消部分募集资金拟投资生产产品的设备采购，缩减了建设规模，减少了建设投资，节约了大量资金。</w:t>
      </w:r>
    </w:p>
    <w:p>
      <w:pPr>
        <w:spacing w:after="0"/>
        <w:jc w:val="left"/>
        <w:rPr>
          <w:rFonts w:ascii="宋体" w:hAnsi="宋体" w:cs="宋体" w:eastAsia="宋体" w:hint="default"/>
          <w:sz w:val="15"/>
          <w:szCs w:val="15"/>
        </w:rPr>
        <w:sectPr>
          <w:type w:val="continuous"/>
          <w:pgSz w:w="16840" w:h="11910" w:orient="landscape"/>
          <w:pgMar w:top="900" w:bottom="1460" w:left="1180" w:right="1240"/>
          <w:cols w:num="2" w:equalWidth="0">
            <w:col w:w="1904" w:space="40"/>
            <w:col w:w="12476"/>
          </w:cols>
        </w:sectPr>
      </w:pPr>
    </w:p>
    <w:p>
      <w:pPr>
        <w:spacing w:line="489" w:lineRule="auto" w:before="57"/>
        <w:ind w:left="259" w:right="0" w:firstLine="0"/>
        <w:jc w:val="left"/>
        <w:rPr>
          <w:rFonts w:ascii="宋体" w:hAnsi="宋体" w:cs="宋体" w:eastAsia="宋体" w:hint="default"/>
          <w:sz w:val="15"/>
          <w:szCs w:val="15"/>
        </w:rPr>
      </w:pPr>
      <w:r>
        <w:rPr>
          <w:rFonts w:ascii="宋体" w:hAnsi="宋体" w:cs="宋体" w:eastAsia="宋体" w:hint="default"/>
          <w:spacing w:val="12"/>
          <w:sz w:val="15"/>
          <w:szCs w:val="15"/>
        </w:rPr>
        <w:t>尚未使用的募集资金用</w:t>
      </w:r>
      <w:r>
        <w:rPr>
          <w:rFonts w:ascii="宋体" w:hAnsi="宋体" w:cs="宋体" w:eastAsia="宋体" w:hint="default"/>
          <w:spacing w:val="-70"/>
          <w:sz w:val="15"/>
          <w:szCs w:val="15"/>
        </w:rPr>
        <w:t> </w:t>
      </w:r>
      <w:r>
        <w:rPr>
          <w:rFonts w:ascii="宋体" w:hAnsi="宋体" w:cs="宋体" w:eastAsia="宋体" w:hint="default"/>
          <w:sz w:val="15"/>
          <w:szCs w:val="15"/>
        </w:rPr>
        <w:t>途及去向</w:t>
      </w:r>
    </w:p>
    <w:p>
      <w:pPr>
        <w:spacing w:line="240" w:lineRule="auto" w:before="10"/>
        <w:rPr>
          <w:rFonts w:ascii="宋体" w:hAnsi="宋体" w:cs="宋体" w:eastAsia="宋体" w:hint="default"/>
          <w:sz w:val="11"/>
          <w:szCs w:val="11"/>
        </w:rPr>
      </w:pPr>
      <w:r>
        <w:rPr/>
        <w:br w:type="column"/>
      </w:r>
      <w:r>
        <w:rPr>
          <w:rFonts w:ascii="宋体"/>
          <w:sz w:val="11"/>
        </w:rPr>
      </w:r>
    </w:p>
    <w:p>
      <w:pPr>
        <w:spacing w:before="0"/>
        <w:ind w:left="161" w:right="295" w:firstLine="0"/>
        <w:jc w:val="left"/>
        <w:rPr>
          <w:rFonts w:ascii="宋体" w:hAnsi="宋体" w:cs="宋体" w:eastAsia="宋体" w:hint="default"/>
          <w:sz w:val="15"/>
          <w:szCs w:val="15"/>
        </w:rPr>
      </w:pPr>
      <w:r>
        <w:rPr>
          <w:rFonts w:ascii="宋体" w:hAnsi="宋体" w:cs="宋体" w:eastAsia="宋体" w:hint="default"/>
          <w:sz w:val="15"/>
          <w:szCs w:val="15"/>
        </w:rPr>
        <w:t>尚未使用的募集资金仍存放于募集资金专用账户</w:t>
      </w:r>
    </w:p>
    <w:p>
      <w:pPr>
        <w:spacing w:after="0"/>
        <w:jc w:val="left"/>
        <w:rPr>
          <w:rFonts w:ascii="宋体" w:hAnsi="宋体" w:cs="宋体" w:eastAsia="宋体" w:hint="default"/>
          <w:sz w:val="15"/>
          <w:szCs w:val="15"/>
        </w:rPr>
        <w:sectPr>
          <w:type w:val="continuous"/>
          <w:pgSz w:w="16840" w:h="11910" w:orient="landscape"/>
          <w:pgMar w:top="900" w:bottom="1460" w:left="1180" w:right="1240"/>
          <w:cols w:num="2" w:equalWidth="0">
            <w:col w:w="1904" w:space="40"/>
            <w:col w:w="12476"/>
          </w:cols>
        </w:sectPr>
      </w:pPr>
    </w:p>
    <w:p>
      <w:pPr>
        <w:tabs>
          <w:tab w:pos="8064" w:val="left" w:leader="none"/>
        </w:tabs>
        <w:spacing w:before="57"/>
        <w:ind w:left="259" w:right="0" w:firstLine="0"/>
        <w:jc w:val="left"/>
        <w:rPr>
          <w:rFonts w:ascii="宋体" w:hAnsi="宋体" w:cs="宋体" w:eastAsia="宋体" w:hint="default"/>
          <w:sz w:val="15"/>
          <w:szCs w:val="15"/>
        </w:rPr>
      </w:pPr>
      <w:r>
        <w:rPr/>
        <w:pict>
          <v:group style="position:absolute;margin-left:64.911003pt;margin-top:31.200001pt;width:706.9pt;height:21.75pt;mso-position-horizontal-relative:page;mso-position-vertical-relative:page;z-index:2056" coordorigin="1298,624" coordsize="14138,435">
            <v:shape style="position:absolute;left:1298;top:624;width:1546;height:434" type="#_x0000_t75" stroked="false">
              <v:imagedata r:id="rId26" o:title=""/>
            </v:shape>
            <v:group style="position:absolute;left:1410;top:1021;width:14019;height:2" coordorigin="1410,1021" coordsize="14019,2">
              <v:shape style="position:absolute;left:1410;top:1021;width:14019;height:2" coordorigin="1410,1021" coordsize="14019,0" path="m1410,1021l15428,1021e" filled="false" stroked="true" strokeweight=".72pt" strokecolor="#000000">
                <v:path arrowok="t"/>
              </v:shape>
            </v:group>
            <w10:wrap type="none"/>
          </v:group>
        </w:pict>
      </w:r>
      <w:r>
        <w:rPr>
          <w:rFonts w:ascii="宋体" w:hAnsi="宋体" w:cs="宋体" w:eastAsia="宋体" w:hint="default"/>
          <w:spacing w:val="12"/>
          <w:sz w:val="15"/>
          <w:szCs w:val="15"/>
        </w:rPr>
        <w:t>募集资金使用及披露中</w:t>
        <w:tab/>
      </w:r>
      <w:r>
        <w:rPr>
          <w:rFonts w:ascii="宋体" w:hAnsi="宋体" w:cs="宋体" w:eastAsia="宋体" w:hint="default"/>
          <w:position w:val="-9"/>
          <w:sz w:val="15"/>
          <w:szCs w:val="15"/>
        </w:rPr>
        <w:t>无</w:t>
      </w:r>
      <w:r>
        <w:rPr>
          <w:rFonts w:ascii="宋体" w:hAnsi="宋体" w:cs="宋体" w:eastAsia="宋体" w:hint="default"/>
          <w:sz w:val="15"/>
          <w:szCs w:val="15"/>
        </w:rPr>
      </w:r>
    </w:p>
    <w:p>
      <w:pPr>
        <w:spacing w:before="104"/>
        <w:ind w:left="259" w:right="0" w:firstLine="0"/>
        <w:jc w:val="left"/>
        <w:rPr>
          <w:rFonts w:ascii="宋体" w:hAnsi="宋体" w:cs="宋体" w:eastAsia="宋体" w:hint="default"/>
          <w:sz w:val="15"/>
          <w:szCs w:val="15"/>
        </w:rPr>
      </w:pPr>
      <w:r>
        <w:rPr>
          <w:rFonts w:ascii="宋体" w:hAnsi="宋体" w:cs="宋体" w:eastAsia="宋体" w:hint="default"/>
          <w:sz w:val="15"/>
          <w:szCs w:val="15"/>
        </w:rPr>
        <w:t>存在的问题或其他情况</w:t>
      </w:r>
    </w:p>
    <w:p>
      <w:pPr>
        <w:spacing w:after="0"/>
        <w:jc w:val="left"/>
        <w:rPr>
          <w:rFonts w:ascii="宋体" w:hAnsi="宋体" w:cs="宋体" w:eastAsia="宋体" w:hint="default"/>
          <w:sz w:val="15"/>
          <w:szCs w:val="15"/>
        </w:rPr>
        <w:sectPr>
          <w:type w:val="continuous"/>
          <w:pgSz w:w="16840" w:h="11910" w:orient="landscape"/>
          <w:pgMar w:top="900" w:bottom="1460" w:left="1180" w:right="1240"/>
        </w:sectPr>
      </w:pPr>
    </w:p>
    <w:p>
      <w:pPr>
        <w:spacing w:line="240" w:lineRule="auto" w:before="11"/>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headerReference w:type="default" r:id="rId33"/>
          <w:pgSz w:w="16840" w:h="11910" w:orient="landscape"/>
          <w:pgMar w:header="624" w:footer="707" w:top="1040" w:bottom="900" w:left="1180" w:right="960"/>
        </w:sectPr>
      </w:pPr>
    </w:p>
    <w:p>
      <w:pPr>
        <w:spacing w:before="44"/>
        <w:ind w:left="259" w:right="-19"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附表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p>
      <w:pPr>
        <w:spacing w:line="240" w:lineRule="auto" w:before="9"/>
        <w:rPr>
          <w:rFonts w:ascii="Times New Roman" w:hAnsi="Times New Roman" w:cs="Times New Roman" w:eastAsia="Times New Roman" w:hint="default"/>
          <w:sz w:val="23"/>
          <w:szCs w:val="23"/>
        </w:rPr>
      </w:pPr>
      <w:r>
        <w:rPr/>
        <w:br w:type="column"/>
      </w:r>
      <w:r>
        <w:rPr>
          <w:rFonts w:ascii="Times New Roman"/>
          <w:sz w:val="23"/>
        </w:rPr>
      </w:r>
    </w:p>
    <w:p>
      <w:pPr>
        <w:spacing w:before="0"/>
        <w:ind w:left="259" w:right="0" w:firstLine="0"/>
        <w:jc w:val="left"/>
        <w:rPr>
          <w:rFonts w:ascii="宋体" w:hAnsi="宋体" w:cs="宋体" w:eastAsia="宋体" w:hint="default"/>
          <w:sz w:val="21"/>
          <w:szCs w:val="21"/>
        </w:rPr>
      </w:pPr>
      <w:r>
        <w:rPr>
          <w:rFonts w:ascii="宋体" w:hAnsi="宋体" w:cs="宋体" w:eastAsia="宋体" w:hint="default"/>
          <w:b/>
          <w:bCs/>
          <w:sz w:val="21"/>
          <w:szCs w:val="21"/>
        </w:rPr>
        <w:t>公开发行募集资金变更募集资金投资项目情况表</w:t>
      </w:r>
      <w:r>
        <w:rPr>
          <w:rFonts w:ascii="宋体" w:hAnsi="宋体" w:cs="宋体" w:eastAsia="宋体" w:hint="default"/>
          <w:sz w:val="21"/>
          <w:szCs w:val="21"/>
        </w:rPr>
      </w:r>
    </w:p>
    <w:p>
      <w:pPr>
        <w:spacing w:after="0"/>
        <w:jc w:val="left"/>
        <w:rPr>
          <w:rFonts w:ascii="宋体" w:hAnsi="宋体" w:cs="宋体" w:eastAsia="宋体" w:hint="default"/>
          <w:sz w:val="21"/>
          <w:szCs w:val="21"/>
        </w:rPr>
        <w:sectPr>
          <w:type w:val="continuous"/>
          <w:pgSz w:w="16840" w:h="11910" w:orient="landscape"/>
          <w:pgMar w:top="900" w:bottom="1460" w:left="1180" w:right="960"/>
          <w:cols w:num="2" w:equalWidth="0">
            <w:col w:w="755" w:space="4012"/>
            <w:col w:w="9933"/>
          </w:cols>
        </w:sectPr>
      </w:pPr>
    </w:p>
    <w:p>
      <w:pPr>
        <w:spacing w:line="240" w:lineRule="auto" w:before="12"/>
        <w:rPr>
          <w:rFonts w:ascii="宋体" w:hAnsi="宋体" w:cs="宋体" w:eastAsia="宋体" w:hint="default"/>
          <w:b/>
          <w:bCs/>
          <w:sz w:val="19"/>
          <w:szCs w:val="19"/>
        </w:rPr>
      </w:pPr>
    </w:p>
    <w:p>
      <w:pPr>
        <w:tabs>
          <w:tab w:pos="6559" w:val="left" w:leader="none"/>
          <w:tab w:pos="11638" w:val="left" w:leader="none"/>
        </w:tabs>
        <w:spacing w:before="44"/>
        <w:ind w:left="439" w:right="0" w:firstLine="0"/>
        <w:jc w:val="left"/>
        <w:rPr>
          <w:rFonts w:ascii="宋体" w:hAnsi="宋体" w:cs="宋体" w:eastAsia="宋体" w:hint="default"/>
          <w:sz w:val="18"/>
          <w:szCs w:val="18"/>
        </w:rPr>
      </w:pPr>
      <w:r>
        <w:rPr>
          <w:rFonts w:ascii="宋体" w:hAnsi="宋体" w:cs="宋体" w:eastAsia="宋体" w:hint="default"/>
          <w:sz w:val="18"/>
          <w:szCs w:val="18"/>
        </w:rPr>
        <w:t>编制单位：深圳市惠程电气股份有限公司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w:t>
        <w:tab/>
        <w:t>单位：人民币万元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p>
      <w:pPr>
        <w:spacing w:before="44"/>
        <w:ind w:left="0" w:right="99" w:firstLine="0"/>
        <w:jc w:val="right"/>
        <w:rPr>
          <w:rFonts w:ascii="宋体" w:hAnsi="宋体" w:cs="宋体" w:eastAsia="宋体" w:hint="default"/>
          <w:sz w:val="18"/>
          <w:szCs w:val="18"/>
        </w:rPr>
      </w:pPr>
      <w:r>
        <w:rPr/>
        <w:pict>
          <v:shape style="position:absolute;margin-left:69.140999pt;margin-top:-91.748299pt;width:718.25pt;height:185.1pt;mso-position-horizontal-relative:page;mso-position-vertical-relative:paragraph;z-index:21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26"/>
                    <w:gridCol w:w="1540"/>
                    <w:gridCol w:w="1498"/>
                    <w:gridCol w:w="1315"/>
                    <w:gridCol w:w="1302"/>
                    <w:gridCol w:w="1316"/>
                    <w:gridCol w:w="1232"/>
                    <w:gridCol w:w="1344"/>
                    <w:gridCol w:w="1007"/>
                    <w:gridCol w:w="1021"/>
                    <w:gridCol w:w="1218"/>
                  </w:tblGrid>
                  <w:tr>
                    <w:trPr>
                      <w:trHeight w:val="740" w:hRule="exact"/>
                    </w:trPr>
                    <w:tc>
                      <w:tcPr>
                        <w:tcW w:w="15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变更后的项目</w:t>
                        </w:r>
                      </w:p>
                    </w:tc>
                    <w:tc>
                      <w:tcPr>
                        <w:tcW w:w="154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对应的原承诺项目</w:t>
                        </w:r>
                      </w:p>
                    </w:tc>
                    <w:tc>
                      <w:tcPr>
                        <w:tcW w:w="1498" w:type="dxa"/>
                        <w:tcBorders>
                          <w:top w:val="single" w:sz="12" w:space="0" w:color="000000"/>
                          <w:left w:val="single" w:sz="4" w:space="0" w:color="000000"/>
                          <w:bottom w:val="single" w:sz="4" w:space="0" w:color="000000"/>
                          <w:right w:val="single" w:sz="4" w:space="0" w:color="000000"/>
                        </w:tcBorders>
                      </w:tcPr>
                      <w:p>
                        <w:pPr>
                          <w:pStyle w:val="TableParagraph"/>
                          <w:spacing w:line="244" w:lineRule="auto" w:before="101"/>
                          <w:ind w:left="203" w:right="22" w:hanging="180"/>
                          <w:jc w:val="left"/>
                          <w:rPr>
                            <w:rFonts w:ascii="宋体" w:hAnsi="宋体" w:cs="宋体" w:eastAsia="宋体" w:hint="default"/>
                            <w:sz w:val="18"/>
                            <w:szCs w:val="18"/>
                          </w:rPr>
                        </w:pPr>
                        <w:r>
                          <w:rPr>
                            <w:rFonts w:ascii="宋体" w:hAnsi="宋体" w:cs="宋体" w:eastAsia="宋体" w:hint="default"/>
                            <w:sz w:val="18"/>
                            <w:szCs w:val="18"/>
                          </w:rPr>
                          <w:t>变更后项目拟投入 募集资金总额</w:t>
                        </w:r>
                      </w:p>
                    </w:tc>
                    <w:tc>
                      <w:tcPr>
                        <w:tcW w:w="1315" w:type="dxa"/>
                        <w:tcBorders>
                          <w:top w:val="single" w:sz="12" w:space="0" w:color="000000"/>
                          <w:left w:val="single" w:sz="4" w:space="0" w:color="000000"/>
                          <w:bottom w:val="single" w:sz="4" w:space="0" w:color="000000"/>
                          <w:right w:val="single" w:sz="4" w:space="0" w:color="000000"/>
                        </w:tcBorders>
                      </w:tcPr>
                      <w:p>
                        <w:pPr>
                          <w:pStyle w:val="TableParagraph"/>
                          <w:spacing w:line="240" w:lineRule="exact"/>
                          <w:ind w:left="112" w:right="110"/>
                          <w:jc w:val="center"/>
                          <w:rPr>
                            <w:rFonts w:ascii="宋体" w:hAnsi="宋体" w:cs="宋体" w:eastAsia="宋体" w:hint="default"/>
                            <w:sz w:val="18"/>
                            <w:szCs w:val="18"/>
                          </w:rPr>
                        </w:pPr>
                        <w:r>
                          <w:rPr>
                            <w:rFonts w:ascii="宋体" w:hAnsi="宋体" w:cs="宋体" w:eastAsia="宋体" w:hint="default"/>
                            <w:sz w:val="18"/>
                            <w:szCs w:val="18"/>
                          </w:rPr>
                          <w:t>截至期末计划 累计投资金额 (1)</w:t>
                        </w:r>
                      </w:p>
                    </w:tc>
                    <w:tc>
                      <w:tcPr>
                        <w:tcW w:w="1302" w:type="dxa"/>
                        <w:tcBorders>
                          <w:top w:val="single" w:sz="12" w:space="0" w:color="000000"/>
                          <w:left w:val="single" w:sz="4" w:space="0" w:color="000000"/>
                          <w:bottom w:val="single" w:sz="4" w:space="0" w:color="000000"/>
                          <w:right w:val="single" w:sz="4" w:space="0" w:color="000000"/>
                        </w:tcBorders>
                      </w:tcPr>
                      <w:p>
                        <w:pPr>
                          <w:pStyle w:val="TableParagraph"/>
                          <w:spacing w:line="244" w:lineRule="auto" w:before="101"/>
                          <w:ind w:left="376" w:right="103" w:hanging="270"/>
                          <w:jc w:val="left"/>
                          <w:rPr>
                            <w:rFonts w:ascii="宋体" w:hAnsi="宋体" w:cs="宋体" w:eastAsia="宋体" w:hint="default"/>
                            <w:sz w:val="18"/>
                            <w:szCs w:val="18"/>
                          </w:rPr>
                        </w:pPr>
                        <w:r>
                          <w:rPr>
                            <w:rFonts w:ascii="宋体" w:hAnsi="宋体" w:cs="宋体" w:eastAsia="宋体" w:hint="default"/>
                            <w:sz w:val="18"/>
                            <w:szCs w:val="18"/>
                          </w:rPr>
                          <w:t>本年度实际投 入金额</w:t>
                        </w:r>
                      </w:p>
                    </w:tc>
                    <w:tc>
                      <w:tcPr>
                        <w:tcW w:w="1316" w:type="dxa"/>
                        <w:tcBorders>
                          <w:top w:val="single" w:sz="12" w:space="0" w:color="000000"/>
                          <w:left w:val="single" w:sz="4" w:space="0" w:color="000000"/>
                          <w:bottom w:val="single" w:sz="4" w:space="0" w:color="000000"/>
                          <w:right w:val="single" w:sz="4" w:space="0" w:color="000000"/>
                        </w:tcBorders>
                      </w:tcPr>
                      <w:p>
                        <w:pPr>
                          <w:pStyle w:val="TableParagraph"/>
                          <w:spacing w:line="244" w:lineRule="auto" w:before="101"/>
                          <w:ind w:left="67" w:right="23" w:hanging="45"/>
                          <w:jc w:val="left"/>
                          <w:rPr>
                            <w:rFonts w:ascii="宋体" w:hAnsi="宋体" w:cs="宋体" w:eastAsia="宋体" w:hint="default"/>
                            <w:sz w:val="18"/>
                            <w:szCs w:val="18"/>
                          </w:rPr>
                        </w:pPr>
                        <w:r>
                          <w:rPr>
                            <w:rFonts w:ascii="宋体" w:hAnsi="宋体" w:cs="宋体" w:eastAsia="宋体" w:hint="default"/>
                            <w:sz w:val="18"/>
                            <w:szCs w:val="18"/>
                          </w:rPr>
                          <w:t>截至期末实际累 计投入金额(2)</w:t>
                        </w:r>
                      </w:p>
                    </w:tc>
                    <w:tc>
                      <w:tcPr>
                        <w:tcW w:w="1232" w:type="dxa"/>
                        <w:tcBorders>
                          <w:top w:val="single" w:sz="12" w:space="0" w:color="000000"/>
                          <w:left w:val="single" w:sz="4" w:space="0" w:color="000000"/>
                          <w:bottom w:val="single" w:sz="4" w:space="0" w:color="000000"/>
                          <w:right w:val="single" w:sz="4" w:space="0" w:color="000000"/>
                        </w:tcBorders>
                      </w:tcPr>
                      <w:p>
                        <w:pPr>
                          <w:pStyle w:val="TableParagraph"/>
                          <w:spacing w:line="244" w:lineRule="auto" w:before="101"/>
                          <w:ind w:left="115" w:right="25" w:hanging="90"/>
                          <w:jc w:val="left"/>
                          <w:rPr>
                            <w:rFonts w:ascii="宋体" w:hAnsi="宋体" w:cs="宋体" w:eastAsia="宋体" w:hint="default"/>
                            <w:sz w:val="18"/>
                            <w:szCs w:val="18"/>
                          </w:rPr>
                        </w:pPr>
                        <w:r>
                          <w:rPr>
                            <w:rFonts w:ascii="宋体" w:hAnsi="宋体" w:cs="宋体" w:eastAsia="宋体" w:hint="default"/>
                            <w:sz w:val="18"/>
                            <w:szCs w:val="18"/>
                          </w:rPr>
                          <w:t>投资进度（%） (3)=(2)/(1)</w:t>
                        </w:r>
                      </w:p>
                    </w:tc>
                    <w:tc>
                      <w:tcPr>
                        <w:tcW w:w="1344" w:type="dxa"/>
                        <w:tcBorders>
                          <w:top w:val="single" w:sz="12" w:space="0" w:color="000000"/>
                          <w:left w:val="single" w:sz="4" w:space="0" w:color="000000"/>
                          <w:bottom w:val="single" w:sz="4" w:space="0" w:color="000000"/>
                          <w:right w:val="single" w:sz="4" w:space="0" w:color="000000"/>
                        </w:tcBorders>
                      </w:tcPr>
                      <w:p>
                        <w:pPr>
                          <w:pStyle w:val="TableParagraph"/>
                          <w:spacing w:line="244" w:lineRule="auto" w:before="101"/>
                          <w:ind w:left="36" w:right="36" w:firstLine="90"/>
                          <w:jc w:val="left"/>
                          <w:rPr>
                            <w:rFonts w:ascii="宋体" w:hAnsi="宋体" w:cs="宋体" w:eastAsia="宋体" w:hint="default"/>
                            <w:sz w:val="18"/>
                            <w:szCs w:val="18"/>
                          </w:rPr>
                        </w:pPr>
                        <w:r>
                          <w:rPr>
                            <w:rFonts w:ascii="宋体" w:hAnsi="宋体" w:cs="宋体" w:eastAsia="宋体" w:hint="default"/>
                            <w:sz w:val="18"/>
                            <w:szCs w:val="18"/>
                          </w:rPr>
                          <w:t>项目达到预定 可使用状态日期</w:t>
                        </w:r>
                      </w:p>
                    </w:tc>
                    <w:tc>
                      <w:tcPr>
                        <w:tcW w:w="1007" w:type="dxa"/>
                        <w:tcBorders>
                          <w:top w:val="single" w:sz="12" w:space="0" w:color="000000"/>
                          <w:left w:val="single" w:sz="4" w:space="0" w:color="000000"/>
                          <w:bottom w:val="single" w:sz="4" w:space="0" w:color="000000"/>
                          <w:right w:val="single" w:sz="4" w:space="0" w:color="000000"/>
                        </w:tcBorders>
                      </w:tcPr>
                      <w:p>
                        <w:pPr>
                          <w:pStyle w:val="TableParagraph"/>
                          <w:spacing w:line="244" w:lineRule="auto" w:before="101"/>
                          <w:ind w:left="227" w:right="47" w:hanging="180"/>
                          <w:jc w:val="left"/>
                          <w:rPr>
                            <w:rFonts w:ascii="宋体" w:hAnsi="宋体" w:cs="宋体" w:eastAsia="宋体" w:hint="default"/>
                            <w:sz w:val="18"/>
                            <w:szCs w:val="18"/>
                          </w:rPr>
                        </w:pPr>
                        <w:r>
                          <w:rPr>
                            <w:rFonts w:ascii="宋体" w:hAnsi="宋体" w:cs="宋体" w:eastAsia="宋体" w:hint="default"/>
                            <w:sz w:val="18"/>
                            <w:szCs w:val="18"/>
                          </w:rPr>
                          <w:t>本年度实现 的效益</w:t>
                        </w:r>
                      </w:p>
                    </w:tc>
                    <w:tc>
                      <w:tcPr>
                        <w:tcW w:w="1021" w:type="dxa"/>
                        <w:tcBorders>
                          <w:top w:val="single" w:sz="12" w:space="0" w:color="000000"/>
                          <w:left w:val="single" w:sz="4" w:space="0" w:color="000000"/>
                          <w:bottom w:val="single" w:sz="4" w:space="0" w:color="000000"/>
                          <w:right w:val="single" w:sz="4" w:space="0" w:color="000000"/>
                        </w:tcBorders>
                      </w:tcPr>
                      <w:p>
                        <w:pPr>
                          <w:pStyle w:val="TableParagraph"/>
                          <w:spacing w:line="244" w:lineRule="auto" w:before="101"/>
                          <w:ind w:left="145" w:right="144"/>
                          <w:jc w:val="left"/>
                          <w:rPr>
                            <w:rFonts w:ascii="宋体" w:hAnsi="宋体" w:cs="宋体" w:eastAsia="宋体" w:hint="default"/>
                            <w:sz w:val="18"/>
                            <w:szCs w:val="18"/>
                          </w:rPr>
                        </w:pPr>
                        <w:r>
                          <w:rPr>
                            <w:rFonts w:ascii="宋体" w:hAnsi="宋体" w:cs="宋体" w:eastAsia="宋体" w:hint="default"/>
                            <w:sz w:val="18"/>
                            <w:szCs w:val="18"/>
                          </w:rPr>
                          <w:t>是否达到 预计效益</w:t>
                        </w:r>
                      </w:p>
                    </w:tc>
                    <w:tc>
                      <w:tcPr>
                        <w:tcW w:w="1218" w:type="dxa"/>
                        <w:tcBorders>
                          <w:top w:val="single" w:sz="12" w:space="0" w:color="000000"/>
                          <w:left w:val="single" w:sz="4" w:space="0" w:color="000000"/>
                          <w:bottom w:val="single" w:sz="4" w:space="0" w:color="000000"/>
                          <w:right w:val="nil" w:sz="6" w:space="0" w:color="auto"/>
                        </w:tcBorders>
                      </w:tcPr>
                      <w:p>
                        <w:pPr>
                          <w:pStyle w:val="TableParagraph"/>
                          <w:spacing w:line="240" w:lineRule="exact"/>
                          <w:ind w:left="64" w:right="66"/>
                          <w:jc w:val="both"/>
                          <w:rPr>
                            <w:rFonts w:ascii="宋体" w:hAnsi="宋体" w:cs="宋体" w:eastAsia="宋体" w:hint="default"/>
                            <w:sz w:val="18"/>
                            <w:szCs w:val="18"/>
                          </w:rPr>
                        </w:pPr>
                        <w:r>
                          <w:rPr>
                            <w:rFonts w:ascii="宋体" w:hAnsi="宋体" w:cs="宋体" w:eastAsia="宋体" w:hint="default"/>
                            <w:sz w:val="18"/>
                            <w:szCs w:val="18"/>
                          </w:rPr>
                          <w:t>变更后的项目 可行性是否发 生重大变化</w:t>
                        </w:r>
                      </w:p>
                    </w:tc>
                  </w:tr>
                  <w:tr>
                    <w:trPr>
                      <w:trHeight w:val="491" w:hRule="exact"/>
                    </w:trPr>
                    <w:tc>
                      <w:tcPr>
                        <w:tcW w:w="1526" w:type="dxa"/>
                        <w:tcBorders>
                          <w:top w:val="single" w:sz="4" w:space="0" w:color="000000"/>
                          <w:left w:val="nil" w:sz="6" w:space="0" w:color="auto"/>
                          <w:bottom w:val="single" w:sz="4" w:space="0" w:color="000000"/>
                          <w:right w:val="single" w:sz="4" w:space="0" w:color="000000"/>
                        </w:tcBorders>
                      </w:tcPr>
                      <w:p>
                        <w:pPr>
                          <w:pStyle w:val="TableParagraph"/>
                          <w:spacing w:line="240" w:lineRule="exact" w:before="1"/>
                          <w:ind w:left="41" w:right="19"/>
                          <w:jc w:val="left"/>
                          <w:rPr>
                            <w:rFonts w:ascii="宋体" w:hAnsi="宋体" w:cs="宋体" w:eastAsia="宋体" w:hint="default"/>
                            <w:sz w:val="18"/>
                            <w:szCs w:val="18"/>
                          </w:rPr>
                        </w:pPr>
                        <w:r>
                          <w:rPr>
                            <w:rFonts w:ascii="宋体" w:hAnsi="宋体" w:cs="宋体" w:eastAsia="宋体" w:hint="default"/>
                            <w:sz w:val="18"/>
                            <w:szCs w:val="18"/>
                          </w:rPr>
                          <w:t>补充公司日常经营</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所需的流动资金</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
                          <w:ind w:left="22" w:right="16"/>
                          <w:jc w:val="left"/>
                          <w:rPr>
                            <w:rFonts w:ascii="宋体" w:hAnsi="宋体" w:cs="宋体" w:eastAsia="宋体" w:hint="default"/>
                            <w:sz w:val="18"/>
                            <w:szCs w:val="18"/>
                          </w:rPr>
                        </w:pPr>
                        <w:r>
                          <w:rPr>
                            <w:rFonts w:ascii="宋体" w:hAnsi="宋体" w:cs="宋体" w:eastAsia="宋体" w:hint="default"/>
                            <w:spacing w:val="6"/>
                            <w:sz w:val="18"/>
                            <w:szCs w:val="18"/>
                          </w:rPr>
                          <w:t>高性能硅橡胶电气 </w:t>
                        </w:r>
                        <w:r>
                          <w:rPr>
                            <w:rFonts w:ascii="宋体" w:hAnsi="宋体" w:cs="宋体" w:eastAsia="宋体" w:hint="default"/>
                            <w:sz w:val="18"/>
                            <w:szCs w:val="18"/>
                          </w:rPr>
                          <w:t>绝缘制品项目</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20"/>
                          <w:jc w:val="right"/>
                          <w:rPr>
                            <w:rFonts w:ascii="宋体" w:hAnsi="宋体" w:cs="宋体" w:eastAsia="宋体" w:hint="default"/>
                            <w:sz w:val="18"/>
                            <w:szCs w:val="18"/>
                          </w:rPr>
                        </w:pPr>
                        <w:r>
                          <w:rPr>
                            <w:rFonts w:ascii="宋体"/>
                            <w:sz w:val="18"/>
                          </w:rPr>
                          <w:t>3,134.89</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20"/>
                          <w:jc w:val="right"/>
                          <w:rPr>
                            <w:rFonts w:ascii="宋体" w:hAnsi="宋体" w:cs="宋体" w:eastAsia="宋体" w:hint="default"/>
                            <w:sz w:val="18"/>
                            <w:szCs w:val="18"/>
                          </w:rPr>
                        </w:pPr>
                        <w:r>
                          <w:rPr>
                            <w:rFonts w:ascii="宋体"/>
                            <w:sz w:val="18"/>
                          </w:rPr>
                          <w:t>3,134.89</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sz w:val="18"/>
                          </w:rPr>
                          <w:t>---</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sz w:val="18"/>
                          </w:rPr>
                          <w:t>---</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
                          <w:jc w:val="center"/>
                          <w:rPr>
                            <w:rFonts w:ascii="宋体" w:hAnsi="宋体" w:cs="宋体" w:eastAsia="宋体" w:hint="default"/>
                            <w:sz w:val="18"/>
                            <w:szCs w:val="18"/>
                          </w:rPr>
                        </w:pPr>
                        <w:r>
                          <w:rPr>
                            <w:rFonts w:ascii="宋体"/>
                            <w:sz w:val="18"/>
                          </w:rPr>
                          <w:t>---</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sz w:val="18"/>
                          </w:rPr>
                          <w:t>---</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368"/>
                          <w:jc w:val="right"/>
                          <w:rPr>
                            <w:rFonts w:ascii="宋体" w:hAnsi="宋体" w:cs="宋体" w:eastAsia="宋体" w:hint="default"/>
                            <w:sz w:val="18"/>
                            <w:szCs w:val="18"/>
                          </w:rPr>
                        </w:pPr>
                        <w:r>
                          <w:rPr>
                            <w:rFonts w:ascii="宋体"/>
                            <w:sz w:val="18"/>
                          </w:rPr>
                          <w:t>---</w:t>
                        </w:r>
                      </w:p>
                    </w:tc>
                    <w:tc>
                      <w:tcPr>
                        <w:tcW w:w="12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3"/>
                          <w:ind w:right="472"/>
                          <w:jc w:val="right"/>
                          <w:rPr>
                            <w:rFonts w:ascii="宋体" w:hAnsi="宋体" w:cs="宋体" w:eastAsia="宋体" w:hint="default"/>
                            <w:sz w:val="18"/>
                            <w:szCs w:val="18"/>
                          </w:rPr>
                        </w:pPr>
                        <w:r>
                          <w:rPr>
                            <w:rFonts w:ascii="宋体"/>
                            <w:sz w:val="18"/>
                          </w:rPr>
                          <w:t>---</w:t>
                        </w:r>
                      </w:p>
                    </w:tc>
                  </w:tr>
                  <w:tr>
                    <w:trPr>
                      <w:trHeight w:val="407" w:hRule="exact"/>
                    </w:trPr>
                    <w:tc>
                      <w:tcPr>
                        <w:tcW w:w="15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18"/>
                            <w:szCs w:val="18"/>
                          </w:rPr>
                        </w:pPr>
                        <w:r>
                          <w:rPr>
                            <w:rFonts w:ascii="宋体"/>
                            <w:sz w:val="18"/>
                          </w:rPr>
                          <w:t>---</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20"/>
                          <w:jc w:val="right"/>
                          <w:rPr>
                            <w:rFonts w:ascii="宋体" w:hAnsi="宋体" w:cs="宋体" w:eastAsia="宋体" w:hint="default"/>
                            <w:sz w:val="18"/>
                            <w:szCs w:val="18"/>
                          </w:rPr>
                        </w:pPr>
                        <w:r>
                          <w:rPr>
                            <w:rFonts w:ascii="宋体"/>
                            <w:sz w:val="18"/>
                          </w:rPr>
                          <w:t>3,134.89</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20"/>
                          <w:jc w:val="right"/>
                          <w:rPr>
                            <w:rFonts w:ascii="宋体" w:hAnsi="宋体" w:cs="宋体" w:eastAsia="宋体" w:hint="default"/>
                            <w:sz w:val="18"/>
                            <w:szCs w:val="18"/>
                          </w:rPr>
                        </w:pPr>
                        <w:r>
                          <w:rPr>
                            <w:rFonts w:ascii="宋体"/>
                            <w:sz w:val="18"/>
                          </w:rPr>
                          <w:t>3,134.89</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18"/>
                            <w:szCs w:val="18"/>
                          </w:rPr>
                        </w:pPr>
                        <w:r>
                          <w:rPr>
                            <w:rFonts w:ascii="宋体"/>
                            <w:sz w:val="18"/>
                          </w:rPr>
                          <w:t>---</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18"/>
                            <w:szCs w:val="18"/>
                          </w:rPr>
                        </w:pPr>
                        <w:r>
                          <w:rPr>
                            <w:rFonts w:ascii="宋体"/>
                            <w:sz w:val="18"/>
                          </w:rPr>
                          <w:t>---</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18"/>
                            <w:szCs w:val="18"/>
                          </w:rPr>
                        </w:pPr>
                        <w:r>
                          <w:rPr>
                            <w:rFonts w:ascii="宋体"/>
                            <w:sz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sz w:val="18"/>
                          </w:rPr>
                          <w:t>---</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18"/>
                            <w:szCs w:val="18"/>
                          </w:rPr>
                        </w:pPr>
                        <w:r>
                          <w:rPr>
                            <w:rFonts w:ascii="宋体"/>
                            <w:sz w:val="18"/>
                          </w:rPr>
                          <w:t>---</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368"/>
                          <w:jc w:val="right"/>
                          <w:rPr>
                            <w:rFonts w:ascii="宋体" w:hAnsi="宋体" w:cs="宋体" w:eastAsia="宋体" w:hint="default"/>
                            <w:sz w:val="18"/>
                            <w:szCs w:val="18"/>
                          </w:rPr>
                        </w:pPr>
                        <w:r>
                          <w:rPr>
                            <w:rFonts w:ascii="宋体"/>
                            <w:sz w:val="18"/>
                          </w:rPr>
                          <w:t>---</w:t>
                        </w:r>
                      </w:p>
                    </w:tc>
                    <w:tc>
                      <w:tcPr>
                        <w:tcW w:w="12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9"/>
                          <w:ind w:right="472"/>
                          <w:jc w:val="right"/>
                          <w:rPr>
                            <w:rFonts w:ascii="宋体" w:hAnsi="宋体" w:cs="宋体" w:eastAsia="宋体" w:hint="default"/>
                            <w:sz w:val="18"/>
                            <w:szCs w:val="18"/>
                          </w:rPr>
                        </w:pPr>
                        <w:r>
                          <w:rPr>
                            <w:rFonts w:ascii="宋体"/>
                            <w:sz w:val="18"/>
                          </w:rPr>
                          <w:t>---</w:t>
                        </w:r>
                      </w:p>
                    </w:tc>
                  </w:tr>
                  <w:tr>
                    <w:trPr>
                      <w:trHeight w:val="252" w:hRule="exact"/>
                    </w:trPr>
                    <w:tc>
                      <w:tcPr>
                        <w:tcW w:w="4564" w:type="dxa"/>
                        <w:gridSpan w:val="3"/>
                        <w:tcBorders>
                          <w:top w:val="single" w:sz="4" w:space="0" w:color="000000"/>
                          <w:left w:val="nil" w:sz="6" w:space="0" w:color="auto"/>
                          <w:bottom w:val="nil" w:sz="6" w:space="0" w:color="auto"/>
                          <w:right w:val="single" w:sz="4" w:space="0" w:color="000000"/>
                        </w:tcBorders>
                      </w:tcPr>
                      <w:p>
                        <w:pPr/>
                      </w:p>
                    </w:tc>
                    <w:tc>
                      <w:tcPr>
                        <w:tcW w:w="9756" w:type="dxa"/>
                        <w:gridSpan w:val="8"/>
                        <w:tcBorders>
                          <w:top w:val="single" w:sz="4" w:space="0" w:color="000000"/>
                          <w:left w:val="single" w:sz="4" w:space="0" w:color="000000"/>
                          <w:bottom w:val="nil" w:sz="6" w:space="0" w:color="auto"/>
                          <w:right w:val="nil" w:sz="6" w:space="0" w:color="auto"/>
                        </w:tcBorders>
                      </w:tcPr>
                      <w:p>
                        <w:pPr>
                          <w:pStyle w:val="TableParagraph"/>
                          <w:spacing w:line="217" w:lineRule="exact"/>
                          <w:ind w:left="23" w:right="0"/>
                          <w:jc w:val="left"/>
                          <w:rPr>
                            <w:rFonts w:ascii="宋体" w:hAnsi="宋体" w:cs="宋体" w:eastAsia="宋体" w:hint="default"/>
                            <w:sz w:val="18"/>
                            <w:szCs w:val="18"/>
                          </w:rPr>
                        </w:pPr>
                        <w:r>
                          <w:rPr>
                            <w:rFonts w:ascii="宋体" w:hAnsi="宋体" w:cs="宋体" w:eastAsia="宋体" w:hint="default"/>
                            <w:sz w:val="18"/>
                            <w:szCs w:val="18"/>
                          </w:rPr>
                          <w:t>募集资金投资项目变更原因为：在项目实施过程中，公司通过深入挖潜、合理调配已购置设备的生产能力，改进工艺路线，</w:t>
                        </w:r>
                      </w:p>
                    </w:tc>
                  </w:tr>
                  <w:tr>
                    <w:trPr>
                      <w:trHeight w:val="240" w:hRule="exact"/>
                    </w:trPr>
                    <w:tc>
                      <w:tcPr>
                        <w:tcW w:w="4564" w:type="dxa"/>
                        <w:gridSpan w:val="3"/>
                        <w:tcBorders>
                          <w:top w:val="nil" w:sz="6" w:space="0" w:color="auto"/>
                          <w:left w:val="nil" w:sz="6" w:space="0" w:color="auto"/>
                          <w:bottom w:val="nil" w:sz="6" w:space="0" w:color="auto"/>
                          <w:right w:val="single" w:sz="4" w:space="0" w:color="000000"/>
                        </w:tcBorders>
                      </w:tcPr>
                      <w:p>
                        <w:pPr/>
                      </w:p>
                    </w:tc>
                    <w:tc>
                      <w:tcPr>
                        <w:tcW w:w="9756" w:type="dxa"/>
                        <w:gridSpan w:val="8"/>
                        <w:tcBorders>
                          <w:top w:val="nil" w:sz="6" w:space="0" w:color="auto"/>
                          <w:left w:val="single" w:sz="4" w:space="0" w:color="000000"/>
                          <w:bottom w:val="nil" w:sz="6" w:space="0" w:color="auto"/>
                          <w:right w:val="nil" w:sz="6" w:space="0" w:color="auto"/>
                        </w:tcBorders>
                      </w:tcPr>
                      <w:p>
                        <w:pPr>
                          <w:pStyle w:val="TableParagraph"/>
                          <w:spacing w:line="210" w:lineRule="exact"/>
                          <w:ind w:left="23" w:right="0"/>
                          <w:jc w:val="left"/>
                          <w:rPr>
                            <w:rFonts w:ascii="宋体" w:hAnsi="宋体" w:cs="宋体" w:eastAsia="宋体" w:hint="default"/>
                            <w:sz w:val="18"/>
                            <w:szCs w:val="18"/>
                          </w:rPr>
                        </w:pPr>
                        <w:r>
                          <w:rPr>
                            <w:rFonts w:ascii="宋体" w:hAnsi="宋体" w:cs="宋体" w:eastAsia="宋体" w:hint="default"/>
                            <w:spacing w:val="-3"/>
                            <w:sz w:val="18"/>
                            <w:szCs w:val="18"/>
                          </w:rPr>
                          <w:t>将部分原计划进口的设备改为国内采购，取消部分募集资金拟投资生产产品的设备采购，缩减了建设规模，减少了建设投资</w:t>
                        </w:r>
                      </w:p>
                    </w:tc>
                  </w:tr>
                  <w:tr>
                    <w:trPr>
                      <w:trHeight w:val="240" w:hRule="exact"/>
                    </w:trPr>
                    <w:tc>
                      <w:tcPr>
                        <w:tcW w:w="4564" w:type="dxa"/>
                        <w:gridSpan w:val="3"/>
                        <w:tcBorders>
                          <w:top w:val="nil" w:sz="6" w:space="0" w:color="auto"/>
                          <w:left w:val="nil" w:sz="6" w:space="0" w:color="auto"/>
                          <w:bottom w:val="nil" w:sz="6" w:space="0" w:color="auto"/>
                          <w:right w:val="single" w:sz="4" w:space="0" w:color="000000"/>
                        </w:tcBorders>
                      </w:tcPr>
                      <w:p>
                        <w:pPr>
                          <w:pStyle w:val="TableParagraph"/>
                          <w:spacing w:line="210" w:lineRule="exact"/>
                          <w:ind w:left="41" w:right="0"/>
                          <w:jc w:val="left"/>
                          <w:rPr>
                            <w:rFonts w:ascii="宋体" w:hAnsi="宋体" w:cs="宋体" w:eastAsia="宋体" w:hint="default"/>
                            <w:sz w:val="18"/>
                            <w:szCs w:val="18"/>
                          </w:rPr>
                        </w:pPr>
                        <w:r>
                          <w:rPr>
                            <w:rFonts w:ascii="宋体" w:hAnsi="宋体" w:cs="宋体" w:eastAsia="宋体" w:hint="default"/>
                            <w:sz w:val="18"/>
                            <w:szCs w:val="18"/>
                          </w:rPr>
                          <w:t>变更原因、决策程序及信息披露情况说明</w:t>
                        </w:r>
                      </w:p>
                    </w:tc>
                    <w:tc>
                      <w:tcPr>
                        <w:tcW w:w="9756" w:type="dxa"/>
                        <w:gridSpan w:val="8"/>
                        <w:tcBorders>
                          <w:top w:val="nil" w:sz="6" w:space="0" w:color="auto"/>
                          <w:left w:val="single" w:sz="4" w:space="0" w:color="000000"/>
                          <w:bottom w:val="nil" w:sz="6" w:space="0" w:color="auto"/>
                          <w:right w:val="nil" w:sz="6" w:space="0" w:color="auto"/>
                        </w:tcBorders>
                      </w:tcPr>
                      <w:p>
                        <w:pPr>
                          <w:pStyle w:val="TableParagraph"/>
                          <w:spacing w:line="210" w:lineRule="exact"/>
                          <w:ind w:left="23" w:right="0"/>
                          <w:jc w:val="left"/>
                          <w:rPr>
                            <w:rFonts w:ascii="宋体" w:hAnsi="宋体" w:cs="宋体" w:eastAsia="宋体" w:hint="default"/>
                            <w:sz w:val="18"/>
                            <w:szCs w:val="18"/>
                          </w:rPr>
                        </w:pPr>
                        <w:r>
                          <w:rPr>
                            <w:rFonts w:ascii="宋体" w:hAnsi="宋体" w:cs="宋体" w:eastAsia="宋体" w:hint="default"/>
                            <w:spacing w:val="-3"/>
                            <w:sz w:val="18"/>
                            <w:szCs w:val="18"/>
                          </w:rPr>
                          <w:t>节约了大量资金。从实际情况看，目前该项目的建设规模能有效保证市场需求，停止投入可降低产能过剩、投资浪费的风险</w:t>
                        </w:r>
                      </w:p>
                    </w:tc>
                  </w:tr>
                  <w:tr>
                    <w:trPr>
                      <w:trHeight w:val="240" w:hRule="exact"/>
                    </w:trPr>
                    <w:tc>
                      <w:tcPr>
                        <w:tcW w:w="4564" w:type="dxa"/>
                        <w:gridSpan w:val="3"/>
                        <w:tcBorders>
                          <w:top w:val="nil" w:sz="6" w:space="0" w:color="auto"/>
                          <w:left w:val="nil" w:sz="6" w:space="0" w:color="auto"/>
                          <w:bottom w:val="nil" w:sz="6" w:space="0" w:color="auto"/>
                          <w:right w:val="single" w:sz="4" w:space="0" w:color="000000"/>
                        </w:tcBorders>
                      </w:tcPr>
                      <w:p>
                        <w:pPr/>
                      </w:p>
                    </w:tc>
                    <w:tc>
                      <w:tcPr>
                        <w:tcW w:w="9756" w:type="dxa"/>
                        <w:gridSpan w:val="8"/>
                        <w:tcBorders>
                          <w:top w:val="nil" w:sz="6" w:space="0" w:color="auto"/>
                          <w:left w:val="single" w:sz="4" w:space="0" w:color="000000"/>
                          <w:bottom w:val="nil" w:sz="6" w:space="0" w:color="auto"/>
                          <w:right w:val="nil" w:sz="6" w:space="0" w:color="auto"/>
                        </w:tcBorders>
                      </w:tcPr>
                      <w:p>
                        <w:pPr>
                          <w:pStyle w:val="TableParagraph"/>
                          <w:spacing w:line="210" w:lineRule="exact"/>
                          <w:ind w:left="23" w:right="0"/>
                          <w:jc w:val="left"/>
                          <w:rPr>
                            <w:rFonts w:ascii="宋体" w:hAnsi="宋体" w:cs="宋体" w:eastAsia="宋体" w:hint="default"/>
                            <w:sz w:val="18"/>
                            <w:szCs w:val="18"/>
                          </w:rPr>
                        </w:pPr>
                        <w:r>
                          <w:rPr>
                            <w:rFonts w:ascii="宋体" w:hAnsi="宋体" w:cs="宋体" w:eastAsia="宋体" w:hint="default"/>
                            <w:sz w:val="18"/>
                            <w:szCs w:val="18"/>
                          </w:rPr>
                          <w:t>此次变更经公司第二届董事会第二十五次会议、第二届监事会第十三次会议、公司2008</w:t>
                        </w:r>
                        <w:r>
                          <w:rPr>
                            <w:rFonts w:ascii="宋体" w:hAnsi="宋体" w:cs="宋体" w:eastAsia="宋体" w:hint="default"/>
                            <w:spacing w:val="62"/>
                            <w:sz w:val="18"/>
                            <w:szCs w:val="18"/>
                          </w:rPr>
                          <w:t> </w:t>
                        </w:r>
                        <w:r>
                          <w:rPr>
                            <w:rFonts w:ascii="宋体" w:hAnsi="宋体" w:cs="宋体" w:eastAsia="宋体" w:hint="default"/>
                            <w:sz w:val="18"/>
                            <w:szCs w:val="18"/>
                          </w:rPr>
                          <w:t>年第二次临时股东大会审议通过。</w:t>
                        </w:r>
                      </w:p>
                    </w:tc>
                  </w:tr>
                  <w:tr>
                    <w:trPr>
                      <w:trHeight w:val="237" w:hRule="exact"/>
                    </w:trPr>
                    <w:tc>
                      <w:tcPr>
                        <w:tcW w:w="4564" w:type="dxa"/>
                        <w:gridSpan w:val="3"/>
                        <w:tcBorders>
                          <w:top w:val="nil" w:sz="6" w:space="0" w:color="auto"/>
                          <w:left w:val="nil" w:sz="6" w:space="0" w:color="auto"/>
                          <w:bottom w:val="single" w:sz="4" w:space="0" w:color="000000"/>
                          <w:right w:val="single" w:sz="4" w:space="0" w:color="000000"/>
                        </w:tcBorders>
                      </w:tcPr>
                      <w:p>
                        <w:pPr/>
                      </w:p>
                    </w:tc>
                    <w:tc>
                      <w:tcPr>
                        <w:tcW w:w="9756" w:type="dxa"/>
                        <w:gridSpan w:val="8"/>
                        <w:tcBorders>
                          <w:top w:val="nil" w:sz="6" w:space="0" w:color="auto"/>
                          <w:left w:val="single" w:sz="4" w:space="0" w:color="000000"/>
                          <w:bottom w:val="single" w:sz="4" w:space="0" w:color="000000"/>
                          <w:right w:val="nil" w:sz="6" w:space="0" w:color="auto"/>
                        </w:tcBorders>
                      </w:tcPr>
                      <w:p>
                        <w:pPr>
                          <w:pStyle w:val="TableParagraph"/>
                          <w:spacing w:line="210" w:lineRule="exact"/>
                          <w:ind w:left="23" w:right="0"/>
                          <w:jc w:val="left"/>
                          <w:rPr>
                            <w:rFonts w:ascii="宋体" w:hAnsi="宋体" w:cs="宋体" w:eastAsia="宋体" w:hint="default"/>
                            <w:sz w:val="18"/>
                            <w:szCs w:val="18"/>
                          </w:rPr>
                        </w:pPr>
                        <w:r>
                          <w:rPr>
                            <w:rFonts w:ascii="宋体" w:hAnsi="宋体" w:cs="宋体" w:eastAsia="宋体" w:hint="default"/>
                            <w:sz w:val="18"/>
                            <w:szCs w:val="18"/>
                          </w:rPr>
                          <w:t>对此次变更公司已经进行了公告。</w:t>
                        </w:r>
                      </w:p>
                    </w:tc>
                  </w:tr>
                  <w:tr>
                    <w:trPr>
                      <w:trHeight w:val="407" w:hRule="exact"/>
                    </w:trPr>
                    <w:tc>
                      <w:tcPr>
                        <w:tcW w:w="4564" w:type="dxa"/>
                        <w:gridSpan w:val="3"/>
                        <w:tcBorders>
                          <w:top w:val="single" w:sz="4" w:space="0" w:color="000000"/>
                          <w:left w:val="nil" w:sz="6" w:space="0" w:color="auto"/>
                          <w:bottom w:val="single" w:sz="4" w:space="0" w:color="000000"/>
                          <w:right w:val="single" w:sz="4" w:space="0" w:color="000000"/>
                        </w:tcBorders>
                      </w:tcPr>
                      <w:p>
                        <w:pPr>
                          <w:pStyle w:val="TableParagraph"/>
                          <w:spacing w:line="240" w:lineRule="auto" w:before="61"/>
                          <w:ind w:left="41" w:right="0"/>
                          <w:jc w:val="left"/>
                          <w:rPr>
                            <w:rFonts w:ascii="宋体" w:hAnsi="宋体" w:cs="宋体" w:eastAsia="宋体" w:hint="default"/>
                            <w:sz w:val="18"/>
                            <w:szCs w:val="18"/>
                          </w:rPr>
                        </w:pPr>
                        <w:r>
                          <w:rPr>
                            <w:rFonts w:ascii="宋体" w:hAnsi="宋体" w:cs="宋体" w:eastAsia="宋体" w:hint="default"/>
                            <w:sz w:val="18"/>
                            <w:szCs w:val="18"/>
                          </w:rPr>
                          <w:t>未达到计划进度或预计收益的情况和原因</w:t>
                        </w:r>
                      </w:p>
                    </w:tc>
                    <w:tc>
                      <w:tcPr>
                        <w:tcW w:w="9756" w:type="dxa"/>
                        <w:gridSpan w:val="8"/>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1"/>
                          <w:jc w:val="center"/>
                          <w:rPr>
                            <w:rFonts w:ascii="宋体" w:hAnsi="宋体" w:cs="宋体" w:eastAsia="宋体" w:hint="default"/>
                            <w:sz w:val="18"/>
                            <w:szCs w:val="18"/>
                          </w:rPr>
                        </w:pPr>
                        <w:r>
                          <w:rPr>
                            <w:rFonts w:ascii="宋体"/>
                            <w:sz w:val="18"/>
                          </w:rPr>
                          <w:t>---</w:t>
                        </w:r>
                      </w:p>
                    </w:tc>
                  </w:tr>
                  <w:tr>
                    <w:trPr>
                      <w:trHeight w:val="418" w:hRule="exact"/>
                    </w:trPr>
                    <w:tc>
                      <w:tcPr>
                        <w:tcW w:w="4564" w:type="dxa"/>
                        <w:gridSpan w:val="3"/>
                        <w:tcBorders>
                          <w:top w:val="single" w:sz="4" w:space="0" w:color="000000"/>
                          <w:left w:val="nil" w:sz="6" w:space="0" w:color="auto"/>
                          <w:bottom w:val="single" w:sz="12" w:space="0" w:color="000000"/>
                          <w:right w:val="single" w:sz="4" w:space="0" w:color="000000"/>
                        </w:tcBorders>
                      </w:tcPr>
                      <w:p>
                        <w:pPr>
                          <w:pStyle w:val="TableParagraph"/>
                          <w:spacing w:line="240" w:lineRule="auto" w:before="61"/>
                          <w:ind w:left="41" w:right="0"/>
                          <w:jc w:val="left"/>
                          <w:rPr>
                            <w:rFonts w:ascii="宋体" w:hAnsi="宋体" w:cs="宋体" w:eastAsia="宋体" w:hint="default"/>
                            <w:sz w:val="18"/>
                            <w:szCs w:val="18"/>
                          </w:rPr>
                        </w:pPr>
                        <w:r>
                          <w:rPr>
                            <w:rFonts w:ascii="宋体" w:hAnsi="宋体" w:cs="宋体" w:eastAsia="宋体" w:hint="default"/>
                            <w:sz w:val="18"/>
                            <w:szCs w:val="18"/>
                          </w:rPr>
                          <w:t>变更后的项目可行性发生重大变化的情况说明</w:t>
                        </w:r>
                      </w:p>
                    </w:tc>
                    <w:tc>
                      <w:tcPr>
                        <w:tcW w:w="9756" w:type="dxa"/>
                        <w:gridSpan w:val="8"/>
                        <w:tcBorders>
                          <w:top w:val="single" w:sz="4" w:space="0" w:color="000000"/>
                          <w:left w:val="single" w:sz="4" w:space="0" w:color="000000"/>
                          <w:bottom w:val="single" w:sz="12" w:space="0" w:color="000000"/>
                          <w:right w:val="nil" w:sz="6" w:space="0" w:color="auto"/>
                        </w:tcBorders>
                      </w:tcPr>
                      <w:p>
                        <w:pPr>
                          <w:pStyle w:val="TableParagraph"/>
                          <w:spacing w:line="240" w:lineRule="auto" w:before="61"/>
                          <w:ind w:right="1"/>
                          <w:jc w:val="center"/>
                          <w:rPr>
                            <w:rFonts w:ascii="宋体" w:hAnsi="宋体" w:cs="宋体" w:eastAsia="宋体" w:hint="default"/>
                            <w:sz w:val="18"/>
                            <w:szCs w:val="18"/>
                          </w:rPr>
                        </w:pPr>
                        <w:r>
                          <w:rPr>
                            <w:rFonts w:ascii="宋体"/>
                            <w:sz w:val="18"/>
                          </w:rPr>
                          <w:t>---</w:t>
                        </w:r>
                      </w:p>
                    </w:tc>
                  </w:tr>
                </w:tbl>
                <w:p>
                  <w:pPr/>
                </w:p>
              </w:txbxContent>
            </v:textbox>
            <w10:wrap type="none"/>
          </v:shape>
        </w:pict>
      </w:r>
      <w:r>
        <w:rPr>
          <w:rFonts w:ascii="宋体" w:hAnsi="宋体" w:cs="宋体" w:eastAsia="宋体" w:hint="default"/>
          <w:sz w:val="18"/>
          <w:szCs w:val="18"/>
        </w:rPr>
        <w:t>，</w:t>
      </w:r>
    </w:p>
    <w:p>
      <w:pPr>
        <w:spacing w:before="4"/>
        <w:ind w:left="0" w:right="98" w:firstLine="0"/>
        <w:jc w:val="right"/>
        <w:rPr>
          <w:rFonts w:ascii="宋体" w:hAnsi="宋体" w:cs="宋体" w:eastAsia="宋体" w:hint="default"/>
          <w:sz w:val="18"/>
          <w:szCs w:val="18"/>
        </w:rPr>
      </w:pPr>
      <w:r>
        <w:rPr>
          <w:rFonts w:ascii="宋体" w:hAnsi="宋体" w:cs="宋体" w:eastAsia="宋体" w:hint="default"/>
          <w:sz w:val="18"/>
          <w:szCs w:val="18"/>
        </w:rPr>
        <w:t>。</w:t>
      </w:r>
    </w:p>
    <w:p>
      <w:pPr>
        <w:spacing w:after="0"/>
        <w:jc w:val="right"/>
        <w:rPr>
          <w:rFonts w:ascii="宋体" w:hAnsi="宋体" w:cs="宋体" w:eastAsia="宋体" w:hint="default"/>
          <w:sz w:val="18"/>
          <w:szCs w:val="18"/>
        </w:rPr>
        <w:sectPr>
          <w:type w:val="continuous"/>
          <w:pgSz w:w="16840" w:h="11910" w:orient="landscape"/>
          <w:pgMar w:top="900" w:bottom="1460" w:left="1180" w:right="960"/>
        </w:sectPr>
      </w:pPr>
    </w:p>
    <w:p>
      <w:pPr>
        <w:spacing w:line="240" w:lineRule="auto" w:before="11"/>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pgSz w:w="16840" w:h="11910" w:orient="landscape"/>
          <w:pgMar w:header="624" w:footer="707" w:top="1040" w:bottom="900" w:left="1180" w:right="1240"/>
        </w:sectPr>
      </w:pPr>
    </w:p>
    <w:p>
      <w:pPr>
        <w:spacing w:before="44"/>
        <w:ind w:left="259" w:right="-19" w:firstLine="0"/>
        <w:jc w:val="left"/>
        <w:rPr>
          <w:rFonts w:ascii="宋体" w:hAnsi="宋体" w:cs="宋体" w:eastAsia="宋体" w:hint="default"/>
          <w:sz w:val="18"/>
          <w:szCs w:val="18"/>
        </w:rPr>
      </w:pPr>
      <w:r>
        <w:rPr>
          <w:rFonts w:ascii="宋体" w:hAnsi="宋体" w:cs="宋体" w:eastAsia="宋体" w:hint="default"/>
          <w:sz w:val="18"/>
          <w:szCs w:val="18"/>
        </w:rPr>
        <w:t>附表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p>
      <w:pPr>
        <w:spacing w:before="254"/>
        <w:ind w:left="3498" w:right="0" w:firstLine="0"/>
        <w:jc w:val="left"/>
        <w:rPr>
          <w:rFonts w:ascii="宋体" w:hAnsi="宋体" w:cs="宋体" w:eastAsia="宋体" w:hint="default"/>
          <w:sz w:val="32"/>
          <w:szCs w:val="32"/>
        </w:rPr>
      </w:pPr>
      <w:r>
        <w:rPr/>
        <w:br w:type="column"/>
      </w:r>
      <w:r>
        <w:rPr>
          <w:rFonts w:ascii="宋体" w:hAnsi="宋体" w:cs="宋体" w:eastAsia="宋体" w:hint="default"/>
          <w:b/>
          <w:bCs/>
          <w:sz w:val="32"/>
          <w:szCs w:val="32"/>
        </w:rPr>
        <w:t>非公开发行募集资金使用情况对照表</w:t>
      </w:r>
      <w:r>
        <w:rPr>
          <w:rFonts w:ascii="宋体" w:hAnsi="宋体" w:cs="宋体" w:eastAsia="宋体" w:hint="default"/>
          <w:sz w:val="32"/>
          <w:szCs w:val="32"/>
        </w:rPr>
      </w:r>
    </w:p>
    <w:p>
      <w:pPr>
        <w:tabs>
          <w:tab w:pos="6379" w:val="left" w:leader="none"/>
          <w:tab w:pos="11458" w:val="left" w:leader="none"/>
        </w:tabs>
        <w:spacing w:before="186"/>
        <w:ind w:left="259" w:right="0" w:firstLine="0"/>
        <w:jc w:val="left"/>
        <w:rPr>
          <w:rFonts w:ascii="宋体" w:hAnsi="宋体" w:cs="宋体" w:eastAsia="宋体" w:hint="default"/>
          <w:sz w:val="18"/>
          <w:szCs w:val="18"/>
        </w:rPr>
      </w:pPr>
      <w:r>
        <w:rPr>
          <w:rFonts w:ascii="宋体" w:hAnsi="宋体" w:cs="宋体" w:eastAsia="宋体" w:hint="default"/>
          <w:sz w:val="18"/>
          <w:szCs w:val="18"/>
        </w:rPr>
        <w:t>编制单位：深圳市惠程电气股份有限公司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w:t>
        <w:tab/>
        <w:t>单位：人民币万元</w:t>
      </w:r>
    </w:p>
    <w:p>
      <w:pPr>
        <w:spacing w:after="0"/>
        <w:jc w:val="left"/>
        <w:rPr>
          <w:rFonts w:ascii="宋体" w:hAnsi="宋体" w:cs="宋体" w:eastAsia="宋体" w:hint="default"/>
          <w:sz w:val="18"/>
          <w:szCs w:val="18"/>
        </w:rPr>
        <w:sectPr>
          <w:type w:val="continuous"/>
          <w:pgSz w:w="16840" w:h="11910" w:orient="landscape"/>
          <w:pgMar w:top="900" w:bottom="1460" w:left="1180" w:right="1240"/>
          <w:cols w:num="2" w:equalWidth="0">
            <w:col w:w="935" w:space="235"/>
            <w:col w:w="13250"/>
          </w:cols>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6840" w:h="11910" w:orient="landscape"/>
          <w:pgMar w:top="900" w:bottom="1460" w:left="1180" w:right="1240"/>
        </w:sectPr>
      </w:pPr>
    </w:p>
    <w:p>
      <w:pPr>
        <w:spacing w:line="240" w:lineRule="auto" w:before="5"/>
        <w:rPr>
          <w:rFonts w:ascii="宋体" w:hAnsi="宋体" w:cs="宋体" w:eastAsia="宋体" w:hint="default"/>
          <w:sz w:val="19"/>
          <w:szCs w:val="19"/>
        </w:rPr>
      </w:pPr>
    </w:p>
    <w:p>
      <w:pPr>
        <w:tabs>
          <w:tab w:pos="5875" w:val="left" w:leader="none"/>
        </w:tabs>
        <w:spacing w:before="0"/>
        <w:ind w:left="1835" w:right="-19" w:firstLine="0"/>
        <w:jc w:val="left"/>
        <w:rPr>
          <w:rFonts w:ascii="Times New Roman" w:hAnsi="Times New Roman" w:cs="Times New Roman" w:eastAsia="Times New Roman" w:hint="default"/>
          <w:sz w:val="18"/>
          <w:szCs w:val="18"/>
        </w:rPr>
      </w:pPr>
      <w:r>
        <w:rPr>
          <w:rFonts w:ascii="宋体" w:hAnsi="宋体" w:cs="宋体" w:eastAsia="宋体" w:hint="default"/>
          <w:sz w:val="15"/>
          <w:szCs w:val="15"/>
        </w:rPr>
        <w:t>募集资金总额</w:t>
        <w:tab/>
      </w:r>
      <w:r>
        <w:rPr>
          <w:rFonts w:ascii="Times New Roman" w:hAnsi="Times New Roman" w:cs="Times New Roman" w:eastAsia="Times New Roman" w:hint="default"/>
          <w:sz w:val="18"/>
          <w:szCs w:val="18"/>
        </w:rPr>
        <w:t>43,698.54</w:t>
      </w:r>
    </w:p>
    <w:p>
      <w:pPr>
        <w:spacing w:line="240" w:lineRule="auto" w:before="4"/>
        <w:rPr>
          <w:rFonts w:ascii="Times New Roman" w:hAnsi="Times New Roman" w:cs="Times New Roman" w:eastAsia="Times New Roman" w:hint="default"/>
          <w:sz w:val="26"/>
          <w:szCs w:val="26"/>
        </w:rPr>
      </w:pPr>
    </w:p>
    <w:p>
      <w:pPr>
        <w:tabs>
          <w:tab w:pos="6205" w:val="left" w:leader="none"/>
        </w:tabs>
        <w:spacing w:before="0"/>
        <w:ind w:left="259" w:right="-19" w:firstLine="0"/>
        <w:jc w:val="left"/>
        <w:rPr>
          <w:rFonts w:ascii="Times New Roman" w:hAnsi="Times New Roman" w:cs="Times New Roman" w:eastAsia="Times New Roman" w:hint="default"/>
          <w:sz w:val="18"/>
          <w:szCs w:val="18"/>
        </w:rPr>
      </w:pPr>
      <w:r>
        <w:rPr>
          <w:rFonts w:ascii="宋体" w:hAnsi="宋体" w:cs="宋体" w:eastAsia="宋体" w:hint="default"/>
          <w:sz w:val="15"/>
          <w:szCs w:val="15"/>
        </w:rPr>
        <w:t>报告期内变更用途的募集资金总额</w:t>
        <w:tab/>
      </w:r>
      <w:r>
        <w:rPr>
          <w:rFonts w:ascii="Times New Roman" w:hAnsi="Times New Roman" w:cs="Times New Roman" w:eastAsia="Times New Roman" w:hint="default"/>
          <w:position w:val="10"/>
          <w:sz w:val="18"/>
          <w:szCs w:val="18"/>
        </w:rPr>
        <w:t>-</w:t>
      </w:r>
      <w:r>
        <w:rPr>
          <w:rFonts w:ascii="Times New Roman" w:hAnsi="Times New Roman" w:cs="Times New Roman" w:eastAsia="Times New Roman" w:hint="default"/>
          <w:sz w:val="18"/>
          <w:szCs w:val="18"/>
        </w:rPr>
      </w:r>
    </w:p>
    <w:p>
      <w:pPr>
        <w:tabs>
          <w:tab w:pos="6205" w:val="left" w:leader="none"/>
        </w:tabs>
        <w:spacing w:before="214"/>
        <w:ind w:left="259" w:right="-19" w:firstLine="0"/>
        <w:jc w:val="left"/>
        <w:rPr>
          <w:rFonts w:ascii="Times New Roman" w:hAnsi="Times New Roman" w:cs="Times New Roman" w:eastAsia="Times New Roman" w:hint="default"/>
          <w:sz w:val="18"/>
          <w:szCs w:val="18"/>
        </w:rPr>
      </w:pPr>
      <w:r>
        <w:rPr>
          <w:rFonts w:ascii="宋体" w:hAnsi="宋体" w:cs="宋体" w:eastAsia="宋体" w:hint="default"/>
          <w:sz w:val="15"/>
          <w:szCs w:val="15"/>
        </w:rPr>
        <w:t>累计变更用途的募集资金总额</w:t>
        <w:tab/>
      </w:r>
      <w:r>
        <w:rPr>
          <w:rFonts w:ascii="Times New Roman" w:hAnsi="Times New Roman" w:cs="Times New Roman" w:eastAsia="Times New Roman" w:hint="default"/>
          <w:sz w:val="18"/>
          <w:szCs w:val="18"/>
        </w:rPr>
        <w:t>-</w:t>
      </w:r>
    </w:p>
    <w:p>
      <w:pPr>
        <w:spacing w:line="240" w:lineRule="auto" w:before="1"/>
        <w:rPr>
          <w:rFonts w:ascii="Times New Roman" w:hAnsi="Times New Roman" w:cs="Times New Roman" w:eastAsia="Times New Roman" w:hint="default"/>
          <w:sz w:val="17"/>
          <w:szCs w:val="17"/>
        </w:rPr>
      </w:pPr>
    </w:p>
    <w:p>
      <w:pPr>
        <w:tabs>
          <w:tab w:pos="6205" w:val="left" w:leader="none"/>
        </w:tabs>
        <w:spacing w:before="0"/>
        <w:ind w:left="259" w:right="-19" w:firstLine="0"/>
        <w:jc w:val="left"/>
        <w:rPr>
          <w:rFonts w:ascii="Times New Roman" w:hAnsi="Times New Roman" w:cs="Times New Roman" w:eastAsia="Times New Roman" w:hint="default"/>
          <w:sz w:val="18"/>
          <w:szCs w:val="18"/>
        </w:rPr>
      </w:pPr>
      <w:r>
        <w:rPr>
          <w:rFonts w:ascii="宋体" w:hAnsi="宋体" w:cs="宋体" w:eastAsia="宋体" w:hint="default"/>
          <w:sz w:val="15"/>
          <w:szCs w:val="15"/>
        </w:rPr>
        <w:t>累计变更用途的募集资金总额比例</w:t>
        <w:tab/>
      </w:r>
      <w:r>
        <w:rPr>
          <w:rFonts w:ascii="Times New Roman" w:hAnsi="Times New Roman" w:cs="Times New Roman" w:eastAsia="Times New Roman" w:hint="default"/>
          <w:sz w:val="18"/>
          <w:szCs w:val="18"/>
        </w:rPr>
        <w:t>-</w:t>
      </w:r>
    </w:p>
    <w:p>
      <w:pPr>
        <w:spacing w:line="489" w:lineRule="auto" w:before="53"/>
        <w:ind w:left="259" w:right="0" w:firstLine="0"/>
        <w:jc w:val="center"/>
        <w:rPr>
          <w:rFonts w:ascii="宋体" w:hAnsi="宋体" w:cs="宋体" w:eastAsia="宋体" w:hint="default"/>
          <w:sz w:val="15"/>
          <w:szCs w:val="15"/>
        </w:rPr>
      </w:pPr>
      <w:r>
        <w:rPr/>
        <w:br w:type="column"/>
      </w:r>
      <w:r>
        <w:rPr>
          <w:rFonts w:ascii="宋体" w:hAnsi="宋体" w:cs="宋体" w:eastAsia="宋体" w:hint="default"/>
          <w:sz w:val="15"/>
          <w:szCs w:val="15"/>
        </w:rPr>
        <w:t>本年度投入募集资金总 额</w:t>
      </w:r>
    </w:p>
    <w:p>
      <w:pPr>
        <w:spacing w:line="240" w:lineRule="auto" w:before="6"/>
        <w:rPr>
          <w:rFonts w:ascii="宋体" w:hAnsi="宋体" w:cs="宋体" w:eastAsia="宋体" w:hint="default"/>
          <w:sz w:val="20"/>
          <w:szCs w:val="20"/>
        </w:rPr>
      </w:pPr>
    </w:p>
    <w:p>
      <w:pPr>
        <w:spacing w:line="489" w:lineRule="auto" w:before="0"/>
        <w:ind w:left="259" w:right="0" w:firstLine="0"/>
        <w:jc w:val="center"/>
        <w:rPr>
          <w:rFonts w:ascii="宋体" w:hAnsi="宋体" w:cs="宋体" w:eastAsia="宋体" w:hint="default"/>
          <w:sz w:val="15"/>
          <w:szCs w:val="15"/>
        </w:rPr>
      </w:pPr>
      <w:r>
        <w:rPr/>
        <w:pict>
          <v:group style="position:absolute;margin-left:65.121002pt;margin-top:-61.500237pt;width:709.65pt;height:398.2pt;mso-position-horizontal-relative:page;mso-position-vertical-relative:paragraph;z-index:-788272" coordorigin="1302,-1230" coordsize="14193,7964">
            <v:group style="position:absolute;left:1332;top:-1215;width:14132;height:2" coordorigin="1332,-1215" coordsize="14132,2">
              <v:shape style="position:absolute;left:1332;top:-1215;width:14132;height:2" coordorigin="1332,-1215" coordsize="14132,0" path="m1332,-1215l15463,-1215e" filled="false" stroked="true" strokeweight="1.5pt" strokecolor="#000000">
                <v:path arrowok="t"/>
              </v:shape>
              <v:shape style="position:absolute;left:5576;top:-1219;width:5437;height:838" type="#_x0000_t75" stroked="false">
                <v:imagedata r:id="rId34" o:title=""/>
              </v:shape>
              <v:shape style="position:absolute;left:1313;top:-420;width:14174;height:449" type="#_x0000_t75" stroked="false">
                <v:imagedata r:id="rId35" o:title=""/>
              </v:shape>
              <v:shape style="position:absolute;left:1313;top:-10;width:9701;height:449" type="#_x0000_t75" stroked="false">
                <v:imagedata r:id="rId36" o:title=""/>
              </v:shape>
            </v:group>
            <v:group style="position:absolute;left:1317;top:6718;width:1842;height:2" coordorigin="1317,6718" coordsize="1842,2">
              <v:shape style="position:absolute;left:1317;top:6718;width:1842;height:2" coordorigin="1317,6718" coordsize="1842,0" path="m1317,6718l3159,6718e" filled="false" stroked="true" strokeweight="1.5pt" strokecolor="#000000">
                <v:path arrowok="t"/>
              </v:shape>
              <v:shape style="position:absolute;left:1303;top:401;width:14192;height:6302" type="#_x0000_t75" stroked="false">
                <v:imagedata r:id="rId37" o:title=""/>
              </v:shape>
            </v:group>
            <v:group style="position:absolute;left:3159;top:6718;width:12304;height:2" coordorigin="3159,6718" coordsize="12304,2">
              <v:shape style="position:absolute;left:3159;top:6718;width:12304;height:2" coordorigin="3159,6718" coordsize="12304,0" path="m3159,6718l15463,6718e" filled="false" stroked="true" strokeweight="1.5pt" strokecolor="#000000">
                <v:path arrowok="t"/>
              </v:shape>
            </v:group>
            <w10:wrap type="none"/>
          </v:group>
        </w:pict>
      </w:r>
      <w:r>
        <w:rPr>
          <w:rFonts w:ascii="宋体" w:hAnsi="宋体" w:cs="宋体" w:eastAsia="宋体" w:hint="default"/>
          <w:sz w:val="15"/>
          <w:szCs w:val="15"/>
        </w:rPr>
        <w:t>已累计投入募集资金总 额</w:t>
      </w:r>
    </w:p>
    <w:p>
      <w:pPr>
        <w:spacing w:line="240" w:lineRule="auto" w:before="5"/>
        <w:rPr>
          <w:rFonts w:ascii="宋体" w:hAnsi="宋体" w:cs="宋体" w:eastAsia="宋体" w:hint="default"/>
          <w:sz w:val="18"/>
          <w:szCs w:val="18"/>
        </w:rPr>
      </w:pPr>
      <w:r>
        <w:rPr/>
        <w:br w:type="column"/>
      </w:r>
      <w:r>
        <w:rPr>
          <w:rFonts w:ascii="宋体"/>
          <w:sz w:val="18"/>
        </w:rPr>
      </w:r>
    </w:p>
    <w:p>
      <w:pPr>
        <w:spacing w:before="0"/>
        <w:ind w:left="259" w:right="0" w:firstLine="0"/>
        <w:jc w:val="left"/>
        <w:rPr>
          <w:rFonts w:ascii="Times New Roman" w:hAnsi="Times New Roman" w:cs="Times New Roman" w:eastAsia="Times New Roman" w:hint="default"/>
          <w:sz w:val="20"/>
          <w:szCs w:val="20"/>
        </w:rPr>
      </w:pPr>
      <w:r>
        <w:rPr>
          <w:rFonts w:ascii="Times New Roman"/>
          <w:sz w:val="20"/>
        </w:rPr>
        <w:t>17,994.35</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126"/>
        <w:ind w:left="259" w:right="0" w:firstLine="0"/>
        <w:jc w:val="left"/>
        <w:rPr>
          <w:rFonts w:ascii="Times New Roman" w:hAnsi="Times New Roman" w:cs="Times New Roman" w:eastAsia="Times New Roman" w:hint="default"/>
          <w:sz w:val="20"/>
          <w:szCs w:val="20"/>
        </w:rPr>
      </w:pPr>
      <w:r>
        <w:rPr>
          <w:rFonts w:ascii="Times New Roman"/>
          <w:sz w:val="20"/>
        </w:rPr>
        <w:t>17,994.35</w:t>
      </w:r>
    </w:p>
    <w:p>
      <w:pPr>
        <w:spacing w:after="0"/>
        <w:jc w:val="left"/>
        <w:rPr>
          <w:rFonts w:ascii="Times New Roman" w:hAnsi="Times New Roman" w:cs="Times New Roman" w:eastAsia="Times New Roman" w:hint="default"/>
          <w:sz w:val="20"/>
          <w:szCs w:val="20"/>
        </w:rPr>
        <w:sectPr>
          <w:type w:val="continuous"/>
          <w:pgSz w:w="16840" w:h="11910" w:orient="landscape"/>
          <w:pgMar w:top="900" w:bottom="1460" w:left="1180" w:right="1240"/>
          <w:cols w:num="3" w:equalWidth="0">
            <w:col w:w="6597" w:space="1323"/>
            <w:col w:w="1760" w:space="1705"/>
            <w:col w:w="3035"/>
          </w:cols>
        </w:sectPr>
      </w:pPr>
    </w:p>
    <w:p>
      <w:pPr>
        <w:spacing w:line="240" w:lineRule="auto" w:before="3"/>
        <w:rPr>
          <w:rFonts w:ascii="Times New Roman" w:hAnsi="Times New Roman" w:cs="Times New Roman" w:eastAsia="Times New Roman" w:hint="default"/>
          <w:sz w:val="12"/>
          <w:szCs w:val="12"/>
        </w:rPr>
      </w:pPr>
    </w:p>
    <w:p>
      <w:pPr>
        <w:spacing w:after="0" w:line="240" w:lineRule="auto"/>
        <w:rPr>
          <w:rFonts w:ascii="Times New Roman" w:hAnsi="Times New Roman" w:cs="Times New Roman" w:eastAsia="Times New Roman" w:hint="default"/>
          <w:sz w:val="12"/>
          <w:szCs w:val="12"/>
        </w:rPr>
        <w:sectPr>
          <w:type w:val="continuous"/>
          <w:pgSz w:w="16840" w:h="11910" w:orient="landscape"/>
          <w:pgMar w:top="900" w:bottom="1460" w:left="1180" w:right="1240"/>
        </w:sectPr>
      </w:pPr>
    </w:p>
    <w:p>
      <w:pPr>
        <w:spacing w:line="240" w:lineRule="auto" w:before="0"/>
        <w:rPr>
          <w:rFonts w:ascii="Times New Roman" w:hAnsi="Times New Roman" w:cs="Times New Roman" w:eastAsia="Times New Roman" w:hint="default"/>
          <w:sz w:val="14"/>
          <w:szCs w:val="14"/>
        </w:rPr>
      </w:pPr>
    </w:p>
    <w:p>
      <w:pPr>
        <w:spacing w:line="489" w:lineRule="auto" w:before="92"/>
        <w:ind w:left="843" w:right="-20" w:hanging="526"/>
        <w:jc w:val="left"/>
        <w:rPr>
          <w:rFonts w:ascii="宋体" w:hAnsi="宋体" w:cs="宋体" w:eastAsia="宋体" w:hint="default"/>
          <w:sz w:val="15"/>
          <w:szCs w:val="15"/>
        </w:rPr>
      </w:pPr>
      <w:r>
        <w:rPr>
          <w:rFonts w:ascii="宋体" w:hAnsi="宋体" w:cs="宋体" w:eastAsia="宋体" w:hint="default"/>
          <w:sz w:val="15"/>
          <w:szCs w:val="15"/>
        </w:rPr>
        <w:t>承诺投资项目和超募资 金投向</w:t>
      </w:r>
    </w:p>
    <w:p>
      <w:pPr>
        <w:spacing w:line="240" w:lineRule="auto" w:before="4"/>
        <w:rPr>
          <w:rFonts w:ascii="宋体" w:hAnsi="宋体" w:cs="宋体" w:eastAsia="宋体" w:hint="default"/>
          <w:sz w:val="19"/>
          <w:szCs w:val="19"/>
        </w:rPr>
      </w:pPr>
      <w:r>
        <w:rPr/>
        <w:br w:type="column"/>
      </w:r>
      <w:r>
        <w:rPr>
          <w:rFonts w:ascii="宋体"/>
          <w:sz w:val="19"/>
        </w:rPr>
      </w:r>
    </w:p>
    <w:p>
      <w:pPr>
        <w:spacing w:before="0"/>
        <w:ind w:left="271" w:right="-19" w:firstLine="0"/>
        <w:jc w:val="left"/>
        <w:rPr>
          <w:rFonts w:ascii="宋体" w:hAnsi="宋体" w:cs="宋体" w:eastAsia="宋体" w:hint="default"/>
          <w:sz w:val="15"/>
          <w:szCs w:val="15"/>
        </w:rPr>
      </w:pPr>
      <w:r>
        <w:rPr>
          <w:rFonts w:ascii="宋体" w:hAnsi="宋体" w:cs="宋体" w:eastAsia="宋体" w:hint="default"/>
          <w:sz w:val="15"/>
          <w:szCs w:val="15"/>
        </w:rPr>
        <w:t>是否已变更项目</w:t>
      </w:r>
    </w:p>
    <w:p>
      <w:pPr>
        <w:spacing w:line="240" w:lineRule="auto" w:before="8"/>
        <w:rPr>
          <w:rFonts w:ascii="宋体" w:hAnsi="宋体" w:cs="宋体" w:eastAsia="宋体" w:hint="default"/>
          <w:sz w:val="15"/>
          <w:szCs w:val="15"/>
        </w:rPr>
      </w:pPr>
    </w:p>
    <w:p>
      <w:pPr>
        <w:spacing w:before="0"/>
        <w:ind w:left="271" w:right="-19" w:firstLine="0"/>
        <w:jc w:val="left"/>
        <w:rPr>
          <w:rFonts w:ascii="宋体" w:hAnsi="宋体" w:cs="宋体" w:eastAsia="宋体" w:hint="default"/>
          <w:sz w:val="15"/>
          <w:szCs w:val="15"/>
        </w:rPr>
      </w:pPr>
      <w:r>
        <w:rPr>
          <w:rFonts w:ascii="宋体" w:hAnsi="宋体" w:cs="宋体" w:eastAsia="宋体" w:hint="default"/>
          <w:sz w:val="15"/>
          <w:szCs w:val="15"/>
        </w:rPr>
        <w:t>（含部分变更）</w:t>
      </w:r>
    </w:p>
    <w:p>
      <w:pPr>
        <w:spacing w:line="240" w:lineRule="auto" w:before="4"/>
        <w:rPr>
          <w:rFonts w:ascii="宋体" w:hAnsi="宋体" w:cs="宋体" w:eastAsia="宋体" w:hint="default"/>
          <w:sz w:val="19"/>
          <w:szCs w:val="19"/>
        </w:rPr>
      </w:pPr>
      <w:r>
        <w:rPr/>
        <w:br w:type="column"/>
      </w:r>
      <w:r>
        <w:rPr>
          <w:rFonts w:ascii="宋体"/>
          <w:sz w:val="19"/>
        </w:rPr>
      </w:r>
    </w:p>
    <w:p>
      <w:pPr>
        <w:spacing w:line="489" w:lineRule="auto" w:before="0"/>
        <w:ind w:left="277" w:right="-19" w:firstLine="0"/>
        <w:jc w:val="left"/>
        <w:rPr>
          <w:rFonts w:ascii="宋体" w:hAnsi="宋体" w:cs="宋体" w:eastAsia="宋体" w:hint="default"/>
          <w:sz w:val="15"/>
          <w:szCs w:val="15"/>
        </w:rPr>
      </w:pPr>
      <w:r>
        <w:rPr>
          <w:rFonts w:ascii="宋体" w:hAnsi="宋体" w:cs="宋体" w:eastAsia="宋体" w:hint="default"/>
          <w:sz w:val="15"/>
          <w:szCs w:val="15"/>
        </w:rPr>
        <w:t>募集资金承 诺投资总额</w:t>
      </w:r>
    </w:p>
    <w:p>
      <w:pPr>
        <w:spacing w:line="240" w:lineRule="auto" w:before="4"/>
        <w:rPr>
          <w:rFonts w:ascii="宋体" w:hAnsi="宋体" w:cs="宋体" w:eastAsia="宋体" w:hint="default"/>
          <w:sz w:val="19"/>
          <w:szCs w:val="19"/>
        </w:rPr>
      </w:pPr>
      <w:r>
        <w:rPr/>
        <w:br w:type="column"/>
      </w:r>
      <w:r>
        <w:rPr>
          <w:rFonts w:ascii="宋体"/>
          <w:sz w:val="19"/>
        </w:rPr>
      </w:r>
    </w:p>
    <w:p>
      <w:pPr>
        <w:spacing w:line="489" w:lineRule="auto" w:before="0"/>
        <w:ind w:left="597" w:right="-20" w:hanging="287"/>
        <w:jc w:val="left"/>
        <w:rPr>
          <w:rFonts w:ascii="Times New Roman" w:hAnsi="Times New Roman" w:cs="Times New Roman" w:eastAsia="Times New Roman" w:hint="default"/>
          <w:sz w:val="15"/>
          <w:szCs w:val="15"/>
        </w:rPr>
      </w:pPr>
      <w:r>
        <w:rPr>
          <w:rFonts w:ascii="宋体" w:hAnsi="宋体" w:cs="宋体" w:eastAsia="宋体" w:hint="default"/>
          <w:sz w:val="15"/>
          <w:szCs w:val="15"/>
        </w:rPr>
        <w:t>调整后投资总 额</w:t>
      </w:r>
      <w:r>
        <w:rPr>
          <w:rFonts w:ascii="Times New Roman" w:hAnsi="Times New Roman" w:cs="Times New Roman" w:eastAsia="Times New Roman" w:hint="default"/>
          <w:sz w:val="15"/>
          <w:szCs w:val="15"/>
        </w:rPr>
        <w:t>(1)</w:t>
      </w:r>
    </w:p>
    <w:p>
      <w:pPr>
        <w:spacing w:line="240" w:lineRule="auto" w:before="0"/>
        <w:rPr>
          <w:rFonts w:ascii="Times New Roman" w:hAnsi="Times New Roman" w:cs="Times New Roman" w:eastAsia="Times New Roman" w:hint="default"/>
          <w:sz w:val="14"/>
          <w:szCs w:val="14"/>
        </w:rPr>
      </w:pPr>
      <w:r>
        <w:rPr/>
        <w:br w:type="column"/>
      </w:r>
      <w:r>
        <w:rPr>
          <w:rFonts w:ascii="Times New Roman"/>
          <w:sz w:val="14"/>
        </w:rPr>
      </w:r>
    </w:p>
    <w:p>
      <w:pPr>
        <w:spacing w:line="489" w:lineRule="auto" w:before="92"/>
        <w:ind w:left="619" w:right="-19" w:hanging="375"/>
        <w:jc w:val="left"/>
        <w:rPr>
          <w:rFonts w:ascii="宋体" w:hAnsi="宋体" w:cs="宋体" w:eastAsia="宋体" w:hint="default"/>
          <w:sz w:val="15"/>
          <w:szCs w:val="15"/>
        </w:rPr>
      </w:pPr>
      <w:r>
        <w:rPr>
          <w:rFonts w:ascii="宋体" w:hAnsi="宋体" w:cs="宋体" w:eastAsia="宋体" w:hint="default"/>
          <w:sz w:val="15"/>
          <w:szCs w:val="15"/>
        </w:rPr>
        <w:t>本年度投入金 额</w:t>
      </w:r>
    </w:p>
    <w:p>
      <w:pPr>
        <w:spacing w:line="240" w:lineRule="auto" w:before="4"/>
        <w:rPr>
          <w:rFonts w:ascii="宋体" w:hAnsi="宋体" w:cs="宋体" w:eastAsia="宋体" w:hint="default"/>
          <w:sz w:val="19"/>
          <w:szCs w:val="19"/>
        </w:rPr>
      </w:pPr>
      <w:r>
        <w:rPr/>
        <w:br w:type="column"/>
      </w:r>
      <w:r>
        <w:rPr>
          <w:rFonts w:ascii="宋体"/>
          <w:sz w:val="19"/>
        </w:rPr>
      </w:r>
    </w:p>
    <w:p>
      <w:pPr>
        <w:spacing w:line="489" w:lineRule="auto" w:before="0"/>
        <w:ind w:left="311" w:right="-19" w:hanging="63"/>
        <w:jc w:val="left"/>
        <w:rPr>
          <w:rFonts w:ascii="Times New Roman" w:hAnsi="Times New Roman" w:cs="Times New Roman" w:eastAsia="Times New Roman" w:hint="default"/>
          <w:sz w:val="15"/>
          <w:szCs w:val="15"/>
        </w:rPr>
      </w:pPr>
      <w:r>
        <w:rPr>
          <w:rFonts w:ascii="宋体" w:hAnsi="宋体" w:cs="宋体" w:eastAsia="宋体" w:hint="default"/>
          <w:sz w:val="15"/>
          <w:szCs w:val="15"/>
        </w:rPr>
        <w:t>截至期末累计 投入金额</w:t>
      </w:r>
      <w:r>
        <w:rPr>
          <w:rFonts w:ascii="Times New Roman" w:hAnsi="Times New Roman" w:cs="Times New Roman" w:eastAsia="Times New Roman" w:hint="default"/>
          <w:sz w:val="15"/>
          <w:szCs w:val="15"/>
        </w:rPr>
        <w:t>(2)</w:t>
      </w:r>
    </w:p>
    <w:p>
      <w:pPr>
        <w:spacing w:line="240" w:lineRule="auto" w:before="11"/>
        <w:rPr>
          <w:rFonts w:ascii="Times New Roman" w:hAnsi="Times New Roman" w:cs="Times New Roman" w:eastAsia="Times New Roman" w:hint="default"/>
          <w:sz w:val="21"/>
          <w:szCs w:val="21"/>
        </w:rPr>
      </w:pPr>
      <w:r>
        <w:rPr/>
        <w:br w:type="column"/>
      </w:r>
      <w:r>
        <w:rPr>
          <w:rFonts w:ascii="Times New Roman"/>
          <w:sz w:val="21"/>
        </w:rPr>
      </w:r>
    </w:p>
    <w:p>
      <w:pPr>
        <w:spacing w:before="0"/>
        <w:ind w:left="246" w:right="0" w:firstLine="0"/>
        <w:jc w:val="center"/>
        <w:rPr>
          <w:rFonts w:ascii="宋体" w:hAnsi="宋体" w:cs="宋体" w:eastAsia="宋体" w:hint="default"/>
          <w:sz w:val="15"/>
          <w:szCs w:val="15"/>
        </w:rPr>
      </w:pPr>
      <w:r>
        <w:rPr>
          <w:rFonts w:ascii="宋体" w:hAnsi="宋体" w:cs="宋体" w:eastAsia="宋体" w:hint="default"/>
          <w:spacing w:val="-1"/>
          <w:sz w:val="15"/>
          <w:szCs w:val="15"/>
        </w:rPr>
        <w:t>截至期末投入进度（</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p>
      <w:pPr>
        <w:spacing w:line="240" w:lineRule="auto" w:before="10"/>
        <w:rPr>
          <w:rFonts w:ascii="宋体" w:hAnsi="宋体" w:cs="宋体" w:eastAsia="宋体" w:hint="default"/>
          <w:sz w:val="14"/>
          <w:szCs w:val="14"/>
        </w:rPr>
      </w:pPr>
    </w:p>
    <w:p>
      <w:pPr>
        <w:spacing w:before="0"/>
        <w:ind w:left="173" w:right="0" w:firstLine="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w:t>
      </w:r>
      <w:r>
        <w:rPr>
          <w:rFonts w:ascii="Times New Roman" w:hAnsi="Times New Roman" w:cs="Times New Roman" w:eastAsia="Times New Roman" w:hint="default"/>
          <w:sz w:val="15"/>
          <w:szCs w:val="15"/>
        </w:rPr>
        <w:t>(2)/(1)</w:t>
      </w:r>
    </w:p>
    <w:p>
      <w:pPr>
        <w:spacing w:line="240" w:lineRule="auto" w:before="0"/>
        <w:rPr>
          <w:rFonts w:ascii="Times New Roman" w:hAnsi="Times New Roman" w:cs="Times New Roman" w:eastAsia="Times New Roman" w:hint="default"/>
          <w:sz w:val="14"/>
          <w:szCs w:val="14"/>
        </w:rPr>
      </w:pPr>
      <w:r>
        <w:rPr/>
        <w:br w:type="column"/>
      </w:r>
      <w:r>
        <w:rPr>
          <w:rFonts w:ascii="Times New Roman"/>
          <w:sz w:val="14"/>
        </w:rPr>
      </w:r>
    </w:p>
    <w:p>
      <w:pPr>
        <w:spacing w:line="489" w:lineRule="auto" w:before="92"/>
        <w:ind w:left="345" w:right="-20" w:hanging="225"/>
        <w:jc w:val="left"/>
        <w:rPr>
          <w:rFonts w:ascii="宋体" w:hAnsi="宋体" w:cs="宋体" w:eastAsia="宋体" w:hint="default"/>
          <w:sz w:val="15"/>
          <w:szCs w:val="15"/>
        </w:rPr>
      </w:pPr>
      <w:r>
        <w:rPr>
          <w:rFonts w:ascii="宋体" w:hAnsi="宋体" w:cs="宋体" w:eastAsia="宋体" w:hint="default"/>
          <w:sz w:val="15"/>
          <w:szCs w:val="15"/>
        </w:rPr>
        <w:t>项目达到预定可使 用状态日期</w:t>
      </w:r>
    </w:p>
    <w:p>
      <w:pPr>
        <w:spacing w:line="240" w:lineRule="auto" w:before="4"/>
        <w:rPr>
          <w:rFonts w:ascii="宋体" w:hAnsi="宋体" w:cs="宋体" w:eastAsia="宋体" w:hint="default"/>
          <w:sz w:val="19"/>
          <w:szCs w:val="19"/>
        </w:rPr>
      </w:pPr>
      <w:r>
        <w:rPr/>
        <w:br w:type="column"/>
      </w:r>
      <w:r>
        <w:rPr>
          <w:rFonts w:ascii="宋体"/>
          <w:sz w:val="19"/>
        </w:rPr>
      </w:r>
    </w:p>
    <w:p>
      <w:pPr>
        <w:spacing w:line="489" w:lineRule="auto" w:before="0"/>
        <w:ind w:left="211" w:right="-19" w:firstLine="0"/>
        <w:jc w:val="left"/>
        <w:rPr>
          <w:rFonts w:ascii="宋体" w:hAnsi="宋体" w:cs="宋体" w:eastAsia="宋体" w:hint="default"/>
          <w:sz w:val="15"/>
          <w:szCs w:val="15"/>
        </w:rPr>
      </w:pPr>
      <w:r>
        <w:rPr>
          <w:rFonts w:ascii="宋体" w:hAnsi="宋体" w:cs="宋体" w:eastAsia="宋体" w:hint="default"/>
          <w:sz w:val="15"/>
          <w:szCs w:val="15"/>
        </w:rPr>
        <w:t>本年度实 现的效益</w:t>
      </w:r>
    </w:p>
    <w:p>
      <w:pPr>
        <w:spacing w:line="240" w:lineRule="auto" w:before="4"/>
        <w:rPr>
          <w:rFonts w:ascii="宋体" w:hAnsi="宋体" w:cs="宋体" w:eastAsia="宋体" w:hint="default"/>
          <w:sz w:val="19"/>
          <w:szCs w:val="19"/>
        </w:rPr>
      </w:pPr>
      <w:r>
        <w:rPr/>
        <w:br w:type="column"/>
      </w:r>
      <w:r>
        <w:rPr>
          <w:rFonts w:ascii="宋体"/>
          <w:sz w:val="19"/>
        </w:rPr>
      </w:r>
    </w:p>
    <w:p>
      <w:pPr>
        <w:spacing w:line="489" w:lineRule="auto" w:before="0"/>
        <w:ind w:left="244" w:right="-20" w:firstLine="0"/>
        <w:jc w:val="left"/>
        <w:rPr>
          <w:rFonts w:ascii="宋体" w:hAnsi="宋体" w:cs="宋体" w:eastAsia="宋体" w:hint="default"/>
          <w:sz w:val="15"/>
          <w:szCs w:val="15"/>
        </w:rPr>
      </w:pPr>
      <w:r>
        <w:rPr>
          <w:rFonts w:ascii="宋体" w:hAnsi="宋体" w:cs="宋体" w:eastAsia="宋体" w:hint="default"/>
          <w:sz w:val="15"/>
          <w:szCs w:val="15"/>
        </w:rPr>
        <w:t>是否达到 预计效益</w:t>
      </w:r>
    </w:p>
    <w:p>
      <w:pPr>
        <w:spacing w:line="489" w:lineRule="auto" w:before="53"/>
        <w:ind w:left="294" w:right="293" w:firstLine="0"/>
        <w:jc w:val="left"/>
        <w:rPr>
          <w:rFonts w:ascii="宋体" w:hAnsi="宋体" w:cs="宋体" w:eastAsia="宋体" w:hint="default"/>
          <w:sz w:val="15"/>
          <w:szCs w:val="15"/>
        </w:rPr>
      </w:pPr>
      <w:r>
        <w:rPr/>
        <w:br w:type="column"/>
      </w:r>
      <w:r>
        <w:rPr>
          <w:rFonts w:ascii="宋体" w:hAnsi="宋体" w:cs="宋体" w:eastAsia="宋体" w:hint="default"/>
          <w:sz w:val="15"/>
          <w:szCs w:val="15"/>
        </w:rPr>
        <w:t>项目可行性是 否发生重大变</w:t>
      </w:r>
    </w:p>
    <w:p>
      <w:pPr>
        <w:spacing w:after="0" w:line="489" w:lineRule="auto"/>
        <w:jc w:val="left"/>
        <w:rPr>
          <w:rFonts w:ascii="宋体" w:hAnsi="宋体" w:cs="宋体" w:eastAsia="宋体" w:hint="default"/>
          <w:sz w:val="15"/>
          <w:szCs w:val="15"/>
        </w:rPr>
        <w:sectPr>
          <w:type w:val="continuous"/>
          <w:pgSz w:w="16840" w:h="11910" w:orient="landscape"/>
          <w:pgMar w:top="900" w:bottom="1460" w:left="1180" w:right="1240"/>
          <w:cols w:num="11" w:equalWidth="0">
            <w:col w:w="1818" w:space="40"/>
            <w:col w:w="1322" w:space="40"/>
            <w:col w:w="1028" w:space="40"/>
            <w:col w:w="1211" w:space="40"/>
            <w:col w:w="1146" w:space="40"/>
            <w:col w:w="1150" w:space="40"/>
            <w:col w:w="1864" w:space="40"/>
            <w:col w:w="1321" w:space="40"/>
            <w:col w:w="812" w:space="40"/>
            <w:col w:w="845" w:space="40"/>
            <w:col w:w="1503"/>
          </w:cols>
        </w:sectPr>
      </w:pPr>
    </w:p>
    <w:p>
      <w:pPr>
        <w:spacing w:line="240" w:lineRule="auto" w:before="5"/>
        <w:rPr>
          <w:rFonts w:ascii="宋体" w:hAnsi="宋体" w:cs="宋体" w:eastAsia="宋体" w:hint="default"/>
          <w:sz w:val="13"/>
          <w:szCs w:val="13"/>
        </w:rPr>
      </w:pPr>
    </w:p>
    <w:p>
      <w:pPr>
        <w:tabs>
          <w:tab w:pos="2579" w:val="left" w:leader="none"/>
        </w:tabs>
        <w:spacing w:line="244" w:lineRule="auto" w:before="53"/>
        <w:ind w:left="259" w:right="11688" w:firstLine="357"/>
        <w:jc w:val="left"/>
        <w:rPr>
          <w:rFonts w:ascii="宋体" w:hAnsi="宋体" w:cs="宋体" w:eastAsia="宋体" w:hint="default"/>
          <w:sz w:val="15"/>
          <w:szCs w:val="15"/>
        </w:rPr>
      </w:pPr>
      <w:r>
        <w:rPr/>
        <w:pict>
          <v:shape style="position:absolute;margin-left:236.860504pt;margin-top:-15.6053pt;width:511.3pt;height:115.9pt;mso-position-horizontal-relative:page;mso-position-vertical-relative:paragraph;z-index:21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23"/>
                    <w:gridCol w:w="1146"/>
                    <w:gridCol w:w="1188"/>
                    <w:gridCol w:w="1411"/>
                    <w:gridCol w:w="1235"/>
                    <w:gridCol w:w="1704"/>
                    <w:gridCol w:w="960"/>
                    <w:gridCol w:w="892"/>
                    <w:gridCol w:w="667"/>
                  </w:tblGrid>
                  <w:tr>
                    <w:trPr>
                      <w:trHeight w:val="1052" w:hRule="exact"/>
                    </w:trPr>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264"/>
                          <w:jc w:val="right"/>
                          <w:rPr>
                            <w:rFonts w:ascii="Times New Roman" w:hAnsi="Times New Roman" w:cs="Times New Roman" w:eastAsia="Times New Roman" w:hint="default"/>
                            <w:sz w:val="18"/>
                            <w:szCs w:val="18"/>
                          </w:rPr>
                        </w:pPr>
                        <w:r>
                          <w:rPr>
                            <w:rFonts w:ascii="Times New Roman"/>
                            <w:sz w:val="18"/>
                          </w:rPr>
                          <w:t>33,140.83</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55"/>
                          <w:jc w:val="right"/>
                          <w:rPr>
                            <w:rFonts w:ascii="Times New Roman" w:hAnsi="Times New Roman" w:cs="Times New Roman" w:eastAsia="Times New Roman" w:hint="default"/>
                            <w:sz w:val="18"/>
                            <w:szCs w:val="18"/>
                          </w:rPr>
                        </w:pPr>
                        <w:r>
                          <w:rPr>
                            <w:rFonts w:ascii="Times New Roman"/>
                            <w:sz w:val="18"/>
                          </w:rPr>
                          <w:t>33,140.83</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4"/>
                          <w:ind w:right="226"/>
                          <w:jc w:val="right"/>
                          <w:rPr>
                            <w:rFonts w:ascii="Times New Roman" w:hAnsi="Times New Roman" w:cs="Times New Roman" w:eastAsia="Times New Roman" w:hint="default"/>
                            <w:sz w:val="20"/>
                            <w:szCs w:val="20"/>
                          </w:rPr>
                        </w:pPr>
                        <w:r>
                          <w:rPr>
                            <w:rFonts w:ascii="Times New Roman"/>
                            <w:spacing w:val="-1"/>
                            <w:sz w:val="20"/>
                          </w:rPr>
                          <w:t>16,501.74</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4"/>
                          <w:ind w:right="378"/>
                          <w:jc w:val="right"/>
                          <w:rPr>
                            <w:rFonts w:ascii="Times New Roman" w:hAnsi="Times New Roman" w:cs="Times New Roman" w:eastAsia="Times New Roman" w:hint="default"/>
                            <w:sz w:val="20"/>
                            <w:szCs w:val="20"/>
                          </w:rPr>
                        </w:pPr>
                        <w:r>
                          <w:rPr>
                            <w:rFonts w:ascii="Times New Roman"/>
                            <w:spacing w:val="-1"/>
                            <w:sz w:val="20"/>
                          </w:rPr>
                          <w:t>16,501.74</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4"/>
                          <w:ind w:right="22"/>
                          <w:jc w:val="center"/>
                          <w:rPr>
                            <w:rFonts w:ascii="Times New Roman" w:hAnsi="Times New Roman" w:cs="Times New Roman" w:eastAsia="Times New Roman" w:hint="default"/>
                            <w:sz w:val="20"/>
                            <w:szCs w:val="20"/>
                          </w:rPr>
                        </w:pPr>
                        <w:r>
                          <w:rPr>
                            <w:rFonts w:ascii="Times New Roman"/>
                            <w:sz w:val="20"/>
                          </w:rPr>
                          <w:t>49.79</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8"/>
                            <w:szCs w:val="28"/>
                          </w:rPr>
                        </w:pPr>
                      </w:p>
                      <w:p>
                        <w:pPr>
                          <w:pStyle w:val="TableParagraph"/>
                          <w:spacing w:line="240" w:lineRule="auto"/>
                          <w:ind w:right="148"/>
                          <w:jc w:val="right"/>
                          <w:rPr>
                            <w:rFonts w:ascii="宋体" w:hAnsi="宋体" w:cs="宋体" w:eastAsia="宋体" w:hint="default"/>
                            <w:sz w:val="20"/>
                            <w:szCs w:val="20"/>
                          </w:rPr>
                        </w:pPr>
                        <w:r>
                          <w:rPr>
                            <w:rFonts w:ascii="Times New Roman" w:hAnsi="Times New Roman" w:cs="Times New Roman" w:eastAsia="Times New Roman" w:hint="default"/>
                            <w:sz w:val="20"/>
                            <w:szCs w:val="20"/>
                          </w:rPr>
                          <w:t>2012</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Times New Roman" w:hAnsi="Times New Roman" w:cs="Times New Roman" w:eastAsia="Times New Roman" w:hint="default"/>
                            <w:sz w:val="20"/>
                            <w:szCs w:val="20"/>
                          </w:rPr>
                          <w:t>12</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月</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4"/>
                          <w:ind w:right="107"/>
                          <w:jc w:val="center"/>
                          <w:rPr>
                            <w:rFonts w:ascii="Times New Roman" w:hAnsi="Times New Roman" w:cs="Times New Roman" w:eastAsia="Times New Roman" w:hint="default"/>
                            <w:sz w:val="20"/>
                            <w:szCs w:val="20"/>
                          </w:rPr>
                        </w:pPr>
                        <w:r>
                          <w:rPr>
                            <w:rFonts w:ascii="Times New Roman"/>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259" w:right="0"/>
                          <w:jc w:val="left"/>
                          <w:rPr>
                            <w:rFonts w:ascii="Times New Roman" w:hAnsi="Times New Roman" w:cs="Times New Roman" w:eastAsia="Times New Roman" w:hint="default"/>
                            <w:sz w:val="18"/>
                            <w:szCs w:val="18"/>
                          </w:rPr>
                        </w:pPr>
                        <w:r>
                          <w:rPr>
                            <w:rFonts w:ascii="Times New Roman"/>
                            <w:sz w:val="18"/>
                          </w:rPr>
                          <w:t>---</w:t>
                        </w:r>
                      </w:p>
                    </w:tc>
                    <w:tc>
                      <w:tcPr>
                        <w:tcW w:w="667" w:type="dxa"/>
                        <w:tcBorders>
                          <w:top w:val="nil" w:sz="6" w:space="0" w:color="auto"/>
                          <w:left w:val="nil" w:sz="6" w:space="0" w:color="auto"/>
                          <w:bottom w:val="nil" w:sz="6" w:space="0" w:color="auto"/>
                          <w:right w:val="nil" w:sz="6" w:space="0" w:color="auto"/>
                        </w:tcBorders>
                      </w:tcPr>
                      <w:p>
                        <w:pPr>
                          <w:pStyle w:val="TableParagraph"/>
                          <w:spacing w:line="151" w:lineRule="exact"/>
                          <w:ind w:right="33"/>
                          <w:jc w:val="right"/>
                          <w:rPr>
                            <w:rFonts w:ascii="宋体" w:hAnsi="宋体" w:cs="宋体" w:eastAsia="宋体" w:hint="default"/>
                            <w:sz w:val="15"/>
                            <w:szCs w:val="15"/>
                          </w:rPr>
                        </w:pPr>
                        <w:r>
                          <w:rPr>
                            <w:rFonts w:ascii="宋体" w:hAnsi="宋体" w:cs="宋体" w:eastAsia="宋体" w:hint="default"/>
                            <w:sz w:val="15"/>
                            <w:szCs w:val="15"/>
                          </w:rPr>
                          <w:t>化</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502" w:hRule="exact"/>
                    </w:trPr>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64"/>
                          <w:jc w:val="right"/>
                          <w:rPr>
                            <w:rFonts w:ascii="Times New Roman" w:hAnsi="Times New Roman" w:cs="Times New Roman" w:eastAsia="Times New Roman" w:hint="default"/>
                            <w:sz w:val="18"/>
                            <w:szCs w:val="18"/>
                          </w:rPr>
                        </w:pPr>
                        <w:r>
                          <w:rPr>
                            <w:rFonts w:ascii="Times New Roman"/>
                            <w:sz w:val="18"/>
                          </w:rPr>
                          <w:t>7,610.39</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55"/>
                          <w:jc w:val="right"/>
                          <w:rPr>
                            <w:rFonts w:ascii="Times New Roman" w:hAnsi="Times New Roman" w:cs="Times New Roman" w:eastAsia="Times New Roman" w:hint="default"/>
                            <w:sz w:val="18"/>
                            <w:szCs w:val="18"/>
                          </w:rPr>
                        </w:pPr>
                        <w:r>
                          <w:rPr>
                            <w:rFonts w:ascii="Times New Roman"/>
                            <w:sz w:val="18"/>
                          </w:rPr>
                          <w:t>7,610.39</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226"/>
                          <w:jc w:val="right"/>
                          <w:rPr>
                            <w:rFonts w:ascii="Times New Roman" w:hAnsi="Times New Roman" w:cs="Times New Roman" w:eastAsia="Times New Roman" w:hint="default"/>
                            <w:sz w:val="20"/>
                            <w:szCs w:val="20"/>
                          </w:rPr>
                        </w:pPr>
                        <w:r>
                          <w:rPr>
                            <w:rFonts w:ascii="Times New Roman"/>
                            <w:spacing w:val="-1"/>
                            <w:sz w:val="20"/>
                          </w:rPr>
                          <w:t>1,015.38</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378"/>
                          <w:jc w:val="right"/>
                          <w:rPr>
                            <w:rFonts w:ascii="Times New Roman" w:hAnsi="Times New Roman" w:cs="Times New Roman" w:eastAsia="Times New Roman" w:hint="default"/>
                            <w:sz w:val="20"/>
                            <w:szCs w:val="20"/>
                          </w:rPr>
                        </w:pPr>
                        <w:r>
                          <w:rPr>
                            <w:rFonts w:ascii="Times New Roman"/>
                            <w:spacing w:val="-1"/>
                            <w:sz w:val="20"/>
                          </w:rPr>
                          <w:t>1,015.38</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21"/>
                          <w:jc w:val="center"/>
                          <w:rPr>
                            <w:rFonts w:ascii="Times New Roman" w:hAnsi="Times New Roman" w:cs="Times New Roman" w:eastAsia="Times New Roman" w:hint="default"/>
                            <w:sz w:val="20"/>
                            <w:szCs w:val="20"/>
                          </w:rPr>
                        </w:pPr>
                        <w:r>
                          <w:rPr>
                            <w:rFonts w:ascii="Times New Roman"/>
                            <w:sz w:val="20"/>
                          </w:rPr>
                          <w:t>13.34</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48"/>
                          <w:jc w:val="right"/>
                          <w:rPr>
                            <w:rFonts w:ascii="宋体" w:hAnsi="宋体" w:cs="宋体" w:eastAsia="宋体" w:hint="default"/>
                            <w:sz w:val="20"/>
                            <w:szCs w:val="20"/>
                          </w:rPr>
                        </w:pPr>
                        <w:r>
                          <w:rPr>
                            <w:rFonts w:ascii="Times New Roman" w:hAnsi="Times New Roman" w:cs="Times New Roman" w:eastAsia="Times New Roman" w:hint="default"/>
                            <w:sz w:val="20"/>
                            <w:szCs w:val="20"/>
                          </w:rPr>
                          <w:t>2012</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Times New Roman" w:hAnsi="Times New Roman" w:cs="Times New Roman" w:eastAsia="Times New Roman" w:hint="default"/>
                            <w:sz w:val="20"/>
                            <w:szCs w:val="20"/>
                          </w:rPr>
                          <w:t>10</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月</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307"/>
                          <w:jc w:val="right"/>
                          <w:rPr>
                            <w:rFonts w:ascii="Times New Roman" w:hAnsi="Times New Roman" w:cs="Times New Roman" w:eastAsia="Times New Roman" w:hint="default"/>
                            <w:sz w:val="20"/>
                            <w:szCs w:val="20"/>
                          </w:rPr>
                        </w:pPr>
                        <w:r>
                          <w:rPr>
                            <w:rFonts w:ascii="Times New Roman"/>
                            <w:spacing w:val="-1"/>
                            <w:sz w:val="20"/>
                          </w:rPr>
                          <w:t>12.48</w:t>
                        </w:r>
                        <w:r>
                          <w:rPr>
                            <w:rFonts w:ascii="Times New Roman"/>
                            <w:sz w:val="20"/>
                          </w:rPr>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98"/>
                          <w:ind w:left="25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67"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60" w:hRule="exact"/>
                    </w:trPr>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264"/>
                          <w:jc w:val="right"/>
                          <w:rPr>
                            <w:rFonts w:ascii="Times New Roman" w:hAnsi="Times New Roman" w:cs="Times New Roman" w:eastAsia="Times New Roman" w:hint="default"/>
                            <w:sz w:val="18"/>
                            <w:szCs w:val="18"/>
                          </w:rPr>
                        </w:pPr>
                        <w:r>
                          <w:rPr>
                            <w:rFonts w:ascii="Times New Roman"/>
                            <w:sz w:val="18"/>
                          </w:rPr>
                          <w:t>4,479.05</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55"/>
                          <w:jc w:val="right"/>
                          <w:rPr>
                            <w:rFonts w:ascii="Times New Roman" w:hAnsi="Times New Roman" w:cs="Times New Roman" w:eastAsia="Times New Roman" w:hint="default"/>
                            <w:sz w:val="18"/>
                            <w:szCs w:val="18"/>
                          </w:rPr>
                        </w:pPr>
                        <w:r>
                          <w:rPr>
                            <w:rFonts w:ascii="Times New Roman"/>
                            <w:sz w:val="18"/>
                          </w:rPr>
                          <w:t>4,479.05</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226"/>
                          <w:jc w:val="right"/>
                          <w:rPr>
                            <w:rFonts w:ascii="Times New Roman" w:hAnsi="Times New Roman" w:cs="Times New Roman" w:eastAsia="Times New Roman" w:hint="default"/>
                            <w:sz w:val="20"/>
                            <w:szCs w:val="20"/>
                          </w:rPr>
                        </w:pPr>
                        <w:r>
                          <w:rPr>
                            <w:rFonts w:ascii="Times New Roman"/>
                            <w:spacing w:val="-1"/>
                            <w:sz w:val="20"/>
                          </w:rPr>
                          <w:t>477.23</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378"/>
                          <w:jc w:val="right"/>
                          <w:rPr>
                            <w:rFonts w:ascii="Times New Roman" w:hAnsi="Times New Roman" w:cs="Times New Roman" w:eastAsia="Times New Roman" w:hint="default"/>
                            <w:sz w:val="20"/>
                            <w:szCs w:val="20"/>
                          </w:rPr>
                        </w:pPr>
                        <w:r>
                          <w:rPr>
                            <w:rFonts w:ascii="Times New Roman"/>
                            <w:spacing w:val="-1"/>
                            <w:sz w:val="20"/>
                          </w:rPr>
                          <w:t>477.23</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9"/>
                          <w:jc w:val="center"/>
                          <w:rPr>
                            <w:rFonts w:ascii="Times New Roman" w:hAnsi="Times New Roman" w:cs="Times New Roman" w:eastAsia="Times New Roman" w:hint="default"/>
                            <w:sz w:val="20"/>
                            <w:szCs w:val="20"/>
                          </w:rPr>
                        </w:pPr>
                        <w:r>
                          <w:rPr>
                            <w:rFonts w:ascii="Times New Roman"/>
                            <w:sz w:val="20"/>
                          </w:rPr>
                          <w:t>10.65</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99"/>
                          <w:jc w:val="right"/>
                          <w:rPr>
                            <w:rFonts w:ascii="宋体" w:hAnsi="宋体" w:cs="宋体" w:eastAsia="宋体" w:hint="default"/>
                            <w:sz w:val="20"/>
                            <w:szCs w:val="20"/>
                          </w:rPr>
                        </w:pPr>
                        <w:r>
                          <w:rPr>
                            <w:rFonts w:ascii="Times New Roman" w:hAnsi="Times New Roman" w:cs="Times New Roman" w:eastAsia="Times New Roman" w:hint="default"/>
                            <w:sz w:val="20"/>
                            <w:szCs w:val="20"/>
                          </w:rPr>
                          <w:t>2012</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Times New Roman" w:hAnsi="Times New Roman" w:cs="Times New Roman" w:eastAsia="Times New Roman" w:hint="default"/>
                            <w:sz w:val="20"/>
                            <w:szCs w:val="20"/>
                          </w:rPr>
                          <w:t>8 </w:t>
                        </w:r>
                        <w:r>
                          <w:rPr>
                            <w:rFonts w:ascii="宋体" w:hAnsi="宋体" w:cs="宋体" w:eastAsia="宋体" w:hint="default"/>
                            <w:sz w:val="20"/>
                            <w:szCs w:val="20"/>
                          </w:rPr>
                          <w:t>月</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257"/>
                          <w:jc w:val="right"/>
                          <w:rPr>
                            <w:rFonts w:ascii="Times New Roman" w:hAnsi="Times New Roman" w:cs="Times New Roman" w:eastAsia="Times New Roman" w:hint="default"/>
                            <w:sz w:val="20"/>
                            <w:szCs w:val="20"/>
                          </w:rPr>
                        </w:pPr>
                        <w:r>
                          <w:rPr>
                            <w:rFonts w:ascii="Times New Roman"/>
                            <w:spacing w:val="-1"/>
                            <w:sz w:val="20"/>
                          </w:rPr>
                          <w:t>396.07</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98"/>
                          <w:ind w:left="25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67"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04" w:hRule="exact"/>
                    </w:trPr>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64"/>
                          <w:jc w:val="right"/>
                          <w:rPr>
                            <w:rFonts w:ascii="Times New Roman" w:hAnsi="Times New Roman" w:cs="Times New Roman" w:eastAsia="Times New Roman" w:hint="default"/>
                            <w:sz w:val="18"/>
                            <w:szCs w:val="18"/>
                          </w:rPr>
                        </w:pPr>
                        <w:r>
                          <w:rPr>
                            <w:rFonts w:ascii="Times New Roman"/>
                            <w:sz w:val="18"/>
                          </w:rPr>
                          <w:t>45,230.27</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55"/>
                          <w:jc w:val="right"/>
                          <w:rPr>
                            <w:rFonts w:ascii="Times New Roman" w:hAnsi="Times New Roman" w:cs="Times New Roman" w:eastAsia="Times New Roman" w:hint="default"/>
                            <w:sz w:val="18"/>
                            <w:szCs w:val="18"/>
                          </w:rPr>
                        </w:pPr>
                        <w:r>
                          <w:rPr>
                            <w:rFonts w:ascii="Times New Roman"/>
                            <w:sz w:val="18"/>
                          </w:rPr>
                          <w:t>45,230.27</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7"/>
                          <w:jc w:val="right"/>
                          <w:rPr>
                            <w:rFonts w:ascii="Times New Roman" w:hAnsi="Times New Roman" w:cs="Times New Roman" w:eastAsia="Times New Roman" w:hint="default"/>
                            <w:sz w:val="20"/>
                            <w:szCs w:val="20"/>
                          </w:rPr>
                        </w:pPr>
                        <w:r>
                          <w:rPr>
                            <w:rFonts w:ascii="Times New Roman"/>
                            <w:spacing w:val="-1"/>
                            <w:sz w:val="20"/>
                          </w:rPr>
                          <w:t>17,994.35</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79"/>
                          <w:jc w:val="right"/>
                          <w:rPr>
                            <w:rFonts w:ascii="Times New Roman" w:hAnsi="Times New Roman" w:cs="Times New Roman" w:eastAsia="Times New Roman" w:hint="default"/>
                            <w:sz w:val="20"/>
                            <w:szCs w:val="20"/>
                          </w:rPr>
                        </w:pPr>
                        <w:r>
                          <w:rPr>
                            <w:rFonts w:ascii="Times New Roman"/>
                            <w:spacing w:val="-1"/>
                            <w:sz w:val="20"/>
                          </w:rPr>
                          <w:t>17,994.35</w:t>
                        </w:r>
                      </w:p>
                    </w:tc>
                    <w:tc>
                      <w:tcPr>
                        <w:tcW w:w="1235"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nil" w:sz="6" w:space="0" w:color="auto"/>
                        </w:tcBorders>
                      </w:tcPr>
                      <w:p>
                        <w:pPr/>
                      </w:p>
                    </w:tc>
                    <w:tc>
                      <w:tcPr>
                        <w:tcW w:w="960" w:type="dxa"/>
                        <w:tcBorders>
                          <w:top w:val="nil" w:sz="6" w:space="0" w:color="auto"/>
                          <w:left w:val="nil" w:sz="6" w:space="0" w:color="auto"/>
                          <w:bottom w:val="nil" w:sz="6" w:space="0" w:color="auto"/>
                          <w:right w:val="nil" w:sz="6" w:space="0" w:color="auto"/>
                        </w:tcBorders>
                      </w:tcPr>
                      <w:p>
                        <w:pPr/>
                      </w:p>
                    </w:tc>
                    <w:tc>
                      <w:tcPr>
                        <w:tcW w:w="892" w:type="dxa"/>
                        <w:tcBorders>
                          <w:top w:val="nil" w:sz="6" w:space="0" w:color="auto"/>
                          <w:left w:val="nil" w:sz="6" w:space="0" w:color="auto"/>
                          <w:bottom w:val="nil" w:sz="6" w:space="0" w:color="auto"/>
                          <w:right w:val="nil" w:sz="6" w:space="0" w:color="auto"/>
                        </w:tcBorders>
                      </w:tcPr>
                      <w:p>
                        <w:pPr/>
                      </w:p>
                    </w:tc>
                    <w:tc>
                      <w:tcPr>
                        <w:tcW w:w="667"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sz w:val="15"/>
          <w:szCs w:val="15"/>
        </w:rPr>
        <w:t>承诺投资项目 1、高性能耐热聚酰亚胺 </w:t>
      </w:r>
      <w:r>
        <w:rPr>
          <w:rFonts w:ascii="宋体" w:hAnsi="宋体" w:cs="宋体" w:eastAsia="宋体" w:hint="default"/>
          <w:position w:val="1"/>
          <w:sz w:val="15"/>
          <w:szCs w:val="15"/>
        </w:rPr>
        <w:t>纤维产业化项目</w:t>
        <w:tab/>
      </w:r>
      <w:r>
        <w:rPr>
          <w:rFonts w:ascii="宋体" w:hAnsi="宋体" w:cs="宋体" w:eastAsia="宋体" w:hint="default"/>
          <w:sz w:val="15"/>
          <w:szCs w:val="15"/>
        </w:rPr>
        <w:t>否</w:t>
      </w:r>
    </w:p>
    <w:p>
      <w:pPr>
        <w:spacing w:before="4"/>
        <w:ind w:left="259" w:right="12566" w:firstLine="0"/>
        <w:jc w:val="left"/>
        <w:rPr>
          <w:rFonts w:ascii="宋体" w:hAnsi="宋体" w:cs="宋体" w:eastAsia="宋体" w:hint="default"/>
          <w:sz w:val="15"/>
          <w:szCs w:val="15"/>
        </w:rPr>
      </w:pPr>
      <w:r>
        <w:rPr>
          <w:rFonts w:ascii="宋体" w:hAnsi="宋体" w:cs="宋体" w:eastAsia="宋体" w:hint="default"/>
          <w:sz w:val="15"/>
          <w:szCs w:val="15"/>
        </w:rPr>
        <w:t>2、新型高性能高分子材 料金属复合管母线及结</w:t>
      </w:r>
    </w:p>
    <w:p>
      <w:pPr>
        <w:tabs>
          <w:tab w:pos="2579" w:val="left" w:leader="none"/>
        </w:tabs>
        <w:spacing w:line="194" w:lineRule="exact" w:before="0"/>
        <w:ind w:left="259" w:right="0" w:firstLine="0"/>
        <w:jc w:val="left"/>
        <w:rPr>
          <w:rFonts w:ascii="宋体" w:hAnsi="宋体" w:cs="宋体" w:eastAsia="宋体" w:hint="default"/>
          <w:sz w:val="15"/>
          <w:szCs w:val="15"/>
        </w:rPr>
      </w:pPr>
      <w:r>
        <w:rPr>
          <w:rFonts w:ascii="宋体" w:hAnsi="宋体" w:cs="宋体" w:eastAsia="宋体" w:hint="default"/>
          <w:sz w:val="15"/>
          <w:szCs w:val="15"/>
        </w:rPr>
        <w:t>构件项目</w:t>
        <w:tab/>
      </w:r>
      <w:r>
        <w:rPr>
          <w:rFonts w:ascii="宋体" w:hAnsi="宋体" w:cs="宋体" w:eastAsia="宋体" w:hint="default"/>
          <w:position w:val="9"/>
          <w:sz w:val="15"/>
          <w:szCs w:val="15"/>
        </w:rPr>
        <w:t>否</w:t>
      </w:r>
      <w:r>
        <w:rPr>
          <w:rFonts w:ascii="宋体" w:hAnsi="宋体" w:cs="宋体" w:eastAsia="宋体" w:hint="default"/>
          <w:sz w:val="15"/>
          <w:szCs w:val="15"/>
        </w:rPr>
      </w:r>
    </w:p>
    <w:p>
      <w:pPr>
        <w:spacing w:before="13"/>
        <w:ind w:left="259" w:right="0" w:firstLine="0"/>
        <w:jc w:val="left"/>
        <w:rPr>
          <w:rFonts w:ascii="宋体" w:hAnsi="宋体" w:cs="宋体" w:eastAsia="宋体" w:hint="default"/>
          <w:sz w:val="15"/>
          <w:szCs w:val="15"/>
        </w:rPr>
      </w:pPr>
      <w:r>
        <w:rPr>
          <w:rFonts w:ascii="宋体" w:hAnsi="宋体" w:cs="宋体" w:eastAsia="宋体" w:hint="default"/>
          <w:sz w:val="15"/>
          <w:szCs w:val="15"/>
        </w:rPr>
        <w:t>3、真空绝缘电气控制设</w:t>
      </w:r>
    </w:p>
    <w:p>
      <w:pPr>
        <w:tabs>
          <w:tab w:pos="2579" w:val="left" w:leader="none"/>
        </w:tabs>
        <w:spacing w:before="3"/>
        <w:ind w:left="259" w:right="0" w:firstLine="0"/>
        <w:jc w:val="left"/>
        <w:rPr>
          <w:rFonts w:ascii="宋体" w:hAnsi="宋体" w:cs="宋体" w:eastAsia="宋体" w:hint="default"/>
          <w:sz w:val="15"/>
          <w:szCs w:val="15"/>
        </w:rPr>
      </w:pPr>
      <w:r>
        <w:rPr>
          <w:rFonts w:ascii="宋体" w:hAnsi="宋体" w:cs="宋体" w:eastAsia="宋体" w:hint="default"/>
          <w:sz w:val="15"/>
          <w:szCs w:val="15"/>
        </w:rPr>
        <w:t>备项目</w:t>
        <w:tab/>
        <w:t>否</w:t>
      </w:r>
    </w:p>
    <w:p>
      <w:pPr>
        <w:spacing w:line="240" w:lineRule="auto" w:before="5"/>
        <w:rPr>
          <w:rFonts w:ascii="宋体" w:hAnsi="宋体" w:cs="宋体" w:eastAsia="宋体" w:hint="default"/>
          <w:sz w:val="16"/>
          <w:szCs w:val="16"/>
        </w:rPr>
      </w:pPr>
    </w:p>
    <w:p>
      <w:pPr>
        <w:spacing w:before="0"/>
        <w:ind w:left="259" w:right="0" w:firstLine="0"/>
        <w:jc w:val="left"/>
        <w:rPr>
          <w:rFonts w:ascii="宋体" w:hAnsi="宋体" w:cs="宋体" w:eastAsia="宋体" w:hint="default"/>
          <w:sz w:val="15"/>
          <w:szCs w:val="15"/>
        </w:rPr>
      </w:pPr>
      <w:r>
        <w:rPr>
          <w:rFonts w:ascii="宋体" w:hAnsi="宋体" w:cs="宋体" w:eastAsia="宋体" w:hint="default"/>
          <w:sz w:val="15"/>
          <w:szCs w:val="15"/>
        </w:rPr>
        <w:t>承诺投资项目小计</w:t>
      </w:r>
    </w:p>
    <w:p>
      <w:pPr>
        <w:spacing w:after="0"/>
        <w:jc w:val="left"/>
        <w:rPr>
          <w:rFonts w:ascii="宋体" w:hAnsi="宋体" w:cs="宋体" w:eastAsia="宋体" w:hint="default"/>
          <w:sz w:val="15"/>
          <w:szCs w:val="15"/>
        </w:rPr>
        <w:sectPr>
          <w:type w:val="continuous"/>
          <w:pgSz w:w="16840" w:h="11910" w:orient="landscape"/>
          <w:pgMar w:top="900" w:bottom="1460" w:left="1180" w:right="1240"/>
        </w:sectPr>
      </w:pPr>
    </w:p>
    <w:p>
      <w:pPr>
        <w:spacing w:line="240" w:lineRule="auto" w:before="4"/>
        <w:rPr>
          <w:rFonts w:ascii="宋体" w:hAnsi="宋体" w:cs="宋体" w:eastAsia="宋体" w:hint="default"/>
          <w:sz w:val="16"/>
          <w:szCs w:val="16"/>
        </w:rPr>
      </w:pPr>
    </w:p>
    <w:p>
      <w:pPr>
        <w:spacing w:line="489" w:lineRule="auto" w:before="0"/>
        <w:ind w:left="259" w:right="0" w:firstLine="0"/>
        <w:jc w:val="both"/>
        <w:rPr>
          <w:rFonts w:ascii="宋体" w:hAnsi="宋体" w:cs="宋体" w:eastAsia="宋体" w:hint="default"/>
          <w:sz w:val="15"/>
          <w:szCs w:val="15"/>
        </w:rPr>
      </w:pPr>
      <w:r>
        <w:rPr>
          <w:rFonts w:ascii="宋体" w:hAnsi="宋体" w:cs="宋体" w:eastAsia="宋体" w:hint="default"/>
          <w:spacing w:val="12"/>
          <w:sz w:val="15"/>
          <w:szCs w:val="15"/>
        </w:rPr>
        <w:t>未达到计划进度或预计</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pacing w:val="-4"/>
          <w:sz w:val="15"/>
          <w:szCs w:val="15"/>
        </w:rPr>
        <w:t>收益的情况和原因（分具</w:t>
      </w:r>
      <w:r>
        <w:rPr>
          <w:rFonts w:ascii="宋体" w:hAnsi="宋体" w:cs="宋体" w:eastAsia="宋体" w:hint="default"/>
          <w:spacing w:val="-65"/>
          <w:sz w:val="15"/>
          <w:szCs w:val="15"/>
        </w:rPr>
        <w:t> </w:t>
      </w:r>
      <w:r>
        <w:rPr>
          <w:rFonts w:ascii="宋体" w:hAnsi="宋体" w:cs="宋体" w:eastAsia="宋体" w:hint="default"/>
          <w:spacing w:val="-65"/>
          <w:sz w:val="15"/>
          <w:szCs w:val="15"/>
        </w:rPr>
      </w:r>
      <w:r>
        <w:rPr>
          <w:rFonts w:ascii="宋体" w:hAnsi="宋体" w:cs="宋体" w:eastAsia="宋体" w:hint="default"/>
          <w:sz w:val="15"/>
          <w:szCs w:val="15"/>
        </w:rPr>
        <w:t>体项目）</w:t>
      </w:r>
    </w:p>
    <w:p>
      <w:pPr>
        <w:spacing w:before="121"/>
        <w:ind w:left="162" w:right="242" w:firstLine="0"/>
        <w:jc w:val="both"/>
        <w:rPr>
          <w:rFonts w:ascii="宋体" w:hAnsi="宋体" w:cs="宋体" w:eastAsia="宋体" w:hint="default"/>
          <w:sz w:val="15"/>
          <w:szCs w:val="15"/>
        </w:rPr>
      </w:pPr>
      <w:r>
        <w:rPr/>
        <w:br w:type="column"/>
      </w:r>
      <w:r>
        <w:rPr>
          <w:rFonts w:ascii="宋体" w:hAnsi="宋体" w:cs="宋体" w:eastAsia="宋体" w:hint="default"/>
          <w:sz w:val="15"/>
          <w:szCs w:val="15"/>
        </w:rPr>
        <w:t>新型高性能高分子材料金属复合管母线及结构件项目:</w:t>
      </w:r>
      <w:r>
        <w:rPr>
          <w:rFonts w:ascii="宋体" w:hAnsi="宋体" w:cs="宋体" w:eastAsia="宋体" w:hint="default"/>
          <w:spacing w:val="7"/>
          <w:sz w:val="15"/>
          <w:szCs w:val="15"/>
        </w:rPr>
        <w:t> </w:t>
      </w:r>
      <w:r>
        <w:rPr>
          <w:rFonts w:ascii="宋体" w:hAnsi="宋体" w:cs="宋体" w:eastAsia="宋体" w:hint="default"/>
          <w:sz w:val="15"/>
          <w:szCs w:val="15"/>
        </w:rPr>
        <w:t>该项目整体生产工艺属于自主创新，主要设备及模具属于自主研发。为确保设备加工性能的可靠性，</w:t>
      </w:r>
      <w:r>
        <w:rPr>
          <w:rFonts w:ascii="宋体" w:hAnsi="宋体" w:cs="宋体" w:eastAsia="宋体" w:hint="default"/>
          <w:spacing w:val="-33"/>
          <w:sz w:val="15"/>
          <w:szCs w:val="15"/>
        </w:rPr>
        <w:t> </w:t>
      </w:r>
      <w:r>
        <w:rPr>
          <w:rFonts w:ascii="宋体" w:hAnsi="宋体" w:cs="宋体" w:eastAsia="宋体" w:hint="default"/>
          <w:sz w:val="15"/>
          <w:szCs w:val="15"/>
        </w:rPr>
        <w:t>2011</w:t>
      </w:r>
      <w:r>
        <w:rPr>
          <w:rFonts w:ascii="宋体" w:hAnsi="宋体" w:cs="宋体" w:eastAsia="宋体" w:hint="default"/>
          <w:spacing w:val="-47"/>
          <w:sz w:val="15"/>
          <w:szCs w:val="15"/>
        </w:rPr>
        <w:t> </w:t>
      </w:r>
      <w:r>
        <w:rPr>
          <w:rFonts w:ascii="宋体" w:hAnsi="宋体" w:cs="宋体" w:eastAsia="宋体" w:hint="default"/>
          <w:sz w:val="15"/>
          <w:szCs w:val="15"/>
        </w:rPr>
        <w:t>年设备主要采取分批验</w:t>
      </w:r>
      <w:r>
        <w:rPr>
          <w:rFonts w:ascii="宋体" w:hAnsi="宋体" w:cs="宋体" w:eastAsia="宋体" w:hint="default"/>
          <w:sz w:val="15"/>
          <w:szCs w:val="15"/>
        </w:rPr>
        <w:t> 证方式进行；</w:t>
      </w:r>
      <w:r>
        <w:rPr>
          <w:rFonts w:ascii="宋体" w:hAnsi="宋体" w:cs="宋体" w:eastAsia="宋体" w:hint="default"/>
          <w:spacing w:val="-22"/>
          <w:sz w:val="15"/>
          <w:szCs w:val="15"/>
        </w:rPr>
        <w:t> </w:t>
      </w:r>
      <w:r>
        <w:rPr>
          <w:rFonts w:ascii="宋体" w:hAnsi="宋体" w:cs="宋体" w:eastAsia="宋体" w:hint="default"/>
          <w:sz w:val="15"/>
          <w:szCs w:val="15"/>
        </w:rPr>
        <w:t>2011</w:t>
      </w:r>
      <w:r>
        <w:rPr>
          <w:rFonts w:ascii="宋体" w:hAnsi="宋体" w:cs="宋体" w:eastAsia="宋体" w:hint="default"/>
          <w:spacing w:val="-45"/>
          <w:sz w:val="15"/>
          <w:szCs w:val="15"/>
        </w:rPr>
        <w:t> </w:t>
      </w:r>
      <w:r>
        <w:rPr>
          <w:rFonts w:ascii="宋体" w:hAnsi="宋体" w:cs="宋体" w:eastAsia="宋体" w:hint="default"/>
          <w:sz w:val="15"/>
          <w:szCs w:val="15"/>
        </w:rPr>
        <w:t>年进行了工艺完善、设备改造、模具结构优化等工作；完成了生产工艺及设备、模具的定型。2011</w:t>
      </w:r>
      <w:r>
        <w:rPr>
          <w:rFonts w:ascii="宋体" w:hAnsi="宋体" w:cs="宋体" w:eastAsia="宋体" w:hint="default"/>
          <w:spacing w:val="-45"/>
          <w:sz w:val="15"/>
          <w:szCs w:val="15"/>
        </w:rPr>
        <w:t> </w:t>
      </w:r>
      <w:r>
        <w:rPr>
          <w:rFonts w:ascii="宋体" w:hAnsi="宋体" w:cs="宋体" w:eastAsia="宋体" w:hint="default"/>
          <w:sz w:val="15"/>
          <w:szCs w:val="15"/>
        </w:rPr>
        <w:t>年实现销售额</w:t>
      </w:r>
      <w:r>
        <w:rPr>
          <w:rFonts w:ascii="宋体" w:hAnsi="宋体" w:cs="宋体" w:eastAsia="宋体" w:hint="default"/>
          <w:spacing w:val="-45"/>
          <w:sz w:val="15"/>
          <w:szCs w:val="15"/>
        </w:rPr>
        <w:t> </w:t>
      </w:r>
      <w:r>
        <w:rPr>
          <w:rFonts w:ascii="宋体" w:hAnsi="宋体" w:cs="宋体" w:eastAsia="宋体" w:hint="default"/>
          <w:sz w:val="15"/>
          <w:szCs w:val="15"/>
        </w:rPr>
        <w:t>203</w:t>
      </w:r>
      <w:r>
        <w:rPr>
          <w:rFonts w:ascii="宋体" w:hAnsi="宋体" w:cs="宋体" w:eastAsia="宋体" w:hint="default"/>
          <w:spacing w:val="-45"/>
          <w:sz w:val="15"/>
          <w:szCs w:val="15"/>
        </w:rPr>
        <w:t> </w:t>
      </w:r>
      <w:r>
        <w:rPr>
          <w:rFonts w:ascii="宋体" w:hAnsi="宋体" w:cs="宋体" w:eastAsia="宋体" w:hint="default"/>
          <w:sz w:val="15"/>
          <w:szCs w:val="15"/>
        </w:rPr>
        <w:t>万。本公司预定在</w:t>
      </w:r>
      <w:r>
        <w:rPr>
          <w:rFonts w:ascii="宋体" w:hAnsi="宋体" w:cs="宋体" w:eastAsia="宋体" w:hint="default"/>
          <w:spacing w:val="-45"/>
          <w:sz w:val="15"/>
          <w:szCs w:val="15"/>
        </w:rPr>
        <w:t> </w:t>
      </w:r>
      <w:r>
        <w:rPr>
          <w:rFonts w:ascii="宋体" w:hAnsi="宋体" w:cs="宋体" w:eastAsia="宋体" w:hint="default"/>
          <w:sz w:val="15"/>
          <w:szCs w:val="15"/>
        </w:rPr>
        <w:t>2012</w:t>
      </w:r>
      <w:r>
        <w:rPr>
          <w:rFonts w:ascii="宋体" w:hAnsi="宋体" w:cs="宋体" w:eastAsia="宋体" w:hint="default"/>
          <w:spacing w:val="-45"/>
          <w:sz w:val="15"/>
          <w:szCs w:val="15"/>
        </w:rPr>
        <w:t> </w:t>
      </w:r>
      <w:r>
        <w:rPr>
          <w:rFonts w:ascii="宋体" w:hAnsi="宋体" w:cs="宋体" w:eastAsia="宋体" w:hint="default"/>
          <w:sz w:val="15"/>
          <w:szCs w:val="15"/>
        </w:rPr>
        <w:t>年</w:t>
      </w:r>
      <w:r>
        <w:rPr>
          <w:rFonts w:ascii="宋体" w:hAnsi="宋体" w:cs="宋体" w:eastAsia="宋体" w:hint="default"/>
          <w:spacing w:val="-45"/>
          <w:sz w:val="15"/>
          <w:szCs w:val="15"/>
        </w:rPr>
        <w:t> </w:t>
      </w:r>
      <w:r>
        <w:rPr>
          <w:rFonts w:ascii="宋体" w:hAnsi="宋体" w:cs="宋体" w:eastAsia="宋体" w:hint="default"/>
          <w:sz w:val="15"/>
          <w:szCs w:val="15"/>
        </w:rPr>
        <w:t>10</w:t>
      </w:r>
      <w:r>
        <w:rPr>
          <w:rFonts w:ascii="宋体" w:hAnsi="宋体" w:cs="宋体" w:eastAsia="宋体" w:hint="default"/>
          <w:spacing w:val="-45"/>
          <w:sz w:val="15"/>
          <w:szCs w:val="15"/>
        </w:rPr>
        <w:t> </w:t>
      </w:r>
      <w:r>
        <w:rPr>
          <w:rFonts w:ascii="宋体" w:hAnsi="宋体" w:cs="宋体" w:eastAsia="宋体" w:hint="default"/>
          <w:sz w:val="15"/>
          <w:szCs w:val="15"/>
        </w:rPr>
        <w:t>月前完成该项目投</w:t>
      </w:r>
      <w:r>
        <w:rPr>
          <w:rFonts w:ascii="宋体" w:hAnsi="宋体" w:cs="宋体" w:eastAsia="宋体" w:hint="default"/>
          <w:sz w:val="15"/>
          <w:szCs w:val="15"/>
        </w:rPr>
        <w:t> 资，该项目投资计划略有延迟，收益计划不变。</w:t>
      </w:r>
    </w:p>
    <w:p>
      <w:pPr>
        <w:spacing w:before="0"/>
        <w:ind w:left="162" w:right="244" w:firstLine="75"/>
        <w:jc w:val="both"/>
        <w:rPr>
          <w:rFonts w:ascii="宋体" w:hAnsi="宋体" w:cs="宋体" w:eastAsia="宋体" w:hint="default"/>
          <w:sz w:val="15"/>
          <w:szCs w:val="15"/>
        </w:rPr>
      </w:pPr>
      <w:r>
        <w:rPr>
          <w:rFonts w:ascii="宋体" w:hAnsi="宋体" w:cs="宋体" w:eastAsia="宋体" w:hint="default"/>
          <w:sz w:val="15"/>
          <w:szCs w:val="15"/>
        </w:rPr>
        <w:t>真空绝缘电气控制设备项目:</w:t>
      </w:r>
      <w:r>
        <w:rPr>
          <w:rFonts w:ascii="宋体" w:hAnsi="宋体" w:cs="宋体" w:eastAsia="宋体" w:hint="default"/>
          <w:spacing w:val="4"/>
          <w:sz w:val="15"/>
          <w:szCs w:val="15"/>
        </w:rPr>
        <w:t> </w:t>
      </w:r>
      <w:r>
        <w:rPr>
          <w:rFonts w:ascii="宋体" w:hAnsi="宋体" w:cs="宋体" w:eastAsia="宋体" w:hint="default"/>
          <w:sz w:val="15"/>
          <w:szCs w:val="15"/>
        </w:rPr>
        <w:t>该项目产品对主焊接设备精度要求很高，而且对主焊接设备与工装辅助设备配合性能要求苛刻；为提高可靠性，主焊接工艺采取外协加工及延长磨合期方</w:t>
      </w:r>
      <w:r>
        <w:rPr>
          <w:rFonts w:ascii="宋体" w:hAnsi="宋体" w:cs="宋体" w:eastAsia="宋体" w:hint="default"/>
          <w:sz w:val="15"/>
          <w:szCs w:val="15"/>
        </w:rPr>
        <w:t> 式验证，同时完成了工艺流程优化、工装夹具优化等工作。2011</w:t>
      </w:r>
      <w:r>
        <w:rPr>
          <w:rFonts w:ascii="宋体" w:hAnsi="宋体" w:cs="宋体" w:eastAsia="宋体" w:hint="default"/>
          <w:spacing w:val="-40"/>
          <w:sz w:val="15"/>
          <w:szCs w:val="15"/>
        </w:rPr>
        <w:t> </w:t>
      </w:r>
      <w:r>
        <w:rPr>
          <w:rFonts w:ascii="宋体" w:hAnsi="宋体" w:cs="宋体" w:eastAsia="宋体" w:hint="default"/>
          <w:sz w:val="15"/>
          <w:szCs w:val="15"/>
        </w:rPr>
        <w:t>年实现销售额</w:t>
      </w:r>
      <w:r>
        <w:rPr>
          <w:rFonts w:ascii="宋体" w:hAnsi="宋体" w:cs="宋体" w:eastAsia="宋体" w:hint="default"/>
          <w:spacing w:val="-40"/>
          <w:sz w:val="15"/>
          <w:szCs w:val="15"/>
        </w:rPr>
        <w:t> </w:t>
      </w:r>
      <w:r>
        <w:rPr>
          <w:rFonts w:ascii="宋体" w:hAnsi="宋体" w:cs="宋体" w:eastAsia="宋体" w:hint="default"/>
          <w:sz w:val="15"/>
          <w:szCs w:val="15"/>
        </w:rPr>
        <w:t>1613</w:t>
      </w:r>
      <w:r>
        <w:rPr>
          <w:rFonts w:ascii="宋体" w:hAnsi="宋体" w:cs="宋体" w:eastAsia="宋体" w:hint="default"/>
          <w:spacing w:val="-40"/>
          <w:sz w:val="15"/>
          <w:szCs w:val="15"/>
        </w:rPr>
        <w:t> </w:t>
      </w:r>
      <w:r>
        <w:rPr>
          <w:rFonts w:ascii="宋体" w:hAnsi="宋体" w:cs="宋体" w:eastAsia="宋体" w:hint="default"/>
          <w:sz w:val="15"/>
          <w:szCs w:val="15"/>
        </w:rPr>
        <w:t>万元。本公司预定在</w:t>
      </w:r>
      <w:r>
        <w:rPr>
          <w:rFonts w:ascii="宋体" w:hAnsi="宋体" w:cs="宋体" w:eastAsia="宋体" w:hint="default"/>
          <w:spacing w:val="-40"/>
          <w:sz w:val="15"/>
          <w:szCs w:val="15"/>
        </w:rPr>
        <w:t> </w:t>
      </w:r>
      <w:r>
        <w:rPr>
          <w:rFonts w:ascii="宋体" w:hAnsi="宋体" w:cs="宋体" w:eastAsia="宋体" w:hint="default"/>
          <w:sz w:val="15"/>
          <w:szCs w:val="15"/>
        </w:rPr>
        <w:t>2012</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0"/>
          <w:sz w:val="15"/>
          <w:szCs w:val="15"/>
        </w:rPr>
        <w:t> </w:t>
      </w:r>
      <w:r>
        <w:rPr>
          <w:rFonts w:ascii="宋体" w:hAnsi="宋体" w:cs="宋体" w:eastAsia="宋体" w:hint="default"/>
          <w:sz w:val="15"/>
          <w:szCs w:val="15"/>
        </w:rPr>
        <w:t>8</w:t>
      </w:r>
      <w:r>
        <w:rPr>
          <w:rFonts w:ascii="宋体" w:hAnsi="宋体" w:cs="宋体" w:eastAsia="宋体" w:hint="default"/>
          <w:spacing w:val="-40"/>
          <w:sz w:val="15"/>
          <w:szCs w:val="15"/>
        </w:rPr>
        <w:t> </w:t>
      </w:r>
      <w:r>
        <w:rPr>
          <w:rFonts w:ascii="宋体" w:hAnsi="宋体" w:cs="宋体" w:eastAsia="宋体" w:hint="default"/>
          <w:sz w:val="15"/>
          <w:szCs w:val="15"/>
        </w:rPr>
        <w:t>月前完成该项目投资，该项目投资计划略有延迟，收益计划不变。</w:t>
      </w:r>
    </w:p>
    <w:p>
      <w:pPr>
        <w:spacing w:after="0"/>
        <w:jc w:val="both"/>
        <w:rPr>
          <w:rFonts w:ascii="宋体" w:hAnsi="宋体" w:cs="宋体" w:eastAsia="宋体" w:hint="default"/>
          <w:sz w:val="15"/>
          <w:szCs w:val="15"/>
        </w:rPr>
        <w:sectPr>
          <w:type w:val="continuous"/>
          <w:pgSz w:w="16840" w:h="11910" w:orient="landscape"/>
          <w:pgMar w:top="900" w:bottom="1460" w:left="1180" w:right="1240"/>
          <w:cols w:num="2" w:equalWidth="0">
            <w:col w:w="1890" w:space="40"/>
            <w:col w:w="12490"/>
          </w:cols>
        </w:sectPr>
      </w:pPr>
    </w:p>
    <w:p>
      <w:pPr>
        <w:tabs>
          <w:tab w:pos="8058" w:val="left" w:leader="none"/>
        </w:tabs>
        <w:spacing w:before="58"/>
        <w:ind w:left="259" w:right="0" w:firstLine="0"/>
        <w:jc w:val="left"/>
        <w:rPr>
          <w:rFonts w:ascii="宋体" w:hAnsi="宋体" w:cs="宋体" w:eastAsia="宋体" w:hint="default"/>
          <w:sz w:val="15"/>
          <w:szCs w:val="15"/>
        </w:rPr>
      </w:pPr>
      <w:r>
        <w:rPr>
          <w:rFonts w:ascii="宋体" w:hAnsi="宋体" w:cs="宋体" w:eastAsia="宋体" w:hint="default"/>
          <w:spacing w:val="11"/>
          <w:sz w:val="15"/>
          <w:szCs w:val="15"/>
        </w:rPr>
        <w:t>项目可行性发生重大变</w:t>
        <w:tab/>
      </w:r>
      <w:r>
        <w:rPr>
          <w:rFonts w:ascii="宋体" w:hAnsi="宋体" w:cs="宋体" w:eastAsia="宋体" w:hint="default"/>
          <w:position w:val="-9"/>
          <w:sz w:val="15"/>
          <w:szCs w:val="15"/>
        </w:rPr>
        <w:t>无</w:t>
      </w:r>
      <w:r>
        <w:rPr>
          <w:rFonts w:ascii="宋体" w:hAnsi="宋体" w:cs="宋体" w:eastAsia="宋体" w:hint="default"/>
          <w:sz w:val="15"/>
          <w:szCs w:val="15"/>
        </w:rPr>
      </w:r>
    </w:p>
    <w:p>
      <w:pPr>
        <w:spacing w:before="103"/>
        <w:ind w:left="259" w:right="0" w:firstLine="0"/>
        <w:jc w:val="left"/>
        <w:rPr>
          <w:rFonts w:ascii="宋体" w:hAnsi="宋体" w:cs="宋体" w:eastAsia="宋体" w:hint="default"/>
          <w:sz w:val="15"/>
          <w:szCs w:val="15"/>
        </w:rPr>
      </w:pPr>
      <w:r>
        <w:rPr>
          <w:rFonts w:ascii="宋体" w:hAnsi="宋体" w:cs="宋体" w:eastAsia="宋体" w:hint="default"/>
          <w:sz w:val="15"/>
          <w:szCs w:val="15"/>
        </w:rPr>
        <w:t>化的情况说明</w:t>
      </w:r>
    </w:p>
    <w:p>
      <w:pPr>
        <w:spacing w:line="150" w:lineRule="exact" w:before="111"/>
        <w:ind w:left="8038" w:right="6191" w:firstLine="0"/>
        <w:jc w:val="center"/>
        <w:rPr>
          <w:rFonts w:ascii="宋体" w:hAnsi="宋体" w:cs="宋体" w:eastAsia="宋体" w:hint="default"/>
          <w:sz w:val="15"/>
          <w:szCs w:val="15"/>
        </w:rPr>
      </w:pPr>
      <w:r>
        <w:rPr>
          <w:rFonts w:ascii="宋体" w:hAnsi="宋体" w:cs="宋体" w:eastAsia="宋体" w:hint="default"/>
          <w:sz w:val="15"/>
          <w:szCs w:val="15"/>
        </w:rPr>
        <w:t>无</w:t>
      </w:r>
    </w:p>
    <w:p>
      <w:pPr>
        <w:spacing w:line="150" w:lineRule="exact" w:before="0"/>
        <w:ind w:left="259" w:right="0" w:firstLine="0"/>
        <w:jc w:val="left"/>
        <w:rPr>
          <w:rFonts w:ascii="宋体" w:hAnsi="宋体" w:cs="宋体" w:eastAsia="宋体" w:hint="default"/>
          <w:sz w:val="15"/>
          <w:szCs w:val="15"/>
        </w:rPr>
      </w:pPr>
      <w:r>
        <w:rPr>
          <w:rFonts w:ascii="宋体" w:hAnsi="宋体" w:cs="宋体" w:eastAsia="宋体" w:hint="default"/>
          <w:spacing w:val="-4"/>
          <w:sz w:val="15"/>
          <w:szCs w:val="15"/>
        </w:rPr>
        <w:t>超募资金的金额、用途及</w:t>
      </w:r>
    </w:p>
    <w:p>
      <w:pPr>
        <w:spacing w:after="0" w:line="150" w:lineRule="exact"/>
        <w:jc w:val="left"/>
        <w:rPr>
          <w:rFonts w:ascii="宋体" w:hAnsi="宋体" w:cs="宋体" w:eastAsia="宋体" w:hint="default"/>
          <w:sz w:val="15"/>
          <w:szCs w:val="15"/>
        </w:rPr>
        <w:sectPr>
          <w:type w:val="continuous"/>
          <w:pgSz w:w="16840" w:h="11910" w:orient="landscape"/>
          <w:pgMar w:top="900" w:bottom="1460" w:left="1180" w:right="1240"/>
        </w:sectPr>
      </w:pPr>
    </w:p>
    <w:p>
      <w:pPr>
        <w:spacing w:line="240" w:lineRule="auto" w:before="9"/>
        <w:rPr>
          <w:rFonts w:ascii="宋体" w:hAnsi="宋体" w:cs="宋体" w:eastAsia="宋体" w:hint="default"/>
          <w:sz w:val="17"/>
          <w:szCs w:val="17"/>
        </w:rPr>
      </w:pPr>
    </w:p>
    <w:p>
      <w:pPr>
        <w:spacing w:before="53"/>
        <w:ind w:left="259" w:right="0" w:firstLine="0"/>
        <w:jc w:val="left"/>
        <w:rPr>
          <w:rFonts w:ascii="宋体" w:hAnsi="宋体" w:cs="宋体" w:eastAsia="宋体" w:hint="default"/>
          <w:sz w:val="15"/>
          <w:szCs w:val="15"/>
        </w:rPr>
      </w:pPr>
      <w:r>
        <w:rPr/>
        <w:pict>
          <v:group style="position:absolute;margin-left:65.121002pt;margin-top:-7.850256pt;width:709.65pt;height:354.1pt;mso-position-horizontal-relative:page;mso-position-vertical-relative:paragraph;z-index:-788224" coordorigin="1302,-157" coordsize="14193,7082">
            <v:group style="position:absolute;left:1332;top:-142;width:14132;height:2" coordorigin="1332,-142" coordsize="14132,2">
              <v:shape style="position:absolute;left:1332;top:-142;width:14132;height:2" coordorigin="1332,-142" coordsize="14132,0" path="m1332,-142l15463,-142e" filled="false" stroked="true" strokeweight="1.5pt" strokecolor="#000000">
                <v:path arrowok="t"/>
              </v:shape>
              <v:shape style="position:absolute;left:3159;top:-127;width:10;height:400" type="#_x0000_t75" stroked="false">
                <v:imagedata r:id="rId38" o:title=""/>
              </v:shape>
            </v:group>
            <v:group style="position:absolute;left:1317;top:6909;width:1842;height:2" coordorigin="1317,6909" coordsize="1842,2">
              <v:shape style="position:absolute;left:1317;top:6909;width:1842;height:2" coordorigin="1317,6909" coordsize="1842,0" path="m1317,6909l3159,6909e" filled="false" stroked="true" strokeweight="1.5pt" strokecolor="#000000">
                <v:path arrowok="t"/>
              </v:shape>
              <v:shape style="position:absolute;left:1303;top:244;width:14192;height:6679" type="#_x0000_t75" stroked="false">
                <v:imagedata r:id="rId39" o:title=""/>
              </v:shape>
            </v:group>
            <v:group style="position:absolute;left:3159;top:6909;width:12304;height:2" coordorigin="3159,6909" coordsize="12304,2">
              <v:shape style="position:absolute;left:3159;top:6909;width:12304;height:2" coordorigin="3159,6909" coordsize="12304,0" path="m3159,6909l15463,6909e" filled="false" stroked="true" strokeweight="1.5pt" strokecolor="#000000">
                <v:path arrowok="t"/>
              </v:shape>
            </v:group>
            <w10:wrap type="none"/>
          </v:group>
        </w:pict>
      </w:r>
      <w:r>
        <w:rPr>
          <w:rFonts w:ascii="宋体" w:hAnsi="宋体" w:cs="宋体" w:eastAsia="宋体" w:hint="default"/>
          <w:sz w:val="15"/>
          <w:szCs w:val="15"/>
        </w:rPr>
        <w:t>使用进展情况</w:t>
      </w:r>
    </w:p>
    <w:p>
      <w:pPr>
        <w:spacing w:line="240" w:lineRule="auto" w:before="3"/>
        <w:rPr>
          <w:rFonts w:ascii="宋体" w:hAnsi="宋体" w:cs="宋体" w:eastAsia="宋体" w:hint="default"/>
          <w:sz w:val="12"/>
          <w:szCs w:val="12"/>
        </w:rPr>
      </w:pPr>
    </w:p>
    <w:p>
      <w:pPr>
        <w:tabs>
          <w:tab w:pos="8058" w:val="left" w:leader="none"/>
        </w:tabs>
        <w:spacing w:before="53"/>
        <w:ind w:left="259" w:right="0" w:firstLine="0"/>
        <w:jc w:val="left"/>
        <w:rPr>
          <w:rFonts w:ascii="宋体" w:hAnsi="宋体" w:cs="宋体" w:eastAsia="宋体" w:hint="default"/>
          <w:sz w:val="15"/>
          <w:szCs w:val="15"/>
        </w:rPr>
      </w:pPr>
      <w:r>
        <w:rPr>
          <w:rFonts w:ascii="宋体" w:hAnsi="宋体" w:cs="宋体" w:eastAsia="宋体" w:hint="default"/>
          <w:spacing w:val="11"/>
          <w:sz w:val="15"/>
          <w:szCs w:val="15"/>
        </w:rPr>
        <w:t>募集资金投资项目实施</w:t>
        <w:tab/>
      </w:r>
      <w:r>
        <w:rPr>
          <w:rFonts w:ascii="宋体" w:hAnsi="宋体" w:cs="宋体" w:eastAsia="宋体" w:hint="default"/>
          <w:position w:val="-9"/>
          <w:sz w:val="15"/>
          <w:szCs w:val="15"/>
        </w:rPr>
        <w:t>无</w:t>
      </w:r>
      <w:r>
        <w:rPr>
          <w:rFonts w:ascii="宋体" w:hAnsi="宋体" w:cs="宋体" w:eastAsia="宋体" w:hint="default"/>
          <w:sz w:val="15"/>
          <w:szCs w:val="15"/>
        </w:rPr>
      </w:r>
    </w:p>
    <w:p>
      <w:pPr>
        <w:spacing w:before="103"/>
        <w:ind w:left="259" w:right="0" w:firstLine="0"/>
        <w:jc w:val="left"/>
        <w:rPr>
          <w:rFonts w:ascii="宋体" w:hAnsi="宋体" w:cs="宋体" w:eastAsia="宋体" w:hint="default"/>
          <w:sz w:val="15"/>
          <w:szCs w:val="15"/>
        </w:rPr>
      </w:pPr>
      <w:r>
        <w:rPr>
          <w:rFonts w:ascii="宋体" w:hAnsi="宋体" w:cs="宋体" w:eastAsia="宋体" w:hint="default"/>
          <w:sz w:val="15"/>
          <w:szCs w:val="15"/>
        </w:rPr>
        <w:t>地点变更情况</w:t>
      </w:r>
    </w:p>
    <w:p>
      <w:pPr>
        <w:spacing w:line="240" w:lineRule="auto" w:before="3"/>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pgSz w:w="16840" w:h="11910" w:orient="landscape"/>
          <w:pgMar w:header="624" w:footer="707" w:top="1040" w:bottom="900" w:left="1180" w:right="1240"/>
        </w:sectPr>
      </w:pPr>
    </w:p>
    <w:p>
      <w:pPr>
        <w:spacing w:line="489" w:lineRule="auto" w:before="53"/>
        <w:ind w:left="259" w:right="-10" w:firstLine="0"/>
        <w:jc w:val="left"/>
        <w:rPr>
          <w:rFonts w:ascii="宋体" w:hAnsi="宋体" w:cs="宋体" w:eastAsia="宋体" w:hint="default"/>
          <w:sz w:val="15"/>
          <w:szCs w:val="15"/>
        </w:rPr>
      </w:pPr>
      <w:r>
        <w:rPr>
          <w:rFonts w:ascii="宋体" w:hAnsi="宋体" w:cs="宋体" w:eastAsia="宋体" w:hint="default"/>
          <w:spacing w:val="12"/>
          <w:sz w:val="15"/>
          <w:szCs w:val="15"/>
        </w:rPr>
        <w:t>募集资金投资项目实施</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z w:val="15"/>
          <w:szCs w:val="15"/>
        </w:rPr>
        <w:t>方式调整情况</w:t>
      </w:r>
    </w:p>
    <w:p>
      <w:pPr>
        <w:spacing w:line="489" w:lineRule="auto" w:before="58"/>
        <w:ind w:left="259" w:right="-10" w:firstLine="0"/>
        <w:jc w:val="left"/>
        <w:rPr>
          <w:rFonts w:ascii="宋体" w:hAnsi="宋体" w:cs="宋体" w:eastAsia="宋体" w:hint="default"/>
          <w:sz w:val="15"/>
          <w:szCs w:val="15"/>
        </w:rPr>
      </w:pPr>
      <w:r>
        <w:rPr>
          <w:rFonts w:ascii="宋体" w:hAnsi="宋体" w:cs="宋体" w:eastAsia="宋体" w:hint="default"/>
          <w:spacing w:val="12"/>
          <w:sz w:val="15"/>
          <w:szCs w:val="15"/>
        </w:rPr>
        <w:t>募集资金投资项目先期</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z w:val="15"/>
          <w:szCs w:val="15"/>
        </w:rPr>
        <w:t>投入及置换情况</w:t>
      </w:r>
    </w:p>
    <w:p>
      <w:pPr>
        <w:spacing w:line="489" w:lineRule="auto" w:before="58"/>
        <w:ind w:left="259" w:right="-10" w:firstLine="0"/>
        <w:jc w:val="left"/>
        <w:rPr>
          <w:rFonts w:ascii="宋体" w:hAnsi="宋体" w:cs="宋体" w:eastAsia="宋体" w:hint="default"/>
          <w:sz w:val="15"/>
          <w:szCs w:val="15"/>
        </w:rPr>
      </w:pPr>
      <w:r>
        <w:rPr>
          <w:rFonts w:ascii="宋体" w:hAnsi="宋体" w:cs="宋体" w:eastAsia="宋体" w:hint="default"/>
          <w:spacing w:val="12"/>
          <w:sz w:val="15"/>
          <w:szCs w:val="15"/>
        </w:rPr>
        <w:t>用闲置募集资金暂时补</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z w:val="15"/>
          <w:szCs w:val="15"/>
        </w:rPr>
        <w:t>充流动资金情况</w:t>
      </w:r>
    </w:p>
    <w:p>
      <w:pPr>
        <w:spacing w:line="240" w:lineRule="auto" w:before="7"/>
        <w:rPr>
          <w:rFonts w:ascii="宋体" w:hAnsi="宋体" w:cs="宋体" w:eastAsia="宋体" w:hint="default"/>
          <w:sz w:val="11"/>
          <w:szCs w:val="11"/>
        </w:rPr>
      </w:pPr>
      <w:r>
        <w:rPr/>
        <w:br w:type="column"/>
      </w:r>
      <w:r>
        <w:rPr>
          <w:rFonts w:ascii="宋体"/>
          <w:sz w:val="11"/>
        </w:rPr>
      </w:r>
    </w:p>
    <w:p>
      <w:pPr>
        <w:spacing w:before="0"/>
        <w:ind w:left="6109" w:right="6190" w:firstLine="0"/>
        <w:jc w:val="center"/>
        <w:rPr>
          <w:rFonts w:ascii="宋体" w:hAnsi="宋体" w:cs="宋体" w:eastAsia="宋体" w:hint="default"/>
          <w:sz w:val="15"/>
          <w:szCs w:val="15"/>
        </w:rPr>
      </w:pPr>
      <w:r>
        <w:rPr>
          <w:rFonts w:ascii="宋体" w:hAnsi="宋体" w:cs="宋体" w:eastAsia="宋体" w:hint="default"/>
          <w:sz w:val="15"/>
          <w:szCs w:val="15"/>
        </w:rPr>
        <w:t>无</w:t>
      </w:r>
    </w:p>
    <w:p>
      <w:pPr>
        <w:spacing w:line="240" w:lineRule="auto" w:before="0"/>
        <w:rPr>
          <w:rFonts w:ascii="宋体" w:hAnsi="宋体" w:cs="宋体" w:eastAsia="宋体" w:hint="default"/>
          <w:sz w:val="14"/>
          <w:szCs w:val="14"/>
        </w:rPr>
      </w:pPr>
    </w:p>
    <w:p>
      <w:pPr>
        <w:spacing w:line="240" w:lineRule="auto" w:before="1"/>
        <w:rPr>
          <w:rFonts w:ascii="宋体" w:hAnsi="宋体" w:cs="宋体" w:eastAsia="宋体" w:hint="default"/>
          <w:sz w:val="18"/>
          <w:szCs w:val="18"/>
        </w:rPr>
      </w:pPr>
    </w:p>
    <w:p>
      <w:pPr>
        <w:spacing w:before="0"/>
        <w:ind w:left="162" w:right="239" w:firstLine="0"/>
        <w:jc w:val="left"/>
        <w:rPr>
          <w:rFonts w:ascii="宋体" w:hAnsi="宋体" w:cs="宋体" w:eastAsia="宋体" w:hint="default"/>
          <w:sz w:val="15"/>
          <w:szCs w:val="15"/>
        </w:rPr>
      </w:pPr>
      <w:r>
        <w:rPr>
          <w:rFonts w:ascii="宋体" w:hAnsi="宋体" w:cs="宋体" w:eastAsia="宋体" w:hint="default"/>
          <w:sz w:val="15"/>
          <w:szCs w:val="15"/>
        </w:rPr>
        <w:t>经立信大华会计师事务所出具的立信大华核字[2011]176</w:t>
      </w:r>
      <w:r>
        <w:rPr>
          <w:rFonts w:ascii="宋体" w:hAnsi="宋体" w:cs="宋体" w:eastAsia="宋体" w:hint="default"/>
          <w:spacing w:val="-38"/>
          <w:sz w:val="15"/>
          <w:szCs w:val="15"/>
        </w:rPr>
        <w:t> </w:t>
      </w:r>
      <w:r>
        <w:rPr>
          <w:rFonts w:ascii="宋体" w:hAnsi="宋体" w:cs="宋体" w:eastAsia="宋体" w:hint="default"/>
          <w:sz w:val="15"/>
          <w:szCs w:val="15"/>
        </w:rPr>
        <w:t>号《深圳市惠程电气股份有限公司自筹资金预先投入募集资金投资项目的鉴证报告</w:t>
      </w:r>
      <w:r>
        <w:rPr>
          <w:rFonts w:ascii="宋体" w:hAnsi="宋体" w:cs="宋体" w:eastAsia="宋体" w:hint="default"/>
          <w:spacing w:val="-75"/>
          <w:sz w:val="15"/>
          <w:szCs w:val="15"/>
        </w:rPr>
        <w:t>》</w:t>
      </w:r>
      <w:r>
        <w:rPr>
          <w:rFonts w:ascii="宋体" w:hAnsi="宋体" w:cs="宋体" w:eastAsia="宋体" w:hint="default"/>
          <w:sz w:val="15"/>
          <w:szCs w:val="15"/>
        </w:rPr>
        <w:t>、</w:t>
      </w:r>
      <w:r>
        <w:rPr>
          <w:rFonts w:ascii="宋体" w:hAnsi="宋体" w:cs="宋体" w:eastAsia="宋体" w:hint="default"/>
          <w:spacing w:val="-2"/>
          <w:sz w:val="15"/>
          <w:szCs w:val="15"/>
        </w:rPr>
        <w:t>保</w:t>
      </w:r>
      <w:r>
        <w:rPr>
          <w:rFonts w:ascii="宋体" w:hAnsi="宋体" w:cs="宋体" w:eastAsia="宋体" w:hint="default"/>
          <w:sz w:val="15"/>
          <w:szCs w:val="15"/>
        </w:rPr>
        <w:t>荐机构国海证券有限责任公司出具《关</w:t>
      </w:r>
      <w:r>
        <w:rPr>
          <w:rFonts w:ascii="宋体" w:hAnsi="宋体" w:cs="宋体" w:eastAsia="宋体" w:hint="default"/>
          <w:sz w:val="15"/>
          <w:szCs w:val="15"/>
        </w:rPr>
        <w:t> 于深圳市惠程电气股份有限公司以募集资金置换预先已投入募集资金投资项目自筹资金的核查意见</w:t>
      </w:r>
      <w:r>
        <w:rPr>
          <w:rFonts w:ascii="宋体" w:hAnsi="宋体" w:cs="宋体" w:eastAsia="宋体" w:hint="default"/>
          <w:spacing w:val="-75"/>
          <w:sz w:val="15"/>
          <w:szCs w:val="15"/>
        </w:rPr>
        <w:t>》</w:t>
      </w:r>
      <w:r>
        <w:rPr>
          <w:rFonts w:ascii="宋体" w:hAnsi="宋体" w:cs="宋体" w:eastAsia="宋体" w:hint="default"/>
          <w:sz w:val="15"/>
          <w:szCs w:val="15"/>
        </w:rPr>
        <w:t>，本公</w:t>
      </w:r>
      <w:r>
        <w:rPr>
          <w:rFonts w:ascii="宋体" w:hAnsi="宋体" w:cs="宋体" w:eastAsia="宋体" w:hint="default"/>
          <w:spacing w:val="-2"/>
          <w:sz w:val="15"/>
          <w:szCs w:val="15"/>
        </w:rPr>
        <w:t>司</w:t>
      </w:r>
      <w:r>
        <w:rPr>
          <w:rFonts w:ascii="宋体" w:hAnsi="宋体" w:cs="宋体" w:eastAsia="宋体" w:hint="default"/>
          <w:sz w:val="15"/>
          <w:szCs w:val="15"/>
        </w:rPr>
        <w:t>于</w:t>
      </w:r>
      <w:r>
        <w:rPr>
          <w:rFonts w:ascii="宋体" w:hAnsi="宋体" w:cs="宋体" w:eastAsia="宋体" w:hint="default"/>
          <w:spacing w:val="-38"/>
          <w:sz w:val="15"/>
          <w:szCs w:val="15"/>
        </w:rPr>
        <w:t> </w:t>
      </w: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4</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12</w:t>
      </w:r>
      <w:r>
        <w:rPr>
          <w:rFonts w:ascii="宋体" w:hAnsi="宋体" w:cs="宋体" w:eastAsia="宋体" w:hint="default"/>
          <w:spacing w:val="-39"/>
          <w:sz w:val="15"/>
          <w:szCs w:val="15"/>
        </w:rPr>
        <w:t> </w:t>
      </w:r>
      <w:r>
        <w:rPr>
          <w:rFonts w:ascii="宋体" w:hAnsi="宋体" w:cs="宋体" w:eastAsia="宋体" w:hint="default"/>
          <w:sz w:val="15"/>
          <w:szCs w:val="15"/>
        </w:rPr>
        <w:t>日召开的第三届董事会第二十五次会议，审议通过了《关</w:t>
      </w:r>
    </w:p>
    <w:p>
      <w:pPr>
        <w:spacing w:line="194" w:lineRule="exact" w:before="0"/>
        <w:ind w:left="162" w:right="239" w:firstLine="0"/>
        <w:jc w:val="left"/>
        <w:rPr>
          <w:rFonts w:ascii="宋体" w:hAnsi="宋体" w:cs="宋体" w:eastAsia="宋体" w:hint="default"/>
          <w:sz w:val="15"/>
          <w:szCs w:val="15"/>
        </w:rPr>
      </w:pPr>
      <w:r>
        <w:rPr>
          <w:rFonts w:ascii="宋体" w:hAnsi="宋体" w:cs="宋体" w:eastAsia="宋体" w:hint="default"/>
          <w:sz w:val="15"/>
          <w:szCs w:val="15"/>
        </w:rPr>
        <w:t>于用募集资金置换已预先投入募集资金投资项目自筹资金的议案</w:t>
      </w:r>
      <w:r>
        <w:rPr>
          <w:rFonts w:ascii="宋体" w:hAnsi="宋体" w:cs="宋体" w:eastAsia="宋体" w:hint="default"/>
          <w:spacing w:val="-75"/>
          <w:sz w:val="15"/>
          <w:szCs w:val="15"/>
        </w:rPr>
        <w:t>》</w:t>
      </w:r>
      <w:r>
        <w:rPr>
          <w:rFonts w:ascii="宋体" w:hAnsi="宋体" w:cs="宋体" w:eastAsia="宋体" w:hint="default"/>
          <w:sz w:val="15"/>
          <w:szCs w:val="15"/>
        </w:rPr>
        <w:t>，公</w:t>
      </w:r>
      <w:r>
        <w:rPr>
          <w:rFonts w:ascii="宋体" w:hAnsi="宋体" w:cs="宋体" w:eastAsia="宋体" w:hint="default"/>
          <w:spacing w:val="-2"/>
          <w:sz w:val="15"/>
          <w:szCs w:val="15"/>
        </w:rPr>
        <w:t>司</w:t>
      </w:r>
      <w:r>
        <w:rPr>
          <w:rFonts w:ascii="宋体" w:hAnsi="宋体" w:cs="宋体" w:eastAsia="宋体" w:hint="default"/>
          <w:sz w:val="15"/>
          <w:szCs w:val="15"/>
        </w:rPr>
        <w:t>用募集资金置换预先已投入募集资金投资项目建设的自筹资金</w:t>
      </w:r>
      <w:r>
        <w:rPr>
          <w:rFonts w:ascii="宋体" w:hAnsi="宋体" w:cs="宋体" w:eastAsia="宋体" w:hint="default"/>
          <w:spacing w:val="-38"/>
          <w:sz w:val="15"/>
          <w:szCs w:val="15"/>
        </w:rPr>
        <w:t> </w:t>
      </w:r>
      <w:r>
        <w:rPr>
          <w:rFonts w:ascii="宋体" w:hAnsi="宋体" w:cs="宋体" w:eastAsia="宋体" w:hint="default"/>
          <w:sz w:val="15"/>
          <w:szCs w:val="15"/>
        </w:rPr>
        <w:t>6,093.83</w:t>
      </w:r>
      <w:r>
        <w:rPr>
          <w:rFonts w:ascii="宋体" w:hAnsi="宋体" w:cs="宋体" w:eastAsia="宋体" w:hint="default"/>
          <w:spacing w:val="-39"/>
          <w:sz w:val="15"/>
          <w:szCs w:val="15"/>
        </w:rPr>
        <w:t> </w:t>
      </w:r>
      <w:r>
        <w:rPr>
          <w:rFonts w:ascii="宋体" w:hAnsi="宋体" w:cs="宋体" w:eastAsia="宋体" w:hint="default"/>
          <w:sz w:val="15"/>
          <w:szCs w:val="15"/>
        </w:rPr>
        <w:t>万元。</w:t>
      </w:r>
    </w:p>
    <w:p>
      <w:pPr>
        <w:spacing w:line="240" w:lineRule="auto" w:before="10"/>
        <w:rPr>
          <w:rFonts w:ascii="宋体" w:hAnsi="宋体" w:cs="宋体" w:eastAsia="宋体" w:hint="default"/>
          <w:sz w:val="9"/>
          <w:szCs w:val="9"/>
        </w:rPr>
      </w:pPr>
    </w:p>
    <w:p>
      <w:pPr>
        <w:spacing w:line="195" w:lineRule="exact" w:before="0"/>
        <w:ind w:left="162" w:right="0" w:firstLine="0"/>
        <w:jc w:val="left"/>
        <w:rPr>
          <w:rFonts w:ascii="宋体" w:hAnsi="宋体" w:cs="宋体" w:eastAsia="宋体" w:hint="default"/>
          <w:sz w:val="15"/>
          <w:szCs w:val="15"/>
        </w:rPr>
      </w:pPr>
      <w:r>
        <w:rPr>
          <w:rFonts w:ascii="宋体" w:hAnsi="宋体" w:cs="宋体" w:eastAsia="宋体" w:hint="default"/>
          <w:sz w:val="15"/>
          <w:szCs w:val="15"/>
        </w:rPr>
        <w:t>公司于</w:t>
      </w:r>
      <w:r>
        <w:rPr>
          <w:rFonts w:ascii="宋体" w:hAnsi="宋体" w:cs="宋体" w:eastAsia="宋体" w:hint="default"/>
          <w:spacing w:val="-48"/>
          <w:sz w:val="15"/>
          <w:szCs w:val="15"/>
        </w:rPr>
        <w:t> </w:t>
      </w:r>
      <w:r>
        <w:rPr>
          <w:rFonts w:ascii="宋体" w:hAnsi="宋体" w:cs="宋体" w:eastAsia="宋体" w:hint="default"/>
          <w:sz w:val="15"/>
          <w:szCs w:val="15"/>
        </w:rPr>
        <w:t>2011</w:t>
      </w:r>
      <w:r>
        <w:rPr>
          <w:rFonts w:ascii="宋体" w:hAnsi="宋体" w:cs="宋体" w:eastAsia="宋体" w:hint="default"/>
          <w:spacing w:val="-48"/>
          <w:sz w:val="15"/>
          <w:szCs w:val="15"/>
        </w:rPr>
        <w:t> </w:t>
      </w:r>
      <w:r>
        <w:rPr>
          <w:rFonts w:ascii="宋体" w:hAnsi="宋体" w:cs="宋体" w:eastAsia="宋体" w:hint="default"/>
          <w:sz w:val="15"/>
          <w:szCs w:val="15"/>
        </w:rPr>
        <w:t>年</w:t>
      </w:r>
      <w:r>
        <w:rPr>
          <w:rFonts w:ascii="宋体" w:hAnsi="宋体" w:cs="宋体" w:eastAsia="宋体" w:hint="default"/>
          <w:spacing w:val="-48"/>
          <w:sz w:val="15"/>
          <w:szCs w:val="15"/>
        </w:rPr>
        <w:t> </w:t>
      </w:r>
      <w:r>
        <w:rPr>
          <w:rFonts w:ascii="宋体" w:hAnsi="宋体" w:cs="宋体" w:eastAsia="宋体" w:hint="default"/>
          <w:sz w:val="15"/>
          <w:szCs w:val="15"/>
        </w:rPr>
        <w:t>1</w:t>
      </w:r>
      <w:r>
        <w:rPr>
          <w:rFonts w:ascii="宋体" w:hAnsi="宋体" w:cs="宋体" w:eastAsia="宋体" w:hint="default"/>
          <w:spacing w:val="-49"/>
          <w:sz w:val="15"/>
          <w:szCs w:val="15"/>
        </w:rPr>
        <w:t> </w:t>
      </w:r>
      <w:r>
        <w:rPr>
          <w:rFonts w:ascii="宋体" w:hAnsi="宋体" w:cs="宋体" w:eastAsia="宋体" w:hint="default"/>
          <w:sz w:val="15"/>
          <w:szCs w:val="15"/>
        </w:rPr>
        <w:t>月</w:t>
      </w:r>
      <w:r>
        <w:rPr>
          <w:rFonts w:ascii="宋体" w:hAnsi="宋体" w:cs="宋体" w:eastAsia="宋体" w:hint="default"/>
          <w:spacing w:val="-48"/>
          <w:sz w:val="15"/>
          <w:szCs w:val="15"/>
        </w:rPr>
        <w:t> </w:t>
      </w:r>
      <w:r>
        <w:rPr>
          <w:rFonts w:ascii="宋体" w:hAnsi="宋体" w:cs="宋体" w:eastAsia="宋体" w:hint="default"/>
          <w:sz w:val="15"/>
          <w:szCs w:val="15"/>
        </w:rPr>
        <w:t>25</w:t>
      </w:r>
      <w:r>
        <w:rPr>
          <w:rFonts w:ascii="宋体" w:hAnsi="宋体" w:cs="宋体" w:eastAsia="宋体" w:hint="default"/>
          <w:spacing w:val="-48"/>
          <w:sz w:val="15"/>
          <w:szCs w:val="15"/>
        </w:rPr>
        <w:t> </w:t>
      </w:r>
      <w:r>
        <w:rPr>
          <w:rFonts w:ascii="宋体" w:hAnsi="宋体" w:cs="宋体" w:eastAsia="宋体" w:hint="default"/>
          <w:sz w:val="15"/>
          <w:szCs w:val="15"/>
        </w:rPr>
        <w:t>日召开的第三届董事会第二十三次会议，审议通过了《关于用部分闲置募集资金暂时补充流动资金的议案》，根据该决议，公司将</w:t>
      </w:r>
      <w:r>
        <w:rPr>
          <w:rFonts w:ascii="宋体" w:hAnsi="宋体" w:cs="宋体" w:eastAsia="宋体" w:hint="default"/>
          <w:spacing w:val="-48"/>
          <w:sz w:val="15"/>
          <w:szCs w:val="15"/>
        </w:rPr>
        <w:t> </w:t>
      </w:r>
      <w:r>
        <w:rPr>
          <w:rFonts w:ascii="宋体" w:hAnsi="宋体" w:cs="宋体" w:eastAsia="宋体" w:hint="default"/>
          <w:sz w:val="15"/>
          <w:szCs w:val="15"/>
        </w:rPr>
        <w:t>4,000</w:t>
      </w:r>
      <w:r>
        <w:rPr>
          <w:rFonts w:ascii="宋体" w:hAnsi="宋体" w:cs="宋体" w:eastAsia="宋体" w:hint="default"/>
          <w:spacing w:val="-48"/>
          <w:sz w:val="15"/>
          <w:szCs w:val="15"/>
        </w:rPr>
        <w:t> </w:t>
      </w:r>
      <w:r>
        <w:rPr>
          <w:rFonts w:ascii="宋体" w:hAnsi="宋体" w:cs="宋体" w:eastAsia="宋体" w:hint="default"/>
          <w:sz w:val="15"/>
          <w:szCs w:val="15"/>
        </w:rPr>
        <w:t>万元的闲置募集资金暂时</w:t>
      </w:r>
    </w:p>
    <w:p>
      <w:pPr>
        <w:spacing w:line="194" w:lineRule="exact" w:before="0"/>
        <w:ind w:left="162" w:right="239" w:firstLine="0"/>
        <w:jc w:val="left"/>
        <w:rPr>
          <w:rFonts w:ascii="宋体" w:hAnsi="宋体" w:cs="宋体" w:eastAsia="宋体" w:hint="default"/>
          <w:sz w:val="15"/>
          <w:szCs w:val="15"/>
        </w:rPr>
      </w:pPr>
      <w:r>
        <w:rPr>
          <w:rFonts w:ascii="宋体" w:hAnsi="宋体" w:cs="宋体" w:eastAsia="宋体" w:hint="default"/>
          <w:sz w:val="15"/>
          <w:szCs w:val="15"/>
        </w:rPr>
        <w:t>补充流动资金，使用期限不超过六个月。截至</w:t>
      </w:r>
      <w:r>
        <w:rPr>
          <w:rFonts w:ascii="宋体" w:hAnsi="宋体" w:cs="宋体" w:eastAsia="宋体" w:hint="default"/>
          <w:spacing w:val="-39"/>
          <w:sz w:val="15"/>
          <w:szCs w:val="15"/>
        </w:rPr>
        <w:t> </w:t>
      </w:r>
      <w:r>
        <w:rPr>
          <w:rFonts w:ascii="宋体" w:hAnsi="宋体" w:cs="宋体" w:eastAsia="宋体" w:hint="default"/>
          <w:sz w:val="15"/>
          <w:szCs w:val="15"/>
        </w:rPr>
        <w:t>2011</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7</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25</w:t>
      </w:r>
      <w:r>
        <w:rPr>
          <w:rFonts w:ascii="宋体" w:hAnsi="宋体" w:cs="宋体" w:eastAsia="宋体" w:hint="default"/>
          <w:spacing w:val="-39"/>
          <w:sz w:val="15"/>
          <w:szCs w:val="15"/>
        </w:rPr>
        <w:t> </w:t>
      </w:r>
      <w:r>
        <w:rPr>
          <w:rFonts w:ascii="宋体" w:hAnsi="宋体" w:cs="宋体" w:eastAsia="宋体" w:hint="default"/>
          <w:sz w:val="15"/>
          <w:szCs w:val="15"/>
        </w:rPr>
        <w:t>日，公司已按照承诺向募集资金专用账户归还补充流动资金的金额</w:t>
      </w:r>
      <w:r>
        <w:rPr>
          <w:rFonts w:ascii="宋体" w:hAnsi="宋体" w:cs="宋体" w:eastAsia="宋体" w:hint="default"/>
          <w:spacing w:val="-39"/>
          <w:sz w:val="15"/>
          <w:szCs w:val="15"/>
        </w:rPr>
        <w:t> </w:t>
      </w:r>
      <w:r>
        <w:rPr>
          <w:rFonts w:ascii="宋体" w:hAnsi="宋体" w:cs="宋体" w:eastAsia="宋体" w:hint="default"/>
          <w:sz w:val="15"/>
          <w:szCs w:val="15"/>
        </w:rPr>
        <w:t>4,000</w:t>
      </w:r>
      <w:r>
        <w:rPr>
          <w:rFonts w:ascii="宋体" w:hAnsi="宋体" w:cs="宋体" w:eastAsia="宋体" w:hint="default"/>
          <w:spacing w:val="-40"/>
          <w:sz w:val="15"/>
          <w:szCs w:val="15"/>
        </w:rPr>
        <w:t> </w:t>
      </w:r>
      <w:r>
        <w:rPr>
          <w:rFonts w:ascii="宋体" w:hAnsi="宋体" w:cs="宋体" w:eastAsia="宋体" w:hint="default"/>
          <w:sz w:val="15"/>
          <w:szCs w:val="15"/>
        </w:rPr>
        <w:t>万元。</w:t>
      </w:r>
    </w:p>
    <w:p>
      <w:pPr>
        <w:spacing w:line="194" w:lineRule="exact" w:before="0"/>
        <w:ind w:left="162" w:right="0" w:firstLine="0"/>
        <w:jc w:val="left"/>
        <w:rPr>
          <w:rFonts w:ascii="宋体" w:hAnsi="宋体" w:cs="宋体" w:eastAsia="宋体" w:hint="default"/>
          <w:sz w:val="15"/>
          <w:szCs w:val="15"/>
        </w:rPr>
      </w:pPr>
      <w:r>
        <w:rPr>
          <w:rFonts w:ascii="宋体" w:hAnsi="宋体" w:cs="宋体" w:eastAsia="宋体" w:hint="default"/>
          <w:sz w:val="15"/>
          <w:szCs w:val="15"/>
        </w:rPr>
        <w:t>公司于</w:t>
      </w:r>
      <w:r>
        <w:rPr>
          <w:rFonts w:ascii="宋体" w:hAnsi="宋体" w:cs="宋体" w:eastAsia="宋体" w:hint="default"/>
          <w:spacing w:val="-48"/>
          <w:sz w:val="15"/>
          <w:szCs w:val="15"/>
        </w:rPr>
        <w:t> </w:t>
      </w:r>
      <w:r>
        <w:rPr>
          <w:rFonts w:ascii="宋体" w:hAnsi="宋体" w:cs="宋体" w:eastAsia="宋体" w:hint="default"/>
          <w:sz w:val="15"/>
          <w:szCs w:val="15"/>
        </w:rPr>
        <w:t>2011</w:t>
      </w:r>
      <w:r>
        <w:rPr>
          <w:rFonts w:ascii="宋体" w:hAnsi="宋体" w:cs="宋体" w:eastAsia="宋体" w:hint="default"/>
          <w:spacing w:val="-48"/>
          <w:sz w:val="15"/>
          <w:szCs w:val="15"/>
        </w:rPr>
        <w:t> </w:t>
      </w:r>
      <w:r>
        <w:rPr>
          <w:rFonts w:ascii="宋体" w:hAnsi="宋体" w:cs="宋体" w:eastAsia="宋体" w:hint="default"/>
          <w:sz w:val="15"/>
          <w:szCs w:val="15"/>
        </w:rPr>
        <w:t>年</w:t>
      </w:r>
      <w:r>
        <w:rPr>
          <w:rFonts w:ascii="宋体" w:hAnsi="宋体" w:cs="宋体" w:eastAsia="宋体" w:hint="default"/>
          <w:spacing w:val="-48"/>
          <w:sz w:val="15"/>
          <w:szCs w:val="15"/>
        </w:rPr>
        <w:t> </w:t>
      </w:r>
      <w:r>
        <w:rPr>
          <w:rFonts w:ascii="宋体" w:hAnsi="宋体" w:cs="宋体" w:eastAsia="宋体" w:hint="default"/>
          <w:sz w:val="15"/>
          <w:szCs w:val="15"/>
        </w:rPr>
        <w:t>8</w:t>
      </w:r>
      <w:r>
        <w:rPr>
          <w:rFonts w:ascii="宋体" w:hAnsi="宋体" w:cs="宋体" w:eastAsia="宋体" w:hint="default"/>
          <w:spacing w:val="-48"/>
          <w:sz w:val="15"/>
          <w:szCs w:val="15"/>
        </w:rPr>
        <w:t> </w:t>
      </w:r>
      <w:r>
        <w:rPr>
          <w:rFonts w:ascii="宋体" w:hAnsi="宋体" w:cs="宋体" w:eastAsia="宋体" w:hint="default"/>
          <w:sz w:val="15"/>
          <w:szCs w:val="15"/>
        </w:rPr>
        <w:t>月</w:t>
      </w:r>
      <w:r>
        <w:rPr>
          <w:rFonts w:ascii="宋体" w:hAnsi="宋体" w:cs="宋体" w:eastAsia="宋体" w:hint="default"/>
          <w:spacing w:val="-48"/>
          <w:sz w:val="15"/>
          <w:szCs w:val="15"/>
        </w:rPr>
        <w:t> </w:t>
      </w:r>
      <w:r>
        <w:rPr>
          <w:rFonts w:ascii="宋体" w:hAnsi="宋体" w:cs="宋体" w:eastAsia="宋体" w:hint="default"/>
          <w:sz w:val="15"/>
          <w:szCs w:val="15"/>
        </w:rPr>
        <w:t>17</w:t>
      </w:r>
      <w:r>
        <w:rPr>
          <w:rFonts w:ascii="宋体" w:hAnsi="宋体" w:cs="宋体" w:eastAsia="宋体" w:hint="default"/>
          <w:spacing w:val="-48"/>
          <w:sz w:val="15"/>
          <w:szCs w:val="15"/>
        </w:rPr>
        <w:t> </w:t>
      </w:r>
      <w:r>
        <w:rPr>
          <w:rFonts w:ascii="宋体" w:hAnsi="宋体" w:cs="宋体" w:eastAsia="宋体" w:hint="default"/>
          <w:sz w:val="15"/>
          <w:szCs w:val="15"/>
        </w:rPr>
        <w:t>日召开的第三届董事会第二十七次会议，审议通过了《关于再次使用部分闲置募集资金暂时补充流动资金的议案》，根据该决议，公司将</w:t>
      </w:r>
      <w:r>
        <w:rPr>
          <w:rFonts w:ascii="宋体" w:hAnsi="宋体" w:cs="宋体" w:eastAsia="宋体" w:hint="default"/>
          <w:spacing w:val="-48"/>
          <w:sz w:val="15"/>
          <w:szCs w:val="15"/>
        </w:rPr>
        <w:t> </w:t>
      </w:r>
      <w:r>
        <w:rPr>
          <w:rFonts w:ascii="宋体" w:hAnsi="宋体" w:cs="宋体" w:eastAsia="宋体" w:hint="default"/>
          <w:sz w:val="15"/>
          <w:szCs w:val="15"/>
        </w:rPr>
        <w:t>4,000</w:t>
      </w:r>
      <w:r>
        <w:rPr>
          <w:rFonts w:ascii="宋体" w:hAnsi="宋体" w:cs="宋体" w:eastAsia="宋体" w:hint="default"/>
          <w:spacing w:val="-48"/>
          <w:sz w:val="15"/>
          <w:szCs w:val="15"/>
        </w:rPr>
        <w:t> </w:t>
      </w:r>
      <w:r>
        <w:rPr>
          <w:rFonts w:ascii="宋体" w:hAnsi="宋体" w:cs="宋体" w:eastAsia="宋体" w:hint="default"/>
          <w:sz w:val="15"/>
          <w:szCs w:val="15"/>
        </w:rPr>
        <w:t>万元的闲置募集资</w:t>
      </w:r>
    </w:p>
    <w:p>
      <w:pPr>
        <w:spacing w:line="195" w:lineRule="exact" w:before="0"/>
        <w:ind w:left="162" w:right="239" w:firstLine="0"/>
        <w:jc w:val="left"/>
        <w:rPr>
          <w:rFonts w:ascii="宋体" w:hAnsi="宋体" w:cs="宋体" w:eastAsia="宋体" w:hint="default"/>
          <w:sz w:val="15"/>
          <w:szCs w:val="15"/>
        </w:rPr>
      </w:pPr>
      <w:r>
        <w:rPr>
          <w:rFonts w:ascii="宋体" w:hAnsi="宋体" w:cs="宋体" w:eastAsia="宋体" w:hint="default"/>
          <w:sz w:val="15"/>
          <w:szCs w:val="15"/>
        </w:rPr>
        <w:t>金暂时补充流动资金，使用期限不超过六个月。截至</w:t>
      </w:r>
      <w:r>
        <w:rPr>
          <w:rFonts w:ascii="宋体" w:hAnsi="宋体" w:cs="宋体" w:eastAsia="宋体" w:hint="default"/>
          <w:spacing w:val="-39"/>
          <w:sz w:val="15"/>
          <w:szCs w:val="15"/>
        </w:rPr>
        <w:t> </w:t>
      </w:r>
      <w:r>
        <w:rPr>
          <w:rFonts w:ascii="宋体" w:hAnsi="宋体" w:cs="宋体" w:eastAsia="宋体" w:hint="default"/>
          <w:sz w:val="15"/>
          <w:szCs w:val="15"/>
        </w:rPr>
        <w:t>2012</w:t>
      </w:r>
      <w:r>
        <w:rPr>
          <w:rFonts w:ascii="宋体" w:hAnsi="宋体" w:cs="宋体" w:eastAsia="宋体" w:hint="default"/>
          <w:spacing w:val="-2"/>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2</w:t>
      </w:r>
      <w:r>
        <w:rPr>
          <w:rFonts w:ascii="宋体" w:hAnsi="宋体" w:cs="宋体" w:eastAsia="宋体"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17</w:t>
      </w:r>
      <w:r>
        <w:rPr>
          <w:rFonts w:ascii="宋体" w:hAnsi="宋体" w:cs="宋体" w:eastAsia="宋体" w:hint="default"/>
          <w:spacing w:val="-2"/>
          <w:sz w:val="15"/>
          <w:szCs w:val="15"/>
        </w:rPr>
        <w:t> </w:t>
      </w:r>
      <w:r>
        <w:rPr>
          <w:rFonts w:ascii="宋体" w:hAnsi="宋体" w:cs="宋体" w:eastAsia="宋体" w:hint="default"/>
          <w:sz w:val="15"/>
          <w:szCs w:val="15"/>
        </w:rPr>
        <w:t>日，公司已按照承诺向募集资金专用账户归还补充流动资金的金额</w:t>
      </w:r>
      <w:r>
        <w:rPr>
          <w:rFonts w:ascii="宋体" w:hAnsi="宋体" w:cs="宋体" w:eastAsia="宋体" w:hint="default"/>
          <w:spacing w:val="-39"/>
          <w:sz w:val="15"/>
          <w:szCs w:val="15"/>
        </w:rPr>
        <w:t> </w:t>
      </w:r>
      <w:r>
        <w:rPr>
          <w:rFonts w:ascii="宋体" w:hAnsi="宋体" w:cs="宋体" w:eastAsia="宋体" w:hint="default"/>
          <w:sz w:val="15"/>
          <w:szCs w:val="15"/>
        </w:rPr>
        <w:t>4,000</w:t>
      </w:r>
      <w:r>
        <w:rPr>
          <w:rFonts w:ascii="宋体" w:hAnsi="宋体" w:cs="宋体" w:eastAsia="宋体" w:hint="default"/>
          <w:spacing w:val="-39"/>
          <w:sz w:val="15"/>
          <w:szCs w:val="15"/>
        </w:rPr>
        <w:t> </w:t>
      </w:r>
      <w:r>
        <w:rPr>
          <w:rFonts w:ascii="宋体" w:hAnsi="宋体" w:cs="宋体" w:eastAsia="宋体" w:hint="default"/>
          <w:sz w:val="15"/>
          <w:szCs w:val="15"/>
        </w:rPr>
        <w:t>万元。</w:t>
      </w:r>
    </w:p>
    <w:p>
      <w:pPr>
        <w:spacing w:after="0" w:line="195" w:lineRule="exact"/>
        <w:jc w:val="left"/>
        <w:rPr>
          <w:rFonts w:ascii="宋体" w:hAnsi="宋体" w:cs="宋体" w:eastAsia="宋体" w:hint="default"/>
          <w:sz w:val="15"/>
          <w:szCs w:val="15"/>
        </w:rPr>
        <w:sectPr>
          <w:type w:val="continuous"/>
          <w:pgSz w:w="16840" w:h="11910" w:orient="landscape"/>
          <w:pgMar w:top="900" w:bottom="1460" w:left="1180" w:right="1240"/>
          <w:cols w:num="2" w:equalWidth="0">
            <w:col w:w="1890" w:space="40"/>
            <w:col w:w="12490"/>
          </w:cols>
        </w:sectPr>
      </w:pPr>
    </w:p>
    <w:p>
      <w:pPr>
        <w:tabs>
          <w:tab w:pos="8058" w:val="left" w:leader="none"/>
        </w:tabs>
        <w:spacing w:before="58"/>
        <w:ind w:left="259" w:right="0" w:firstLine="0"/>
        <w:jc w:val="left"/>
        <w:rPr>
          <w:rFonts w:ascii="宋体" w:hAnsi="宋体" w:cs="宋体" w:eastAsia="宋体" w:hint="default"/>
          <w:sz w:val="15"/>
          <w:szCs w:val="15"/>
        </w:rPr>
      </w:pPr>
      <w:r>
        <w:rPr>
          <w:rFonts w:ascii="宋体" w:hAnsi="宋体" w:cs="宋体" w:eastAsia="宋体" w:hint="default"/>
          <w:spacing w:val="11"/>
          <w:sz w:val="15"/>
          <w:szCs w:val="15"/>
        </w:rPr>
        <w:t>项目实施出现募集资金</w:t>
        <w:tab/>
      </w:r>
      <w:r>
        <w:rPr>
          <w:rFonts w:ascii="宋体" w:hAnsi="宋体" w:cs="宋体" w:eastAsia="宋体" w:hint="default"/>
          <w:position w:val="-9"/>
          <w:sz w:val="15"/>
          <w:szCs w:val="15"/>
        </w:rPr>
        <w:t>无</w:t>
      </w:r>
      <w:r>
        <w:rPr>
          <w:rFonts w:ascii="宋体" w:hAnsi="宋体" w:cs="宋体" w:eastAsia="宋体" w:hint="default"/>
          <w:sz w:val="15"/>
          <w:szCs w:val="15"/>
        </w:rPr>
      </w:r>
    </w:p>
    <w:p>
      <w:pPr>
        <w:spacing w:before="103"/>
        <w:ind w:left="259" w:right="0" w:firstLine="0"/>
        <w:jc w:val="left"/>
        <w:rPr>
          <w:rFonts w:ascii="宋体" w:hAnsi="宋体" w:cs="宋体" w:eastAsia="宋体" w:hint="default"/>
          <w:sz w:val="15"/>
          <w:szCs w:val="15"/>
        </w:rPr>
      </w:pPr>
      <w:r>
        <w:rPr>
          <w:rFonts w:ascii="宋体" w:hAnsi="宋体" w:cs="宋体" w:eastAsia="宋体" w:hint="default"/>
          <w:sz w:val="15"/>
          <w:szCs w:val="15"/>
        </w:rPr>
        <w:t>结余的金额及原因</w:t>
      </w:r>
    </w:p>
    <w:p>
      <w:pPr>
        <w:spacing w:line="240" w:lineRule="auto" w:before="3"/>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type w:val="continuous"/>
          <w:pgSz w:w="16840" w:h="11910" w:orient="landscape"/>
          <w:pgMar w:top="900" w:bottom="1460" w:left="1180" w:right="1240"/>
        </w:sectPr>
      </w:pPr>
    </w:p>
    <w:p>
      <w:pPr>
        <w:spacing w:line="489" w:lineRule="auto" w:before="53"/>
        <w:ind w:left="259" w:right="-10" w:firstLine="0"/>
        <w:jc w:val="left"/>
        <w:rPr>
          <w:rFonts w:ascii="宋体" w:hAnsi="宋体" w:cs="宋体" w:eastAsia="宋体" w:hint="default"/>
          <w:sz w:val="15"/>
          <w:szCs w:val="15"/>
        </w:rPr>
      </w:pPr>
      <w:r>
        <w:rPr>
          <w:rFonts w:ascii="宋体" w:hAnsi="宋体" w:cs="宋体" w:eastAsia="宋体" w:hint="default"/>
          <w:spacing w:val="12"/>
          <w:sz w:val="15"/>
          <w:szCs w:val="15"/>
        </w:rPr>
        <w:t>尚未使用的募集资金用</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z w:val="15"/>
          <w:szCs w:val="15"/>
        </w:rPr>
        <w:t>途及去向</w:t>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10"/>
        <w:rPr>
          <w:rFonts w:ascii="宋体" w:hAnsi="宋体" w:cs="宋体" w:eastAsia="宋体" w:hint="default"/>
          <w:sz w:val="12"/>
          <w:szCs w:val="12"/>
        </w:rPr>
      </w:pPr>
    </w:p>
    <w:p>
      <w:pPr>
        <w:spacing w:line="489" w:lineRule="auto" w:before="0"/>
        <w:ind w:left="259" w:right="-10" w:firstLine="0"/>
        <w:jc w:val="left"/>
        <w:rPr>
          <w:rFonts w:ascii="宋体" w:hAnsi="宋体" w:cs="宋体" w:eastAsia="宋体" w:hint="default"/>
          <w:sz w:val="15"/>
          <w:szCs w:val="15"/>
        </w:rPr>
      </w:pPr>
      <w:r>
        <w:rPr>
          <w:rFonts w:ascii="宋体" w:hAnsi="宋体" w:cs="宋体" w:eastAsia="宋体" w:hint="default"/>
          <w:spacing w:val="12"/>
          <w:sz w:val="15"/>
          <w:szCs w:val="15"/>
        </w:rPr>
        <w:t>募集资金使用及披露中</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z w:val="15"/>
          <w:szCs w:val="15"/>
        </w:rPr>
        <w:t>存在的问题或其他情况</w:t>
      </w:r>
    </w:p>
    <w:p>
      <w:pPr>
        <w:spacing w:line="240" w:lineRule="auto" w:before="7"/>
        <w:rPr>
          <w:rFonts w:ascii="宋体" w:hAnsi="宋体" w:cs="宋体" w:eastAsia="宋体" w:hint="default"/>
          <w:sz w:val="11"/>
          <w:szCs w:val="11"/>
        </w:rPr>
      </w:pPr>
      <w:r>
        <w:rPr/>
        <w:br w:type="column"/>
      </w:r>
      <w:r>
        <w:rPr>
          <w:rFonts w:ascii="宋体"/>
          <w:sz w:val="11"/>
        </w:rPr>
      </w:r>
    </w:p>
    <w:p>
      <w:pPr>
        <w:spacing w:before="0"/>
        <w:ind w:left="162" w:right="239" w:firstLine="0"/>
        <w:jc w:val="left"/>
        <w:rPr>
          <w:rFonts w:ascii="宋体" w:hAnsi="宋体" w:cs="宋体" w:eastAsia="宋体" w:hint="default"/>
          <w:sz w:val="15"/>
          <w:szCs w:val="15"/>
        </w:rPr>
      </w:pPr>
      <w:r>
        <w:rPr>
          <w:rFonts w:ascii="宋体" w:hAnsi="宋体" w:cs="宋体" w:eastAsia="宋体" w:hint="default"/>
          <w:sz w:val="15"/>
          <w:szCs w:val="15"/>
        </w:rPr>
        <w:t>尚未使用的募集资金仍存放于募集资金专用账户</w:t>
      </w:r>
    </w:p>
    <w:p>
      <w:pPr>
        <w:spacing w:line="240" w:lineRule="auto" w:before="0"/>
        <w:rPr>
          <w:rFonts w:ascii="宋体" w:hAnsi="宋体" w:cs="宋体" w:eastAsia="宋体" w:hint="default"/>
          <w:sz w:val="14"/>
          <w:szCs w:val="14"/>
        </w:rPr>
      </w:pPr>
    </w:p>
    <w:p>
      <w:pPr>
        <w:spacing w:line="240" w:lineRule="auto" w:before="10"/>
        <w:rPr>
          <w:rFonts w:ascii="宋体" w:hAnsi="宋体" w:cs="宋体" w:eastAsia="宋体" w:hint="default"/>
          <w:sz w:val="9"/>
          <w:szCs w:val="9"/>
        </w:rPr>
      </w:pPr>
    </w:p>
    <w:p>
      <w:pPr>
        <w:spacing w:line="195" w:lineRule="exact" w:before="0"/>
        <w:ind w:left="162" w:right="239" w:firstLine="0"/>
        <w:jc w:val="left"/>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0"/>
          <w:sz w:val="15"/>
          <w:szCs w:val="15"/>
        </w:rPr>
        <w:t> </w:t>
      </w:r>
      <w:r>
        <w:rPr>
          <w:rFonts w:ascii="宋体" w:hAnsi="宋体" w:cs="宋体" w:eastAsia="宋体" w:hint="default"/>
          <w:sz w:val="15"/>
          <w:szCs w:val="15"/>
        </w:rPr>
        <w:t>年度，本公司募集资金使用存在以下募集资金管理违规的情况：</w:t>
      </w:r>
    </w:p>
    <w:p>
      <w:pPr>
        <w:spacing w:before="0"/>
        <w:ind w:left="162" w:right="233" w:firstLine="0"/>
        <w:jc w:val="left"/>
        <w:rPr>
          <w:rFonts w:ascii="宋体" w:hAnsi="宋体" w:cs="宋体" w:eastAsia="宋体" w:hint="default"/>
          <w:sz w:val="15"/>
          <w:szCs w:val="15"/>
        </w:rPr>
      </w:pPr>
      <w:r>
        <w:rPr>
          <w:rFonts w:ascii="宋体" w:hAnsi="宋体" w:cs="宋体" w:eastAsia="宋体" w:hint="default"/>
          <w:sz w:val="15"/>
          <w:szCs w:val="15"/>
        </w:rPr>
        <w:t>1、吉林高琦聚酰亚胺材料有限公司（以下简称“吉林高琦”）相关工作人员错误理解募集资金存储管理的监管要求，把监管行发行的保本型理财产品理解为银行一般性的资金存储，从 增加利息收入的角度，在未通知深圳惠程相关负责人的情况下，于</w:t>
      </w:r>
      <w:r>
        <w:rPr>
          <w:rFonts w:ascii="宋体" w:hAnsi="宋体" w:cs="宋体" w:eastAsia="宋体" w:hint="default"/>
          <w:spacing w:val="-51"/>
          <w:sz w:val="15"/>
          <w:szCs w:val="15"/>
        </w:rPr>
        <w:t> </w:t>
      </w:r>
      <w:r>
        <w:rPr>
          <w:rFonts w:ascii="宋体" w:hAnsi="宋体" w:cs="宋体" w:eastAsia="宋体" w:hint="default"/>
          <w:sz w:val="15"/>
          <w:szCs w:val="15"/>
        </w:rPr>
        <w:t>2011</w:t>
      </w:r>
      <w:r>
        <w:rPr>
          <w:rFonts w:ascii="宋体" w:hAnsi="宋体" w:cs="宋体" w:eastAsia="宋体" w:hint="default"/>
          <w:spacing w:val="-51"/>
          <w:sz w:val="15"/>
          <w:szCs w:val="15"/>
        </w:rPr>
        <w:t> </w:t>
      </w:r>
      <w:r>
        <w:rPr>
          <w:rFonts w:ascii="宋体" w:hAnsi="宋体" w:cs="宋体" w:eastAsia="宋体" w:hint="default"/>
          <w:sz w:val="15"/>
          <w:szCs w:val="15"/>
        </w:rPr>
        <w:t>年</w:t>
      </w:r>
      <w:r>
        <w:rPr>
          <w:rFonts w:ascii="宋体" w:hAnsi="宋体" w:cs="宋体" w:eastAsia="宋体" w:hint="default"/>
          <w:spacing w:val="-51"/>
          <w:sz w:val="15"/>
          <w:szCs w:val="15"/>
        </w:rPr>
        <w:t> </w:t>
      </w:r>
      <w:r>
        <w:rPr>
          <w:rFonts w:ascii="宋体" w:hAnsi="宋体" w:cs="宋体" w:eastAsia="宋体" w:hint="default"/>
          <w:sz w:val="15"/>
          <w:szCs w:val="15"/>
        </w:rPr>
        <w:t>3</w:t>
      </w:r>
      <w:r>
        <w:rPr>
          <w:rFonts w:ascii="宋体" w:hAnsi="宋体" w:cs="宋体" w:eastAsia="宋体" w:hint="default"/>
          <w:spacing w:val="-51"/>
          <w:sz w:val="15"/>
          <w:szCs w:val="15"/>
        </w:rPr>
        <w:t> </w:t>
      </w:r>
      <w:r>
        <w:rPr>
          <w:rFonts w:ascii="宋体" w:hAnsi="宋体" w:cs="宋体" w:eastAsia="宋体" w:hint="default"/>
          <w:sz w:val="15"/>
          <w:szCs w:val="15"/>
        </w:rPr>
        <w:t>月</w:t>
      </w:r>
      <w:r>
        <w:rPr>
          <w:rFonts w:ascii="宋体" w:hAnsi="宋体" w:cs="宋体" w:eastAsia="宋体" w:hint="default"/>
          <w:spacing w:val="-51"/>
          <w:sz w:val="15"/>
          <w:szCs w:val="15"/>
        </w:rPr>
        <w:t> </w:t>
      </w:r>
      <w:r>
        <w:rPr>
          <w:rFonts w:ascii="宋体" w:hAnsi="宋体" w:cs="宋体" w:eastAsia="宋体" w:hint="default"/>
          <w:sz w:val="15"/>
          <w:szCs w:val="15"/>
        </w:rPr>
        <w:t>25</w:t>
      </w:r>
      <w:r>
        <w:rPr>
          <w:rFonts w:ascii="宋体" w:hAnsi="宋体" w:cs="宋体" w:eastAsia="宋体" w:hint="default"/>
          <w:spacing w:val="-51"/>
          <w:sz w:val="15"/>
          <w:szCs w:val="15"/>
        </w:rPr>
        <w:t> </w:t>
      </w:r>
      <w:r>
        <w:rPr>
          <w:rFonts w:ascii="宋体" w:hAnsi="宋体" w:cs="宋体" w:eastAsia="宋体" w:hint="default"/>
          <w:sz w:val="15"/>
          <w:szCs w:val="15"/>
        </w:rPr>
        <w:t>日开始，先后五次用暂时闲置募集资金购买了监管行中国银行吉林市分行推荐的无风险的结构性理财产</w:t>
      </w:r>
    </w:p>
    <w:p>
      <w:pPr>
        <w:spacing w:before="0"/>
        <w:ind w:left="162" w:right="235" w:firstLine="0"/>
        <w:jc w:val="left"/>
        <w:rPr>
          <w:rFonts w:ascii="宋体" w:hAnsi="宋体" w:cs="宋体" w:eastAsia="宋体" w:hint="default"/>
          <w:sz w:val="15"/>
          <w:szCs w:val="15"/>
        </w:rPr>
      </w:pPr>
      <w:r>
        <w:rPr>
          <w:rFonts w:ascii="宋体" w:hAnsi="宋体" w:cs="宋体" w:eastAsia="宋体" w:hint="default"/>
          <w:sz w:val="15"/>
          <w:szCs w:val="15"/>
        </w:rPr>
        <w:t>品，深圳惠程和保荐机构对吉林高琦例行检查时发现该情况，并责令立即纠正，吉林高琦已</w:t>
      </w:r>
      <w:r>
        <w:rPr>
          <w:rFonts w:ascii="宋体" w:hAnsi="宋体" w:cs="宋体" w:eastAsia="宋体" w:hint="default"/>
          <w:spacing w:val="-39"/>
          <w:sz w:val="15"/>
          <w:szCs w:val="15"/>
        </w:rPr>
        <w:t> </w:t>
      </w:r>
      <w:r>
        <w:rPr>
          <w:rFonts w:ascii="宋体" w:hAnsi="宋体" w:cs="宋体" w:eastAsia="宋体" w:hint="default"/>
          <w:sz w:val="15"/>
          <w:szCs w:val="15"/>
        </w:rPr>
        <w:t>2011</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6</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1</w:t>
      </w:r>
      <w:r>
        <w:rPr>
          <w:rFonts w:ascii="宋体" w:hAnsi="宋体" w:cs="宋体" w:eastAsia="宋体" w:hint="default"/>
          <w:spacing w:val="-40"/>
          <w:sz w:val="15"/>
          <w:szCs w:val="15"/>
        </w:rPr>
        <w:t> </w:t>
      </w:r>
      <w:r>
        <w:rPr>
          <w:rFonts w:ascii="宋体" w:hAnsi="宋体" w:cs="宋体" w:eastAsia="宋体" w:hint="default"/>
          <w:sz w:val="15"/>
          <w:szCs w:val="15"/>
        </w:rPr>
        <w:t>日提前赎回所剩最后一笔产品。至此，之前购买的所有理财产品本息已全部收</w:t>
      </w:r>
      <w:r>
        <w:rPr>
          <w:rFonts w:ascii="宋体" w:hAnsi="宋体" w:cs="宋体" w:eastAsia="宋体" w:hint="default"/>
          <w:sz w:val="15"/>
          <w:szCs w:val="15"/>
        </w:rPr>
        <w:t> 回至募集资金监管帐户。 </w:t>
      </w:r>
      <w:r>
        <w:rPr>
          <w:rFonts w:ascii="宋体" w:hAnsi="宋体" w:cs="宋体" w:eastAsia="宋体" w:hint="default"/>
          <w:spacing w:val="-1"/>
          <w:sz w:val="15"/>
          <w:szCs w:val="15"/>
        </w:rPr>
        <w:t>2、由于吉林高琦所在地吉林市九站经济开发区，位置远离市区，且园区内乙醇等化工工厂众多，空气中刺激性气体含量较高，公司考虑到以上因素以募集资金支付</w:t>
      </w:r>
      <w:r>
        <w:rPr>
          <w:rFonts w:ascii="宋体" w:hAnsi="宋体" w:cs="宋体" w:eastAsia="宋体" w:hint="default"/>
          <w:spacing w:val="-38"/>
          <w:sz w:val="15"/>
          <w:szCs w:val="15"/>
        </w:rPr>
        <w:t> </w:t>
      </w:r>
      <w:r>
        <w:rPr>
          <w:rFonts w:ascii="宋体" w:hAnsi="宋体" w:cs="宋体" w:eastAsia="宋体" w:hint="default"/>
          <w:sz w:val="15"/>
          <w:szCs w:val="15"/>
        </w:rPr>
        <w:t>992,953.00</w:t>
      </w:r>
      <w:r>
        <w:rPr>
          <w:rFonts w:ascii="宋体" w:hAnsi="宋体" w:cs="宋体" w:eastAsia="宋体" w:hint="default"/>
          <w:spacing w:val="-38"/>
          <w:sz w:val="15"/>
          <w:szCs w:val="15"/>
        </w:rPr>
        <w:t> </w:t>
      </w:r>
      <w:r>
        <w:rPr>
          <w:rFonts w:ascii="宋体" w:hAnsi="宋体" w:cs="宋体" w:eastAsia="宋体" w:hint="default"/>
          <w:spacing w:val="-1"/>
          <w:sz w:val="15"/>
          <w:szCs w:val="15"/>
        </w:rPr>
        <w:t>元在高新</w:t>
      </w:r>
      <w:r>
        <w:rPr>
          <w:rFonts w:ascii="宋体" w:hAnsi="宋体" w:cs="宋体" w:eastAsia="宋体" w:hint="default"/>
          <w:sz w:val="15"/>
          <w:szCs w:val="15"/>
        </w:rPr>
        <w:t> 工业园外的生活社区购置了四套商品房作为专家宿舍。募集资金可行性研究报告上无对此特别说明，吉林高琦未按照募集资金用途使用，事后吉林高琦已将款项归还募集资金账户。 3、2011</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0"/>
          <w:sz w:val="15"/>
          <w:szCs w:val="15"/>
        </w:rPr>
        <w:t> </w:t>
      </w:r>
      <w:r>
        <w:rPr>
          <w:rFonts w:ascii="宋体" w:hAnsi="宋体" w:cs="宋体" w:eastAsia="宋体" w:hint="default"/>
          <w:sz w:val="15"/>
          <w:szCs w:val="15"/>
        </w:rPr>
        <w:t>4</w:t>
      </w:r>
      <w:r>
        <w:rPr>
          <w:rFonts w:ascii="宋体" w:hAnsi="宋体" w:cs="宋体" w:eastAsia="宋体" w:hint="default"/>
          <w:spacing w:val="-40"/>
          <w:sz w:val="15"/>
          <w:szCs w:val="15"/>
        </w:rPr>
        <w:t> </w:t>
      </w:r>
      <w:r>
        <w:rPr>
          <w:rFonts w:ascii="宋体" w:hAnsi="宋体" w:cs="宋体" w:eastAsia="宋体" w:hint="default"/>
          <w:sz w:val="15"/>
          <w:szCs w:val="15"/>
        </w:rPr>
        <w:t>月，吉林高琦在未经相关董事会审议批准的情况下，提前将募集资金</w:t>
      </w:r>
      <w:r>
        <w:rPr>
          <w:rFonts w:ascii="宋体" w:hAnsi="宋体" w:cs="宋体" w:eastAsia="宋体" w:hint="default"/>
          <w:spacing w:val="-40"/>
          <w:sz w:val="15"/>
          <w:szCs w:val="15"/>
        </w:rPr>
        <w:t> </w:t>
      </w:r>
      <w:r>
        <w:rPr>
          <w:rFonts w:ascii="宋体" w:hAnsi="宋体" w:cs="宋体" w:eastAsia="宋体" w:hint="default"/>
          <w:sz w:val="15"/>
          <w:szCs w:val="15"/>
        </w:rPr>
        <w:t>57,346,200.00</w:t>
      </w:r>
      <w:r>
        <w:rPr>
          <w:rFonts w:ascii="宋体" w:hAnsi="宋体" w:cs="宋体" w:eastAsia="宋体" w:hint="default"/>
          <w:spacing w:val="-40"/>
          <w:sz w:val="15"/>
          <w:szCs w:val="15"/>
        </w:rPr>
        <w:t> </w:t>
      </w:r>
      <w:r>
        <w:rPr>
          <w:rFonts w:ascii="宋体" w:hAnsi="宋体" w:cs="宋体" w:eastAsia="宋体" w:hint="default"/>
          <w:sz w:val="15"/>
          <w:szCs w:val="15"/>
        </w:rPr>
        <w:t>元置换前期投入的自有资金，当月吉林高琦已将该款项归还至募集资金账户。</w:t>
      </w:r>
    </w:p>
    <w:p>
      <w:pPr>
        <w:spacing w:line="196" w:lineRule="exact" w:before="0"/>
        <w:ind w:left="162" w:right="239" w:firstLine="0"/>
        <w:jc w:val="left"/>
        <w:rPr>
          <w:rFonts w:ascii="宋体" w:hAnsi="宋体" w:cs="宋体" w:eastAsia="宋体" w:hint="default"/>
          <w:sz w:val="15"/>
          <w:szCs w:val="15"/>
        </w:rPr>
      </w:pPr>
      <w:r>
        <w:rPr>
          <w:rFonts w:ascii="宋体" w:hAnsi="宋体" w:cs="宋体" w:eastAsia="宋体" w:hint="default"/>
          <w:sz w:val="15"/>
          <w:szCs w:val="15"/>
        </w:rPr>
        <w:t>4、吉林高琦在无明确划分依据的情况下使用募集资金发放非募集资金项目工人工资</w:t>
      </w:r>
      <w:r>
        <w:rPr>
          <w:rFonts w:ascii="宋体" w:hAnsi="宋体" w:cs="宋体" w:eastAsia="宋体" w:hint="default"/>
          <w:spacing w:val="-41"/>
          <w:sz w:val="15"/>
          <w:szCs w:val="15"/>
        </w:rPr>
        <w:t> </w:t>
      </w:r>
      <w:r>
        <w:rPr>
          <w:rFonts w:ascii="宋体" w:hAnsi="宋体" w:cs="宋体" w:eastAsia="宋体" w:hint="default"/>
          <w:sz w:val="15"/>
          <w:szCs w:val="15"/>
        </w:rPr>
        <w:t>651,620.26</w:t>
      </w:r>
      <w:r>
        <w:rPr>
          <w:rFonts w:ascii="宋体" w:hAnsi="宋体" w:cs="宋体" w:eastAsia="宋体" w:hint="default"/>
          <w:spacing w:val="-41"/>
          <w:sz w:val="15"/>
          <w:szCs w:val="15"/>
        </w:rPr>
        <w:t> </w:t>
      </w:r>
      <w:r>
        <w:rPr>
          <w:rFonts w:ascii="宋体" w:hAnsi="宋体" w:cs="宋体" w:eastAsia="宋体" w:hint="default"/>
          <w:sz w:val="15"/>
          <w:szCs w:val="15"/>
        </w:rPr>
        <w:t>元，公司已将该款项归还至募集资金账户。</w:t>
      </w:r>
    </w:p>
    <w:p>
      <w:pPr>
        <w:spacing w:after="0" w:line="196" w:lineRule="exact"/>
        <w:jc w:val="left"/>
        <w:rPr>
          <w:rFonts w:ascii="宋体" w:hAnsi="宋体" w:cs="宋体" w:eastAsia="宋体" w:hint="default"/>
          <w:sz w:val="15"/>
          <w:szCs w:val="15"/>
        </w:rPr>
        <w:sectPr>
          <w:type w:val="continuous"/>
          <w:pgSz w:w="16840" w:h="11910" w:orient="landscape"/>
          <w:pgMar w:top="900" w:bottom="1460" w:left="1180" w:right="1240"/>
          <w:cols w:num="2" w:equalWidth="0">
            <w:col w:w="1890" w:space="40"/>
            <w:col w:w="12490"/>
          </w:cols>
        </w:sectPr>
      </w:pPr>
    </w:p>
    <w:p>
      <w:pPr>
        <w:pStyle w:val="BodyText"/>
        <w:spacing w:line="240" w:lineRule="auto" w:before="34"/>
        <w:ind w:left="739" w:right="0"/>
        <w:jc w:val="left"/>
      </w:pPr>
      <w:r>
        <w:rPr>
          <w:spacing w:val="-240"/>
          <w:position w:val="-3"/>
          <w:sz w:val="36"/>
          <w:szCs w:val="36"/>
        </w:rPr>
        <w:t>○</w:t>
      </w:r>
      <w:r>
        <w:rPr>
          <w:rFonts w:ascii="Times New Roman" w:hAnsi="Times New Roman" w:cs="Times New Roman" w:eastAsia="Times New Roman" w:hint="default"/>
        </w:rPr>
        <w:t>4  </w:t>
      </w:r>
      <w:r>
        <w:rPr/>
        <w:t>会计师事务所对募集资金存放与使用情况出具鉴证意见</w:t>
      </w:r>
    </w:p>
    <w:p>
      <w:pPr>
        <w:pStyle w:val="BodyText"/>
        <w:spacing w:line="288" w:lineRule="auto" w:before="68"/>
        <w:ind w:left="259" w:right="197" w:firstLine="480"/>
        <w:jc w:val="both"/>
      </w:pPr>
      <w:r>
        <w:rPr/>
        <w:t>立信会计师事务所对公司《募集资金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5"/>
        </w:rPr>
        <w:t> </w:t>
      </w:r>
      <w:r>
        <w:rPr>
          <w:spacing w:val="-3"/>
        </w:rPr>
        <w:t>年度存放与使用情况专项报告》进行了鉴证，出具了信会师报字</w:t>
      </w:r>
      <w:r>
        <w:rPr>
          <w:rFonts w:ascii="Times New Roman" w:hAnsi="Times New Roman" w:cs="Times New Roman" w:eastAsia="Times New Roman" w:hint="default"/>
          <w:spacing w:val="-3"/>
        </w:rPr>
        <w:t>[2012]</w:t>
      </w:r>
      <w:r>
        <w:rPr>
          <w:spacing w:val="-3"/>
        </w:rPr>
        <w:t>第</w:t>
      </w:r>
      <w:r>
        <w:rPr>
          <w:rFonts w:ascii="Times New Roman" w:hAnsi="Times New Roman" w:cs="Times New Roman" w:eastAsia="Times New Roman" w:hint="default"/>
          <w:spacing w:val="-3"/>
        </w:rPr>
        <w:t>310211</w:t>
      </w:r>
      <w:r>
        <w:rPr>
          <w:spacing w:val="-3"/>
        </w:rPr>
        <w:t>号《募</w:t>
      </w:r>
      <w:r>
        <w:rPr/>
        <w:t> </w:t>
      </w:r>
      <w:r>
        <w:rPr>
          <w:spacing w:val="-4"/>
        </w:rPr>
        <w:t>集资金年度存放与使用情况鉴证报告》，报告认为：深圳惠程公司董事会编制的</w:t>
      </w:r>
      <w:r>
        <w:rPr>
          <w:rFonts w:ascii="Times New Roman" w:hAnsi="Times New Roman" w:cs="Times New Roman" w:eastAsia="Times New Roman" w:hint="default"/>
          <w:spacing w:val="-4"/>
        </w:rPr>
        <w:t>2011</w:t>
      </w:r>
      <w:r>
        <w:rPr>
          <w:spacing w:val="-4"/>
        </w:rPr>
        <w:t>年度《关于公司募集资金存放与使用情况的专项报</w:t>
      </w:r>
      <w:r>
        <w:rPr>
          <w:spacing w:val="-98"/>
        </w:rPr>
        <w:t> </w:t>
      </w:r>
      <w:r>
        <w:rPr>
          <w:spacing w:val="-98"/>
        </w:rPr>
      </w:r>
      <w:r>
        <w:rPr/>
        <w:t>告》符合《深圳证券交易所中小企业板上市公司规范运作指引》及相关格式指引的规定，如实反映了深圳惠程公司募集资金</w:t>
      </w:r>
      <w:r>
        <w:rPr>
          <w:rFonts w:ascii="Times New Roman" w:hAnsi="Times New Roman" w:cs="Times New Roman" w:eastAsia="Times New Roman" w:hint="default"/>
        </w:rPr>
        <w:t>2011</w:t>
      </w:r>
      <w:r>
        <w:rPr/>
        <w:t>年度</w:t>
      </w:r>
      <w:r>
        <w:rPr>
          <w:spacing w:val="2"/>
        </w:rPr>
        <w:t> </w:t>
      </w:r>
      <w:r>
        <w:rPr/>
        <w:t>实际存放与使用情况。</w:t>
      </w:r>
    </w:p>
    <w:p>
      <w:pPr>
        <w:spacing w:after="0" w:line="288" w:lineRule="auto"/>
        <w:jc w:val="both"/>
        <w:sectPr>
          <w:type w:val="continuous"/>
          <w:pgSz w:w="16840" w:h="11910" w:orient="landscape"/>
          <w:pgMar w:top="900" w:bottom="1460" w:left="1180" w:right="1240"/>
        </w:sectPr>
      </w:pPr>
    </w:p>
    <w:p>
      <w:pPr>
        <w:spacing w:line="240" w:lineRule="auto" w:before="2"/>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headerReference w:type="default" r:id="rId40"/>
          <w:footerReference w:type="default" r:id="rId41"/>
          <w:pgSz w:w="11910" w:h="16840"/>
          <w:pgMar w:header="624" w:footer="711" w:top="1040" w:bottom="900" w:left="880" w:right="900"/>
          <w:pgNumType w:start="63"/>
        </w:sectPr>
      </w:pPr>
    </w:p>
    <w:p>
      <w:pPr>
        <w:spacing w:before="26"/>
        <w:ind w:left="736" w:right="0" w:firstLine="0"/>
        <w:jc w:val="left"/>
        <w:rPr>
          <w:rFonts w:ascii="宋体" w:hAnsi="宋体" w:cs="宋体" w:eastAsia="宋体" w:hint="default"/>
          <w:sz w:val="24"/>
          <w:szCs w:val="24"/>
        </w:rPr>
      </w:pPr>
      <w:r>
        <w:rPr>
          <w:rFonts w:ascii="宋体" w:hAnsi="宋体" w:cs="宋体" w:eastAsia="宋体" w:hint="default"/>
          <w:b/>
          <w:bCs/>
          <w:w w:val="95"/>
          <w:sz w:val="24"/>
          <w:szCs w:val="24"/>
        </w:rPr>
        <w:t>（</w:t>
      </w:r>
      <w:r>
        <w:rPr>
          <w:rFonts w:ascii="Times New Roman" w:hAnsi="Times New Roman" w:cs="Times New Roman" w:eastAsia="Times New Roman" w:hint="default"/>
          <w:b/>
          <w:bCs/>
          <w:w w:val="95"/>
          <w:sz w:val="24"/>
          <w:szCs w:val="24"/>
        </w:rPr>
        <w:t>2</w:t>
      </w:r>
      <w:r>
        <w:rPr>
          <w:rFonts w:ascii="宋体" w:hAnsi="宋体" w:cs="宋体" w:eastAsia="宋体" w:hint="default"/>
          <w:b/>
          <w:bCs/>
          <w:w w:val="95"/>
          <w:sz w:val="24"/>
          <w:szCs w:val="24"/>
        </w:rPr>
        <w:t>）非募集资金投资情况</w:t>
      </w:r>
      <w:r>
        <w:rPr>
          <w:rFonts w:ascii="宋体" w:hAnsi="宋体" w:cs="宋体" w:eastAsia="宋体" w:hint="default"/>
          <w:sz w:val="24"/>
          <w:szCs w:val="24"/>
        </w:rPr>
      </w:r>
    </w:p>
    <w:p>
      <w:pPr>
        <w:spacing w:line="240" w:lineRule="auto" w:before="5"/>
        <w:rPr>
          <w:rFonts w:ascii="宋体" w:hAnsi="宋体" w:cs="宋体" w:eastAsia="宋体" w:hint="default"/>
          <w:b/>
          <w:bCs/>
          <w:sz w:val="29"/>
          <w:szCs w:val="29"/>
        </w:rPr>
      </w:pPr>
      <w:r>
        <w:rPr/>
        <w:br w:type="column"/>
      </w:r>
      <w:r>
        <w:rPr>
          <w:rFonts w:ascii="宋体"/>
          <w:b/>
          <w:sz w:val="29"/>
        </w:rPr>
      </w:r>
    </w:p>
    <w:p>
      <w:pPr>
        <w:spacing w:before="0"/>
        <w:ind w:left="736" w:right="0" w:firstLine="0"/>
        <w:jc w:val="left"/>
        <w:rPr>
          <w:rFonts w:ascii="宋体" w:hAnsi="宋体" w:cs="宋体" w:eastAsia="宋体" w:hint="default"/>
          <w:sz w:val="20"/>
          <w:szCs w:val="20"/>
        </w:rPr>
      </w:pPr>
      <w:r>
        <w:rPr>
          <w:rFonts w:ascii="宋体" w:hAnsi="宋体" w:cs="宋体" w:eastAsia="宋体" w:hint="default"/>
          <w:sz w:val="20"/>
          <w:szCs w:val="20"/>
        </w:rPr>
        <w:t>单位：元</w:t>
      </w:r>
    </w:p>
    <w:p>
      <w:pPr>
        <w:spacing w:after="0"/>
        <w:jc w:val="left"/>
        <w:rPr>
          <w:rFonts w:ascii="宋体" w:hAnsi="宋体" w:cs="宋体" w:eastAsia="宋体" w:hint="default"/>
          <w:sz w:val="20"/>
          <w:szCs w:val="20"/>
        </w:rPr>
        <w:sectPr>
          <w:type w:val="continuous"/>
          <w:pgSz w:w="11910" w:h="16840"/>
          <w:pgMar w:top="900" w:bottom="1460" w:left="880" w:right="900"/>
          <w:cols w:num="2" w:equalWidth="0">
            <w:col w:w="3508" w:space="4410"/>
            <w:col w:w="2212"/>
          </w:cols>
        </w:sectPr>
      </w:pPr>
    </w:p>
    <w:p>
      <w:pPr>
        <w:spacing w:line="240" w:lineRule="auto" w:before="5"/>
        <w:rPr>
          <w:rFonts w:ascii="宋体" w:hAnsi="宋体" w:cs="宋体" w:eastAsia="宋体" w:hint="default"/>
          <w:sz w:val="5"/>
          <w:szCs w:val="5"/>
        </w:rPr>
      </w:pPr>
    </w:p>
    <w:tbl>
      <w:tblPr>
        <w:tblW w:w="0" w:type="auto"/>
        <w:jc w:val="left"/>
        <w:tblInd w:w="233" w:type="dxa"/>
        <w:tblLayout w:type="fixed"/>
        <w:tblCellMar>
          <w:top w:w="0" w:type="dxa"/>
          <w:left w:w="0" w:type="dxa"/>
          <w:bottom w:w="0" w:type="dxa"/>
          <w:right w:w="0" w:type="dxa"/>
        </w:tblCellMar>
        <w:tblLook w:val="01E0"/>
      </w:tblPr>
      <w:tblGrid>
        <w:gridCol w:w="2236"/>
        <w:gridCol w:w="1466"/>
        <w:gridCol w:w="1276"/>
        <w:gridCol w:w="1417"/>
        <w:gridCol w:w="1559"/>
        <w:gridCol w:w="1702"/>
      </w:tblGrid>
      <w:tr>
        <w:trPr>
          <w:trHeight w:val="474" w:hRule="exact"/>
        </w:trPr>
        <w:tc>
          <w:tcPr>
            <w:tcW w:w="22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5"/>
              <w:ind w:left="572" w:right="0"/>
              <w:jc w:val="left"/>
              <w:rPr>
                <w:rFonts w:ascii="宋体" w:hAnsi="宋体" w:cs="宋体" w:eastAsia="宋体" w:hint="default"/>
                <w:sz w:val="18"/>
                <w:szCs w:val="18"/>
              </w:rPr>
            </w:pPr>
            <w:r>
              <w:rPr>
                <w:rFonts w:ascii="宋体" w:hAnsi="宋体" w:cs="宋体" w:eastAsia="宋体" w:hint="default"/>
                <w:sz w:val="18"/>
                <w:szCs w:val="18"/>
              </w:rPr>
              <w:t>工程项目名称</w:t>
            </w:r>
          </w:p>
        </w:tc>
        <w:tc>
          <w:tcPr>
            <w:tcW w:w="14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5"/>
              <w:ind w:left="458"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5"/>
              <w:ind w:left="272"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5"/>
              <w:ind w:left="163" w:right="0"/>
              <w:jc w:val="left"/>
              <w:rPr>
                <w:rFonts w:ascii="宋体" w:hAnsi="宋体" w:cs="宋体" w:eastAsia="宋体" w:hint="default"/>
                <w:sz w:val="18"/>
                <w:szCs w:val="18"/>
              </w:rPr>
            </w:pPr>
            <w:r>
              <w:rPr>
                <w:rFonts w:ascii="宋体" w:hAnsi="宋体" w:cs="宋体" w:eastAsia="宋体" w:hint="default"/>
                <w:sz w:val="18"/>
                <w:szCs w:val="18"/>
              </w:rPr>
              <w:t>本年增加投资</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5"/>
              <w:ind w:left="414" w:right="0"/>
              <w:jc w:val="left"/>
              <w:rPr>
                <w:rFonts w:ascii="宋体" w:hAnsi="宋体" w:cs="宋体" w:eastAsia="宋体" w:hint="default"/>
                <w:sz w:val="18"/>
                <w:szCs w:val="18"/>
              </w:rPr>
            </w:pPr>
            <w:r>
              <w:rPr>
                <w:rFonts w:ascii="宋体" w:hAnsi="宋体" w:cs="宋体" w:eastAsia="宋体" w:hint="default"/>
                <w:sz w:val="18"/>
                <w:szCs w:val="18"/>
              </w:rPr>
              <w:t>工程进度</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项目收益情况</w:t>
            </w:r>
          </w:p>
        </w:tc>
      </w:tr>
      <w:tr>
        <w:trPr>
          <w:trHeight w:val="476" w:hRule="exact"/>
        </w:trPr>
        <w:tc>
          <w:tcPr>
            <w:tcW w:w="22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11" w:lineRule="exact"/>
              <w:ind w:left="10" w:right="0"/>
              <w:jc w:val="left"/>
              <w:rPr>
                <w:rFonts w:ascii="宋体" w:hAnsi="宋体" w:cs="宋体" w:eastAsia="宋体" w:hint="default"/>
                <w:sz w:val="18"/>
                <w:szCs w:val="18"/>
              </w:rPr>
            </w:pPr>
            <w:r>
              <w:rPr>
                <w:rFonts w:ascii="宋体" w:hAnsi="宋体" w:cs="宋体" w:eastAsia="宋体" w:hint="default"/>
                <w:spacing w:val="3"/>
                <w:sz w:val="18"/>
                <w:szCs w:val="18"/>
              </w:rPr>
              <w:t>长春高琦 </w:t>
            </w:r>
            <w:r>
              <w:rPr>
                <w:rFonts w:ascii="Times New Roman" w:hAnsi="Times New Roman" w:cs="Times New Roman" w:eastAsia="Times New Roman" w:hint="default"/>
                <w:sz w:val="18"/>
                <w:szCs w:val="18"/>
              </w:rPr>
              <w:t>300 </w:t>
            </w:r>
            <w:r>
              <w:rPr>
                <w:rFonts w:ascii="Times New Roman" w:hAnsi="Times New Roman" w:cs="Times New Roman" w:eastAsia="Times New Roman" w:hint="default"/>
                <w:spacing w:val="3"/>
                <w:sz w:val="18"/>
                <w:szCs w:val="18"/>
              </w:rPr>
              <w:t> </w:t>
            </w:r>
            <w:r>
              <w:rPr>
                <w:rFonts w:ascii="宋体" w:hAnsi="宋体" w:cs="宋体" w:eastAsia="宋体" w:hint="default"/>
                <w:spacing w:val="4"/>
                <w:sz w:val="18"/>
                <w:szCs w:val="18"/>
              </w:rPr>
              <w:t>吨聚酰亚胺</w:t>
            </w:r>
            <w:r>
              <w:rPr>
                <w:rFonts w:ascii="宋体" w:hAnsi="宋体" w:cs="宋体" w:eastAsia="宋体" w:hint="default"/>
                <w:sz w:val="18"/>
                <w:szCs w:val="18"/>
              </w:rPr>
            </w:r>
          </w:p>
          <w:p>
            <w:pPr>
              <w:pStyle w:val="TableParagraph"/>
              <w:spacing w:line="228" w:lineRule="exact"/>
              <w:ind w:left="10" w:right="0"/>
              <w:jc w:val="left"/>
              <w:rPr>
                <w:rFonts w:ascii="宋体" w:hAnsi="宋体" w:cs="宋体" w:eastAsia="宋体" w:hint="default"/>
                <w:sz w:val="18"/>
                <w:szCs w:val="18"/>
              </w:rPr>
            </w:pPr>
            <w:r>
              <w:rPr>
                <w:rFonts w:ascii="宋体" w:hAnsi="宋体" w:cs="宋体" w:eastAsia="宋体" w:hint="default"/>
                <w:sz w:val="18"/>
                <w:szCs w:val="18"/>
              </w:rPr>
              <w:t>纤维项目</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123,142,700.00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0"/>
              <w:jc w:val="right"/>
              <w:rPr>
                <w:rFonts w:ascii="Times New Roman" w:hAnsi="Times New Roman" w:cs="Times New Roman" w:eastAsia="Times New Roman" w:hint="default"/>
                <w:sz w:val="18"/>
                <w:szCs w:val="18"/>
              </w:rPr>
            </w:pPr>
            <w:r>
              <w:rPr>
                <w:rFonts w:ascii="Times New Roman"/>
                <w:spacing w:val="-1"/>
                <w:sz w:val="18"/>
              </w:rPr>
              <w:t>10,126,624.20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0"/>
              <w:jc w:val="right"/>
              <w:rPr>
                <w:rFonts w:ascii="Times New Roman" w:hAnsi="Times New Roman" w:cs="Times New Roman" w:eastAsia="Times New Roman" w:hint="default"/>
                <w:sz w:val="18"/>
                <w:szCs w:val="18"/>
              </w:rPr>
            </w:pPr>
            <w:r>
              <w:rPr>
                <w:rFonts w:ascii="Times New Roman"/>
                <w:spacing w:val="-1"/>
                <w:sz w:val="18"/>
              </w:rPr>
              <w:t>4,903,755.35</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0"/>
              <w:jc w:val="right"/>
              <w:rPr>
                <w:rFonts w:ascii="Times New Roman" w:hAnsi="Times New Roman" w:cs="Times New Roman" w:eastAsia="Times New Roman" w:hint="default"/>
                <w:sz w:val="18"/>
                <w:szCs w:val="18"/>
              </w:rPr>
            </w:pPr>
            <w:r>
              <w:rPr>
                <w:rFonts w:ascii="Times New Roman"/>
                <w:w w:val="95"/>
                <w:sz w:val="18"/>
              </w:rPr>
              <w:t>12.21%</w:t>
            </w:r>
            <w:r>
              <w:rPr>
                <w:rFonts w:ascii="Times New Roman"/>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61" w:hRule="exact"/>
        </w:trPr>
        <w:tc>
          <w:tcPr>
            <w:tcW w:w="22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left="10" w:right="0"/>
              <w:jc w:val="left"/>
              <w:rPr>
                <w:rFonts w:ascii="宋体" w:hAnsi="宋体" w:cs="宋体" w:eastAsia="宋体" w:hint="default"/>
                <w:sz w:val="18"/>
                <w:szCs w:val="18"/>
              </w:rPr>
            </w:pPr>
            <w:r>
              <w:rPr>
                <w:rFonts w:ascii="宋体" w:hAnsi="宋体" w:cs="宋体" w:eastAsia="宋体" w:hint="default"/>
                <w:sz w:val="18"/>
                <w:szCs w:val="18"/>
              </w:rPr>
              <w:t>长春高琦模压机加项目</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0"/>
              <w:jc w:val="right"/>
              <w:rPr>
                <w:rFonts w:ascii="Times New Roman" w:hAnsi="Times New Roman" w:cs="Times New Roman" w:eastAsia="Times New Roman" w:hint="default"/>
                <w:sz w:val="18"/>
                <w:szCs w:val="18"/>
              </w:rPr>
            </w:pPr>
            <w:r>
              <w:rPr>
                <w:rFonts w:ascii="Times New Roman"/>
                <w:sz w:val="18"/>
              </w:rPr>
              <w:t>360,000.00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18"/>
                <w:szCs w:val="18"/>
              </w:rPr>
            </w:pPr>
            <w:r>
              <w:rPr>
                <w:rFonts w:ascii="Times New Roman"/>
                <w:sz w:val="18"/>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0"/>
              <w:jc w:val="right"/>
              <w:rPr>
                <w:rFonts w:ascii="Times New Roman" w:hAnsi="Times New Roman" w:cs="Times New Roman" w:eastAsia="Times New Roman" w:hint="default"/>
                <w:sz w:val="18"/>
                <w:szCs w:val="18"/>
              </w:rPr>
            </w:pPr>
            <w:r>
              <w:rPr>
                <w:rFonts w:ascii="Times New Roman"/>
                <w:sz w:val="18"/>
              </w:rPr>
              <w:t>360,732.96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76" w:hRule="exact"/>
        </w:trPr>
        <w:tc>
          <w:tcPr>
            <w:tcW w:w="22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11" w:lineRule="exact"/>
              <w:ind w:left="10" w:right="0"/>
              <w:jc w:val="left"/>
              <w:rPr>
                <w:rFonts w:ascii="Times New Roman" w:hAnsi="Times New Roman" w:cs="Times New Roman" w:eastAsia="Times New Roman" w:hint="default"/>
                <w:sz w:val="18"/>
                <w:szCs w:val="18"/>
              </w:rPr>
            </w:pPr>
            <w:r>
              <w:rPr>
                <w:rFonts w:ascii="宋体" w:hAnsi="宋体" w:cs="宋体" w:eastAsia="宋体" w:hint="default"/>
                <w:spacing w:val="11"/>
                <w:sz w:val="18"/>
                <w:szCs w:val="18"/>
              </w:rPr>
              <w:t>长春高琦聚酰亚胺</w:t>
            </w:r>
            <w:r>
              <w:rPr>
                <w:rFonts w:ascii="宋体" w:hAnsi="宋体" w:cs="宋体" w:eastAsia="宋体" w:hint="default"/>
                <w:spacing w:val="12"/>
                <w:sz w:val="18"/>
                <w:szCs w:val="18"/>
              </w:rPr>
              <w:t> </w:t>
            </w:r>
            <w:r>
              <w:rPr>
                <w:rFonts w:ascii="Times New Roman" w:hAnsi="Times New Roman" w:cs="Times New Roman" w:eastAsia="Times New Roman" w:hint="default"/>
                <w:sz w:val="18"/>
                <w:szCs w:val="18"/>
              </w:rPr>
              <w:t>OLED</w:t>
            </w:r>
          </w:p>
          <w:p>
            <w:pPr>
              <w:pStyle w:val="TableParagraph"/>
              <w:spacing w:line="228" w:lineRule="exact"/>
              <w:ind w:left="1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8"/>
                <w:szCs w:val="18"/>
              </w:rPr>
            </w:pPr>
            <w:r>
              <w:rPr>
                <w:rFonts w:ascii="Times New Roman"/>
                <w:spacing w:val="-1"/>
                <w:sz w:val="18"/>
              </w:rPr>
              <w:t>2,000,000.00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z w:val="18"/>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8"/>
                <w:szCs w:val="18"/>
              </w:rPr>
            </w:pPr>
            <w:r>
              <w:rPr>
                <w:rFonts w:ascii="Times New Roman"/>
                <w:sz w:val="18"/>
              </w:rPr>
              <w:t>133,760.68</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8"/>
                <w:szCs w:val="18"/>
              </w:rPr>
            </w:pPr>
            <w:r>
              <w:rPr>
                <w:rFonts w:ascii="Times New Roman"/>
                <w:w w:val="95"/>
                <w:sz w:val="18"/>
              </w:rPr>
              <w:t>6.69%</w:t>
            </w:r>
            <w:r>
              <w:rPr>
                <w:rFonts w:ascii="Times New Roman"/>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60" w:hRule="exact"/>
        </w:trPr>
        <w:tc>
          <w:tcPr>
            <w:tcW w:w="22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9"/>
              <w:ind w:left="10" w:right="0"/>
              <w:jc w:val="left"/>
              <w:rPr>
                <w:rFonts w:ascii="宋体" w:hAnsi="宋体" w:cs="宋体" w:eastAsia="宋体" w:hint="default"/>
                <w:sz w:val="18"/>
                <w:szCs w:val="18"/>
              </w:rPr>
            </w:pPr>
            <w:r>
              <w:rPr>
                <w:rFonts w:ascii="宋体" w:hAnsi="宋体" w:cs="宋体" w:eastAsia="宋体" w:hint="default"/>
                <w:sz w:val="18"/>
                <w:szCs w:val="18"/>
              </w:rPr>
              <w:t>江西先材纳米技术生产线</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0"/>
              <w:jc w:val="right"/>
              <w:rPr>
                <w:rFonts w:ascii="Times New Roman" w:hAnsi="Times New Roman" w:cs="Times New Roman" w:eastAsia="Times New Roman" w:hint="default"/>
                <w:sz w:val="18"/>
                <w:szCs w:val="18"/>
              </w:rPr>
            </w:pPr>
            <w:r>
              <w:rPr>
                <w:rFonts w:ascii="Times New Roman"/>
                <w:spacing w:val="-1"/>
                <w:sz w:val="18"/>
              </w:rPr>
              <w:t>19,361,400.00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18"/>
                <w:szCs w:val="18"/>
              </w:rPr>
            </w:pPr>
            <w:r>
              <w:rPr>
                <w:rFonts w:ascii="Times New Roman"/>
                <w:sz w:val="18"/>
              </w:rPr>
              <w:t>433,969.70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0"/>
              <w:jc w:val="right"/>
              <w:rPr>
                <w:rFonts w:ascii="Times New Roman" w:hAnsi="Times New Roman" w:cs="Times New Roman" w:eastAsia="Times New Roman" w:hint="default"/>
                <w:sz w:val="18"/>
                <w:szCs w:val="18"/>
              </w:rPr>
            </w:pPr>
            <w:r>
              <w:rPr>
                <w:rFonts w:ascii="Times New Roman"/>
                <w:spacing w:val="-1"/>
                <w:sz w:val="18"/>
              </w:rPr>
              <w:t>4,605,968.67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0"/>
              <w:jc w:val="right"/>
              <w:rPr>
                <w:rFonts w:ascii="Times New Roman" w:hAnsi="Times New Roman" w:cs="Times New Roman" w:eastAsia="Times New Roman" w:hint="default"/>
                <w:sz w:val="18"/>
                <w:szCs w:val="18"/>
              </w:rPr>
            </w:pPr>
            <w:r>
              <w:rPr>
                <w:rFonts w:ascii="Times New Roman"/>
                <w:w w:val="95"/>
                <w:sz w:val="18"/>
              </w:rPr>
              <w:t>26.03%</w:t>
            </w:r>
            <w:r>
              <w:rPr>
                <w:rFonts w:ascii="Times New Roman"/>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81" w:hRule="exact"/>
        </w:trPr>
        <w:tc>
          <w:tcPr>
            <w:tcW w:w="22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25" w:lineRule="exact"/>
              <w:ind w:left="10" w:right="0"/>
              <w:jc w:val="left"/>
              <w:rPr>
                <w:rFonts w:ascii="宋体" w:hAnsi="宋体" w:cs="宋体" w:eastAsia="宋体" w:hint="default"/>
                <w:sz w:val="18"/>
                <w:szCs w:val="18"/>
              </w:rPr>
            </w:pPr>
            <w:r>
              <w:rPr>
                <w:rFonts w:ascii="宋体" w:hAnsi="宋体" w:cs="宋体" w:eastAsia="宋体" w:hint="default"/>
                <w:sz w:val="18"/>
                <w:szCs w:val="18"/>
              </w:rPr>
              <w:t>长春聚明安装设备</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Times New Roman" w:hAnsi="Times New Roman" w:cs="Times New Roman" w:eastAsia="Times New Roman" w:hint="default"/>
                <w:sz w:val="18"/>
                <w:szCs w:val="18"/>
              </w:rPr>
            </w:pPr>
            <w:r>
              <w:rPr>
                <w:rFonts w:ascii="Times New Roman"/>
                <w:sz w:val="18"/>
              </w:rPr>
              <w:t>320,000.00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8"/>
                <w:szCs w:val="18"/>
              </w:rPr>
            </w:pPr>
            <w:r>
              <w:rPr>
                <w:rFonts w:ascii="Times New Roman"/>
                <w:sz w:val="18"/>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Times New Roman" w:hAnsi="Times New Roman" w:cs="Times New Roman" w:eastAsia="Times New Roman" w:hint="default"/>
                <w:sz w:val="18"/>
                <w:szCs w:val="18"/>
              </w:rPr>
            </w:pPr>
            <w:r>
              <w:rPr>
                <w:rFonts w:ascii="Times New Roman"/>
                <w:sz w:val="18"/>
              </w:rPr>
              <w:t>326,506.58</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80" w:hRule="exact"/>
        </w:trPr>
        <w:tc>
          <w:tcPr>
            <w:tcW w:w="22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23" w:lineRule="exact"/>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99"/>
              <w:jc w:val="right"/>
              <w:rPr>
                <w:rFonts w:ascii="Times New Roman" w:hAnsi="Times New Roman" w:cs="Times New Roman" w:eastAsia="Times New Roman" w:hint="default"/>
                <w:sz w:val="18"/>
                <w:szCs w:val="18"/>
              </w:rPr>
            </w:pPr>
            <w:r>
              <w:rPr>
                <w:rFonts w:ascii="Times New Roman"/>
                <w:spacing w:val="-1"/>
                <w:sz w:val="18"/>
              </w:rPr>
              <w:t>476,592,400.00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Times New Roman" w:hAnsi="Times New Roman" w:cs="Times New Roman" w:eastAsia="Times New Roman" w:hint="default"/>
                <w:sz w:val="18"/>
                <w:szCs w:val="18"/>
              </w:rPr>
            </w:pPr>
            <w:r>
              <w:rPr>
                <w:rFonts w:ascii="Times New Roman"/>
                <w:spacing w:val="-1"/>
                <w:sz w:val="18"/>
              </w:rPr>
              <w:t>32,955,456.67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Times New Roman" w:hAnsi="Times New Roman" w:cs="Times New Roman" w:eastAsia="Times New Roman" w:hint="default"/>
                <w:sz w:val="18"/>
                <w:szCs w:val="18"/>
              </w:rPr>
            </w:pPr>
            <w:r>
              <w:rPr>
                <w:rFonts w:ascii="Times New Roman"/>
                <w:spacing w:val="-1"/>
                <w:sz w:val="18"/>
              </w:rPr>
              <w:t>97,496,241.51</w:t>
            </w:r>
          </w:p>
        </w:tc>
        <w:tc>
          <w:tcPr>
            <w:tcW w:w="1559"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bl>
    <w:p>
      <w:pPr>
        <w:spacing w:before="1"/>
        <w:ind w:left="736" w:right="131" w:firstLine="0"/>
        <w:jc w:val="left"/>
        <w:rPr>
          <w:rFonts w:ascii="宋体" w:hAnsi="宋体" w:cs="宋体" w:eastAsia="宋体" w:hint="default"/>
          <w:sz w:val="24"/>
          <w:szCs w:val="24"/>
        </w:rPr>
      </w:pPr>
      <w:r>
        <w:rPr>
          <w:rFonts w:ascii="宋体" w:hAnsi="宋体" w:cs="宋体" w:eastAsia="宋体" w:hint="default"/>
          <w:b/>
          <w:bCs/>
          <w:sz w:val="24"/>
          <w:szCs w:val="24"/>
        </w:rPr>
        <w:t>（二）对公司未来的展望</w:t>
      </w:r>
      <w:r>
        <w:rPr>
          <w:rFonts w:ascii="宋体" w:hAnsi="宋体" w:cs="宋体" w:eastAsia="宋体" w:hint="default"/>
          <w:sz w:val="24"/>
          <w:szCs w:val="24"/>
        </w:rPr>
      </w:r>
    </w:p>
    <w:p>
      <w:pPr>
        <w:pStyle w:val="BodyText"/>
        <w:spacing w:line="309" w:lineRule="auto" w:before="37"/>
        <w:ind w:left="853" w:right="131" w:hanging="120"/>
        <w:jc w:val="left"/>
      </w:pPr>
      <w:r>
        <w:rPr>
          <w:rFonts w:ascii="Times New Roman" w:hAnsi="Times New Roman" w:cs="Times New Roman" w:eastAsia="Times New Roman" w:hint="default"/>
          <w:b/>
          <w:bCs/>
        </w:rPr>
        <w:t>1.</w:t>
      </w:r>
      <w:r>
        <w:rPr>
          <w:rFonts w:ascii="Times New Roman" w:hAnsi="Times New Roman" w:cs="Times New Roman" w:eastAsia="Times New Roman" w:hint="default"/>
          <w:b/>
          <w:bCs/>
          <w:spacing w:val="59"/>
        </w:rPr>
        <w:t> </w:t>
      </w:r>
      <w:r>
        <w:rPr>
          <w:rFonts w:ascii="宋体" w:hAnsi="宋体" w:cs="宋体" w:eastAsia="宋体" w:hint="default"/>
          <w:b/>
          <w:bCs/>
        </w:rPr>
        <w:t>行业发展趋势</w:t>
      </w:r>
      <w:r>
        <w:rPr>
          <w:rFonts w:ascii="宋体" w:hAnsi="宋体" w:cs="宋体" w:eastAsia="宋体" w:hint="default"/>
          <w:b/>
          <w:bCs/>
          <w:w w:val="99"/>
        </w:rPr>
        <w:t> </w:t>
      </w:r>
      <w:r>
        <w:rPr/>
        <w:t>根据国家电网和南方电网已披露的信息，</w:t>
      </w:r>
      <w:r>
        <w:rPr>
          <w:rFonts w:ascii="Times New Roman" w:hAnsi="Times New Roman" w:cs="Times New Roman" w:eastAsia="Times New Roman" w:hint="default"/>
        </w:rPr>
        <w:t>2012</w:t>
      </w:r>
      <w:r>
        <w:rPr/>
        <w:t>年，国家电网将完成电网投资</w:t>
      </w:r>
      <w:r>
        <w:rPr>
          <w:rFonts w:ascii="Times New Roman" w:hAnsi="Times New Roman" w:cs="Times New Roman" w:eastAsia="Times New Roman" w:hint="default"/>
        </w:rPr>
        <w:t>3097</w:t>
      </w:r>
      <w:r>
        <w:rPr/>
        <w:t>亿元，</w:t>
      </w:r>
    </w:p>
    <w:p>
      <w:pPr>
        <w:pStyle w:val="BodyText"/>
        <w:spacing w:line="288" w:lineRule="auto"/>
        <w:ind w:left="254" w:right="231"/>
        <w:jc w:val="both"/>
      </w:pPr>
      <w:r>
        <w:rPr>
          <w:spacing w:val="-1"/>
        </w:rPr>
        <w:t>同比</w:t>
      </w:r>
      <w:r>
        <w:rPr>
          <w:rFonts w:ascii="Times New Roman" w:hAnsi="Times New Roman" w:cs="Times New Roman" w:eastAsia="Times New Roman" w:hint="default"/>
          <w:spacing w:val="-1"/>
        </w:rPr>
        <w:t>2011</w:t>
      </w:r>
      <w:r>
        <w:rPr>
          <w:spacing w:val="-1"/>
        </w:rPr>
        <w:t>年约增加</w:t>
      </w:r>
      <w:r>
        <w:rPr>
          <w:rFonts w:ascii="Times New Roman" w:hAnsi="Times New Roman" w:cs="Times New Roman" w:eastAsia="Times New Roman" w:hint="default"/>
          <w:spacing w:val="-1"/>
        </w:rPr>
        <w:t>3%</w:t>
      </w:r>
      <w:r>
        <w:rPr>
          <w:spacing w:val="-1"/>
        </w:rPr>
        <w:t>。南方电网今年将完成固定资产投资</w:t>
      </w:r>
      <w:r>
        <w:rPr>
          <w:rFonts w:ascii="Times New Roman" w:hAnsi="Times New Roman" w:cs="Times New Roman" w:eastAsia="Times New Roman" w:hint="default"/>
          <w:spacing w:val="-1"/>
        </w:rPr>
        <w:t>867</w:t>
      </w:r>
      <w:r>
        <w:rPr>
          <w:spacing w:val="-1"/>
        </w:rPr>
        <w:t>亿元，其中电网基建项目</w:t>
      </w:r>
      <w:r>
        <w:rPr>
          <w:rFonts w:ascii="Times New Roman" w:hAnsi="Times New Roman" w:cs="Times New Roman" w:eastAsia="Times New Roman" w:hint="default"/>
          <w:spacing w:val="-1"/>
        </w:rPr>
        <w:t>656</w:t>
      </w:r>
      <w:r>
        <w:rPr>
          <w:spacing w:val="-1"/>
        </w:rPr>
        <w:t>亿</w:t>
      </w:r>
      <w:r>
        <w:rPr>
          <w:spacing w:val="-117"/>
        </w:rPr>
        <w:t> </w:t>
      </w:r>
      <w:r>
        <w:rPr/>
        <w:t>元，较</w:t>
      </w:r>
      <w:r>
        <w:rPr>
          <w:rFonts w:ascii="Times New Roman" w:hAnsi="Times New Roman" w:cs="Times New Roman" w:eastAsia="Times New Roman" w:hint="default"/>
        </w:rPr>
        <w:t>2011</w:t>
      </w:r>
      <w:r>
        <w:rPr/>
        <w:t>年略有下降。</w:t>
      </w:r>
    </w:p>
    <w:p>
      <w:pPr>
        <w:pStyle w:val="BodyText"/>
        <w:spacing w:line="288" w:lineRule="auto" w:before="55"/>
        <w:ind w:left="253" w:right="228" w:firstLine="600"/>
        <w:jc w:val="both"/>
        <w:rPr>
          <w:rFonts w:ascii="Times New Roman" w:hAnsi="Times New Roman" w:cs="Times New Roman" w:eastAsia="Times New Roman" w:hint="default"/>
        </w:rPr>
      </w:pPr>
      <w:r>
        <w:rPr>
          <w:spacing w:val="-3"/>
        </w:rPr>
        <w:t>从中期趋势来看，</w:t>
      </w:r>
      <w:r>
        <w:rPr>
          <w:rFonts w:ascii="Times New Roman" w:hAnsi="Times New Roman" w:cs="Times New Roman" w:eastAsia="Times New Roman" w:hint="default"/>
          <w:spacing w:val="-3"/>
        </w:rPr>
        <w:t>“</w:t>
      </w:r>
      <w:r>
        <w:rPr>
          <w:spacing w:val="-3"/>
        </w:rPr>
        <w:t>十二五</w:t>
      </w:r>
      <w:r>
        <w:rPr>
          <w:rFonts w:ascii="Times New Roman" w:hAnsi="Times New Roman" w:cs="Times New Roman" w:eastAsia="Times New Roman" w:hint="default"/>
          <w:spacing w:val="-3"/>
        </w:rPr>
        <w:t>”</w:t>
      </w:r>
      <w:r>
        <w:rPr>
          <w:spacing w:val="-3"/>
        </w:rPr>
        <w:t>期间，国家电网将累计完成电网投资</w:t>
      </w:r>
      <w:r>
        <w:rPr>
          <w:rFonts w:ascii="Times New Roman" w:hAnsi="Times New Roman" w:cs="Times New Roman" w:eastAsia="Times New Roman" w:hint="default"/>
          <w:spacing w:val="-3"/>
        </w:rPr>
        <w:t>1.5</w:t>
      </w:r>
      <w:r>
        <w:rPr>
          <w:spacing w:val="-3"/>
        </w:rPr>
        <w:t>万亿元，电网建设规</w:t>
      </w:r>
      <w:r>
        <w:rPr/>
        <w:t> </w:t>
      </w:r>
      <w:r>
        <w:rPr>
          <w:spacing w:val="-2"/>
        </w:rPr>
        <w:t>模还将大幅增长；南方电网</w:t>
      </w:r>
      <w:r>
        <w:rPr>
          <w:rFonts w:ascii="Times New Roman" w:hAnsi="Times New Roman" w:cs="Times New Roman" w:eastAsia="Times New Roman" w:hint="default"/>
          <w:spacing w:val="-2"/>
        </w:rPr>
        <w:t>“</w:t>
      </w:r>
      <w:r>
        <w:rPr>
          <w:spacing w:val="-2"/>
        </w:rPr>
        <w:t>十二五</w:t>
      </w:r>
      <w:r>
        <w:rPr>
          <w:rFonts w:ascii="Times New Roman" w:hAnsi="Times New Roman" w:cs="Times New Roman" w:eastAsia="Times New Roman" w:hint="default"/>
          <w:spacing w:val="-2"/>
        </w:rPr>
        <w:t>”</w:t>
      </w:r>
      <w:r>
        <w:rPr>
          <w:spacing w:val="-2"/>
        </w:rPr>
        <w:t>完成电网建设投资</w:t>
      </w:r>
      <w:r>
        <w:rPr>
          <w:rFonts w:ascii="Times New Roman" w:hAnsi="Times New Roman" w:cs="Times New Roman" w:eastAsia="Times New Roman" w:hint="default"/>
          <w:spacing w:val="-2"/>
        </w:rPr>
        <w:t>5000</w:t>
      </w:r>
      <w:r>
        <w:rPr>
          <w:spacing w:val="-2"/>
        </w:rPr>
        <w:t>亿元，为</w:t>
      </w:r>
      <w:r>
        <w:rPr>
          <w:rFonts w:ascii="Times New Roman" w:hAnsi="Times New Roman" w:cs="Times New Roman" w:eastAsia="Times New Roman" w:hint="default"/>
          <w:spacing w:val="-2"/>
        </w:rPr>
        <w:t>“</w:t>
      </w:r>
      <w:r>
        <w:rPr>
          <w:spacing w:val="-2"/>
        </w:rPr>
        <w:t>十一五</w:t>
      </w:r>
      <w:r>
        <w:rPr>
          <w:rFonts w:ascii="Times New Roman" w:hAnsi="Times New Roman" w:cs="Times New Roman" w:eastAsia="Times New Roman" w:hint="default"/>
          <w:spacing w:val="-2"/>
        </w:rPr>
        <w:t>”</w:t>
      </w:r>
      <w:r>
        <w:rPr>
          <w:spacing w:val="-2"/>
        </w:rPr>
        <w:t>的</w:t>
      </w:r>
      <w:r>
        <w:rPr>
          <w:rFonts w:ascii="Times New Roman" w:hAnsi="Times New Roman" w:cs="Times New Roman" w:eastAsia="Times New Roman" w:hint="default"/>
          <w:spacing w:val="-2"/>
        </w:rPr>
        <w:t>1.7</w:t>
      </w:r>
      <w:r>
        <w:rPr>
          <w:spacing w:val="-2"/>
        </w:rPr>
        <w:t>倍，</w:t>
      </w:r>
      <w:r>
        <w:rPr>
          <w:rFonts w:ascii="Times New Roman" w:hAnsi="Times New Roman" w:cs="Times New Roman" w:eastAsia="Times New Roman" w:hint="default"/>
          <w:spacing w:val="-2"/>
        </w:rPr>
        <w:t>“</w:t>
      </w:r>
      <w:r>
        <w:rPr>
          <w:spacing w:val="-2"/>
        </w:rPr>
        <w:t>十二</w:t>
      </w:r>
      <w:r>
        <w:rPr>
          <w:spacing w:val="-104"/>
        </w:rPr>
        <w:t> </w:t>
      </w:r>
      <w:r>
        <w:rPr/>
        <w:t>五</w:t>
      </w:r>
      <w:r>
        <w:rPr>
          <w:rFonts w:ascii="Times New Roman" w:hAnsi="Times New Roman" w:cs="Times New Roman" w:eastAsia="Times New Roman" w:hint="default"/>
        </w:rPr>
        <w:t>”</w:t>
      </w:r>
      <w:r>
        <w:rPr/>
        <w:t>期间，南方电网固定资产投资将超过 </w:t>
      </w:r>
      <w:r>
        <w:rPr>
          <w:rFonts w:ascii="Times New Roman" w:hAnsi="Times New Roman" w:cs="Times New Roman" w:eastAsia="Times New Roman" w:hint="default"/>
        </w:rPr>
        <w:t>5000  </w:t>
      </w:r>
      <w:r>
        <w:rPr/>
        <w:t>亿元，其中农电建设改造投资资金将达</w:t>
      </w:r>
      <w:r>
        <w:rPr>
          <w:spacing w:val="37"/>
        </w:rPr>
        <w:t> </w:t>
      </w:r>
      <w:r>
        <w:rPr>
          <w:rFonts w:ascii="Times New Roman" w:hAnsi="Times New Roman" w:cs="Times New Roman" w:eastAsia="Times New Roman" w:hint="default"/>
          <w:spacing w:val="-5"/>
        </w:rPr>
        <w:t>1116</w:t>
      </w:r>
    </w:p>
    <w:p>
      <w:pPr>
        <w:pStyle w:val="BodyText"/>
        <w:spacing w:line="316" w:lineRule="auto" w:before="15"/>
        <w:ind w:left="734" w:right="223" w:hanging="480"/>
        <w:jc w:val="left"/>
      </w:pPr>
      <w:r>
        <w:rPr/>
        <w:t>亿元，占电网总投资的 </w:t>
      </w:r>
      <w:r>
        <w:rPr>
          <w:rFonts w:ascii="Times New Roman" w:hAnsi="Times New Roman" w:cs="Times New Roman" w:eastAsia="Times New Roman" w:hint="default"/>
        </w:rPr>
        <w:t>27.9 %</w:t>
      </w:r>
      <w:r>
        <w:rPr/>
        <w:t>。 </w:t>
      </w:r>
      <w:r>
        <w:rPr>
          <w:spacing w:val="-8"/>
        </w:rPr>
        <w:t>特别是今后几年，电网投资将主要倾向于特高压和配网设备投资，根据国家电网规划，</w:t>
      </w:r>
      <w:r>
        <w:rPr>
          <w:rFonts w:ascii="Times New Roman" w:hAnsi="Times New Roman" w:cs="Times New Roman" w:eastAsia="Times New Roman" w:hint="default"/>
          <w:spacing w:val="-8"/>
        </w:rPr>
        <w:t>“</w:t>
      </w:r>
      <w:r>
        <w:rPr>
          <w:spacing w:val="-8"/>
        </w:rPr>
        <w:t>十</w:t>
      </w:r>
    </w:p>
    <w:p>
      <w:pPr>
        <w:pStyle w:val="BodyText"/>
        <w:spacing w:line="316" w:lineRule="exact"/>
        <w:ind w:left="254" w:right="0"/>
        <w:jc w:val="both"/>
      </w:pPr>
      <w:r>
        <w:rPr/>
        <w:t>二五</w:t>
      </w:r>
      <w:r>
        <w:rPr>
          <w:rFonts w:ascii="Times New Roman" w:hAnsi="Times New Roman" w:cs="Times New Roman" w:eastAsia="Times New Roman" w:hint="default"/>
        </w:rPr>
        <w:t>”</w:t>
      </w:r>
      <w:r>
        <w:rPr/>
        <w:t>电网发展将按照</w:t>
      </w:r>
      <w:r>
        <w:rPr>
          <w:rFonts w:ascii="Times New Roman" w:hAnsi="Times New Roman" w:cs="Times New Roman" w:eastAsia="Times New Roman" w:hint="default"/>
        </w:rPr>
        <w:t>“</w:t>
      </w:r>
      <w:r>
        <w:rPr/>
        <w:t>突出两头、全面推进、重点突破</w:t>
      </w:r>
      <w:r>
        <w:rPr>
          <w:rFonts w:ascii="Times New Roman" w:hAnsi="Times New Roman" w:cs="Times New Roman" w:eastAsia="Times New Roman" w:hint="default"/>
        </w:rPr>
        <w:t>”</w:t>
      </w:r>
      <w:r>
        <w:rPr/>
        <w:t>的原则。所说的</w:t>
      </w:r>
      <w:r>
        <w:rPr>
          <w:rFonts w:ascii="Times New Roman" w:hAnsi="Times New Roman" w:cs="Times New Roman" w:eastAsia="Times New Roman" w:hint="default"/>
        </w:rPr>
        <w:t>“</w:t>
      </w:r>
      <w:r>
        <w:rPr/>
        <w:t>两头</w:t>
      </w:r>
      <w:r>
        <w:rPr>
          <w:rFonts w:ascii="Times New Roman" w:hAnsi="Times New Roman" w:cs="Times New Roman" w:eastAsia="Times New Roman" w:hint="default"/>
        </w:rPr>
        <w:t>”</w:t>
      </w:r>
      <w:r>
        <w:rPr/>
        <w:t>，即特高压骨</w:t>
      </w:r>
    </w:p>
    <w:p>
      <w:pPr>
        <w:pStyle w:val="BodyText"/>
        <w:spacing w:line="295" w:lineRule="auto" w:before="67"/>
        <w:ind w:left="253" w:right="161"/>
        <w:jc w:val="both"/>
      </w:pPr>
      <w:r>
        <w:rPr/>
        <w:t>干网架和配电网。在配电网建设方面，国家电网认为：</w:t>
      </w:r>
      <w:r>
        <w:rPr>
          <w:rFonts w:ascii="Times New Roman" w:hAnsi="Times New Roman" w:cs="Times New Roman" w:eastAsia="Times New Roman" w:hint="default"/>
        </w:rPr>
        <w:t>“</w:t>
      </w:r>
      <w:r>
        <w:rPr/>
        <w:t>我国配电系统从规划、设计、建设、 运行到维护，的确水平不高。国家电网将学习借鉴国际先进经验，走引进、消化、吸收、再</w:t>
      </w:r>
      <w:r>
        <w:rPr>
          <w:spacing w:val="-83"/>
        </w:rPr>
        <w:t> </w:t>
      </w:r>
      <w:r>
        <w:rPr>
          <w:spacing w:val="-83"/>
        </w:rPr>
      </w:r>
      <w:r>
        <w:rPr>
          <w:spacing w:val="-2"/>
        </w:rPr>
        <w:t>提高的路子，打造坚强智能电网，加强配电网全过程管理，加大配电网改造升级力度。</w:t>
      </w:r>
      <w:r>
        <w:rPr>
          <w:rFonts w:ascii="Times New Roman" w:hAnsi="Times New Roman" w:cs="Times New Roman" w:eastAsia="Times New Roman" w:hint="default"/>
          <w:spacing w:val="-2"/>
        </w:rPr>
        <w:t>”</w:t>
      </w:r>
      <w:r>
        <w:rPr>
          <w:spacing w:val="-2"/>
        </w:rPr>
        <w:t>这将</w:t>
      </w:r>
      <w:r>
        <w:rPr>
          <w:spacing w:val="-110"/>
        </w:rPr>
        <w:t> </w:t>
      </w:r>
      <w:r>
        <w:rPr/>
        <w:t>对公司生产经营带来有利影响。</w:t>
      </w:r>
    </w:p>
    <w:p>
      <w:pPr>
        <w:spacing w:line="240" w:lineRule="auto" w:before="0"/>
        <w:rPr>
          <w:rFonts w:ascii="宋体" w:hAnsi="宋体" w:cs="宋体" w:eastAsia="宋体" w:hint="default"/>
          <w:sz w:val="24"/>
          <w:szCs w:val="24"/>
        </w:rPr>
      </w:pPr>
    </w:p>
    <w:p>
      <w:pPr>
        <w:pStyle w:val="BodyText"/>
        <w:spacing w:line="304" w:lineRule="auto" w:before="196"/>
        <w:ind w:left="253" w:right="228" w:firstLine="480"/>
        <w:jc w:val="both"/>
      </w:pPr>
      <w:r>
        <w:rPr/>
        <w:t>在先进材料产业方面，目前各界已达成共识，加快培育和发展新材料产业，对于引领材</w:t>
      </w:r>
      <w:r>
        <w:rPr>
          <w:spacing w:val="1"/>
        </w:rPr>
        <w:t> </w:t>
      </w:r>
      <w:r>
        <w:rPr/>
        <w:t>料工业升级换代，支撑战略性新兴产业发展，保障国家重大工程建设，促进传统产业转型升</w:t>
      </w:r>
      <w:r>
        <w:rPr>
          <w:spacing w:val="-83"/>
        </w:rPr>
        <w:t> </w:t>
      </w:r>
      <w:r>
        <w:rPr>
          <w:spacing w:val="-83"/>
        </w:rPr>
      </w:r>
      <w:r>
        <w:rPr>
          <w:spacing w:val="-5"/>
        </w:rPr>
        <w:t>级，构建国际竞争新优势具有重要的战略意义。国际上也一致公认，新材料是四大高技术（航</w:t>
      </w:r>
      <w:r>
        <w:rPr/>
        <w:t> 天航空、计算机与信息、生物、新材料）前沿之一。</w:t>
      </w:r>
    </w:p>
    <w:p>
      <w:pPr>
        <w:pStyle w:val="BodyText"/>
        <w:spacing w:line="300" w:lineRule="auto" w:before="61"/>
        <w:ind w:left="253" w:right="111" w:firstLine="480"/>
        <w:jc w:val="both"/>
      </w:pPr>
      <w:r>
        <w:rPr/>
        <w:t>“十二五”期间国家将采取各种措施鼓励支持新材料产业发展，各地发展相关产业的积</w:t>
      </w:r>
      <w:r>
        <w:rPr>
          <w:spacing w:val="1"/>
        </w:rPr>
        <w:t> </w:t>
      </w:r>
      <w:r>
        <w:rPr/>
        <w:t>极性也很高，因此，新材料产业增速预计将超过“十一五”期间的平均水平，年均增长率预</w:t>
      </w:r>
      <w:r>
        <w:rPr>
          <w:spacing w:val="-83"/>
        </w:rPr>
        <w:t> </w:t>
      </w:r>
      <w:r>
        <w:rPr>
          <w:spacing w:val="-83"/>
        </w:rPr>
      </w:r>
      <w:r>
        <w:rPr/>
        <w:t>计超过</w:t>
      </w:r>
      <w:r>
        <w:rPr>
          <w:rFonts w:ascii="Times New Roman" w:hAnsi="Times New Roman" w:cs="Times New Roman" w:eastAsia="Times New Roman" w:hint="default"/>
        </w:rPr>
        <w:t>25</w:t>
      </w:r>
      <w:r>
        <w:rPr/>
        <w:t>％，到</w:t>
      </w:r>
      <w:r>
        <w:rPr>
          <w:rFonts w:ascii="Times New Roman" w:hAnsi="Times New Roman" w:cs="Times New Roman" w:eastAsia="Times New Roman" w:hint="default"/>
        </w:rPr>
        <w:t>2015</w:t>
      </w:r>
      <w:r>
        <w:rPr/>
        <w:t>年全产业规模将达到</w:t>
      </w:r>
      <w:r>
        <w:rPr>
          <w:rFonts w:ascii="Times New Roman" w:hAnsi="Times New Roman" w:cs="Times New Roman" w:eastAsia="Times New Roman" w:hint="default"/>
        </w:rPr>
        <w:t>2</w:t>
      </w:r>
      <w:r>
        <w:rPr/>
        <w:t>万亿元，是“十一五”末的</w:t>
      </w:r>
      <w:r>
        <w:rPr>
          <w:rFonts w:ascii="Times New Roman" w:hAnsi="Times New Roman" w:cs="Times New Roman" w:eastAsia="Times New Roman" w:hint="default"/>
        </w:rPr>
        <w:t>3</w:t>
      </w:r>
      <w:r>
        <w:rPr/>
        <w:t>倍。国家陆续颁布出</w:t>
      </w:r>
      <w:r>
        <w:rPr>
          <w:spacing w:val="-112"/>
        </w:rPr>
        <w:t> </w:t>
      </w:r>
      <w:r>
        <w:rPr>
          <w:spacing w:val="-3"/>
        </w:rPr>
        <w:t>台的新材料产业、化纤工业、产业用纺织品等各专项“十二五规划”提出了一系列具体指标：</w:t>
      </w:r>
    </w:p>
    <w:p>
      <w:pPr>
        <w:spacing w:after="0" w:line="300" w:lineRule="auto"/>
        <w:jc w:val="both"/>
        <w:sectPr>
          <w:type w:val="continuous"/>
          <w:pgSz w:w="11910" w:h="16840"/>
          <w:pgMar w:top="900" w:bottom="1460" w:left="880" w:right="900"/>
        </w:sectPr>
      </w:pPr>
    </w:p>
    <w:p>
      <w:pPr>
        <w:spacing w:line="240" w:lineRule="auto" w:before="2"/>
        <w:rPr>
          <w:rFonts w:ascii="宋体" w:hAnsi="宋体" w:cs="宋体" w:eastAsia="宋体" w:hint="default"/>
          <w:sz w:val="29"/>
          <w:szCs w:val="29"/>
        </w:rPr>
      </w:pPr>
    </w:p>
    <w:tbl>
      <w:tblPr>
        <w:tblW w:w="0" w:type="auto"/>
        <w:jc w:val="left"/>
        <w:tblInd w:w="509" w:type="dxa"/>
        <w:tblLayout w:type="fixed"/>
        <w:tblCellMar>
          <w:top w:w="0" w:type="dxa"/>
          <w:left w:w="0" w:type="dxa"/>
          <w:bottom w:w="0" w:type="dxa"/>
          <w:right w:w="0" w:type="dxa"/>
        </w:tblCellMar>
        <w:tblLook w:val="01E0"/>
      </w:tblPr>
      <w:tblGrid>
        <w:gridCol w:w="1753"/>
        <w:gridCol w:w="397"/>
        <w:gridCol w:w="6759"/>
      </w:tblGrid>
      <w:tr>
        <w:trPr>
          <w:trHeight w:val="295" w:hRule="exact"/>
        </w:trPr>
        <w:tc>
          <w:tcPr>
            <w:tcW w:w="17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高性能纤维</w:t>
            </w:r>
          </w:p>
        </w:tc>
        <w:tc>
          <w:tcPr>
            <w:tcW w:w="39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3"/>
              <w:ind w:right="129"/>
              <w:jc w:val="righ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759" w:type="dxa"/>
            <w:tcBorders>
              <w:top w:val="single" w:sz="4" w:space="0" w:color="000000"/>
              <w:left w:val="nil" w:sz="6" w:space="0" w:color="auto"/>
              <w:bottom w:val="single" w:sz="4" w:space="0" w:color="000000"/>
              <w:right w:val="single" w:sz="4" w:space="0" w:color="000000"/>
            </w:tcBorders>
          </w:tcPr>
          <w:p>
            <w:pPr>
              <w:pStyle w:val="TableParagraph"/>
              <w:spacing w:line="263" w:lineRule="exact"/>
              <w:ind w:left="13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年总产能达到</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万吨左右，行业总体达到国际先进水平。</w:t>
            </w:r>
          </w:p>
        </w:tc>
      </w:tr>
      <w:tr>
        <w:trPr>
          <w:trHeight w:val="276" w:hRule="exact"/>
        </w:trPr>
        <w:tc>
          <w:tcPr>
            <w:tcW w:w="1753" w:type="dxa"/>
            <w:tcBorders>
              <w:top w:val="single" w:sz="4" w:space="0" w:color="000000"/>
              <w:left w:val="single" w:sz="4" w:space="0" w:color="000000"/>
              <w:bottom w:val="nil" w:sz="6" w:space="0" w:color="auto"/>
              <w:right w:val="single" w:sz="4" w:space="0" w:color="000000"/>
            </w:tcBorders>
            <w:shd w:val="clear" w:color="auto" w:fill="D9D9D9"/>
          </w:tcPr>
          <w:p>
            <w:pPr/>
          </w:p>
        </w:tc>
        <w:tc>
          <w:tcPr>
            <w:tcW w:w="397" w:type="dxa"/>
            <w:tcBorders>
              <w:top w:val="single" w:sz="4" w:space="0" w:color="000000"/>
              <w:left w:val="single" w:sz="4" w:space="0" w:color="000000"/>
              <w:bottom w:val="nil" w:sz="6" w:space="0" w:color="auto"/>
              <w:right w:val="nil" w:sz="6" w:space="0" w:color="auto"/>
            </w:tcBorders>
          </w:tcPr>
          <w:p>
            <w:pPr>
              <w:pStyle w:val="TableParagraph"/>
              <w:spacing w:line="240" w:lineRule="auto" w:before="66"/>
              <w:ind w:right="129"/>
              <w:jc w:val="righ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759" w:type="dxa"/>
            <w:tcBorders>
              <w:top w:val="single" w:sz="4" w:space="0" w:color="000000"/>
              <w:left w:val="nil" w:sz="6" w:space="0" w:color="auto"/>
              <w:bottom w:val="nil" w:sz="6" w:space="0" w:color="auto"/>
              <w:right w:val="single" w:sz="4" w:space="0" w:color="000000"/>
            </w:tcBorders>
          </w:tcPr>
          <w:p>
            <w:pPr>
              <w:pStyle w:val="TableParagraph"/>
              <w:spacing w:line="240" w:lineRule="exact"/>
              <w:ind w:left="131" w:right="0"/>
              <w:jc w:val="left"/>
              <w:rPr>
                <w:rFonts w:ascii="宋体" w:hAnsi="宋体" w:cs="宋体" w:eastAsia="宋体" w:hint="default"/>
                <w:sz w:val="21"/>
                <w:szCs w:val="21"/>
              </w:rPr>
            </w:pPr>
            <w:r>
              <w:rPr>
                <w:rFonts w:ascii="宋体" w:hAnsi="宋体" w:cs="宋体" w:eastAsia="宋体" w:hint="default"/>
                <w:sz w:val="21"/>
                <w:szCs w:val="21"/>
              </w:rPr>
              <w:t>开发耐腐蚀、可分解、高吸附、耐高温、长寿命袋式除尘材料。</w:t>
            </w:r>
          </w:p>
        </w:tc>
      </w:tr>
      <w:tr>
        <w:trPr>
          <w:trHeight w:val="550" w:hRule="exact"/>
        </w:trPr>
        <w:tc>
          <w:tcPr>
            <w:tcW w:w="175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94"/>
              <w:ind w:left="103" w:right="0"/>
              <w:jc w:val="left"/>
              <w:rPr>
                <w:rFonts w:ascii="宋体" w:hAnsi="宋体" w:cs="宋体" w:eastAsia="宋体" w:hint="default"/>
                <w:sz w:val="22"/>
                <w:szCs w:val="22"/>
              </w:rPr>
            </w:pPr>
            <w:r>
              <w:rPr>
                <w:rFonts w:ascii="宋体" w:hAnsi="宋体" w:cs="宋体" w:eastAsia="宋体" w:hint="default"/>
                <w:sz w:val="22"/>
                <w:szCs w:val="22"/>
              </w:rPr>
              <w:t>耐热过滤纤维</w:t>
            </w:r>
          </w:p>
        </w:tc>
        <w:tc>
          <w:tcPr>
            <w:tcW w:w="397"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p>
            <w:pPr>
              <w:pStyle w:val="TableParagraph"/>
              <w:spacing w:line="240" w:lineRule="auto" w:before="95"/>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759" w:type="dxa"/>
            <w:tcBorders>
              <w:top w:val="nil" w:sz="6" w:space="0" w:color="auto"/>
              <w:left w:val="nil" w:sz="6" w:space="0" w:color="auto"/>
              <w:bottom w:val="nil" w:sz="6" w:space="0" w:color="auto"/>
              <w:right w:val="single" w:sz="4" w:space="0" w:color="000000"/>
            </w:tcBorders>
          </w:tcPr>
          <w:p>
            <w:pPr>
              <w:pStyle w:val="TableParagraph"/>
              <w:spacing w:line="248" w:lineRule="exact"/>
              <w:ind w:left="131" w:right="0"/>
              <w:jc w:val="left"/>
              <w:rPr>
                <w:rFonts w:ascii="宋体" w:hAnsi="宋体" w:cs="宋体" w:eastAsia="宋体" w:hint="default"/>
                <w:sz w:val="21"/>
                <w:szCs w:val="21"/>
              </w:rPr>
            </w:pPr>
            <w:r>
              <w:rPr>
                <w:rFonts w:ascii="宋体" w:hAnsi="宋体" w:cs="宋体" w:eastAsia="宋体" w:hint="default"/>
                <w:sz w:val="21"/>
                <w:szCs w:val="21"/>
              </w:rPr>
              <w:t>燃煤电厂高温烟气过滤材料全面实现国产化，滤袋使用寿命达到</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p>
            <w:pPr>
              <w:pStyle w:val="TableParagraph"/>
              <w:spacing w:line="282" w:lineRule="exact"/>
              <w:ind w:left="131" w:right="0"/>
              <w:jc w:val="left"/>
              <w:rPr>
                <w:rFonts w:ascii="宋体" w:hAnsi="宋体" w:cs="宋体" w:eastAsia="宋体" w:hint="default"/>
                <w:sz w:val="21"/>
                <w:szCs w:val="21"/>
              </w:rPr>
            </w:pPr>
            <w:r>
              <w:rPr>
                <w:rFonts w:ascii="宋体" w:hAnsi="宋体" w:cs="宋体" w:eastAsia="宋体" w:hint="default"/>
                <w:sz w:val="21"/>
                <w:szCs w:val="21"/>
              </w:rPr>
              <w:t>火力发电袋式除尘应用比例由</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提高到</w:t>
            </w:r>
            <w:r>
              <w:rPr>
                <w:rFonts w:ascii="宋体" w:hAnsi="宋体" w:cs="宋体" w:eastAsia="宋体" w:hint="default"/>
                <w:spacing w:val="-48"/>
                <w:sz w:val="21"/>
                <w:szCs w:val="21"/>
              </w:rPr>
              <w:t> </w:t>
            </w:r>
            <w:r>
              <w:rPr>
                <w:rFonts w:ascii="Times New Roman" w:hAnsi="Times New Roman" w:cs="Times New Roman" w:eastAsia="Times New Roman" w:hint="default"/>
                <w:spacing w:val="-3"/>
                <w:sz w:val="21"/>
                <w:szCs w:val="21"/>
              </w:rPr>
              <w:t>30%</w:t>
            </w:r>
            <w:r>
              <w:rPr>
                <w:rFonts w:ascii="宋体" w:hAnsi="宋体" w:cs="宋体" w:eastAsia="宋体" w:hint="default"/>
                <w:spacing w:val="-3"/>
                <w:sz w:val="21"/>
                <w:szCs w:val="21"/>
              </w:rPr>
              <w:t>以上，垃圾焚烧领域袋式</w:t>
            </w:r>
          </w:p>
        </w:tc>
      </w:tr>
      <w:tr>
        <w:trPr>
          <w:trHeight w:val="273" w:hRule="exact"/>
        </w:trPr>
        <w:tc>
          <w:tcPr>
            <w:tcW w:w="1753" w:type="dxa"/>
            <w:tcBorders>
              <w:top w:val="nil" w:sz="6" w:space="0" w:color="auto"/>
              <w:left w:val="single" w:sz="4" w:space="0" w:color="000000"/>
              <w:bottom w:val="single" w:sz="4" w:space="0" w:color="000000"/>
              <w:right w:val="single" w:sz="4" w:space="0" w:color="000000"/>
            </w:tcBorders>
            <w:shd w:val="clear" w:color="auto" w:fill="D9D9D9"/>
          </w:tcPr>
          <w:p>
            <w:pPr/>
          </w:p>
        </w:tc>
        <w:tc>
          <w:tcPr>
            <w:tcW w:w="397" w:type="dxa"/>
            <w:tcBorders>
              <w:top w:val="nil" w:sz="6" w:space="0" w:color="auto"/>
              <w:left w:val="single" w:sz="4" w:space="0" w:color="000000"/>
              <w:bottom w:val="single" w:sz="4" w:space="0" w:color="000000"/>
              <w:right w:val="nil" w:sz="6" w:space="0" w:color="auto"/>
            </w:tcBorders>
          </w:tcPr>
          <w:p>
            <w:pPr/>
          </w:p>
        </w:tc>
        <w:tc>
          <w:tcPr>
            <w:tcW w:w="6759" w:type="dxa"/>
            <w:tcBorders>
              <w:top w:val="nil" w:sz="6" w:space="0" w:color="auto"/>
              <w:left w:val="nil" w:sz="6" w:space="0" w:color="auto"/>
              <w:bottom w:val="single" w:sz="4" w:space="0" w:color="000000"/>
              <w:right w:val="single" w:sz="4" w:space="0" w:color="000000"/>
            </w:tcBorders>
          </w:tcPr>
          <w:p>
            <w:pPr>
              <w:pStyle w:val="TableParagraph"/>
              <w:spacing w:line="251" w:lineRule="exact"/>
              <w:ind w:left="131" w:right="0"/>
              <w:jc w:val="left"/>
              <w:rPr>
                <w:rFonts w:ascii="宋体" w:hAnsi="宋体" w:cs="宋体" w:eastAsia="宋体" w:hint="default"/>
                <w:sz w:val="21"/>
                <w:szCs w:val="21"/>
              </w:rPr>
            </w:pPr>
            <w:r>
              <w:rPr>
                <w:rFonts w:ascii="宋体" w:hAnsi="宋体" w:cs="宋体" w:eastAsia="宋体" w:hint="default"/>
                <w:sz w:val="21"/>
                <w:szCs w:val="21"/>
              </w:rPr>
              <w:t>除尘应用比例达到</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w:t>
            </w:r>
          </w:p>
        </w:tc>
      </w:tr>
      <w:tr>
        <w:trPr>
          <w:trHeight w:val="581" w:hRule="exact"/>
        </w:trPr>
        <w:tc>
          <w:tcPr>
            <w:tcW w:w="17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1" w:lineRule="exact"/>
              <w:ind w:left="103" w:right="0"/>
              <w:jc w:val="left"/>
              <w:rPr>
                <w:rFonts w:ascii="宋体" w:hAnsi="宋体" w:cs="宋体" w:eastAsia="宋体" w:hint="default"/>
                <w:sz w:val="22"/>
                <w:szCs w:val="22"/>
              </w:rPr>
            </w:pPr>
            <w:r>
              <w:rPr>
                <w:rFonts w:ascii="宋体" w:hAnsi="宋体" w:cs="宋体" w:eastAsia="宋体" w:hint="default"/>
                <w:sz w:val="22"/>
                <w:szCs w:val="22"/>
              </w:rPr>
              <w:t>耐</w:t>
            </w:r>
            <w:r>
              <w:rPr>
                <w:rFonts w:ascii="宋体" w:hAnsi="宋体" w:cs="宋体" w:eastAsia="宋体" w:hint="default"/>
                <w:spacing w:val="-69"/>
                <w:sz w:val="22"/>
                <w:szCs w:val="22"/>
              </w:rPr>
              <w:t> </w:t>
            </w:r>
            <w:r>
              <w:rPr>
                <w:rFonts w:ascii="宋体" w:hAnsi="宋体" w:cs="宋体" w:eastAsia="宋体" w:hint="default"/>
                <w:spacing w:val="33"/>
                <w:sz w:val="22"/>
                <w:szCs w:val="22"/>
              </w:rPr>
              <w:t>热易加工</w:t>
            </w:r>
            <w:r>
              <w:rPr>
                <w:rFonts w:ascii="宋体" w:hAnsi="宋体" w:cs="宋体" w:eastAsia="宋体" w:hint="default"/>
                <w:spacing w:val="-69"/>
                <w:sz w:val="22"/>
                <w:szCs w:val="22"/>
              </w:rPr>
              <w:t> </w:t>
            </w:r>
            <w:r>
              <w:rPr>
                <w:rFonts w:ascii="宋体" w:hAnsi="宋体" w:cs="宋体" w:eastAsia="宋体" w:hint="default"/>
                <w:sz w:val="22"/>
                <w:szCs w:val="22"/>
              </w:rPr>
              <w:t>聚</w:t>
            </w:r>
          </w:p>
          <w:p>
            <w:pPr>
              <w:pStyle w:val="TableParagraph"/>
              <w:spacing w:line="286" w:lineRule="exact"/>
              <w:ind w:left="103" w:right="0"/>
              <w:jc w:val="left"/>
              <w:rPr>
                <w:rFonts w:ascii="宋体" w:hAnsi="宋体" w:cs="宋体" w:eastAsia="宋体" w:hint="default"/>
                <w:sz w:val="22"/>
                <w:szCs w:val="22"/>
              </w:rPr>
            </w:pPr>
            <w:r>
              <w:rPr>
                <w:rFonts w:ascii="宋体" w:hAnsi="宋体" w:cs="宋体" w:eastAsia="宋体" w:hint="default"/>
                <w:sz w:val="22"/>
                <w:szCs w:val="22"/>
              </w:rPr>
              <w:t>酰亚胺树脂</w:t>
            </w:r>
          </w:p>
        </w:tc>
        <w:tc>
          <w:tcPr>
            <w:tcW w:w="39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29"/>
              <w:jc w:val="righ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75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31" w:right="0"/>
              <w:jc w:val="left"/>
              <w:rPr>
                <w:rFonts w:ascii="宋体" w:hAnsi="宋体" w:cs="宋体" w:eastAsia="宋体" w:hint="default"/>
                <w:sz w:val="21"/>
                <w:szCs w:val="21"/>
              </w:rPr>
            </w:pPr>
            <w:r>
              <w:rPr>
                <w:rFonts w:ascii="宋体" w:hAnsi="宋体" w:cs="宋体" w:eastAsia="宋体" w:hint="default"/>
                <w:sz w:val="21"/>
                <w:szCs w:val="21"/>
              </w:rPr>
              <w:t>力争到</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年，国内市场满足率超过</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50%</w:t>
            </w:r>
            <w:r>
              <w:rPr>
                <w:rFonts w:ascii="宋体" w:hAnsi="宋体" w:cs="宋体" w:eastAsia="宋体" w:hint="default"/>
                <w:sz w:val="21"/>
                <w:szCs w:val="21"/>
              </w:rPr>
              <w:t>。</w:t>
            </w:r>
          </w:p>
        </w:tc>
      </w:tr>
      <w:tr>
        <w:trPr>
          <w:trHeight w:val="280" w:hRule="exact"/>
        </w:trPr>
        <w:tc>
          <w:tcPr>
            <w:tcW w:w="1753" w:type="dxa"/>
            <w:tcBorders>
              <w:top w:val="single" w:sz="4" w:space="0" w:color="000000"/>
              <w:left w:val="single" w:sz="4" w:space="0" w:color="000000"/>
              <w:bottom w:val="nil" w:sz="6" w:space="0" w:color="auto"/>
              <w:right w:val="single" w:sz="4" w:space="0" w:color="000000"/>
            </w:tcBorders>
            <w:shd w:val="clear" w:color="auto" w:fill="D9D9D9"/>
          </w:tcPr>
          <w:p>
            <w:pPr/>
          </w:p>
        </w:tc>
        <w:tc>
          <w:tcPr>
            <w:tcW w:w="397" w:type="dxa"/>
            <w:tcBorders>
              <w:top w:val="single" w:sz="4" w:space="0" w:color="000000"/>
              <w:left w:val="single" w:sz="4" w:space="0" w:color="000000"/>
              <w:bottom w:val="nil" w:sz="6" w:space="0" w:color="auto"/>
              <w:right w:val="nil" w:sz="6" w:space="0" w:color="auto"/>
            </w:tcBorders>
          </w:tcPr>
          <w:p>
            <w:pPr>
              <w:pStyle w:val="TableParagraph"/>
              <w:spacing w:line="240" w:lineRule="auto" w:before="66"/>
              <w:ind w:right="129"/>
              <w:jc w:val="righ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759" w:type="dxa"/>
            <w:tcBorders>
              <w:top w:val="single" w:sz="4" w:space="0" w:color="000000"/>
              <w:left w:val="nil" w:sz="6" w:space="0" w:color="auto"/>
              <w:bottom w:val="nil" w:sz="6" w:space="0" w:color="auto"/>
              <w:right w:val="single" w:sz="4" w:space="0" w:color="000000"/>
            </w:tcBorders>
          </w:tcPr>
          <w:p>
            <w:pPr>
              <w:pStyle w:val="TableParagraph"/>
              <w:spacing w:line="255" w:lineRule="exact"/>
              <w:ind w:left="131" w:right="0"/>
              <w:jc w:val="left"/>
              <w:rPr>
                <w:rFonts w:ascii="宋体" w:hAnsi="宋体" w:cs="宋体" w:eastAsia="宋体" w:hint="default"/>
                <w:sz w:val="21"/>
                <w:szCs w:val="21"/>
              </w:rPr>
            </w:pPr>
            <w:r>
              <w:rPr>
                <w:rFonts w:ascii="宋体" w:hAnsi="宋体" w:cs="宋体" w:eastAsia="宋体" w:hint="default"/>
                <w:sz w:val="21"/>
                <w:szCs w:val="21"/>
              </w:rPr>
              <w:t>到</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6"/>
                <w:sz w:val="21"/>
                <w:szCs w:val="21"/>
              </w:rPr>
              <w:t> </w:t>
            </w:r>
            <w:r>
              <w:rPr>
                <w:rFonts w:ascii="宋体" w:hAnsi="宋体" w:cs="宋体" w:eastAsia="宋体" w:hint="default"/>
                <w:spacing w:val="-4"/>
                <w:sz w:val="21"/>
                <w:szCs w:val="21"/>
              </w:rPr>
              <w:t>年，实现水处理用膜、动力电池隔膜等自主化，提高自给率，满</w:t>
            </w:r>
          </w:p>
        </w:tc>
      </w:tr>
      <w:tr>
        <w:trPr>
          <w:trHeight w:val="271" w:hRule="exact"/>
        </w:trPr>
        <w:tc>
          <w:tcPr>
            <w:tcW w:w="175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3" w:lineRule="exact"/>
              <w:ind w:left="103" w:right="0"/>
              <w:jc w:val="left"/>
              <w:rPr>
                <w:rFonts w:ascii="宋体" w:hAnsi="宋体" w:cs="宋体" w:eastAsia="宋体" w:hint="default"/>
                <w:sz w:val="22"/>
                <w:szCs w:val="22"/>
              </w:rPr>
            </w:pPr>
            <w:r>
              <w:rPr>
                <w:rFonts w:ascii="宋体" w:hAnsi="宋体" w:cs="宋体" w:eastAsia="宋体" w:hint="default"/>
                <w:sz w:val="22"/>
                <w:szCs w:val="22"/>
              </w:rPr>
              <w:t>隔膜材料</w:t>
            </w:r>
          </w:p>
        </w:tc>
        <w:tc>
          <w:tcPr>
            <w:tcW w:w="397" w:type="dxa"/>
            <w:tcBorders>
              <w:top w:val="nil" w:sz="6" w:space="0" w:color="auto"/>
              <w:left w:val="single" w:sz="4" w:space="0" w:color="000000"/>
              <w:bottom w:val="nil" w:sz="6" w:space="0" w:color="auto"/>
              <w:right w:val="nil" w:sz="6" w:space="0" w:color="auto"/>
            </w:tcBorders>
          </w:tcPr>
          <w:p>
            <w:pPr/>
          </w:p>
        </w:tc>
        <w:tc>
          <w:tcPr>
            <w:tcW w:w="6759" w:type="dxa"/>
            <w:tcBorders>
              <w:top w:val="nil" w:sz="6" w:space="0" w:color="auto"/>
              <w:left w:val="nil" w:sz="6" w:space="0" w:color="auto"/>
              <w:bottom w:val="nil" w:sz="6" w:space="0" w:color="auto"/>
              <w:right w:val="single" w:sz="4" w:space="0" w:color="000000"/>
            </w:tcBorders>
          </w:tcPr>
          <w:p>
            <w:pPr>
              <w:pStyle w:val="TableParagraph"/>
              <w:spacing w:line="237" w:lineRule="exact"/>
              <w:ind w:left="131" w:right="0"/>
              <w:jc w:val="left"/>
              <w:rPr>
                <w:rFonts w:ascii="宋体" w:hAnsi="宋体" w:cs="宋体" w:eastAsia="宋体" w:hint="default"/>
                <w:sz w:val="21"/>
                <w:szCs w:val="21"/>
              </w:rPr>
            </w:pPr>
            <w:r>
              <w:rPr>
                <w:rFonts w:ascii="宋体" w:hAnsi="宋体" w:cs="宋体" w:eastAsia="宋体" w:hint="default"/>
                <w:sz w:val="21"/>
                <w:szCs w:val="21"/>
              </w:rPr>
              <w:t>足节能减排、新能源汽车、新能源的发展需求。</w:t>
            </w:r>
          </w:p>
        </w:tc>
      </w:tr>
      <w:tr>
        <w:trPr>
          <w:trHeight w:val="277" w:hRule="exact"/>
        </w:trPr>
        <w:tc>
          <w:tcPr>
            <w:tcW w:w="1753" w:type="dxa"/>
            <w:tcBorders>
              <w:top w:val="nil" w:sz="6" w:space="0" w:color="auto"/>
              <w:left w:val="single" w:sz="4" w:space="0" w:color="000000"/>
              <w:bottom w:val="single" w:sz="4" w:space="0" w:color="000000"/>
              <w:right w:val="single" w:sz="4" w:space="0" w:color="000000"/>
            </w:tcBorders>
            <w:shd w:val="clear" w:color="auto" w:fill="D9D9D9"/>
          </w:tcPr>
          <w:p>
            <w:pPr/>
          </w:p>
        </w:tc>
        <w:tc>
          <w:tcPr>
            <w:tcW w:w="397" w:type="dxa"/>
            <w:tcBorders>
              <w:top w:val="nil" w:sz="6" w:space="0" w:color="auto"/>
              <w:left w:val="single" w:sz="4" w:space="0" w:color="000000"/>
              <w:bottom w:val="single" w:sz="4" w:space="0" w:color="000000"/>
              <w:right w:val="nil" w:sz="6" w:space="0" w:color="auto"/>
            </w:tcBorders>
          </w:tcPr>
          <w:p>
            <w:pPr>
              <w:pStyle w:val="TableParagraph"/>
              <w:spacing w:line="240" w:lineRule="auto" w:before="64"/>
              <w:ind w:right="129"/>
              <w:jc w:val="righ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6759" w:type="dxa"/>
            <w:tcBorders>
              <w:top w:val="nil" w:sz="6" w:space="0" w:color="auto"/>
              <w:left w:val="nil" w:sz="6" w:space="0" w:color="auto"/>
              <w:bottom w:val="single" w:sz="4" w:space="0" w:color="000000"/>
              <w:right w:val="single" w:sz="4" w:space="0" w:color="000000"/>
            </w:tcBorders>
          </w:tcPr>
          <w:p>
            <w:pPr>
              <w:pStyle w:val="TableParagraph"/>
              <w:spacing w:line="254" w:lineRule="exact"/>
              <w:ind w:left="131" w:right="0"/>
              <w:jc w:val="left"/>
              <w:rPr>
                <w:rFonts w:ascii="宋体" w:hAnsi="宋体" w:cs="宋体" w:eastAsia="宋体" w:hint="default"/>
                <w:sz w:val="21"/>
                <w:szCs w:val="21"/>
              </w:rPr>
            </w:pPr>
            <w:r>
              <w:rPr>
                <w:rFonts w:ascii="宋体" w:hAnsi="宋体" w:cs="宋体" w:eastAsia="宋体" w:hint="default"/>
                <w:sz w:val="21"/>
                <w:szCs w:val="21"/>
              </w:rPr>
              <w:t>到</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年，新能源汽车电池隔膜产销量</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亿平方米</w:t>
            </w:r>
            <w:r>
              <w:rPr>
                <w:rFonts w:ascii="Times New Roman" w:hAnsi="Times New Roman" w:cs="Times New Roman" w:eastAsia="Times New Roman" w:hint="default"/>
                <w:sz w:val="21"/>
                <w:szCs w:val="21"/>
              </w:rPr>
              <w:t>/</w:t>
            </w:r>
            <w:r>
              <w:rPr>
                <w:rFonts w:ascii="宋体" w:hAnsi="宋体" w:cs="宋体" w:eastAsia="宋体" w:hint="default"/>
                <w:sz w:val="21"/>
                <w:szCs w:val="21"/>
              </w:rPr>
              <w:t>年。</w:t>
            </w:r>
          </w:p>
        </w:tc>
      </w:tr>
    </w:tbl>
    <w:p>
      <w:pPr>
        <w:spacing w:line="240" w:lineRule="auto" w:before="2"/>
        <w:rPr>
          <w:rFonts w:ascii="宋体" w:hAnsi="宋体" w:cs="宋体" w:eastAsia="宋体" w:hint="default"/>
          <w:sz w:val="16"/>
          <w:szCs w:val="16"/>
        </w:rPr>
      </w:pPr>
    </w:p>
    <w:p>
      <w:pPr>
        <w:spacing w:line="309" w:lineRule="auto" w:before="26"/>
        <w:ind w:left="734" w:right="131"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）面临的市场竞争格局</w:t>
      </w:r>
      <w:r>
        <w:rPr>
          <w:rFonts w:ascii="宋体" w:hAnsi="宋体" w:cs="宋体" w:eastAsia="宋体" w:hint="default"/>
          <w:b/>
          <w:bCs/>
          <w:w w:val="99"/>
          <w:sz w:val="24"/>
          <w:szCs w:val="24"/>
        </w:rPr>
        <w:t> </w:t>
      </w:r>
      <w:r>
        <w:rPr>
          <w:rFonts w:ascii="宋体" w:hAnsi="宋体" w:cs="宋体" w:eastAsia="宋体" w:hint="default"/>
          <w:sz w:val="24"/>
          <w:szCs w:val="24"/>
        </w:rPr>
        <w:t>输配电设备产品的利润水平虽然受到原材料和产品价格的制约，但其市场前景广阔。集</w:t>
      </w:r>
    </w:p>
    <w:p>
      <w:pPr>
        <w:pStyle w:val="BodyText"/>
        <w:spacing w:line="304" w:lineRule="auto" w:before="17"/>
        <w:ind w:left="254" w:right="131"/>
        <w:jc w:val="left"/>
      </w:pPr>
      <w:r>
        <w:rPr/>
        <w:t>中招投标带来的价格战导致部分产品竞争优势削弱，同时也导致行业产品毛利降低，行业的</w:t>
      </w:r>
      <w:r>
        <w:rPr>
          <w:spacing w:val="-83"/>
        </w:rPr>
        <w:t> </w:t>
      </w:r>
      <w:r>
        <w:rPr>
          <w:spacing w:val="-83"/>
        </w:rPr>
      </w:r>
      <w:r>
        <w:rPr/>
        <w:t>利润水平的变动趋势应该是总体下滑。</w:t>
      </w:r>
    </w:p>
    <w:p>
      <w:pPr>
        <w:pStyle w:val="BodyText"/>
        <w:spacing w:line="304" w:lineRule="auto" w:before="61"/>
        <w:ind w:left="254" w:right="228" w:firstLine="480"/>
        <w:jc w:val="both"/>
      </w:pPr>
      <w:r>
        <w:rPr/>
        <w:t>在先进材料产业方面，尽管得到了国家前所未有的重视，但目前行业内存在的若干问题</w:t>
      </w:r>
      <w:r>
        <w:rPr>
          <w:spacing w:val="1"/>
        </w:rPr>
        <w:t> </w:t>
      </w:r>
      <w:r>
        <w:rPr/>
        <w:t>值得关注，业内最大的问题是缺少核心竞争力，尽管企业数量较多，但是多而散、散而小、</w:t>
      </w:r>
      <w:r>
        <w:rPr>
          <w:spacing w:val="-83"/>
        </w:rPr>
        <w:t> </w:t>
      </w:r>
      <w:r>
        <w:rPr>
          <w:spacing w:val="-83"/>
        </w:rPr>
      </w:r>
      <w:r>
        <w:rPr/>
        <w:t>小而乱，没有掌握核心技术，盲目上马低水平生产设备，重复建设，距离国际先进水平有较</w:t>
      </w:r>
      <w:r>
        <w:rPr>
          <w:spacing w:val="-83"/>
        </w:rPr>
        <w:t> </w:t>
      </w:r>
      <w:r>
        <w:rPr>
          <w:spacing w:val="-83"/>
        </w:rPr>
      </w:r>
      <w:r>
        <w:rPr/>
        <w:t>大差距。通过</w:t>
      </w:r>
      <w:r>
        <w:rPr>
          <w:rFonts w:ascii="Times New Roman" w:hAnsi="Times New Roman" w:cs="Times New Roman" w:eastAsia="Times New Roman" w:hint="default"/>
        </w:rPr>
        <w:t>“</w:t>
      </w:r>
      <w:r>
        <w:rPr/>
        <w:t>十二五</w:t>
      </w:r>
      <w:r>
        <w:rPr>
          <w:rFonts w:ascii="Times New Roman" w:hAnsi="Times New Roman" w:cs="Times New Roman" w:eastAsia="Times New Roman" w:hint="default"/>
        </w:rPr>
        <w:t>”</w:t>
      </w:r>
      <w:r>
        <w:rPr/>
        <w:t>期间的发展，有望形成一批有核心竞争力的大型龙头企业。</w:t>
      </w:r>
    </w:p>
    <w:p>
      <w:pPr>
        <w:spacing w:line="240" w:lineRule="auto" w:before="11"/>
        <w:rPr>
          <w:rFonts w:ascii="宋体" w:hAnsi="宋体" w:cs="宋体" w:eastAsia="宋体" w:hint="default"/>
          <w:sz w:val="20"/>
          <w:szCs w:val="20"/>
        </w:rPr>
      </w:pPr>
    </w:p>
    <w:p>
      <w:pPr>
        <w:spacing w:before="0"/>
        <w:ind w:left="736" w:right="131"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、公司未来的发展机遇、挑战</w:t>
      </w:r>
      <w:r>
        <w:rPr>
          <w:rFonts w:ascii="宋体" w:hAnsi="宋体" w:cs="宋体" w:eastAsia="宋体" w:hint="default"/>
          <w:sz w:val="24"/>
          <w:szCs w:val="24"/>
        </w:rPr>
      </w:r>
    </w:p>
    <w:p>
      <w:pPr>
        <w:spacing w:line="240" w:lineRule="auto" w:before="8"/>
        <w:rPr>
          <w:rFonts w:ascii="宋体" w:hAnsi="宋体" w:cs="宋体" w:eastAsia="宋体" w:hint="default"/>
          <w:b/>
          <w:bCs/>
          <w:sz w:val="25"/>
          <w:szCs w:val="25"/>
        </w:rPr>
      </w:pPr>
    </w:p>
    <w:p>
      <w:pPr>
        <w:spacing w:line="328" w:lineRule="auto" w:before="0"/>
        <w:ind w:left="734" w:right="131" w:firstLine="2"/>
        <w:jc w:val="left"/>
        <w:rPr>
          <w:rFonts w:ascii="宋体" w:hAnsi="宋体" w:cs="宋体" w:eastAsia="宋体" w:hint="default"/>
          <w:sz w:val="24"/>
          <w:szCs w:val="24"/>
        </w:rPr>
      </w:pPr>
      <w:r>
        <w:rPr>
          <w:rFonts w:ascii="宋体" w:hAnsi="宋体" w:cs="宋体" w:eastAsia="宋体" w:hint="default"/>
          <w:b/>
          <w:bCs/>
          <w:sz w:val="24"/>
          <w:szCs w:val="24"/>
        </w:rPr>
        <w:t>（1）公司未来的发展机遇：</w:t>
      </w:r>
      <w:r>
        <w:rPr>
          <w:rFonts w:ascii="宋体" w:hAnsi="宋体" w:cs="宋体" w:eastAsia="宋体" w:hint="default"/>
          <w:b/>
          <w:bCs/>
          <w:w w:val="99"/>
          <w:sz w:val="24"/>
          <w:szCs w:val="24"/>
        </w:rPr>
        <w:t> </w:t>
      </w:r>
      <w:r>
        <w:rPr>
          <w:rFonts w:ascii="宋体" w:hAnsi="宋体" w:cs="宋体" w:eastAsia="宋体" w:hint="default"/>
          <w:sz w:val="24"/>
          <w:szCs w:val="24"/>
        </w:rPr>
        <w:t>公司管理层认真分析后认为，随着电网系统集中招标走向标准化后，电网投资建设的速</w:t>
      </w:r>
    </w:p>
    <w:p>
      <w:pPr>
        <w:pStyle w:val="BodyText"/>
        <w:spacing w:line="300" w:lineRule="auto"/>
        <w:ind w:left="254" w:right="96"/>
        <w:jc w:val="left"/>
      </w:pPr>
      <w:r>
        <w:rPr/>
        <w:t>度会逐渐加快；外部经济环境的不利因素加上国家宏观调控内需经济模式，对于电网投资建</w:t>
      </w:r>
      <w:r>
        <w:rPr>
          <w:spacing w:val="-83"/>
        </w:rPr>
        <w:t> </w:t>
      </w:r>
      <w:r>
        <w:rPr>
          <w:spacing w:val="-83"/>
        </w:rPr>
      </w:r>
      <w:r>
        <w:rPr>
          <w:spacing w:val="-2"/>
        </w:rPr>
        <w:t>设都是利好消息。</w:t>
      </w:r>
      <w:r>
        <w:rPr>
          <w:rFonts w:ascii="Times New Roman" w:hAnsi="Times New Roman" w:cs="Times New Roman" w:eastAsia="Times New Roman" w:hint="default"/>
          <w:spacing w:val="-2"/>
        </w:rPr>
        <w:t>2012</w:t>
      </w:r>
      <w:r>
        <w:rPr>
          <w:spacing w:val="-2"/>
        </w:rPr>
        <w:t>年电网投资方向已经明确，投资将重点倾向于特高压建设和配网建设，</w:t>
      </w:r>
      <w:r>
        <w:rPr>
          <w:spacing w:val="-116"/>
        </w:rPr>
        <w:t> </w:t>
      </w:r>
      <w:r>
        <w:rPr>
          <w:spacing w:val="-116"/>
        </w:rPr>
      </w:r>
      <w:r>
        <w:rPr/>
        <w:t>同时加大农村电网改造升级投资，预示着电网投资新增长的开始，特别是配网设备领域将迎</w:t>
      </w:r>
      <w:r>
        <w:rPr>
          <w:spacing w:val="-83"/>
        </w:rPr>
        <w:t> </w:t>
      </w:r>
      <w:r>
        <w:rPr>
          <w:spacing w:val="-83"/>
        </w:rPr>
      </w:r>
      <w:r>
        <w:rPr/>
        <w:t>来非常好的市场前景。</w:t>
      </w:r>
    </w:p>
    <w:p>
      <w:pPr>
        <w:pStyle w:val="BodyText"/>
        <w:spacing w:line="304" w:lineRule="auto" w:before="65"/>
        <w:ind w:left="254" w:right="228" w:firstLine="480"/>
        <w:jc w:val="both"/>
      </w:pPr>
      <w:r>
        <w:rPr/>
        <w:t>电网改造过程中，供电质量和保障能力的提升将是关键。公司将新型高分子材料应用于</w:t>
      </w:r>
      <w:r>
        <w:rPr>
          <w:spacing w:val="1"/>
        </w:rPr>
        <w:t> </w:t>
      </w:r>
      <w:r>
        <w:rPr/>
        <w:t>配电设备，符合城乡配网设备智能化、小型化、环保型的发展趋势，具有较大市场空间。特</w:t>
      </w:r>
      <w:r>
        <w:rPr>
          <w:spacing w:val="-83"/>
        </w:rPr>
        <w:t> </w:t>
      </w:r>
      <w:r>
        <w:rPr>
          <w:spacing w:val="-83"/>
        </w:rPr>
      </w:r>
      <w:r>
        <w:rPr/>
        <w:t>别是公司开发的真空绝缘电气控制设备、复合管母线等新产品，不仅提高了大容量大电流传</w:t>
      </w:r>
      <w:r>
        <w:rPr>
          <w:spacing w:val="-83"/>
        </w:rPr>
        <w:t> </w:t>
      </w:r>
      <w:r>
        <w:rPr>
          <w:spacing w:val="-83"/>
        </w:rPr>
      </w:r>
      <w:r>
        <w:rPr/>
        <w:t>输的安全性和可靠性，而且可以减少温室气体排放，大幅降低线路损耗，节约资源，符合国</w:t>
      </w:r>
      <w:r>
        <w:rPr>
          <w:spacing w:val="-83"/>
        </w:rPr>
        <w:t> </w:t>
      </w:r>
      <w:r>
        <w:rPr>
          <w:spacing w:val="-83"/>
        </w:rPr>
      </w:r>
      <w:r>
        <w:rPr/>
        <w:t>家节能减排的大政方针，带来较好的经济效益和社会效益，市场潜力巨大。</w:t>
      </w:r>
    </w:p>
    <w:p>
      <w:pPr>
        <w:pStyle w:val="BodyText"/>
        <w:spacing w:line="304" w:lineRule="auto" w:before="60"/>
        <w:ind w:left="254" w:right="228" w:firstLine="480"/>
        <w:jc w:val="both"/>
      </w:pPr>
      <w:r>
        <w:rPr/>
        <w:t>在国家调结构、惠民生、培育发展战略型新兴产业的战略部署下，市场需求迅速增长。</w:t>
      </w:r>
      <w:r>
        <w:rPr>
          <w:spacing w:val="1"/>
        </w:rPr>
        <w:t> </w:t>
      </w:r>
      <w:r>
        <w:rPr/>
        <w:t>公司研发生产的先进材料对战略新兴产业发展、经济结构升级有具有关键的基础作用，应用</w:t>
      </w:r>
      <w:r>
        <w:rPr>
          <w:spacing w:val="-83"/>
        </w:rPr>
        <w:t> </w:t>
      </w:r>
      <w:r>
        <w:rPr>
          <w:spacing w:val="-83"/>
        </w:rPr>
      </w:r>
      <w:r>
        <w:rPr>
          <w:spacing w:val="-5"/>
        </w:rPr>
        <w:t>前景非常广阔，国际市场的潜力也非常巨大。公司管理层认为，“十二五”时期，是我国材料</w:t>
      </w:r>
      <w:r>
        <w:rPr/>
        <w:t> 工业由大变强的关键时期，公司的先进材料业务将面临绝佳的历史发展机遇。</w:t>
      </w:r>
    </w:p>
    <w:p>
      <w:pPr>
        <w:spacing w:line="296" w:lineRule="exact" w:before="0"/>
        <w:ind w:left="736" w:right="131" w:firstLine="0"/>
        <w:jc w:val="left"/>
        <w:rPr>
          <w:rFonts w:ascii="宋体" w:hAnsi="宋体" w:cs="宋体" w:eastAsia="宋体" w:hint="default"/>
          <w:sz w:val="24"/>
          <w:szCs w:val="24"/>
        </w:rPr>
      </w:pPr>
      <w:r>
        <w:rPr>
          <w:rFonts w:ascii="宋体" w:hAnsi="宋体" w:cs="宋体" w:eastAsia="宋体" w:hint="default"/>
          <w:b/>
          <w:bCs/>
          <w:sz w:val="24"/>
          <w:szCs w:val="24"/>
        </w:rPr>
        <w:t>公司的经营优势主要体现在以下几方面：</w:t>
      </w:r>
      <w:r>
        <w:rPr>
          <w:rFonts w:ascii="宋体" w:hAnsi="宋体" w:cs="宋体" w:eastAsia="宋体" w:hint="default"/>
          <w:sz w:val="24"/>
          <w:szCs w:val="24"/>
        </w:rPr>
      </w:r>
    </w:p>
    <w:p>
      <w:pPr>
        <w:spacing w:after="0" w:line="296" w:lineRule="exact"/>
        <w:jc w:val="left"/>
        <w:rPr>
          <w:rFonts w:ascii="宋体" w:hAnsi="宋体" w:cs="宋体" w:eastAsia="宋体" w:hint="default"/>
          <w:sz w:val="24"/>
          <w:szCs w:val="24"/>
        </w:rPr>
        <w:sectPr>
          <w:pgSz w:w="11910" w:h="16840"/>
          <w:pgMar w:header="624" w:footer="711" w:top="1040" w:bottom="900" w:left="880" w:right="900"/>
        </w:sectPr>
      </w:pPr>
    </w:p>
    <w:p>
      <w:pPr>
        <w:spacing w:line="240" w:lineRule="auto" w:before="0"/>
        <w:rPr>
          <w:rFonts w:ascii="宋体" w:hAnsi="宋体" w:cs="宋体" w:eastAsia="宋体" w:hint="default"/>
          <w:b/>
          <w:bCs/>
          <w:sz w:val="20"/>
          <w:szCs w:val="20"/>
        </w:rPr>
      </w:pPr>
    </w:p>
    <w:p>
      <w:pPr>
        <w:pStyle w:val="BodyText"/>
        <w:spacing w:line="319" w:lineRule="auto" w:before="160"/>
        <w:ind w:left="733" w:right="139" w:firstLine="87"/>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专注于新型绝缘材料在配网装备上的应用。</w:t>
      </w:r>
      <w:r>
        <w:rPr>
          <w:w w:val="99"/>
        </w:rPr>
        <w:t> </w:t>
      </w:r>
      <w:r>
        <w:rPr/>
        <w:t>公司从成立至今，一直致力于发挥材料技术方面的优势，生产高可靠性产品，用新型绝</w:t>
      </w:r>
    </w:p>
    <w:p>
      <w:pPr>
        <w:pStyle w:val="BodyText"/>
        <w:spacing w:line="304" w:lineRule="auto" w:before="6"/>
        <w:ind w:left="253" w:right="148"/>
        <w:jc w:val="both"/>
      </w:pPr>
      <w:r>
        <w:rPr/>
        <w:t>缘材料提升配网装备水平。经过多年的积累，目前公司在材料科学和电气科学相结合方面处</w:t>
      </w:r>
      <w:r>
        <w:rPr>
          <w:spacing w:val="-83"/>
        </w:rPr>
        <w:t> </w:t>
      </w:r>
      <w:r>
        <w:rPr>
          <w:spacing w:val="-83"/>
        </w:rPr>
      </w:r>
      <w:r>
        <w:rPr/>
        <w:t>于国内领先地位，并在人才、设备与技术等方面具有明显的竞争优势。</w:t>
      </w:r>
    </w:p>
    <w:p>
      <w:pPr>
        <w:pStyle w:val="BodyText"/>
        <w:spacing w:line="319" w:lineRule="auto" w:before="61"/>
        <w:ind w:left="733" w:right="139" w:firstLine="87"/>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按需定制的整体方案解决能力较强。</w:t>
      </w:r>
      <w:r>
        <w:rPr>
          <w:w w:val="99"/>
        </w:rPr>
        <w:t> </w:t>
      </w:r>
      <w:r>
        <w:rPr/>
        <w:t>公司拥有完整的产业链条，相关产品的加工及工艺控制手段处于国内领先水平，特别在</w:t>
      </w:r>
    </w:p>
    <w:p>
      <w:pPr>
        <w:pStyle w:val="BodyText"/>
        <w:spacing w:line="240" w:lineRule="auto" w:before="6"/>
        <w:ind w:left="253" w:right="0"/>
        <w:jc w:val="both"/>
      </w:pPr>
      <w:r>
        <w:rPr/>
        <w:t>技术方案实现方面具有明显优势，可以较低的成本按特定条件灵活定制，满足客户需求。</w:t>
      </w:r>
    </w:p>
    <w:p>
      <w:pPr>
        <w:pStyle w:val="BodyText"/>
        <w:spacing w:line="316" w:lineRule="auto" w:before="126"/>
        <w:ind w:left="734" w:right="139" w:firstLine="87"/>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持续创新能力较强。</w:t>
      </w:r>
      <w:r>
        <w:rPr>
          <w:w w:val="99"/>
        </w:rPr>
        <w:t> </w:t>
      </w:r>
      <w:r>
        <w:rPr/>
        <w:t>公司为国家级高新技术企业，一直非常重视技术研究和新产品开发，电缆分支箱、硅橡</w:t>
      </w:r>
    </w:p>
    <w:p>
      <w:pPr>
        <w:pStyle w:val="BodyText"/>
        <w:spacing w:line="240" w:lineRule="auto" w:before="10"/>
        <w:ind w:left="254" w:right="0"/>
        <w:jc w:val="both"/>
      </w:pPr>
      <w:r>
        <w:rPr/>
        <w:t>胶绝缘制品、复合材料电气设备箱体等产品均走在市场前列，具有一定的前瞻性。</w:t>
      </w:r>
    </w:p>
    <w:p>
      <w:pPr>
        <w:pStyle w:val="BodyText"/>
        <w:spacing w:line="319" w:lineRule="auto" w:before="125"/>
        <w:ind w:left="734" w:right="139" w:firstLine="87"/>
        <w:jc w:val="left"/>
      </w:pP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覆盖全国的市场营销网络发挥积极作用。</w:t>
      </w:r>
      <w:r>
        <w:rPr>
          <w:w w:val="99"/>
        </w:rPr>
        <w:t> </w:t>
      </w:r>
      <w:r>
        <w:rPr/>
        <w:t>公司已建立“以直销为主，经销为补充”的直接销售模式，营销网络覆盖中国大陆除西</w:t>
      </w:r>
    </w:p>
    <w:p>
      <w:pPr>
        <w:pStyle w:val="BodyText"/>
        <w:spacing w:line="307" w:lineRule="auto" w:before="6"/>
        <w:ind w:left="254" w:right="148"/>
        <w:jc w:val="both"/>
      </w:pPr>
      <w:r>
        <w:rPr/>
        <w:t>藏外的各省、直辖市和自治区。营销网络正在发挥积极作用，一方面巩固传统市场地区的业</w:t>
      </w:r>
      <w:r>
        <w:rPr>
          <w:spacing w:val="-83"/>
        </w:rPr>
        <w:t> </w:t>
      </w:r>
      <w:r>
        <w:rPr>
          <w:spacing w:val="-83"/>
        </w:rPr>
      </w:r>
      <w:r>
        <w:rPr/>
        <w:t>务，另一方面新拓展地区的业务发展也有了良好的开端。</w:t>
      </w:r>
    </w:p>
    <w:p>
      <w:pPr>
        <w:pStyle w:val="BodyText"/>
        <w:spacing w:line="319" w:lineRule="auto" w:before="58"/>
        <w:ind w:left="734" w:right="139" w:firstLine="87"/>
        <w:jc w:val="left"/>
      </w:pP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先进材料、新能源领域发展潜力巨大。</w:t>
      </w:r>
      <w:r>
        <w:rPr>
          <w:w w:val="99"/>
        </w:rPr>
        <w:t> </w:t>
      </w:r>
      <w:r>
        <w:rPr/>
        <w:t>公司充分运用科技成果产业化的丰富经验，与国内知名科研院所紧密合作，以企业为龙</w:t>
      </w:r>
    </w:p>
    <w:p>
      <w:pPr>
        <w:pStyle w:val="BodyText"/>
        <w:spacing w:line="304" w:lineRule="auto" w:before="6"/>
        <w:ind w:left="254" w:right="148"/>
        <w:jc w:val="both"/>
      </w:pPr>
      <w:r>
        <w:rPr/>
        <w:t>头聚集资源，产业化进程大大加快。公司陆续与中科院长春应化所、中科院宁波材料所、北</w:t>
      </w:r>
      <w:r>
        <w:rPr>
          <w:spacing w:val="-83"/>
        </w:rPr>
        <w:t> </w:t>
      </w:r>
      <w:r>
        <w:rPr>
          <w:spacing w:val="-83"/>
        </w:rPr>
      </w:r>
      <w:r>
        <w:rPr/>
        <w:t>京航空航天大学、江西师范大学开展了深入合作，基本上把国内聚酰亚胺行业的所有顶级专</w:t>
      </w:r>
      <w:r>
        <w:rPr>
          <w:spacing w:val="-83"/>
        </w:rPr>
        <w:t> </w:t>
      </w:r>
      <w:r>
        <w:rPr>
          <w:spacing w:val="-83"/>
        </w:rPr>
      </w:r>
      <w:r>
        <w:rPr/>
        <w:t>家、技术力量汇聚在一起，取得了很好的效果。</w:t>
      </w:r>
    </w:p>
    <w:p>
      <w:pPr>
        <w:spacing w:line="240" w:lineRule="auto" w:before="10"/>
        <w:rPr>
          <w:rFonts w:ascii="宋体" w:hAnsi="宋体" w:cs="宋体" w:eastAsia="宋体" w:hint="default"/>
          <w:sz w:val="22"/>
          <w:szCs w:val="22"/>
        </w:rPr>
      </w:pPr>
    </w:p>
    <w:p>
      <w:pPr>
        <w:spacing w:before="0"/>
        <w:ind w:left="736" w:right="139"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）在公司发展过程中，也面临一定的困难和挑战：</w:t>
      </w:r>
      <w:r>
        <w:rPr>
          <w:rFonts w:ascii="宋体" w:hAnsi="宋体" w:cs="宋体" w:eastAsia="宋体" w:hint="default"/>
          <w:sz w:val="24"/>
          <w:szCs w:val="24"/>
        </w:rPr>
      </w:r>
    </w:p>
    <w:p>
      <w:pPr>
        <w:pStyle w:val="BodyText"/>
        <w:spacing w:line="288" w:lineRule="auto" w:before="98"/>
        <w:ind w:left="254" w:right="139" w:firstLine="566"/>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37"/>
        </w:rPr>
        <w:t> </w:t>
      </w:r>
      <w:r>
        <w:rPr>
          <w:spacing w:val="3"/>
        </w:rPr>
        <w:t>人力资源建设有待加强：公司经营管理水平的提高对人力资源建设提出了更高的要</w:t>
      </w:r>
      <w:r>
        <w:rPr>
          <w:spacing w:val="4"/>
          <w:w w:val="99"/>
        </w:rPr>
        <w:t> </w:t>
      </w:r>
      <w:r>
        <w:rPr/>
        <w:t>求，特别是在培养和引进高素质的中层管理人员方面，并将人员流动控制在合理水平。</w:t>
      </w:r>
    </w:p>
    <w:p>
      <w:pPr>
        <w:pStyle w:val="BodyText"/>
        <w:spacing w:line="288" w:lineRule="auto" w:before="78"/>
        <w:ind w:left="254" w:right="151" w:firstLine="566"/>
        <w:jc w:val="right"/>
      </w:pPr>
      <w:r>
        <w:rPr>
          <w:rFonts w:ascii="Times New Roman" w:hAnsi="Times New Roman" w:cs="Times New Roman" w:eastAsia="Times New Roman" w:hint="default"/>
        </w:rPr>
        <w:t>2)</w:t>
      </w:r>
      <w:r>
        <w:rPr>
          <w:rFonts w:ascii="Times New Roman" w:hAnsi="Times New Roman" w:cs="Times New Roman" w:eastAsia="Times New Roman" w:hint="default"/>
          <w:spacing w:val="39"/>
        </w:rPr>
        <w:t> </w:t>
      </w:r>
      <w:r>
        <w:rPr>
          <w:spacing w:val="-3"/>
        </w:rPr>
        <w:t>成本控制管理有待完善：公司自成立以来，不断开发新产品，拓展业务领域，同时不</w:t>
      </w:r>
      <w:r>
        <w:rPr>
          <w:w w:val="99"/>
        </w:rPr>
        <w:t> </w:t>
      </w:r>
      <w:r>
        <w:rPr>
          <w:w w:val="95"/>
        </w:rPr>
        <w:t>断建设完善营销网络，导致成本费用上升较快，在费用成本控制方面还有较大的改进空间。</w:t>
      </w:r>
      <w:r>
        <w:rPr/>
      </w:r>
    </w:p>
    <w:p>
      <w:pPr>
        <w:pStyle w:val="BodyText"/>
        <w:spacing w:line="312" w:lineRule="auto" w:before="78"/>
        <w:ind w:left="254" w:right="151" w:firstLine="566"/>
        <w:jc w:val="right"/>
      </w:pPr>
      <w:r>
        <w:rPr>
          <w:rFonts w:ascii="Times New Roman" w:hAnsi="Times New Roman" w:cs="Times New Roman" w:eastAsia="Times New Roman" w:hint="default"/>
        </w:rPr>
        <w:t>3)</w:t>
      </w:r>
      <w:r>
        <w:rPr>
          <w:rFonts w:ascii="Times New Roman" w:hAnsi="Times New Roman" w:cs="Times New Roman" w:eastAsia="Times New Roman" w:hint="default"/>
          <w:spacing w:val="39"/>
        </w:rPr>
        <w:t> </w:t>
      </w:r>
      <w:r>
        <w:rPr>
          <w:spacing w:val="-3"/>
        </w:rPr>
        <w:t>应收账款管理有待深化：随着公司产销规模扩大，公司应收账款不断增加，要求公司</w:t>
      </w:r>
      <w:r>
        <w:rPr>
          <w:w w:val="99"/>
        </w:rPr>
        <w:t> </w:t>
      </w:r>
      <w:r>
        <w:rPr>
          <w:w w:val="95"/>
        </w:rPr>
        <w:t>在应收账款管理、客户关系管理方面要进一步深化、细化，降低回款风险，减少资金占用。  </w:t>
      </w:r>
      <w:r>
        <w:rPr>
          <w:spacing w:val="92"/>
          <w:w w:val="95"/>
        </w:rPr>
        <w:t> </w:t>
      </w:r>
      <w:r>
        <w:rPr>
          <w:rFonts w:ascii="Times New Roman" w:hAnsi="Times New Roman" w:cs="Times New Roman" w:eastAsia="Times New Roman" w:hint="default"/>
        </w:rPr>
        <w:t>4)</w:t>
      </w:r>
      <w:r>
        <w:rPr>
          <w:rFonts w:ascii="Times New Roman" w:hAnsi="Times New Roman" w:cs="Times New Roman" w:eastAsia="Times New Roman" w:hint="default"/>
          <w:spacing w:val="41"/>
        </w:rPr>
        <w:t> </w:t>
      </w:r>
      <w:r>
        <w:rPr>
          <w:spacing w:val="-3"/>
        </w:rPr>
        <w:t>对控股子公司的监控和支持有待强化：公司刚刚开始对外投资业务，对控股子公司的</w:t>
      </w:r>
    </w:p>
    <w:p>
      <w:pPr>
        <w:pStyle w:val="BodyText"/>
        <w:spacing w:line="302" w:lineRule="exact"/>
        <w:ind w:left="254" w:right="0"/>
        <w:jc w:val="both"/>
      </w:pPr>
      <w:r>
        <w:rPr/>
        <w:t>管控还处于探索阶段，需要进一步学习提高。</w:t>
      </w:r>
    </w:p>
    <w:p>
      <w:pPr>
        <w:pStyle w:val="BodyText"/>
        <w:spacing w:line="288" w:lineRule="auto" w:before="126"/>
        <w:ind w:left="254" w:right="139" w:firstLine="566"/>
        <w:jc w:val="left"/>
      </w:pPr>
      <w:r>
        <w:rPr>
          <w:rFonts w:ascii="Times New Roman" w:hAnsi="Times New Roman" w:cs="Times New Roman" w:eastAsia="Times New Roman" w:hint="default"/>
        </w:rPr>
        <w:t>5)</w:t>
      </w:r>
      <w:r>
        <w:rPr>
          <w:rFonts w:ascii="Times New Roman" w:hAnsi="Times New Roman" w:cs="Times New Roman" w:eastAsia="Times New Roman" w:hint="default"/>
          <w:spacing w:val="36"/>
        </w:rPr>
        <w:t> </w:t>
      </w:r>
      <w:r>
        <w:rPr>
          <w:spacing w:val="-3"/>
        </w:rPr>
        <w:t>公司先进材料、新能源行业领域与原有业务在技术、市场等方面均存在较大差异，对</w:t>
      </w:r>
      <w:r>
        <w:rPr>
          <w:w w:val="99"/>
        </w:rPr>
        <w:t> </w:t>
      </w:r>
      <w:r>
        <w:rPr/>
        <w:t>经营管理带来挑战。</w:t>
      </w:r>
    </w:p>
    <w:p>
      <w:pPr>
        <w:spacing w:line="240" w:lineRule="auto" w:before="1"/>
        <w:rPr>
          <w:rFonts w:ascii="宋体" w:hAnsi="宋体" w:cs="宋体" w:eastAsia="宋体" w:hint="default"/>
          <w:sz w:val="24"/>
          <w:szCs w:val="24"/>
        </w:rPr>
      </w:pPr>
    </w:p>
    <w:p>
      <w:pPr>
        <w:spacing w:before="0"/>
        <w:ind w:left="736" w:right="139"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、公司未来的发展规划：</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40"/>
          <w:pgMar w:header="624" w:footer="711" w:top="1040" w:bottom="900" w:left="880" w:right="980"/>
        </w:sectPr>
      </w:pPr>
    </w:p>
    <w:p>
      <w:pPr>
        <w:spacing w:line="240" w:lineRule="auto" w:before="2"/>
        <w:rPr>
          <w:rFonts w:ascii="宋体" w:hAnsi="宋体" w:cs="宋体" w:eastAsia="宋体" w:hint="default"/>
          <w:b/>
          <w:bCs/>
          <w:sz w:val="24"/>
          <w:szCs w:val="24"/>
        </w:rPr>
      </w:pPr>
    </w:p>
    <w:p>
      <w:pPr>
        <w:pStyle w:val="BodyText"/>
        <w:spacing w:line="240" w:lineRule="auto" w:before="26"/>
        <w:ind w:left="734" w:right="150"/>
        <w:jc w:val="left"/>
      </w:pPr>
      <w:r>
        <w:rPr/>
        <w:t>回首</w:t>
      </w:r>
      <w:r>
        <w:rPr>
          <w:spacing w:val="-60"/>
        </w:rPr>
        <w:t> </w:t>
      </w:r>
      <w:r>
        <w:rPr>
          <w:rFonts w:ascii="Times New Roman" w:hAnsi="Times New Roman" w:cs="Times New Roman" w:eastAsia="Times New Roman" w:hint="default"/>
        </w:rPr>
        <w:t>4 </w:t>
      </w:r>
      <w:r>
        <w:rPr/>
        <w:t>年来对先进材料产业持续不断的研发投入和市场推广，感慨良多：</w:t>
      </w:r>
    </w:p>
    <w:p>
      <w:pPr>
        <w:pStyle w:val="BodyText"/>
        <w:spacing w:line="290" w:lineRule="auto" w:before="97"/>
        <w:ind w:left="1153" w:right="150" w:hanging="420"/>
        <w:jc w:val="left"/>
      </w:pPr>
      <w:r>
        <w:rPr>
          <w:rFonts w:ascii="Wingdings" w:hAnsi="Wingdings" w:cs="Wingdings" w:eastAsia="Wingdings" w:hint="default"/>
        </w:rPr>
        <w:t></w:t>
      </w:r>
      <w:r>
        <w:rPr>
          <w:rFonts w:ascii="Wingdings" w:hAnsi="Wingdings" w:cs="Wingdings" w:eastAsia="Wingdings" w:hint="default"/>
          <w:spacing w:val="-100"/>
        </w:rPr>
        <w:t></w:t>
      </w:r>
      <w:r>
        <w:rPr>
          <w:rFonts w:ascii="Times New Roman" w:hAnsi="Times New Roman" w:cs="Times New Roman" w:eastAsia="Times New Roman" w:hint="default"/>
          <w:spacing w:val="-100"/>
        </w:rPr>
      </w:r>
      <w:r>
        <w:rPr>
          <w:rFonts w:ascii="宋体" w:hAnsi="宋体" w:cs="宋体" w:eastAsia="宋体" w:hint="default"/>
          <w:b/>
          <w:bCs/>
          <w:spacing w:val="-3"/>
        </w:rPr>
        <w:t>最令人振奋的是，</w:t>
      </w:r>
      <w:r>
        <w:rPr>
          <w:spacing w:val="-3"/>
        </w:rPr>
        <w:t>公司所发展的先进材料，与战略性新兴产业以及国家陆续颁布的新</w:t>
      </w:r>
      <w:r>
        <w:rPr>
          <w:spacing w:val="-1"/>
        </w:rPr>
        <w:t> </w:t>
      </w:r>
      <w:r>
        <w:rPr/>
        <w:t>材料产业、化纤工业、产业用纺织品等各专项“十二五”发展规划完全吻合。</w:t>
      </w:r>
    </w:p>
    <w:p>
      <w:pPr>
        <w:pStyle w:val="BodyText"/>
        <w:spacing w:line="290" w:lineRule="auto" w:before="76"/>
        <w:ind w:left="1153" w:right="150" w:hanging="420"/>
        <w:jc w:val="left"/>
      </w:pPr>
      <w:r>
        <w:rPr>
          <w:rFonts w:ascii="Wingdings" w:hAnsi="Wingdings" w:cs="Wingdings" w:eastAsia="Wingdings" w:hint="default"/>
        </w:rPr>
        <w:t></w:t>
      </w:r>
      <w:r>
        <w:rPr>
          <w:rFonts w:ascii="Wingdings" w:hAnsi="Wingdings" w:cs="Wingdings" w:eastAsia="Wingdings" w:hint="default"/>
          <w:spacing w:val="-98"/>
        </w:rPr>
        <w:t></w:t>
      </w:r>
      <w:r>
        <w:rPr>
          <w:rFonts w:ascii="Times New Roman" w:hAnsi="Times New Roman" w:cs="Times New Roman" w:eastAsia="Times New Roman" w:hint="default"/>
          <w:spacing w:val="-98"/>
        </w:rPr>
      </w:r>
      <w:r>
        <w:rPr>
          <w:rFonts w:ascii="宋体" w:hAnsi="宋体" w:cs="宋体" w:eastAsia="宋体" w:hint="default"/>
          <w:b/>
          <w:bCs/>
          <w:spacing w:val="-3"/>
        </w:rPr>
        <w:t>最令人鼓舞的是，</w:t>
      </w:r>
      <w:r>
        <w:rPr>
          <w:spacing w:val="-3"/>
        </w:rPr>
        <w:t>公司得到了国家和地方各级政府的大力支持，目前已累计获得政府</w:t>
      </w:r>
      <w:r>
        <w:rPr>
          <w:spacing w:val="-1"/>
        </w:rPr>
        <w:t> 支持发展战略性新兴产业、支持自主创新等各项资助近亿元（其中子公司</w:t>
      </w:r>
      <w:r>
        <w:rPr>
          <w:rFonts w:ascii="Times New Roman" w:hAnsi="Times New Roman" w:cs="Times New Roman" w:eastAsia="Times New Roman" w:hint="default"/>
          <w:spacing w:val="-1"/>
        </w:rPr>
        <w:t>7853</w:t>
      </w:r>
      <w:r>
        <w:rPr>
          <w:spacing w:val="-1"/>
        </w:rPr>
        <w:t>万元，</w:t>
      </w:r>
      <w:r>
        <w:rPr/>
        <w:t> </w:t>
      </w:r>
      <w:r>
        <w:rPr>
          <w:spacing w:val="-7"/>
        </w:rPr>
        <w:t>总部</w:t>
      </w:r>
      <w:r>
        <w:rPr>
          <w:rFonts w:ascii="Times New Roman" w:hAnsi="Times New Roman" w:cs="Times New Roman" w:eastAsia="Times New Roman" w:hint="default"/>
          <w:spacing w:val="-7"/>
        </w:rPr>
        <w:t>1846</w:t>
      </w:r>
      <w:r>
        <w:rPr>
          <w:spacing w:val="-7"/>
        </w:rPr>
        <w:t>万元，合计</w:t>
      </w:r>
      <w:r>
        <w:rPr>
          <w:rFonts w:ascii="Times New Roman" w:hAnsi="Times New Roman" w:cs="Times New Roman" w:eastAsia="Times New Roman" w:hint="default"/>
          <w:spacing w:val="-7"/>
        </w:rPr>
        <w:t>9699</w:t>
      </w:r>
      <w:r>
        <w:rPr>
          <w:spacing w:val="-7"/>
        </w:rPr>
        <w:t>万元），使得公司顺利度过了先进技术产业化最艰难的阶段。</w:t>
      </w:r>
    </w:p>
    <w:p>
      <w:pPr>
        <w:pStyle w:val="BodyText"/>
        <w:spacing w:line="290" w:lineRule="auto" w:before="52"/>
        <w:ind w:left="1154" w:right="150" w:hanging="420"/>
        <w:jc w:val="left"/>
      </w:pPr>
      <w:r>
        <w:rPr>
          <w:rFonts w:ascii="Wingdings" w:hAnsi="Wingdings" w:cs="Wingdings" w:eastAsia="Wingdings" w:hint="default"/>
        </w:rPr>
        <w:t></w:t>
      </w:r>
      <w:r>
        <w:rPr>
          <w:rFonts w:ascii="Wingdings" w:hAnsi="Wingdings" w:cs="Wingdings" w:eastAsia="Wingdings" w:hint="default"/>
          <w:spacing w:val="-100"/>
        </w:rPr>
        <w:t></w:t>
      </w:r>
      <w:r>
        <w:rPr>
          <w:rFonts w:ascii="Times New Roman" w:hAnsi="Times New Roman" w:cs="Times New Roman" w:eastAsia="Times New Roman" w:hint="default"/>
          <w:spacing w:val="-100"/>
        </w:rPr>
      </w:r>
      <w:r>
        <w:rPr>
          <w:rFonts w:ascii="宋体" w:hAnsi="宋体" w:cs="宋体" w:eastAsia="宋体" w:hint="default"/>
          <w:b/>
          <w:bCs/>
          <w:spacing w:val="-3"/>
        </w:rPr>
        <w:t>最令人感动的是，</w:t>
      </w:r>
      <w:r>
        <w:rPr>
          <w:spacing w:val="-3"/>
        </w:rPr>
        <w:t>公司的发展战略得到了来自广大投资者的认可，正是资本市场的宽</w:t>
      </w:r>
      <w:r>
        <w:rPr>
          <w:spacing w:val="-1"/>
        </w:rPr>
        <w:t> </w:t>
      </w:r>
      <w:r>
        <w:rPr/>
        <w:t>容和鼎力支持，公司才有发展所必须的资源以及时间空间。</w:t>
      </w:r>
    </w:p>
    <w:p>
      <w:pPr>
        <w:pStyle w:val="BodyText"/>
        <w:spacing w:line="290" w:lineRule="auto" w:before="76"/>
        <w:ind w:left="1154" w:right="150" w:hanging="420"/>
        <w:jc w:val="left"/>
      </w:pPr>
      <w:r>
        <w:rPr>
          <w:rFonts w:ascii="Wingdings" w:hAnsi="Wingdings" w:cs="Wingdings" w:eastAsia="Wingdings" w:hint="default"/>
        </w:rPr>
        <w:t></w:t>
      </w:r>
      <w:r>
        <w:rPr>
          <w:rFonts w:ascii="Wingdings" w:hAnsi="Wingdings" w:cs="Wingdings" w:eastAsia="Wingdings" w:hint="default"/>
          <w:spacing w:val="-117"/>
        </w:rPr>
        <w:t></w:t>
      </w:r>
      <w:r>
        <w:rPr>
          <w:rFonts w:ascii="Times New Roman" w:hAnsi="Times New Roman" w:cs="Times New Roman" w:eastAsia="Times New Roman" w:hint="default"/>
          <w:spacing w:val="-117"/>
        </w:rPr>
      </w:r>
      <w:r>
        <w:rPr>
          <w:rFonts w:ascii="宋体" w:hAnsi="宋体" w:cs="宋体" w:eastAsia="宋体" w:hint="default"/>
          <w:b/>
          <w:bCs/>
        </w:rPr>
        <w:t>最令人自豪的是，</w:t>
      </w:r>
      <w:r>
        <w:rPr/>
        <w:t>公司通过艰苦努力，取得了多项具有重大商业价值的原创性技术，</w:t>
      </w:r>
      <w:r>
        <w:rPr>
          <w:spacing w:val="-1"/>
        </w:rPr>
        <w:t> </w:t>
      </w:r>
      <w:r>
        <w:rPr/>
        <w:t>均为国内领先，多数属于世界首创，有望对业界形成革命性的影响。</w:t>
      </w:r>
    </w:p>
    <w:p>
      <w:pPr>
        <w:spacing w:line="240" w:lineRule="auto" w:before="0"/>
        <w:rPr>
          <w:rFonts w:ascii="宋体" w:hAnsi="宋体" w:cs="宋体" w:eastAsia="宋体" w:hint="default"/>
          <w:sz w:val="24"/>
          <w:szCs w:val="24"/>
        </w:rPr>
      </w:pPr>
    </w:p>
    <w:p>
      <w:pPr>
        <w:pStyle w:val="BodyText"/>
        <w:spacing w:line="304" w:lineRule="auto" w:before="202"/>
        <w:ind w:left="254" w:right="268" w:firstLine="480"/>
        <w:jc w:val="both"/>
      </w:pPr>
      <w:r>
        <w:rPr/>
        <w:t>展望未来，公司将继续在发展先进材料这条荆棘与荣耀之路上加倍努力，奋勇前行，开</w:t>
      </w:r>
      <w:r>
        <w:rPr>
          <w:spacing w:val="1"/>
        </w:rPr>
        <w:t> </w:t>
      </w:r>
      <w:r>
        <w:rPr/>
        <w:t>发更多的原创性先进技术，特别是要在产业化方面率先崛起，尽快将技术优势转化为实际的</w:t>
      </w:r>
      <w:r>
        <w:rPr>
          <w:spacing w:val="-83"/>
        </w:rPr>
        <w:t> </w:t>
      </w:r>
      <w:r>
        <w:rPr>
          <w:spacing w:val="-83"/>
        </w:rPr>
      </w:r>
      <w:r>
        <w:rPr/>
        <w:t>效益，逐步形成超越经济周期的持续成长能力，回报投资者，回报社会，回报国家。预计从</w:t>
      </w:r>
      <w:r>
        <w:rPr>
          <w:spacing w:val="-83"/>
        </w:rPr>
        <w:t> </w:t>
      </w:r>
      <w:r>
        <w:rPr>
          <w:spacing w:val="-83"/>
        </w:rPr>
      </w:r>
      <w:r>
        <w:rPr>
          <w:rFonts w:ascii="Times New Roman" w:hAnsi="Times New Roman" w:cs="Times New Roman" w:eastAsia="Times New Roman" w:hint="default"/>
        </w:rPr>
        <w:t>2012</w:t>
      </w:r>
      <w:r>
        <w:rPr/>
        <w:t>年起，公司在先进材料产业方面的各个产品线上，将会陆续形成应用和业绩的释放点。</w:t>
      </w:r>
    </w:p>
    <w:p>
      <w:pPr>
        <w:spacing w:line="240" w:lineRule="auto" w:before="10"/>
        <w:rPr>
          <w:rFonts w:ascii="宋体" w:hAnsi="宋体" w:cs="宋体" w:eastAsia="宋体" w:hint="default"/>
          <w:sz w:val="17"/>
          <w:szCs w:val="17"/>
        </w:rPr>
      </w:pPr>
    </w:p>
    <w:p>
      <w:pPr>
        <w:pStyle w:val="BodyText"/>
        <w:spacing w:line="240" w:lineRule="auto"/>
        <w:ind w:left="734" w:right="150"/>
        <w:jc w:val="left"/>
      </w:pPr>
      <w:r>
        <w:rPr/>
        <w:t>公司具体发展规划措施包括：</w:t>
      </w:r>
    </w:p>
    <w:p>
      <w:pPr>
        <w:spacing w:line="240" w:lineRule="auto" w:before="12"/>
        <w:rPr>
          <w:rFonts w:ascii="宋体" w:hAnsi="宋体" w:cs="宋体" w:eastAsia="宋体" w:hint="default"/>
          <w:sz w:val="20"/>
          <w:szCs w:val="20"/>
        </w:rPr>
      </w:pPr>
    </w:p>
    <w:p>
      <w:pPr>
        <w:spacing w:line="309" w:lineRule="auto" w:before="0"/>
        <w:ind w:left="734" w:right="150" w:firstLine="1"/>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）继续强化公司主导产品，确保效益</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重点发展高可靠性电力配网装备，提高产品性价比，加大市场推广力度，扩大应用范围，</w:t>
      </w:r>
    </w:p>
    <w:p>
      <w:pPr>
        <w:pStyle w:val="BodyText"/>
        <w:spacing w:line="240" w:lineRule="auto" w:before="17"/>
        <w:ind w:left="254" w:right="150"/>
        <w:jc w:val="left"/>
      </w:pPr>
      <w:r>
        <w:rPr/>
        <w:t>在电力行业高端市场取得更大发展。</w:t>
      </w:r>
    </w:p>
    <w:p>
      <w:pPr>
        <w:spacing w:line="240" w:lineRule="auto" w:before="9"/>
        <w:rPr>
          <w:rFonts w:ascii="宋体" w:hAnsi="宋体" w:cs="宋体" w:eastAsia="宋体" w:hint="default"/>
          <w:sz w:val="27"/>
          <w:szCs w:val="27"/>
        </w:rPr>
      </w:pPr>
    </w:p>
    <w:p>
      <w:pPr>
        <w:spacing w:before="0"/>
        <w:ind w:left="736" w:right="150"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）进一步加强先进材料方面的特色和优势</w:t>
      </w:r>
      <w:r>
        <w:rPr>
          <w:rFonts w:ascii="宋体" w:hAnsi="宋体" w:cs="宋体" w:eastAsia="宋体" w:hint="default"/>
          <w:sz w:val="24"/>
          <w:szCs w:val="24"/>
        </w:rPr>
      </w:r>
    </w:p>
    <w:p>
      <w:pPr>
        <w:spacing w:line="240" w:lineRule="auto" w:before="5"/>
        <w:rPr>
          <w:rFonts w:ascii="宋体" w:hAnsi="宋体" w:cs="宋体" w:eastAsia="宋体" w:hint="default"/>
          <w:b/>
          <w:bCs/>
          <w:sz w:val="4"/>
          <w:szCs w:val="4"/>
        </w:rPr>
      </w:pPr>
    </w:p>
    <w:tbl>
      <w:tblPr>
        <w:tblW w:w="0" w:type="auto"/>
        <w:jc w:val="left"/>
        <w:tblInd w:w="255" w:type="dxa"/>
        <w:tblLayout w:type="fixed"/>
        <w:tblCellMar>
          <w:top w:w="0" w:type="dxa"/>
          <w:left w:w="0" w:type="dxa"/>
          <w:bottom w:w="0" w:type="dxa"/>
          <w:right w:w="0" w:type="dxa"/>
        </w:tblCellMar>
        <w:tblLook w:val="01E0"/>
      </w:tblPr>
      <w:tblGrid>
        <w:gridCol w:w="910"/>
        <w:gridCol w:w="397"/>
        <w:gridCol w:w="8469"/>
      </w:tblGrid>
      <w:tr>
        <w:trPr>
          <w:trHeight w:val="277" w:hRule="exact"/>
        </w:trPr>
        <w:tc>
          <w:tcPr>
            <w:tcW w:w="910" w:type="dxa"/>
            <w:tcBorders>
              <w:top w:val="single" w:sz="4" w:space="0" w:color="000000"/>
              <w:left w:val="single" w:sz="4" w:space="0" w:color="000000"/>
              <w:bottom w:val="nil" w:sz="6" w:space="0" w:color="auto"/>
              <w:right w:val="single" w:sz="4" w:space="0" w:color="000000"/>
            </w:tcBorders>
            <w:shd w:val="clear" w:color="auto" w:fill="D9D9D9"/>
          </w:tcPr>
          <w:p>
            <w:pPr/>
          </w:p>
        </w:tc>
        <w:tc>
          <w:tcPr>
            <w:tcW w:w="397"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single" w:sz="4" w:space="0" w:color="000000"/>
              <w:left w:val="nil" w:sz="6" w:space="0" w:color="auto"/>
              <w:bottom w:val="nil" w:sz="6" w:space="0" w:color="auto"/>
              <w:right w:val="single" w:sz="4" w:space="0" w:color="000000"/>
            </w:tcBorders>
          </w:tcPr>
          <w:p>
            <w:pPr>
              <w:pStyle w:val="TableParagraph"/>
              <w:spacing w:line="241" w:lineRule="exact"/>
              <w:ind w:left="131" w:right="-2"/>
              <w:jc w:val="left"/>
              <w:rPr>
                <w:rFonts w:ascii="宋体" w:hAnsi="宋体" w:cs="宋体" w:eastAsia="宋体" w:hint="default"/>
                <w:sz w:val="21"/>
                <w:szCs w:val="21"/>
              </w:rPr>
            </w:pPr>
            <w:r>
              <w:rPr>
                <w:rFonts w:ascii="宋体" w:hAnsi="宋体" w:cs="宋体" w:eastAsia="宋体" w:hint="default"/>
                <w:spacing w:val="-2"/>
                <w:sz w:val="21"/>
                <w:szCs w:val="21"/>
              </w:rPr>
              <w:t>以低成本、系列化、高质量为目标，稳定纤维质量、降低纤维生产成本，提高可加工性能，</w:t>
            </w:r>
          </w:p>
        </w:tc>
      </w:tr>
      <w:tr>
        <w:trPr>
          <w:trHeight w:val="272" w:hRule="exact"/>
        </w:trPr>
        <w:tc>
          <w:tcPr>
            <w:tcW w:w="910" w:type="dxa"/>
            <w:tcBorders>
              <w:top w:val="nil" w:sz="6" w:space="0" w:color="auto"/>
              <w:left w:val="single" w:sz="4" w:space="0" w:color="000000"/>
              <w:bottom w:val="nil" w:sz="6" w:space="0" w:color="auto"/>
              <w:right w:val="single" w:sz="4" w:space="0" w:color="000000"/>
            </w:tcBorders>
            <w:shd w:val="clear" w:color="auto" w:fill="D9D9D9"/>
          </w:tcPr>
          <w:p>
            <w:pPr/>
          </w:p>
        </w:tc>
        <w:tc>
          <w:tcPr>
            <w:tcW w:w="397" w:type="dxa"/>
            <w:tcBorders>
              <w:top w:val="nil" w:sz="6" w:space="0" w:color="auto"/>
              <w:left w:val="single" w:sz="4" w:space="0" w:color="000000"/>
              <w:bottom w:val="nil" w:sz="6" w:space="0" w:color="auto"/>
              <w:right w:val="nil" w:sz="6" w:space="0" w:color="auto"/>
            </w:tcBorders>
          </w:tcPr>
          <w:p>
            <w:pPr/>
          </w:p>
        </w:tc>
        <w:tc>
          <w:tcPr>
            <w:tcW w:w="8469" w:type="dxa"/>
            <w:tcBorders>
              <w:top w:val="nil" w:sz="6" w:space="0" w:color="auto"/>
              <w:left w:val="nil" w:sz="6" w:space="0" w:color="auto"/>
              <w:bottom w:val="nil" w:sz="6" w:space="0" w:color="auto"/>
              <w:right w:val="single" w:sz="4" w:space="0" w:color="000000"/>
            </w:tcBorders>
          </w:tcPr>
          <w:p>
            <w:pPr>
              <w:pStyle w:val="TableParagraph"/>
              <w:spacing w:line="241" w:lineRule="exact"/>
              <w:ind w:left="131" w:right="0"/>
              <w:jc w:val="left"/>
              <w:rPr>
                <w:rFonts w:ascii="宋体" w:hAnsi="宋体" w:cs="宋体" w:eastAsia="宋体" w:hint="default"/>
                <w:sz w:val="21"/>
                <w:szCs w:val="21"/>
              </w:rPr>
            </w:pPr>
            <w:r>
              <w:rPr>
                <w:rFonts w:ascii="宋体" w:hAnsi="宋体" w:cs="宋体" w:eastAsia="宋体" w:hint="default"/>
                <w:sz w:val="21"/>
                <w:szCs w:val="21"/>
              </w:rPr>
              <w:t>加速实现聚酰亚胺纤维及其复合材料的产业化。</w:t>
            </w:r>
          </w:p>
        </w:tc>
      </w:tr>
      <w:tr>
        <w:trPr>
          <w:trHeight w:val="267" w:hRule="exact"/>
        </w:trPr>
        <w:tc>
          <w:tcPr>
            <w:tcW w:w="910" w:type="dxa"/>
            <w:tcBorders>
              <w:top w:val="nil" w:sz="6" w:space="0" w:color="auto"/>
              <w:left w:val="single" w:sz="4" w:space="0" w:color="000000"/>
              <w:bottom w:val="nil" w:sz="6" w:space="0" w:color="auto"/>
              <w:right w:val="single" w:sz="4" w:space="0" w:color="000000"/>
            </w:tcBorders>
            <w:shd w:val="clear" w:color="auto" w:fill="D9D9D9"/>
          </w:tcPr>
          <w:p>
            <w:pPr/>
          </w:p>
        </w:tc>
        <w:tc>
          <w:tcPr>
            <w:tcW w:w="397"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nil" w:sz="6" w:space="0" w:color="auto"/>
              <w:left w:val="nil" w:sz="6" w:space="0" w:color="auto"/>
              <w:bottom w:val="nil" w:sz="6" w:space="0" w:color="auto"/>
              <w:right w:val="single" w:sz="4" w:space="0" w:color="000000"/>
            </w:tcBorders>
          </w:tcPr>
          <w:p>
            <w:pPr>
              <w:pStyle w:val="TableParagraph"/>
              <w:spacing w:line="241" w:lineRule="exact"/>
              <w:ind w:left="131" w:right="0"/>
              <w:jc w:val="left"/>
              <w:rPr>
                <w:rFonts w:ascii="宋体" w:hAnsi="宋体" w:cs="宋体" w:eastAsia="宋体" w:hint="default"/>
                <w:sz w:val="21"/>
                <w:szCs w:val="21"/>
              </w:rPr>
            </w:pPr>
            <w:r>
              <w:rPr>
                <w:rFonts w:ascii="宋体" w:hAnsi="宋体" w:cs="宋体" w:eastAsia="宋体" w:hint="default"/>
                <w:sz w:val="21"/>
                <w:szCs w:val="21"/>
              </w:rPr>
              <w:t>提高原辅材料和装备配套能力，实现产业化稳定生产，形成耐热短纤维的千吨级产能。</w:t>
            </w:r>
          </w:p>
        </w:tc>
      </w:tr>
      <w:tr>
        <w:trPr>
          <w:trHeight w:val="283" w:hRule="exact"/>
        </w:trPr>
        <w:tc>
          <w:tcPr>
            <w:tcW w:w="91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5" w:lineRule="exact"/>
              <w:ind w:left="15" w:right="0"/>
              <w:jc w:val="center"/>
              <w:rPr>
                <w:rFonts w:ascii="宋体" w:hAnsi="宋体" w:cs="宋体" w:eastAsia="宋体" w:hint="default"/>
                <w:sz w:val="22"/>
                <w:szCs w:val="22"/>
              </w:rPr>
            </w:pPr>
            <w:r>
              <w:rPr>
                <w:rFonts w:ascii="宋体" w:hAnsi="宋体" w:cs="宋体" w:eastAsia="宋体" w:hint="default"/>
                <w:spacing w:val="16"/>
                <w:sz w:val="22"/>
                <w:szCs w:val="22"/>
              </w:rPr>
              <w:t>聚酰亚</w:t>
            </w:r>
            <w:r>
              <w:rPr>
                <w:rFonts w:ascii="宋体" w:hAnsi="宋体" w:cs="宋体" w:eastAsia="宋体" w:hint="default"/>
                <w:sz w:val="22"/>
                <w:szCs w:val="22"/>
              </w:rPr>
            </w:r>
          </w:p>
        </w:tc>
        <w:tc>
          <w:tcPr>
            <w:tcW w:w="397"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nil" w:sz="6" w:space="0" w:color="auto"/>
              <w:left w:val="nil" w:sz="6" w:space="0" w:color="auto"/>
              <w:bottom w:val="nil" w:sz="6" w:space="0" w:color="auto"/>
              <w:right w:val="single" w:sz="4" w:space="0" w:color="000000"/>
            </w:tcBorders>
          </w:tcPr>
          <w:p>
            <w:pPr>
              <w:pStyle w:val="TableParagraph"/>
              <w:spacing w:line="262" w:lineRule="exact"/>
              <w:ind w:left="131" w:right="0"/>
              <w:jc w:val="left"/>
              <w:rPr>
                <w:rFonts w:ascii="宋体" w:hAnsi="宋体" w:cs="宋体" w:eastAsia="宋体" w:hint="default"/>
                <w:sz w:val="21"/>
                <w:szCs w:val="21"/>
              </w:rPr>
            </w:pPr>
            <w:r>
              <w:rPr>
                <w:rFonts w:ascii="宋体" w:hAnsi="宋体" w:cs="宋体" w:eastAsia="宋体" w:hint="default"/>
                <w:sz w:val="21"/>
                <w:szCs w:val="21"/>
              </w:rPr>
              <w:t>聚酰亚胺长丝实现</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吨年产能，陆续批量供货，扩大规模。</w:t>
            </w:r>
          </w:p>
        </w:tc>
      </w:tr>
      <w:tr>
        <w:trPr>
          <w:trHeight w:val="273" w:hRule="exact"/>
        </w:trPr>
        <w:tc>
          <w:tcPr>
            <w:tcW w:w="91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8" w:lineRule="exact"/>
              <w:ind w:right="32"/>
              <w:jc w:val="center"/>
              <w:rPr>
                <w:rFonts w:ascii="宋体" w:hAnsi="宋体" w:cs="宋体" w:eastAsia="宋体" w:hint="default"/>
                <w:sz w:val="22"/>
                <w:szCs w:val="22"/>
              </w:rPr>
            </w:pPr>
            <w:r>
              <w:rPr>
                <w:rFonts w:ascii="宋体" w:hAnsi="宋体" w:cs="宋体" w:eastAsia="宋体" w:hint="default"/>
                <w:sz w:val="22"/>
                <w:szCs w:val="22"/>
              </w:rPr>
              <w:t>胺纤维</w:t>
            </w:r>
          </w:p>
        </w:tc>
        <w:tc>
          <w:tcPr>
            <w:tcW w:w="397"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nil" w:sz="6" w:space="0" w:color="auto"/>
              <w:left w:val="nil" w:sz="6" w:space="0" w:color="auto"/>
              <w:bottom w:val="nil" w:sz="6" w:space="0" w:color="auto"/>
              <w:right w:val="single" w:sz="4" w:space="0" w:color="000000"/>
            </w:tcBorders>
          </w:tcPr>
          <w:p>
            <w:pPr>
              <w:pStyle w:val="TableParagraph"/>
              <w:spacing w:line="251" w:lineRule="exact"/>
              <w:ind w:left="131" w:right="0"/>
              <w:jc w:val="left"/>
              <w:rPr>
                <w:rFonts w:ascii="宋体" w:hAnsi="宋体" w:cs="宋体" w:eastAsia="宋体" w:hint="default"/>
                <w:sz w:val="21"/>
                <w:szCs w:val="21"/>
              </w:rPr>
            </w:pPr>
            <w:r>
              <w:rPr>
                <w:rFonts w:ascii="宋体" w:hAnsi="宋体" w:cs="宋体" w:eastAsia="宋体" w:hint="default"/>
                <w:sz w:val="21"/>
                <w:szCs w:val="21"/>
              </w:rPr>
              <w:t>加快高强高模聚酰亚胺纤维基础研发进程，下半年投入中试生产，形成</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吨年产能。</w:t>
            </w:r>
          </w:p>
        </w:tc>
      </w:tr>
      <w:tr>
        <w:trPr>
          <w:trHeight w:val="266" w:hRule="exact"/>
        </w:trPr>
        <w:tc>
          <w:tcPr>
            <w:tcW w:w="910" w:type="dxa"/>
            <w:tcBorders>
              <w:top w:val="nil" w:sz="6" w:space="0" w:color="auto"/>
              <w:left w:val="single" w:sz="4" w:space="0" w:color="000000"/>
              <w:bottom w:val="nil" w:sz="6" w:space="0" w:color="auto"/>
              <w:right w:val="single" w:sz="4" w:space="0" w:color="000000"/>
            </w:tcBorders>
            <w:shd w:val="clear" w:color="auto" w:fill="D9D9D9"/>
          </w:tcPr>
          <w:p>
            <w:pPr/>
          </w:p>
        </w:tc>
        <w:tc>
          <w:tcPr>
            <w:tcW w:w="397"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nil" w:sz="6" w:space="0" w:color="auto"/>
              <w:left w:val="nil" w:sz="6" w:space="0" w:color="auto"/>
              <w:bottom w:val="nil" w:sz="6" w:space="0" w:color="auto"/>
              <w:right w:val="single" w:sz="4" w:space="0" w:color="000000"/>
            </w:tcBorders>
          </w:tcPr>
          <w:p>
            <w:pPr>
              <w:pStyle w:val="TableParagraph"/>
              <w:spacing w:line="235" w:lineRule="exact"/>
              <w:ind w:left="131" w:right="0"/>
              <w:jc w:val="left"/>
              <w:rPr>
                <w:rFonts w:ascii="宋体" w:hAnsi="宋体" w:cs="宋体" w:eastAsia="宋体" w:hint="default"/>
                <w:sz w:val="21"/>
                <w:szCs w:val="21"/>
              </w:rPr>
            </w:pPr>
            <w:r>
              <w:rPr>
                <w:rFonts w:ascii="宋体" w:hAnsi="宋体" w:cs="宋体" w:eastAsia="宋体" w:hint="default"/>
                <w:sz w:val="21"/>
                <w:szCs w:val="21"/>
              </w:rPr>
              <w:t>聚酰亚胺纸在上半年进入中试生产。</w:t>
            </w:r>
          </w:p>
        </w:tc>
      </w:tr>
      <w:tr>
        <w:trPr>
          <w:trHeight w:val="272" w:hRule="exact"/>
        </w:trPr>
        <w:tc>
          <w:tcPr>
            <w:tcW w:w="910" w:type="dxa"/>
            <w:tcBorders>
              <w:top w:val="nil" w:sz="6" w:space="0" w:color="auto"/>
              <w:left w:val="single" w:sz="4" w:space="0" w:color="000000"/>
              <w:bottom w:val="nil" w:sz="6" w:space="0" w:color="auto"/>
              <w:right w:val="single" w:sz="4" w:space="0" w:color="000000"/>
            </w:tcBorders>
            <w:shd w:val="clear" w:color="auto" w:fill="D9D9D9"/>
          </w:tcPr>
          <w:p>
            <w:pPr/>
          </w:p>
        </w:tc>
        <w:tc>
          <w:tcPr>
            <w:tcW w:w="397"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nil" w:sz="6" w:space="0" w:color="auto"/>
              <w:left w:val="nil" w:sz="6" w:space="0" w:color="auto"/>
              <w:bottom w:val="nil" w:sz="6" w:space="0" w:color="auto"/>
              <w:right w:val="single" w:sz="4" w:space="0" w:color="000000"/>
            </w:tcBorders>
          </w:tcPr>
          <w:p>
            <w:pPr>
              <w:pStyle w:val="TableParagraph"/>
              <w:spacing w:line="240" w:lineRule="exact"/>
              <w:ind w:left="131" w:right="0"/>
              <w:jc w:val="left"/>
              <w:rPr>
                <w:rFonts w:ascii="宋体" w:hAnsi="宋体" w:cs="宋体" w:eastAsia="宋体" w:hint="default"/>
                <w:sz w:val="21"/>
                <w:szCs w:val="21"/>
              </w:rPr>
            </w:pPr>
            <w:r>
              <w:rPr>
                <w:rFonts w:ascii="宋体" w:hAnsi="宋体" w:cs="宋体" w:eastAsia="宋体" w:hint="default"/>
                <w:sz w:val="21"/>
                <w:szCs w:val="21"/>
              </w:rPr>
              <w:t>聚酰亚胺基活性炭纤维下半年进入中试生产。</w:t>
            </w:r>
          </w:p>
        </w:tc>
      </w:tr>
      <w:tr>
        <w:trPr>
          <w:trHeight w:val="278" w:hRule="exact"/>
        </w:trPr>
        <w:tc>
          <w:tcPr>
            <w:tcW w:w="910" w:type="dxa"/>
            <w:tcBorders>
              <w:top w:val="nil" w:sz="6" w:space="0" w:color="auto"/>
              <w:left w:val="single" w:sz="4" w:space="0" w:color="000000"/>
              <w:bottom w:val="single" w:sz="4" w:space="0" w:color="000000"/>
              <w:right w:val="single" w:sz="4" w:space="0" w:color="000000"/>
            </w:tcBorders>
            <w:shd w:val="clear" w:color="auto" w:fill="D9D9D9"/>
          </w:tcPr>
          <w:p>
            <w:pPr/>
          </w:p>
        </w:tc>
        <w:tc>
          <w:tcPr>
            <w:tcW w:w="397"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nil" w:sz="6" w:space="0" w:color="auto"/>
              <w:left w:val="nil" w:sz="6" w:space="0" w:color="auto"/>
              <w:bottom w:val="single" w:sz="4" w:space="0" w:color="000000"/>
              <w:right w:val="single" w:sz="4" w:space="0" w:color="000000"/>
            </w:tcBorders>
          </w:tcPr>
          <w:p>
            <w:pPr>
              <w:pStyle w:val="TableParagraph"/>
              <w:spacing w:line="257" w:lineRule="exact"/>
              <w:ind w:left="131" w:right="0"/>
              <w:jc w:val="left"/>
              <w:rPr>
                <w:rFonts w:ascii="宋体" w:hAnsi="宋体" w:cs="宋体" w:eastAsia="宋体" w:hint="default"/>
                <w:sz w:val="21"/>
                <w:szCs w:val="21"/>
              </w:rPr>
            </w:pPr>
            <w:r>
              <w:rPr>
                <w:rFonts w:ascii="宋体" w:hAnsi="宋体" w:cs="宋体" w:eastAsia="宋体" w:hint="default"/>
                <w:sz w:val="21"/>
                <w:szCs w:val="21"/>
              </w:rPr>
              <w:t>强化下游应用开发与产业化，在未来三年内，释放消化全部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吨年产能。</w:t>
            </w:r>
          </w:p>
        </w:tc>
      </w:tr>
      <w:tr>
        <w:trPr>
          <w:trHeight w:val="277" w:hRule="exact"/>
        </w:trPr>
        <w:tc>
          <w:tcPr>
            <w:tcW w:w="910" w:type="dxa"/>
            <w:tcBorders>
              <w:top w:val="single" w:sz="4" w:space="0" w:color="000000"/>
              <w:left w:val="single" w:sz="4" w:space="0" w:color="000000"/>
              <w:bottom w:val="nil" w:sz="6" w:space="0" w:color="auto"/>
              <w:right w:val="single" w:sz="4" w:space="0" w:color="000000"/>
            </w:tcBorders>
            <w:shd w:val="clear" w:color="auto" w:fill="D9D9D9"/>
          </w:tcPr>
          <w:p>
            <w:pPr/>
          </w:p>
        </w:tc>
        <w:tc>
          <w:tcPr>
            <w:tcW w:w="397"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single" w:sz="4" w:space="0" w:color="000000"/>
              <w:left w:val="nil" w:sz="6" w:space="0" w:color="auto"/>
              <w:bottom w:val="nil" w:sz="6" w:space="0" w:color="auto"/>
              <w:right w:val="single" w:sz="4" w:space="0" w:color="000000"/>
            </w:tcBorders>
          </w:tcPr>
          <w:p>
            <w:pPr>
              <w:pStyle w:val="TableParagraph"/>
              <w:spacing w:line="241" w:lineRule="exact"/>
              <w:ind w:left="131" w:right="0"/>
              <w:jc w:val="left"/>
              <w:rPr>
                <w:rFonts w:ascii="宋体" w:hAnsi="宋体" w:cs="宋体" w:eastAsia="宋体" w:hint="default"/>
                <w:sz w:val="21"/>
                <w:szCs w:val="21"/>
              </w:rPr>
            </w:pPr>
            <w:r>
              <w:rPr>
                <w:rFonts w:ascii="宋体" w:hAnsi="宋体" w:cs="宋体" w:eastAsia="宋体" w:hint="default"/>
                <w:sz w:val="21"/>
                <w:szCs w:val="21"/>
              </w:rPr>
              <w:t>生产线上半年联动试车，以连续运转考验设备和工艺条件，积累数据，为万吨级生产线做</w:t>
            </w:r>
          </w:p>
        </w:tc>
      </w:tr>
      <w:tr>
        <w:trPr>
          <w:trHeight w:val="267" w:hRule="exact"/>
        </w:trPr>
        <w:tc>
          <w:tcPr>
            <w:tcW w:w="910" w:type="dxa"/>
            <w:tcBorders>
              <w:top w:val="nil" w:sz="6" w:space="0" w:color="auto"/>
              <w:left w:val="single" w:sz="4" w:space="0" w:color="000000"/>
              <w:bottom w:val="nil" w:sz="6" w:space="0" w:color="auto"/>
              <w:right w:val="single" w:sz="4" w:space="0" w:color="000000"/>
            </w:tcBorders>
            <w:shd w:val="clear" w:color="auto" w:fill="D9D9D9"/>
          </w:tcPr>
          <w:p>
            <w:pPr/>
          </w:p>
        </w:tc>
        <w:tc>
          <w:tcPr>
            <w:tcW w:w="397" w:type="dxa"/>
            <w:tcBorders>
              <w:top w:val="nil" w:sz="6" w:space="0" w:color="auto"/>
              <w:left w:val="single" w:sz="4" w:space="0" w:color="000000"/>
              <w:bottom w:val="nil" w:sz="6" w:space="0" w:color="auto"/>
              <w:right w:val="nil" w:sz="6" w:space="0" w:color="auto"/>
            </w:tcBorders>
          </w:tcPr>
          <w:p>
            <w:pPr/>
          </w:p>
        </w:tc>
        <w:tc>
          <w:tcPr>
            <w:tcW w:w="8469" w:type="dxa"/>
            <w:tcBorders>
              <w:top w:val="nil" w:sz="6" w:space="0" w:color="auto"/>
              <w:left w:val="nil" w:sz="6" w:space="0" w:color="auto"/>
              <w:bottom w:val="nil" w:sz="6" w:space="0" w:color="auto"/>
              <w:right w:val="single" w:sz="4" w:space="0" w:color="000000"/>
            </w:tcBorders>
          </w:tcPr>
          <w:p>
            <w:pPr>
              <w:pStyle w:val="TableParagraph"/>
              <w:spacing w:line="241" w:lineRule="exact"/>
              <w:ind w:left="131" w:right="0"/>
              <w:jc w:val="left"/>
              <w:rPr>
                <w:rFonts w:ascii="宋体" w:hAnsi="宋体" w:cs="宋体" w:eastAsia="宋体" w:hint="default"/>
                <w:sz w:val="21"/>
                <w:szCs w:val="21"/>
              </w:rPr>
            </w:pPr>
            <w:r>
              <w:rPr>
                <w:rFonts w:ascii="宋体" w:hAnsi="宋体" w:cs="宋体" w:eastAsia="宋体" w:hint="default"/>
                <w:sz w:val="21"/>
                <w:szCs w:val="21"/>
              </w:rPr>
              <w:t>好准备。</w:t>
            </w:r>
          </w:p>
        </w:tc>
      </w:tr>
      <w:tr>
        <w:trPr>
          <w:trHeight w:val="283" w:hRule="exact"/>
        </w:trPr>
        <w:tc>
          <w:tcPr>
            <w:tcW w:w="91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6" w:lineRule="exact"/>
              <w:ind w:left="15" w:right="0"/>
              <w:jc w:val="center"/>
              <w:rPr>
                <w:rFonts w:ascii="宋体" w:hAnsi="宋体" w:cs="宋体" w:eastAsia="宋体" w:hint="default"/>
                <w:sz w:val="22"/>
                <w:szCs w:val="22"/>
              </w:rPr>
            </w:pPr>
            <w:r>
              <w:rPr>
                <w:rFonts w:ascii="宋体" w:hAnsi="宋体" w:cs="宋体" w:eastAsia="宋体" w:hint="default"/>
                <w:spacing w:val="16"/>
                <w:sz w:val="22"/>
                <w:szCs w:val="22"/>
              </w:rPr>
              <w:t>聚酰亚</w:t>
            </w:r>
            <w:r>
              <w:rPr>
                <w:rFonts w:ascii="宋体" w:hAnsi="宋体" w:cs="宋体" w:eastAsia="宋体" w:hint="default"/>
                <w:sz w:val="22"/>
                <w:szCs w:val="22"/>
              </w:rPr>
            </w:r>
          </w:p>
        </w:tc>
        <w:tc>
          <w:tcPr>
            <w:tcW w:w="397"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nil" w:sz="6" w:space="0" w:color="auto"/>
              <w:left w:val="nil" w:sz="6" w:space="0" w:color="auto"/>
              <w:bottom w:val="nil" w:sz="6" w:space="0" w:color="auto"/>
              <w:right w:val="single" w:sz="4" w:space="0" w:color="000000"/>
            </w:tcBorders>
          </w:tcPr>
          <w:p>
            <w:pPr>
              <w:pStyle w:val="TableParagraph"/>
              <w:spacing w:line="262" w:lineRule="exact"/>
              <w:ind w:left="131" w:right="0"/>
              <w:jc w:val="left"/>
              <w:rPr>
                <w:rFonts w:ascii="宋体" w:hAnsi="宋体" w:cs="宋体" w:eastAsia="宋体" w:hint="default"/>
                <w:sz w:val="21"/>
                <w:szCs w:val="21"/>
              </w:rPr>
            </w:pPr>
            <w:r>
              <w:rPr>
                <w:rFonts w:ascii="宋体" w:hAnsi="宋体" w:cs="宋体" w:eastAsia="宋体" w:hint="default"/>
                <w:sz w:val="21"/>
                <w:szCs w:val="21"/>
              </w:rPr>
              <w:t>计划年产</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吨氯代苯酐，提高原料自给率，同时进行市场开拓。</w:t>
            </w:r>
          </w:p>
        </w:tc>
      </w:tr>
      <w:tr>
        <w:trPr>
          <w:trHeight w:val="273" w:hRule="exact"/>
        </w:trPr>
        <w:tc>
          <w:tcPr>
            <w:tcW w:w="91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8" w:lineRule="exact"/>
              <w:ind w:right="32"/>
              <w:jc w:val="center"/>
              <w:rPr>
                <w:rFonts w:ascii="宋体" w:hAnsi="宋体" w:cs="宋体" w:eastAsia="宋体" w:hint="default"/>
                <w:sz w:val="22"/>
                <w:szCs w:val="22"/>
              </w:rPr>
            </w:pPr>
            <w:r>
              <w:rPr>
                <w:rFonts w:ascii="宋体" w:hAnsi="宋体" w:cs="宋体" w:eastAsia="宋体" w:hint="default"/>
                <w:sz w:val="22"/>
                <w:szCs w:val="22"/>
              </w:rPr>
              <w:t>胺树脂</w:t>
            </w:r>
          </w:p>
        </w:tc>
        <w:tc>
          <w:tcPr>
            <w:tcW w:w="397"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nil" w:sz="6" w:space="0" w:color="auto"/>
              <w:left w:val="nil" w:sz="6" w:space="0" w:color="auto"/>
              <w:bottom w:val="nil" w:sz="6" w:space="0" w:color="auto"/>
              <w:right w:val="single" w:sz="4" w:space="0" w:color="000000"/>
            </w:tcBorders>
          </w:tcPr>
          <w:p>
            <w:pPr>
              <w:pStyle w:val="TableParagraph"/>
              <w:spacing w:line="251" w:lineRule="exact"/>
              <w:ind w:left="131" w:right="0"/>
              <w:jc w:val="left"/>
              <w:rPr>
                <w:rFonts w:ascii="宋体" w:hAnsi="宋体" w:cs="宋体" w:eastAsia="宋体" w:hint="default"/>
                <w:sz w:val="21"/>
                <w:szCs w:val="21"/>
              </w:rPr>
            </w:pPr>
            <w:r>
              <w:rPr>
                <w:rFonts w:ascii="宋体" w:hAnsi="宋体" w:cs="宋体" w:eastAsia="宋体" w:hint="default"/>
                <w:sz w:val="21"/>
                <w:szCs w:val="21"/>
              </w:rPr>
              <w:t>开发出若干类二酐和树脂牌号并稳定生产，计划年产二酐</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70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吨，各种树脂</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吨，包括可</w:t>
            </w:r>
          </w:p>
        </w:tc>
      </w:tr>
      <w:tr>
        <w:trPr>
          <w:trHeight w:val="271" w:hRule="exact"/>
        </w:trPr>
        <w:tc>
          <w:tcPr>
            <w:tcW w:w="910" w:type="dxa"/>
            <w:tcBorders>
              <w:top w:val="nil" w:sz="6" w:space="0" w:color="auto"/>
              <w:left w:val="single" w:sz="4" w:space="0" w:color="000000"/>
              <w:bottom w:val="nil" w:sz="6" w:space="0" w:color="auto"/>
              <w:right w:val="single" w:sz="4" w:space="0" w:color="000000"/>
            </w:tcBorders>
            <w:shd w:val="clear" w:color="auto" w:fill="D9D9D9"/>
          </w:tcPr>
          <w:p>
            <w:pPr/>
          </w:p>
        </w:tc>
        <w:tc>
          <w:tcPr>
            <w:tcW w:w="397" w:type="dxa"/>
            <w:tcBorders>
              <w:top w:val="nil" w:sz="6" w:space="0" w:color="auto"/>
              <w:left w:val="single" w:sz="4" w:space="0" w:color="000000"/>
              <w:bottom w:val="nil" w:sz="6" w:space="0" w:color="auto"/>
              <w:right w:val="nil" w:sz="6" w:space="0" w:color="auto"/>
            </w:tcBorders>
          </w:tcPr>
          <w:p>
            <w:pPr/>
          </w:p>
        </w:tc>
        <w:tc>
          <w:tcPr>
            <w:tcW w:w="8469" w:type="dxa"/>
            <w:tcBorders>
              <w:top w:val="nil" w:sz="6" w:space="0" w:color="auto"/>
              <w:left w:val="nil" w:sz="6" w:space="0" w:color="auto"/>
              <w:bottom w:val="nil" w:sz="6" w:space="0" w:color="auto"/>
              <w:right w:val="single" w:sz="4" w:space="0" w:color="000000"/>
            </w:tcBorders>
          </w:tcPr>
          <w:p>
            <w:pPr>
              <w:pStyle w:val="TableParagraph"/>
              <w:spacing w:line="251" w:lineRule="exact"/>
              <w:ind w:left="131" w:right="0"/>
              <w:jc w:val="left"/>
              <w:rPr>
                <w:rFonts w:ascii="宋体" w:hAnsi="宋体" w:cs="宋体" w:eastAsia="宋体" w:hint="default"/>
                <w:sz w:val="21"/>
                <w:szCs w:val="21"/>
              </w:rPr>
            </w:pPr>
            <w:r>
              <w:rPr>
                <w:rFonts w:ascii="宋体" w:hAnsi="宋体" w:cs="宋体" w:eastAsia="宋体" w:hint="default"/>
                <w:sz w:val="21"/>
                <w:szCs w:val="21"/>
              </w:rPr>
              <w:t>注射成型的树脂</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吨，并优化加工工艺、降低成本，推出具有自主特色的树脂品种。</w:t>
            </w:r>
          </w:p>
        </w:tc>
      </w:tr>
      <w:tr>
        <w:trPr>
          <w:trHeight w:val="273" w:hRule="exact"/>
        </w:trPr>
        <w:tc>
          <w:tcPr>
            <w:tcW w:w="910" w:type="dxa"/>
            <w:tcBorders>
              <w:top w:val="nil" w:sz="6" w:space="0" w:color="auto"/>
              <w:left w:val="single" w:sz="4" w:space="0" w:color="000000"/>
              <w:bottom w:val="single" w:sz="4" w:space="0" w:color="000000"/>
              <w:right w:val="single" w:sz="4" w:space="0" w:color="000000"/>
            </w:tcBorders>
            <w:shd w:val="clear" w:color="auto" w:fill="D9D9D9"/>
          </w:tcPr>
          <w:p>
            <w:pPr/>
          </w:p>
        </w:tc>
        <w:tc>
          <w:tcPr>
            <w:tcW w:w="397" w:type="dxa"/>
            <w:tcBorders>
              <w:top w:val="nil" w:sz="6" w:space="0" w:color="auto"/>
              <w:left w:val="single" w:sz="4" w:space="0" w:color="000000"/>
              <w:bottom w:val="single" w:sz="4" w:space="0" w:color="000000"/>
              <w:right w:val="nil" w:sz="6" w:space="0" w:color="auto"/>
            </w:tcBorders>
          </w:tcPr>
          <w:p>
            <w:pPr>
              <w:pStyle w:val="TableParagraph"/>
              <w:spacing w:line="240" w:lineRule="auto" w:before="61"/>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nil" w:sz="6" w:space="0" w:color="auto"/>
              <w:left w:val="nil" w:sz="6" w:space="0" w:color="auto"/>
              <w:bottom w:val="single" w:sz="4" w:space="0" w:color="000000"/>
              <w:right w:val="single" w:sz="4" w:space="0" w:color="000000"/>
            </w:tcBorders>
          </w:tcPr>
          <w:p>
            <w:pPr>
              <w:pStyle w:val="TableParagraph"/>
              <w:spacing w:line="235" w:lineRule="exact"/>
              <w:ind w:left="131" w:right="0"/>
              <w:jc w:val="left"/>
              <w:rPr>
                <w:rFonts w:ascii="宋体" w:hAnsi="宋体" w:cs="宋体" w:eastAsia="宋体" w:hint="default"/>
                <w:sz w:val="21"/>
                <w:szCs w:val="21"/>
              </w:rPr>
            </w:pPr>
            <w:r>
              <w:rPr>
                <w:rFonts w:ascii="宋体" w:hAnsi="宋体" w:cs="宋体" w:eastAsia="宋体" w:hint="default"/>
                <w:sz w:val="21"/>
                <w:szCs w:val="21"/>
              </w:rPr>
              <w:t>积极开发新产品或高端牌号。</w:t>
            </w:r>
          </w:p>
        </w:tc>
      </w:tr>
      <w:tr>
        <w:trPr>
          <w:trHeight w:val="272" w:hRule="exact"/>
        </w:trPr>
        <w:tc>
          <w:tcPr>
            <w:tcW w:w="910" w:type="dxa"/>
            <w:tcBorders>
              <w:top w:val="single" w:sz="4" w:space="0" w:color="000000"/>
              <w:left w:val="single" w:sz="4" w:space="0" w:color="000000"/>
              <w:bottom w:val="nil" w:sz="6" w:space="0" w:color="auto"/>
              <w:right w:val="single" w:sz="4" w:space="0" w:color="000000"/>
            </w:tcBorders>
            <w:shd w:val="clear" w:color="auto" w:fill="D9D9D9"/>
          </w:tcPr>
          <w:p>
            <w:pPr/>
          </w:p>
        </w:tc>
        <w:tc>
          <w:tcPr>
            <w:tcW w:w="397"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single" w:sz="4" w:space="0" w:color="000000"/>
              <w:left w:val="nil" w:sz="6" w:space="0" w:color="auto"/>
              <w:bottom w:val="nil" w:sz="6" w:space="0" w:color="auto"/>
              <w:right w:val="single" w:sz="4" w:space="0" w:color="000000"/>
            </w:tcBorders>
          </w:tcPr>
          <w:p>
            <w:pPr>
              <w:pStyle w:val="TableParagraph"/>
              <w:spacing w:line="241" w:lineRule="exact"/>
              <w:ind w:left="131" w:right="0"/>
              <w:jc w:val="left"/>
              <w:rPr>
                <w:rFonts w:ascii="宋体" w:hAnsi="宋体" w:cs="宋体" w:eastAsia="宋体" w:hint="default"/>
                <w:sz w:val="21"/>
                <w:szCs w:val="21"/>
              </w:rPr>
            </w:pPr>
            <w:r>
              <w:rPr>
                <w:rFonts w:ascii="宋体" w:hAnsi="宋体" w:cs="宋体" w:eastAsia="宋体" w:hint="default"/>
                <w:sz w:val="21"/>
                <w:szCs w:val="21"/>
              </w:rPr>
              <w:t>大力发展防火隔音泡沫材料等品种。</w:t>
            </w:r>
          </w:p>
        </w:tc>
      </w:tr>
      <w:tr>
        <w:trPr>
          <w:trHeight w:val="278" w:hRule="exact"/>
        </w:trPr>
        <w:tc>
          <w:tcPr>
            <w:tcW w:w="91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5" w:lineRule="exact"/>
              <w:ind w:left="15" w:right="0"/>
              <w:jc w:val="center"/>
              <w:rPr>
                <w:rFonts w:ascii="宋体" w:hAnsi="宋体" w:cs="宋体" w:eastAsia="宋体" w:hint="default"/>
                <w:sz w:val="22"/>
                <w:szCs w:val="22"/>
              </w:rPr>
            </w:pPr>
            <w:r>
              <w:rPr>
                <w:rFonts w:ascii="宋体" w:hAnsi="宋体" w:cs="宋体" w:eastAsia="宋体" w:hint="default"/>
                <w:spacing w:val="16"/>
                <w:sz w:val="22"/>
                <w:szCs w:val="22"/>
              </w:rPr>
              <w:t>聚酰亚</w:t>
            </w:r>
            <w:r>
              <w:rPr>
                <w:rFonts w:ascii="宋体" w:hAnsi="宋体" w:cs="宋体" w:eastAsia="宋体" w:hint="default"/>
                <w:sz w:val="22"/>
                <w:szCs w:val="22"/>
              </w:rPr>
            </w:r>
          </w:p>
        </w:tc>
        <w:tc>
          <w:tcPr>
            <w:tcW w:w="397"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nil" w:sz="6" w:space="0" w:color="auto"/>
              <w:left w:val="nil" w:sz="6" w:space="0" w:color="auto"/>
              <w:bottom w:val="nil" w:sz="6" w:space="0" w:color="auto"/>
              <w:right w:val="single" w:sz="4" w:space="0" w:color="000000"/>
            </w:tcBorders>
          </w:tcPr>
          <w:p>
            <w:pPr>
              <w:pStyle w:val="TableParagraph"/>
              <w:spacing w:line="246" w:lineRule="exact"/>
              <w:ind w:left="131" w:right="0"/>
              <w:jc w:val="left"/>
              <w:rPr>
                <w:rFonts w:ascii="宋体" w:hAnsi="宋体" w:cs="宋体" w:eastAsia="宋体" w:hint="default"/>
                <w:sz w:val="21"/>
                <w:szCs w:val="21"/>
              </w:rPr>
            </w:pPr>
            <w:r>
              <w:rPr>
                <w:rFonts w:ascii="宋体" w:hAnsi="宋体" w:cs="宋体" w:eastAsia="宋体" w:hint="default"/>
                <w:sz w:val="21"/>
                <w:szCs w:val="21"/>
              </w:rPr>
              <w:t>优化资源配置，将生产线搬迁到吉林产业园区，提高协作效率。</w:t>
            </w:r>
          </w:p>
        </w:tc>
      </w:tr>
      <w:tr>
        <w:trPr>
          <w:trHeight w:val="278" w:hRule="exact"/>
        </w:trPr>
        <w:tc>
          <w:tcPr>
            <w:tcW w:w="91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53" w:lineRule="exact"/>
              <w:ind w:right="32"/>
              <w:jc w:val="center"/>
              <w:rPr>
                <w:rFonts w:ascii="宋体" w:hAnsi="宋体" w:cs="宋体" w:eastAsia="宋体" w:hint="default"/>
                <w:sz w:val="22"/>
                <w:szCs w:val="22"/>
              </w:rPr>
            </w:pPr>
            <w:r>
              <w:rPr>
                <w:rFonts w:ascii="宋体" w:hAnsi="宋体" w:cs="宋体" w:eastAsia="宋体" w:hint="default"/>
                <w:sz w:val="22"/>
                <w:szCs w:val="22"/>
              </w:rPr>
              <w:t>胺泡沫</w:t>
            </w:r>
          </w:p>
        </w:tc>
        <w:tc>
          <w:tcPr>
            <w:tcW w:w="397"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nil" w:sz="6" w:space="0" w:color="auto"/>
              <w:left w:val="nil" w:sz="6" w:space="0" w:color="auto"/>
              <w:bottom w:val="nil" w:sz="6" w:space="0" w:color="auto"/>
              <w:right w:val="single" w:sz="4" w:space="0" w:color="000000"/>
            </w:tcBorders>
          </w:tcPr>
          <w:p>
            <w:pPr>
              <w:pStyle w:val="TableParagraph"/>
              <w:spacing w:line="241" w:lineRule="exact"/>
              <w:ind w:left="131" w:right="0"/>
              <w:jc w:val="left"/>
              <w:rPr>
                <w:rFonts w:ascii="宋体" w:hAnsi="宋体" w:cs="宋体" w:eastAsia="宋体" w:hint="default"/>
                <w:sz w:val="21"/>
                <w:szCs w:val="21"/>
              </w:rPr>
            </w:pPr>
            <w:r>
              <w:rPr>
                <w:rFonts w:ascii="宋体" w:hAnsi="宋体" w:cs="宋体" w:eastAsia="宋体" w:hint="default"/>
                <w:sz w:val="21"/>
                <w:szCs w:val="21"/>
              </w:rPr>
              <w:t>与公司开发的聚酰亚胺绝缘纸结合，拓展在蜂巢结构等轻质结构性发泡材料方面的应用。</w:t>
            </w:r>
          </w:p>
        </w:tc>
      </w:tr>
      <w:tr>
        <w:trPr>
          <w:trHeight w:val="273" w:hRule="exact"/>
        </w:trPr>
        <w:tc>
          <w:tcPr>
            <w:tcW w:w="910" w:type="dxa"/>
            <w:tcBorders>
              <w:top w:val="nil" w:sz="6" w:space="0" w:color="auto"/>
              <w:left w:val="single" w:sz="4" w:space="0" w:color="000000"/>
              <w:bottom w:val="single" w:sz="4" w:space="0" w:color="000000"/>
              <w:right w:val="single" w:sz="4" w:space="0" w:color="000000"/>
            </w:tcBorders>
            <w:shd w:val="clear" w:color="auto" w:fill="D9D9D9"/>
          </w:tcPr>
          <w:p>
            <w:pPr/>
          </w:p>
        </w:tc>
        <w:tc>
          <w:tcPr>
            <w:tcW w:w="397" w:type="dxa"/>
            <w:tcBorders>
              <w:top w:val="nil" w:sz="6" w:space="0" w:color="auto"/>
              <w:left w:val="single" w:sz="4" w:space="0" w:color="000000"/>
              <w:bottom w:val="single" w:sz="4" w:space="0" w:color="000000"/>
              <w:right w:val="nil" w:sz="6" w:space="0" w:color="auto"/>
            </w:tcBorders>
          </w:tcPr>
          <w:p>
            <w:pPr>
              <w:pStyle w:val="TableParagraph"/>
              <w:spacing w:line="240" w:lineRule="auto" w:before="61"/>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nil" w:sz="6" w:space="0" w:color="auto"/>
              <w:left w:val="nil" w:sz="6" w:space="0" w:color="auto"/>
              <w:bottom w:val="single" w:sz="4" w:space="0" w:color="000000"/>
              <w:right w:val="single" w:sz="4" w:space="0" w:color="000000"/>
            </w:tcBorders>
          </w:tcPr>
          <w:p>
            <w:pPr>
              <w:pStyle w:val="TableParagraph"/>
              <w:spacing w:line="235" w:lineRule="exact"/>
              <w:ind w:left="131" w:right="0"/>
              <w:jc w:val="left"/>
              <w:rPr>
                <w:rFonts w:ascii="宋体" w:hAnsi="宋体" w:cs="宋体" w:eastAsia="宋体" w:hint="default"/>
                <w:sz w:val="21"/>
                <w:szCs w:val="21"/>
              </w:rPr>
            </w:pPr>
            <w:r>
              <w:rPr>
                <w:rFonts w:ascii="宋体" w:hAnsi="宋体" w:cs="宋体" w:eastAsia="宋体" w:hint="default"/>
                <w:sz w:val="21"/>
                <w:szCs w:val="21"/>
              </w:rPr>
              <w:t>逐步开展高密度、闭孔、蜂窝填充等新品种的研发工作。</w:t>
            </w:r>
          </w:p>
        </w:tc>
      </w:tr>
    </w:tbl>
    <w:p>
      <w:pPr>
        <w:spacing w:after="0" w:line="235" w:lineRule="exact"/>
        <w:jc w:val="left"/>
        <w:rPr>
          <w:rFonts w:ascii="宋体" w:hAnsi="宋体" w:cs="宋体" w:eastAsia="宋体" w:hint="default"/>
          <w:sz w:val="21"/>
          <w:szCs w:val="21"/>
        </w:rPr>
        <w:sectPr>
          <w:pgSz w:w="11910" w:h="16840"/>
          <w:pgMar w:header="624" w:footer="711" w:top="1040" w:bottom="900" w:left="880" w:right="860"/>
        </w:sectPr>
      </w:pPr>
    </w:p>
    <w:p>
      <w:pPr>
        <w:spacing w:line="240" w:lineRule="auto" w:before="2"/>
        <w:rPr>
          <w:rFonts w:ascii="宋体" w:hAnsi="宋体" w:cs="宋体" w:eastAsia="宋体" w:hint="default"/>
          <w:b/>
          <w:bCs/>
          <w:sz w:val="29"/>
          <w:szCs w:val="29"/>
        </w:rPr>
      </w:pPr>
    </w:p>
    <w:tbl>
      <w:tblPr>
        <w:tblW w:w="0" w:type="auto"/>
        <w:jc w:val="left"/>
        <w:tblInd w:w="255" w:type="dxa"/>
        <w:tblLayout w:type="fixed"/>
        <w:tblCellMar>
          <w:top w:w="0" w:type="dxa"/>
          <w:left w:w="0" w:type="dxa"/>
          <w:bottom w:w="0" w:type="dxa"/>
          <w:right w:w="0" w:type="dxa"/>
        </w:tblCellMar>
        <w:tblLook w:val="01E0"/>
      </w:tblPr>
      <w:tblGrid>
        <w:gridCol w:w="910"/>
        <w:gridCol w:w="397"/>
        <w:gridCol w:w="8469"/>
      </w:tblGrid>
      <w:tr>
        <w:trPr>
          <w:trHeight w:val="276" w:hRule="exact"/>
        </w:trPr>
        <w:tc>
          <w:tcPr>
            <w:tcW w:w="910" w:type="dxa"/>
            <w:tcBorders>
              <w:top w:val="single" w:sz="4" w:space="0" w:color="000000"/>
              <w:left w:val="single" w:sz="4" w:space="0" w:color="000000"/>
              <w:bottom w:val="nil" w:sz="6" w:space="0" w:color="auto"/>
              <w:right w:val="single" w:sz="4" w:space="0" w:color="000000"/>
            </w:tcBorders>
            <w:shd w:val="clear" w:color="auto" w:fill="D9D9D9"/>
          </w:tcPr>
          <w:p>
            <w:pPr/>
          </w:p>
        </w:tc>
        <w:tc>
          <w:tcPr>
            <w:tcW w:w="397" w:type="dxa"/>
            <w:tcBorders>
              <w:top w:val="single" w:sz="4" w:space="0" w:color="000000"/>
              <w:left w:val="single" w:sz="4" w:space="0" w:color="000000"/>
              <w:bottom w:val="nil" w:sz="6" w:space="0" w:color="auto"/>
              <w:right w:val="nil" w:sz="6" w:space="0" w:color="auto"/>
            </w:tcBorders>
          </w:tcPr>
          <w:p>
            <w:pPr>
              <w:pStyle w:val="TableParagraph"/>
              <w:spacing w:line="240" w:lineRule="auto" w:before="66"/>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single" w:sz="4" w:space="0" w:color="000000"/>
              <w:left w:val="nil" w:sz="6" w:space="0" w:color="auto"/>
              <w:bottom w:val="nil" w:sz="6" w:space="0" w:color="auto"/>
              <w:right w:val="single" w:sz="4" w:space="0" w:color="000000"/>
            </w:tcBorders>
          </w:tcPr>
          <w:p>
            <w:pPr>
              <w:pStyle w:val="TableParagraph"/>
              <w:spacing w:line="240" w:lineRule="exact"/>
              <w:ind w:left="131" w:right="0"/>
              <w:jc w:val="left"/>
              <w:rPr>
                <w:rFonts w:ascii="宋体" w:hAnsi="宋体" w:cs="宋体" w:eastAsia="宋体" w:hint="default"/>
                <w:sz w:val="21"/>
                <w:szCs w:val="21"/>
              </w:rPr>
            </w:pPr>
            <w:r>
              <w:rPr>
                <w:rFonts w:ascii="宋体" w:hAnsi="宋体" w:cs="宋体" w:eastAsia="宋体" w:hint="default"/>
                <w:sz w:val="21"/>
                <w:szCs w:val="21"/>
              </w:rPr>
              <w:t>加快电池隔膜等的技术开发及产业化进程，下半年推向市场。</w:t>
            </w:r>
          </w:p>
        </w:tc>
      </w:tr>
      <w:tr>
        <w:trPr>
          <w:trHeight w:val="817" w:hRule="exact"/>
        </w:trPr>
        <w:tc>
          <w:tcPr>
            <w:tcW w:w="91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86" w:lineRule="exact" w:before="117"/>
              <w:ind w:left="103" w:right="85"/>
              <w:jc w:val="left"/>
              <w:rPr>
                <w:rFonts w:ascii="宋体" w:hAnsi="宋体" w:cs="宋体" w:eastAsia="宋体" w:hint="default"/>
                <w:sz w:val="22"/>
                <w:szCs w:val="22"/>
              </w:rPr>
            </w:pPr>
            <w:r>
              <w:rPr>
                <w:rFonts w:ascii="宋体" w:hAnsi="宋体" w:cs="宋体" w:eastAsia="宋体" w:hint="default"/>
                <w:spacing w:val="16"/>
                <w:sz w:val="22"/>
                <w:szCs w:val="22"/>
              </w:rPr>
              <w:t>纳米纤</w:t>
            </w:r>
            <w:r>
              <w:rPr>
                <w:rFonts w:ascii="宋体" w:hAnsi="宋体" w:cs="宋体" w:eastAsia="宋体" w:hint="default"/>
                <w:spacing w:val="16"/>
                <w:w w:val="99"/>
                <w:sz w:val="22"/>
                <w:szCs w:val="22"/>
              </w:rPr>
              <w:t> </w:t>
            </w:r>
            <w:r>
              <w:rPr>
                <w:rFonts w:ascii="宋体" w:hAnsi="宋体" w:cs="宋体" w:eastAsia="宋体" w:hint="default"/>
                <w:sz w:val="22"/>
                <w:szCs w:val="22"/>
              </w:rPr>
              <w:t>维制品</w:t>
            </w:r>
          </w:p>
        </w:tc>
        <w:tc>
          <w:tcPr>
            <w:tcW w:w="397"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p>
            <w:pPr>
              <w:pStyle w:val="TableParagraph"/>
              <w:spacing w:line="240" w:lineRule="auto" w:before="95"/>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p>
            <w:pPr>
              <w:pStyle w:val="TableParagraph"/>
              <w:spacing w:line="240" w:lineRule="auto" w:before="95"/>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nil" w:sz="6" w:space="0" w:color="auto"/>
              <w:left w:val="nil" w:sz="6" w:space="0" w:color="auto"/>
              <w:bottom w:val="nil" w:sz="6" w:space="0" w:color="auto"/>
              <w:right w:val="single" w:sz="4" w:space="0" w:color="000000"/>
            </w:tcBorders>
          </w:tcPr>
          <w:p>
            <w:pPr>
              <w:pStyle w:val="TableParagraph"/>
              <w:spacing w:line="240" w:lineRule="exact"/>
              <w:ind w:left="131" w:right="0"/>
              <w:jc w:val="left"/>
              <w:rPr>
                <w:rFonts w:ascii="宋体" w:hAnsi="宋体" w:cs="宋体" w:eastAsia="宋体" w:hint="default"/>
                <w:sz w:val="21"/>
                <w:szCs w:val="21"/>
              </w:rPr>
            </w:pPr>
            <w:r>
              <w:rPr>
                <w:rFonts w:ascii="宋体" w:hAnsi="宋体" w:cs="宋体" w:eastAsia="宋体" w:hint="default"/>
                <w:sz w:val="21"/>
                <w:szCs w:val="21"/>
              </w:rPr>
              <w:t>推动液体、气体分离膜材料开发、生产及应用。</w:t>
            </w:r>
          </w:p>
          <w:p>
            <w:pPr>
              <w:pStyle w:val="TableParagraph"/>
              <w:spacing w:line="272" w:lineRule="exact" w:before="26"/>
              <w:ind w:left="131" w:right="4130"/>
              <w:jc w:val="left"/>
              <w:rPr>
                <w:rFonts w:ascii="宋体" w:hAnsi="宋体" w:cs="宋体" w:eastAsia="宋体" w:hint="default"/>
                <w:sz w:val="21"/>
                <w:szCs w:val="21"/>
              </w:rPr>
            </w:pPr>
            <w:r>
              <w:rPr>
                <w:rFonts w:ascii="宋体" w:hAnsi="宋体" w:cs="宋体" w:eastAsia="宋体" w:hint="default"/>
                <w:sz w:val="21"/>
                <w:szCs w:val="21"/>
              </w:rPr>
              <w:t>继续开发纳滤、反渗透等各类基膜材料。 争取下半年形成纳米纤维束工业化生产能力。</w:t>
            </w:r>
          </w:p>
        </w:tc>
      </w:tr>
      <w:tr>
        <w:trPr>
          <w:trHeight w:val="278" w:hRule="exact"/>
        </w:trPr>
        <w:tc>
          <w:tcPr>
            <w:tcW w:w="910" w:type="dxa"/>
            <w:tcBorders>
              <w:top w:val="nil" w:sz="6" w:space="0" w:color="auto"/>
              <w:left w:val="single" w:sz="4" w:space="0" w:color="000000"/>
              <w:bottom w:val="single" w:sz="4" w:space="0" w:color="000000"/>
              <w:right w:val="single" w:sz="4" w:space="0" w:color="000000"/>
            </w:tcBorders>
            <w:shd w:val="clear" w:color="auto" w:fill="D9D9D9"/>
          </w:tcPr>
          <w:p>
            <w:pPr/>
          </w:p>
        </w:tc>
        <w:tc>
          <w:tcPr>
            <w:tcW w:w="397"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nil" w:sz="6" w:space="0" w:color="auto"/>
              <w:left w:val="nil" w:sz="6" w:space="0" w:color="auto"/>
              <w:bottom w:val="single" w:sz="4" w:space="0" w:color="000000"/>
              <w:right w:val="single" w:sz="4" w:space="0" w:color="000000"/>
            </w:tcBorders>
          </w:tcPr>
          <w:p>
            <w:pPr>
              <w:pStyle w:val="TableParagraph"/>
              <w:spacing w:line="241" w:lineRule="exact"/>
              <w:ind w:left="131" w:right="0"/>
              <w:jc w:val="left"/>
              <w:rPr>
                <w:rFonts w:ascii="宋体" w:hAnsi="宋体" w:cs="宋体" w:eastAsia="宋体" w:hint="default"/>
                <w:sz w:val="21"/>
                <w:szCs w:val="21"/>
              </w:rPr>
            </w:pPr>
            <w:r>
              <w:rPr>
                <w:rFonts w:ascii="宋体" w:hAnsi="宋体" w:cs="宋体" w:eastAsia="宋体" w:hint="default"/>
                <w:sz w:val="21"/>
                <w:szCs w:val="21"/>
              </w:rPr>
              <w:t>下半年开展纳米碳纤维的研发工作，尽快进入中试。</w:t>
            </w:r>
          </w:p>
        </w:tc>
      </w:tr>
      <w:tr>
        <w:trPr>
          <w:trHeight w:val="827" w:hRule="exact"/>
        </w:trPr>
        <w:tc>
          <w:tcPr>
            <w:tcW w:w="9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86" w:lineRule="exact" w:before="115"/>
              <w:ind w:left="103" w:right="85"/>
              <w:jc w:val="left"/>
              <w:rPr>
                <w:rFonts w:ascii="宋体" w:hAnsi="宋体" w:cs="宋体" w:eastAsia="宋体" w:hint="default"/>
                <w:sz w:val="22"/>
                <w:szCs w:val="22"/>
              </w:rPr>
            </w:pPr>
            <w:r>
              <w:rPr>
                <w:rFonts w:ascii="宋体" w:hAnsi="宋体" w:cs="宋体" w:eastAsia="宋体" w:hint="default"/>
                <w:spacing w:val="16"/>
                <w:sz w:val="22"/>
                <w:szCs w:val="22"/>
              </w:rPr>
              <w:t>复合材</w:t>
            </w:r>
            <w:r>
              <w:rPr>
                <w:rFonts w:ascii="宋体" w:hAnsi="宋体" w:cs="宋体" w:eastAsia="宋体" w:hint="default"/>
                <w:spacing w:val="16"/>
                <w:w w:val="99"/>
                <w:sz w:val="22"/>
                <w:szCs w:val="22"/>
              </w:rPr>
              <w:t> </w:t>
            </w:r>
            <w:r>
              <w:rPr>
                <w:rFonts w:ascii="宋体" w:hAnsi="宋体" w:cs="宋体" w:eastAsia="宋体" w:hint="default"/>
                <w:sz w:val="22"/>
                <w:szCs w:val="22"/>
              </w:rPr>
              <w:t>料</w:t>
            </w:r>
          </w:p>
        </w:tc>
        <w:tc>
          <w:tcPr>
            <w:tcW w:w="39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6"/>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
              <w:ind w:right="0"/>
              <w:jc w:val="left"/>
              <w:rPr>
                <w:rFonts w:ascii="宋体" w:hAnsi="宋体" w:cs="宋体" w:eastAsia="宋体" w:hint="default"/>
                <w:b/>
                <w:bCs/>
                <w:sz w:val="12"/>
                <w:szCs w:val="12"/>
              </w:rPr>
            </w:pPr>
          </w:p>
          <w:p>
            <w:pPr>
              <w:pStyle w:val="TableParagraph"/>
              <w:spacing w:line="240" w:lineRule="auto"/>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single" w:sz="4" w:space="0" w:color="000000"/>
              <w:left w:val="nil" w:sz="6" w:space="0" w:color="auto"/>
              <w:bottom w:val="single" w:sz="4" w:space="0" w:color="000000"/>
              <w:right w:val="single" w:sz="4" w:space="0" w:color="000000"/>
            </w:tcBorders>
          </w:tcPr>
          <w:p>
            <w:pPr>
              <w:pStyle w:val="TableParagraph"/>
              <w:spacing w:line="238" w:lineRule="exact"/>
              <w:ind w:left="131" w:right="0"/>
              <w:jc w:val="left"/>
              <w:rPr>
                <w:rFonts w:ascii="宋体" w:hAnsi="宋体" w:cs="宋体" w:eastAsia="宋体" w:hint="default"/>
                <w:sz w:val="21"/>
                <w:szCs w:val="21"/>
              </w:rPr>
            </w:pPr>
            <w:r>
              <w:rPr>
                <w:rFonts w:ascii="宋体" w:hAnsi="宋体" w:cs="宋体" w:eastAsia="宋体" w:hint="default"/>
                <w:sz w:val="21"/>
                <w:szCs w:val="21"/>
              </w:rPr>
              <w:t>运用高性能纤维，以低成本、高比强、高比模和高稳定性为目标，加强织物设计和织造成</w:t>
            </w:r>
          </w:p>
          <w:p>
            <w:pPr>
              <w:pStyle w:val="TableParagraph"/>
              <w:spacing w:line="272" w:lineRule="exact" w:before="26"/>
              <w:ind w:left="131" w:right="770"/>
              <w:jc w:val="left"/>
              <w:rPr>
                <w:rFonts w:ascii="宋体" w:hAnsi="宋体" w:cs="宋体" w:eastAsia="宋体" w:hint="default"/>
                <w:sz w:val="21"/>
                <w:szCs w:val="21"/>
              </w:rPr>
            </w:pPr>
            <w:r>
              <w:rPr>
                <w:rFonts w:ascii="宋体" w:hAnsi="宋体" w:cs="宋体" w:eastAsia="宋体" w:hint="default"/>
                <w:sz w:val="21"/>
                <w:szCs w:val="21"/>
              </w:rPr>
              <w:t>型技术开发，提高骨架与基材的结合性能。 开发在航空航天、交通运输、海洋石油、智能电网、救生装备等高端市场的应用。</w:t>
            </w:r>
          </w:p>
        </w:tc>
      </w:tr>
      <w:tr>
        <w:trPr>
          <w:trHeight w:val="362" w:hRule="exact"/>
        </w:trPr>
        <w:tc>
          <w:tcPr>
            <w:tcW w:w="910"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38"/>
              <w:ind w:left="15" w:right="0"/>
              <w:jc w:val="center"/>
              <w:rPr>
                <w:rFonts w:ascii="宋体" w:hAnsi="宋体" w:cs="宋体" w:eastAsia="宋体" w:hint="default"/>
                <w:sz w:val="22"/>
                <w:szCs w:val="22"/>
              </w:rPr>
            </w:pPr>
            <w:r>
              <w:rPr>
                <w:rFonts w:ascii="宋体" w:hAnsi="宋体" w:cs="宋体" w:eastAsia="宋体" w:hint="default"/>
                <w:spacing w:val="16"/>
                <w:sz w:val="22"/>
                <w:szCs w:val="22"/>
              </w:rPr>
              <w:t>聚酰亚</w:t>
            </w:r>
            <w:r>
              <w:rPr>
                <w:rFonts w:ascii="宋体" w:hAnsi="宋体" w:cs="宋体" w:eastAsia="宋体" w:hint="default"/>
                <w:sz w:val="22"/>
                <w:szCs w:val="22"/>
              </w:rPr>
            </w:r>
          </w:p>
        </w:tc>
        <w:tc>
          <w:tcPr>
            <w:tcW w:w="397" w:type="dxa"/>
            <w:tcBorders>
              <w:top w:val="single" w:sz="4"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1"/>
                <w:szCs w:val="11"/>
              </w:rPr>
            </w:pPr>
          </w:p>
          <w:p>
            <w:pPr>
              <w:pStyle w:val="TableParagraph"/>
              <w:spacing w:line="240" w:lineRule="auto"/>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single" w:sz="4" w:space="0" w:color="000000"/>
              <w:left w:val="nil" w:sz="6" w:space="0" w:color="auto"/>
              <w:bottom w:val="nil" w:sz="6" w:space="0" w:color="auto"/>
              <w:right w:val="single" w:sz="4" w:space="0" w:color="000000"/>
            </w:tcBorders>
          </w:tcPr>
          <w:p>
            <w:pPr>
              <w:pStyle w:val="TableParagraph"/>
              <w:spacing w:line="240" w:lineRule="auto" w:before="51"/>
              <w:ind w:left="131" w:right="0"/>
              <w:jc w:val="left"/>
              <w:rPr>
                <w:rFonts w:ascii="宋体" w:hAnsi="宋体" w:cs="宋体" w:eastAsia="宋体" w:hint="default"/>
                <w:sz w:val="21"/>
                <w:szCs w:val="21"/>
              </w:rPr>
            </w:pPr>
            <w:r>
              <w:rPr>
                <w:rFonts w:ascii="宋体" w:hAnsi="宋体" w:cs="宋体" w:eastAsia="宋体" w:hint="default"/>
                <w:sz w:val="21"/>
                <w:szCs w:val="21"/>
              </w:rPr>
              <w:t>进一步完善产品性能。</w:t>
            </w:r>
          </w:p>
        </w:tc>
      </w:tr>
      <w:tr>
        <w:trPr>
          <w:trHeight w:val="365" w:hRule="exact"/>
        </w:trPr>
        <w:tc>
          <w:tcPr>
            <w:tcW w:w="910"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53" w:lineRule="exact"/>
              <w:ind w:right="32"/>
              <w:jc w:val="center"/>
              <w:rPr>
                <w:rFonts w:ascii="宋体" w:hAnsi="宋体" w:cs="宋体" w:eastAsia="宋体" w:hint="default"/>
                <w:sz w:val="22"/>
                <w:szCs w:val="22"/>
              </w:rPr>
            </w:pPr>
            <w:r>
              <w:rPr>
                <w:rFonts w:ascii="宋体" w:hAnsi="宋体" w:cs="宋体" w:eastAsia="宋体" w:hint="default"/>
                <w:sz w:val="22"/>
                <w:szCs w:val="22"/>
              </w:rPr>
              <w:t>胺薄膜</w:t>
            </w:r>
          </w:p>
        </w:tc>
        <w:tc>
          <w:tcPr>
            <w:tcW w:w="397"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left="103" w:right="0"/>
              <w:jc w:val="left"/>
              <w:rPr>
                <w:rFonts w:ascii="Wingdings" w:hAnsi="Wingdings" w:cs="Wingdings" w:eastAsia="Wingdings" w:hint="default"/>
                <w:sz w:val="16"/>
                <w:szCs w:val="16"/>
              </w:rPr>
            </w:pPr>
            <w:r>
              <w:rPr>
                <w:rFonts w:ascii="Wingdings" w:hAnsi="Wingdings" w:cs="Wingdings" w:eastAsia="Wingdings" w:hint="default"/>
                <w:w w:val="99"/>
                <w:sz w:val="16"/>
                <w:szCs w:val="16"/>
              </w:rPr>
              <w:t></w:t>
            </w:r>
            <w:r>
              <w:rPr>
                <w:rFonts w:ascii="Wingdings" w:hAnsi="Wingdings" w:cs="Wingdings" w:eastAsia="Wingdings" w:hint="default"/>
                <w:sz w:val="16"/>
                <w:szCs w:val="16"/>
              </w:rPr>
            </w:r>
          </w:p>
        </w:tc>
        <w:tc>
          <w:tcPr>
            <w:tcW w:w="8469" w:type="dxa"/>
            <w:tcBorders>
              <w:top w:val="nil" w:sz="6" w:space="0" w:color="auto"/>
              <w:left w:val="nil" w:sz="6" w:space="0" w:color="auto"/>
              <w:bottom w:val="single" w:sz="4" w:space="0" w:color="000000"/>
              <w:right w:val="single" w:sz="4" w:space="0" w:color="000000"/>
            </w:tcBorders>
          </w:tcPr>
          <w:p>
            <w:pPr>
              <w:pStyle w:val="TableParagraph"/>
              <w:spacing w:line="241" w:lineRule="exact"/>
              <w:ind w:left="131" w:right="0"/>
              <w:jc w:val="left"/>
              <w:rPr>
                <w:rFonts w:ascii="宋体" w:hAnsi="宋体" w:cs="宋体" w:eastAsia="宋体" w:hint="default"/>
                <w:sz w:val="21"/>
                <w:szCs w:val="21"/>
              </w:rPr>
            </w:pPr>
            <w:r>
              <w:rPr>
                <w:rFonts w:ascii="宋体" w:hAnsi="宋体" w:cs="宋体" w:eastAsia="宋体" w:hint="default"/>
                <w:sz w:val="21"/>
                <w:szCs w:val="21"/>
              </w:rPr>
              <w:t>继续开展新单体合成技术研究和小片导电膜制备工艺研究工作。</w:t>
            </w:r>
          </w:p>
        </w:tc>
      </w:tr>
    </w:tbl>
    <w:p>
      <w:pPr>
        <w:spacing w:line="240" w:lineRule="auto" w:before="2"/>
        <w:rPr>
          <w:rFonts w:ascii="宋体" w:hAnsi="宋体" w:cs="宋体" w:eastAsia="宋体" w:hint="default"/>
          <w:b/>
          <w:bCs/>
          <w:sz w:val="16"/>
          <w:szCs w:val="16"/>
        </w:rPr>
      </w:pPr>
    </w:p>
    <w:p>
      <w:pPr>
        <w:spacing w:line="312" w:lineRule="auto" w:before="26"/>
        <w:ind w:left="734" w:right="150" w:firstLine="1"/>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）加大投入力度，与社会各界广泛合作，整合聚酰亚胺材料的应用</w:t>
      </w:r>
      <w:r>
        <w:rPr>
          <w:rFonts w:ascii="宋体" w:hAnsi="宋体" w:cs="宋体" w:eastAsia="宋体" w:hint="default"/>
          <w:b/>
          <w:bCs/>
          <w:spacing w:val="1"/>
          <w:w w:val="99"/>
          <w:sz w:val="24"/>
          <w:szCs w:val="24"/>
        </w:rPr>
        <w:t> </w:t>
      </w:r>
      <w:r>
        <w:rPr>
          <w:rFonts w:ascii="宋体" w:hAnsi="宋体" w:cs="宋体" w:eastAsia="宋体" w:hint="default"/>
          <w:sz w:val="24"/>
          <w:szCs w:val="24"/>
        </w:rPr>
        <w:t>公司计划继续加大在先进材料的投入，扩大与各个行业合作的广度和深度；与开发下游</w:t>
      </w:r>
    </w:p>
    <w:p>
      <w:pPr>
        <w:pStyle w:val="BodyText"/>
        <w:spacing w:line="304" w:lineRule="auto" w:before="13"/>
        <w:ind w:left="254" w:right="268"/>
        <w:jc w:val="both"/>
      </w:pPr>
      <w:r>
        <w:rPr/>
        <w:t>产品的企业、有应用经验的个人、开展相关研发工作的专业机构等，一起深入推广聚酰亚胺</w:t>
      </w:r>
      <w:r>
        <w:rPr>
          <w:spacing w:val="-83"/>
        </w:rPr>
        <w:t> </w:t>
      </w:r>
      <w:r>
        <w:rPr>
          <w:spacing w:val="-83"/>
        </w:rPr>
      </w:r>
      <w:r>
        <w:rPr/>
        <w:t>纤维、纳米纤维、复合材料、薄膜的综合应用，形成利益共享、互利共赢的良性机制，共同</w:t>
      </w:r>
      <w:r>
        <w:rPr>
          <w:spacing w:val="-83"/>
        </w:rPr>
        <w:t> </w:t>
      </w:r>
      <w:r>
        <w:rPr>
          <w:spacing w:val="-83"/>
        </w:rPr>
      </w:r>
      <w:r>
        <w:rPr/>
        <w:t>建设巨大的聚酰亚胺材料产业链。</w:t>
      </w:r>
    </w:p>
    <w:p>
      <w:pPr>
        <w:pStyle w:val="BodyText"/>
        <w:spacing w:line="304" w:lineRule="auto" w:before="61"/>
        <w:ind w:left="254" w:right="132" w:firstLine="480"/>
        <w:jc w:val="left"/>
      </w:pPr>
      <w:r>
        <w:rPr/>
        <w:t>公司拟与高水平研究机构合作，充分利用公司在先进材料制备方面的优势，选取具有不</w:t>
      </w:r>
      <w:r>
        <w:rPr>
          <w:spacing w:val="1"/>
        </w:rPr>
        <w:t> </w:t>
      </w:r>
      <w:r>
        <w:rPr>
          <w:spacing w:val="-2"/>
        </w:rPr>
        <w:t>同性能的多种过滤材料，解决非织造和织造复合技术、滤料表面精细加工后处理技术等问题，</w:t>
      </w:r>
      <w:r>
        <w:rPr/>
        <w:t> 开发高功能或专一功能的滤料，实现高效率、高精度过滤，满足 </w:t>
      </w:r>
      <w:r>
        <w:rPr>
          <w:rFonts w:ascii="Times New Roman" w:hAnsi="Times New Roman" w:cs="Times New Roman" w:eastAsia="Times New Roman" w:hint="default"/>
        </w:rPr>
        <w:t>PM2.5</w:t>
      </w:r>
      <w:r>
        <w:rPr>
          <w:rFonts w:ascii="Times New Roman" w:hAnsi="Times New Roman" w:cs="Times New Roman" w:eastAsia="Times New Roman" w:hint="default"/>
          <w:spacing w:val="55"/>
        </w:rPr>
        <w:t> </w:t>
      </w:r>
      <w:r>
        <w:rPr/>
        <w:t>过滤等实际要求。</w:t>
      </w:r>
    </w:p>
    <w:p>
      <w:pPr>
        <w:spacing w:line="240" w:lineRule="auto" w:before="11"/>
        <w:rPr>
          <w:rFonts w:ascii="宋体" w:hAnsi="宋体" w:cs="宋体" w:eastAsia="宋体" w:hint="default"/>
          <w:sz w:val="20"/>
          <w:szCs w:val="20"/>
        </w:rPr>
      </w:pPr>
    </w:p>
    <w:p>
      <w:pPr>
        <w:spacing w:before="0"/>
        <w:ind w:left="736" w:right="15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、公司</w:t>
      </w:r>
      <w:r>
        <w:rPr>
          <w:rFonts w:ascii="宋体" w:hAnsi="宋体" w:cs="宋体" w:eastAsia="宋体" w:hint="default"/>
          <w:b/>
          <w:bCs/>
          <w:spacing w:val="-61"/>
          <w:sz w:val="24"/>
          <w:szCs w:val="24"/>
        </w:rPr>
        <w:t> </w:t>
      </w:r>
      <w:r>
        <w:rPr>
          <w:rFonts w:ascii="Times New Roman" w:hAnsi="Times New Roman" w:cs="Times New Roman" w:eastAsia="Times New Roman" w:hint="default"/>
          <w:b/>
          <w:bCs/>
          <w:sz w:val="24"/>
          <w:szCs w:val="24"/>
        </w:rPr>
        <w:t>2012</w:t>
      </w:r>
      <w:r>
        <w:rPr>
          <w:rFonts w:ascii="Times New Roman" w:hAnsi="Times New Roman" w:cs="Times New Roman" w:eastAsia="Times New Roman" w:hint="default"/>
          <w:b/>
          <w:bCs/>
          <w:spacing w:val="-1"/>
          <w:sz w:val="24"/>
          <w:szCs w:val="24"/>
        </w:rPr>
        <w:t> </w:t>
      </w:r>
      <w:r>
        <w:rPr>
          <w:rFonts w:ascii="宋体" w:hAnsi="宋体" w:cs="宋体" w:eastAsia="宋体" w:hint="default"/>
          <w:b/>
          <w:bCs/>
          <w:sz w:val="24"/>
          <w:szCs w:val="24"/>
        </w:rPr>
        <w:t>年经营计划</w:t>
      </w:r>
      <w:r>
        <w:rPr>
          <w:rFonts w:ascii="宋体" w:hAnsi="宋体" w:cs="宋体" w:eastAsia="宋体" w:hint="default"/>
          <w:sz w:val="24"/>
          <w:szCs w:val="24"/>
        </w:rPr>
      </w:r>
    </w:p>
    <w:p>
      <w:pPr>
        <w:pStyle w:val="BodyText"/>
        <w:spacing w:line="290" w:lineRule="auto" w:before="98"/>
        <w:ind w:left="253" w:right="150" w:firstLine="480"/>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22"/>
        </w:rPr>
        <w:t> </w:t>
      </w:r>
      <w:r>
        <w:rPr>
          <w:spacing w:val="-3"/>
        </w:rPr>
        <w:t>年公司将密切跟踪产业政策导向，进一步提升产销规模，增强综合竞争力，创造更</w:t>
      </w:r>
      <w:r>
        <w:rPr/>
        <w:t> 好的经济效益。</w:t>
      </w:r>
    </w:p>
    <w:p>
      <w:pPr>
        <w:pStyle w:val="BodyText"/>
        <w:spacing w:line="240" w:lineRule="auto" w:before="74"/>
        <w:ind w:left="733" w:right="150"/>
        <w:jc w:val="left"/>
      </w:pPr>
      <w:r>
        <w:rPr/>
        <w:t>公司制定了 </w:t>
      </w:r>
      <w:r>
        <w:rPr>
          <w:rFonts w:ascii="Times New Roman" w:hAnsi="Times New Roman" w:cs="Times New Roman" w:eastAsia="Times New Roman" w:hint="default"/>
        </w:rPr>
        <w:t>2012 </w:t>
      </w:r>
      <w:r>
        <w:rPr>
          <w:rFonts w:ascii="Times New Roman" w:hAnsi="Times New Roman" w:cs="Times New Roman" w:eastAsia="Times New Roman" w:hint="default"/>
          <w:spacing w:val="27"/>
        </w:rPr>
        <w:t> </w:t>
      </w:r>
      <w:r>
        <w:rPr/>
        <w:t>年经营计划及相应的费用预算。公司</w:t>
      </w:r>
      <w:r>
        <w:rPr>
          <w:rFonts w:ascii="Times New Roman" w:hAnsi="Times New Roman" w:cs="Times New Roman" w:eastAsia="Times New Roman" w:hint="default"/>
        </w:rPr>
        <w:t>2011</w:t>
      </w:r>
      <w:r>
        <w:rPr/>
        <w:t>年度经营计划是根据以前年</w:t>
      </w:r>
    </w:p>
    <w:p>
      <w:pPr>
        <w:pStyle w:val="BodyText"/>
        <w:spacing w:line="288" w:lineRule="auto" w:before="68"/>
        <w:ind w:left="253" w:right="268"/>
        <w:jc w:val="both"/>
      </w:pPr>
      <w:r>
        <w:rPr/>
        <w:t>度经审计的实际经营业绩和 </w:t>
      </w:r>
      <w:r>
        <w:rPr>
          <w:rFonts w:ascii="Times New Roman" w:hAnsi="Times New Roman" w:cs="Times New Roman" w:eastAsia="Times New Roman" w:hint="default"/>
        </w:rPr>
        <w:t>2012</w:t>
      </w:r>
      <w:r>
        <w:rPr>
          <w:rFonts w:ascii="Times New Roman" w:hAnsi="Times New Roman" w:cs="Times New Roman" w:eastAsia="Times New Roman" w:hint="default"/>
          <w:spacing w:val="36"/>
        </w:rPr>
        <w:t> </w:t>
      </w:r>
      <w:r>
        <w:rPr/>
        <w:t>年度发展战略和计划，在充分考虑现实各项基础、经营能</w:t>
      </w:r>
      <w:r>
        <w:rPr>
          <w:spacing w:val="1"/>
        </w:rPr>
        <w:t> </w:t>
      </w:r>
      <w:r>
        <w:rPr/>
        <w:t>力、未来的发展计划，本着求实稳健的原则而编制：</w:t>
      </w:r>
    </w:p>
    <w:p>
      <w:pPr>
        <w:spacing w:before="4"/>
        <w:ind w:left="6554" w:right="150" w:firstLine="0"/>
        <w:jc w:val="lef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6"/>
        <w:rPr>
          <w:rFonts w:ascii="宋体" w:hAnsi="宋体" w:cs="宋体" w:eastAsia="宋体" w:hint="default"/>
          <w:sz w:val="5"/>
          <w:szCs w:val="5"/>
        </w:rPr>
      </w:pPr>
    </w:p>
    <w:tbl>
      <w:tblPr>
        <w:tblW w:w="0" w:type="auto"/>
        <w:jc w:val="left"/>
        <w:tblInd w:w="429" w:type="dxa"/>
        <w:tblLayout w:type="fixed"/>
        <w:tblCellMar>
          <w:top w:w="0" w:type="dxa"/>
          <w:left w:w="0" w:type="dxa"/>
          <w:bottom w:w="0" w:type="dxa"/>
          <w:right w:w="0" w:type="dxa"/>
        </w:tblCellMar>
        <w:tblLook w:val="01E0"/>
      </w:tblPr>
      <w:tblGrid>
        <w:gridCol w:w="2232"/>
        <w:gridCol w:w="2266"/>
        <w:gridCol w:w="2126"/>
        <w:gridCol w:w="2268"/>
      </w:tblGrid>
      <w:tr>
        <w:trPr>
          <w:trHeight w:val="323" w:hRule="exact"/>
        </w:trPr>
        <w:tc>
          <w:tcPr>
            <w:tcW w:w="2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4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年经营计划</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58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年实际</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679" w:right="0"/>
              <w:jc w:val="left"/>
              <w:rPr>
                <w:rFonts w:ascii="宋体" w:hAnsi="宋体" w:cs="宋体" w:eastAsia="宋体" w:hint="default"/>
                <w:sz w:val="18"/>
                <w:szCs w:val="18"/>
              </w:rPr>
            </w:pPr>
            <w:r>
              <w:rPr>
                <w:rFonts w:ascii="宋体" w:hAnsi="宋体" w:cs="宋体" w:eastAsia="宋体" w:hint="default"/>
                <w:sz w:val="18"/>
                <w:szCs w:val="18"/>
              </w:rPr>
              <w:t>较上年增长</w:t>
            </w:r>
          </w:p>
        </w:tc>
      </w:tr>
      <w:tr>
        <w:trPr>
          <w:trHeight w:val="324" w:hRule="exact"/>
        </w:trPr>
        <w:tc>
          <w:tcPr>
            <w:tcW w:w="2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99"/>
              <w:jc w:val="right"/>
              <w:rPr>
                <w:rFonts w:ascii="Times New Roman" w:hAnsi="Times New Roman" w:cs="Times New Roman" w:eastAsia="Times New Roman" w:hint="default"/>
                <w:sz w:val="18"/>
                <w:szCs w:val="18"/>
              </w:rPr>
            </w:pPr>
            <w:r>
              <w:rPr>
                <w:rFonts w:ascii="Times New Roman"/>
                <w:sz w:val="18"/>
              </w:rPr>
              <w:t>40,700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8"/>
                <w:szCs w:val="18"/>
              </w:rPr>
            </w:pPr>
            <w:r>
              <w:rPr>
                <w:rFonts w:ascii="Times New Roman"/>
                <w:sz w:val="18"/>
              </w:rPr>
              <w:t>37,014</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8"/>
                <w:szCs w:val="18"/>
              </w:rPr>
            </w:pPr>
            <w:r>
              <w:rPr>
                <w:rFonts w:ascii="Times New Roman"/>
                <w:w w:val="95"/>
                <w:sz w:val="18"/>
              </w:rPr>
              <w:t>9.96%</w:t>
            </w:r>
            <w:r>
              <w:rPr>
                <w:rFonts w:ascii="Times New Roman"/>
                <w:sz w:val="18"/>
              </w:rPr>
            </w:r>
          </w:p>
        </w:tc>
      </w:tr>
      <w:tr>
        <w:trPr>
          <w:trHeight w:val="323" w:hRule="exact"/>
        </w:trPr>
        <w:tc>
          <w:tcPr>
            <w:tcW w:w="2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8"/>
                <w:szCs w:val="18"/>
              </w:rPr>
            </w:pPr>
            <w:r>
              <w:rPr>
                <w:rFonts w:ascii="Times New Roman"/>
                <w:sz w:val="18"/>
              </w:rPr>
              <w:t>24,500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sz w:val="18"/>
              </w:rPr>
              <w:t>20,507</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w w:val="95"/>
                <w:sz w:val="18"/>
              </w:rPr>
              <w:t>19.47%</w:t>
            </w:r>
            <w:r>
              <w:rPr>
                <w:rFonts w:ascii="Times New Roman"/>
                <w:sz w:val="18"/>
              </w:rPr>
            </w:r>
          </w:p>
        </w:tc>
      </w:tr>
      <w:tr>
        <w:trPr>
          <w:trHeight w:val="324" w:hRule="exact"/>
        </w:trPr>
        <w:tc>
          <w:tcPr>
            <w:tcW w:w="2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营业税费</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450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8"/>
                <w:szCs w:val="18"/>
              </w:rPr>
            </w:pPr>
            <w:r>
              <w:rPr>
                <w:rFonts w:ascii="Times New Roman"/>
                <w:sz w:val="18"/>
              </w:rPr>
              <w:t>340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8"/>
                <w:szCs w:val="18"/>
              </w:rPr>
            </w:pPr>
            <w:r>
              <w:rPr>
                <w:rFonts w:ascii="Times New Roman"/>
                <w:w w:val="95"/>
                <w:sz w:val="18"/>
              </w:rPr>
              <w:t>32.35%</w:t>
            </w:r>
            <w:r>
              <w:rPr>
                <w:rFonts w:ascii="Times New Roman"/>
                <w:sz w:val="18"/>
              </w:rPr>
            </w:r>
          </w:p>
        </w:tc>
      </w:tr>
      <w:tr>
        <w:trPr>
          <w:trHeight w:val="323" w:hRule="exact"/>
        </w:trPr>
        <w:tc>
          <w:tcPr>
            <w:tcW w:w="2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销售费用</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sz w:val="18"/>
              </w:rPr>
              <w:t>4,080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sz w:val="18"/>
              </w:rPr>
              <w:t>4,752</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w w:val="95"/>
                <w:sz w:val="18"/>
              </w:rPr>
              <w:t>-14.14%</w:t>
            </w:r>
            <w:r>
              <w:rPr>
                <w:rFonts w:ascii="Times New Roman"/>
                <w:sz w:val="18"/>
              </w:rPr>
            </w:r>
          </w:p>
        </w:tc>
      </w:tr>
      <w:tr>
        <w:trPr>
          <w:trHeight w:val="324" w:hRule="exact"/>
        </w:trPr>
        <w:tc>
          <w:tcPr>
            <w:tcW w:w="2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管理费用</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8"/>
                <w:szCs w:val="18"/>
              </w:rPr>
            </w:pPr>
            <w:r>
              <w:rPr>
                <w:rFonts w:ascii="Times New Roman"/>
                <w:sz w:val="18"/>
              </w:rPr>
              <w:t>4,920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8"/>
                <w:szCs w:val="18"/>
              </w:rPr>
            </w:pPr>
            <w:r>
              <w:rPr>
                <w:rFonts w:ascii="Times New Roman"/>
                <w:sz w:val="18"/>
              </w:rPr>
              <w:t>5,783</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8"/>
                <w:szCs w:val="18"/>
              </w:rPr>
            </w:pPr>
            <w:r>
              <w:rPr>
                <w:rFonts w:ascii="Times New Roman"/>
                <w:w w:val="95"/>
                <w:sz w:val="18"/>
              </w:rPr>
              <w:t>-14.92%</w:t>
            </w:r>
            <w:r>
              <w:rPr>
                <w:rFonts w:ascii="Times New Roman"/>
                <w:sz w:val="18"/>
              </w:rPr>
            </w:r>
          </w:p>
        </w:tc>
      </w:tr>
      <w:tr>
        <w:trPr>
          <w:trHeight w:val="324" w:hRule="exact"/>
        </w:trPr>
        <w:tc>
          <w:tcPr>
            <w:tcW w:w="2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财务费用</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200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sz w:val="18"/>
              </w:rPr>
              <w:t>232</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w w:val="95"/>
                <w:sz w:val="18"/>
              </w:rPr>
              <w:t>-13.79%</w:t>
            </w:r>
            <w:r>
              <w:rPr>
                <w:rFonts w:ascii="Times New Roman"/>
                <w:sz w:val="18"/>
              </w:rPr>
            </w:r>
          </w:p>
        </w:tc>
      </w:tr>
      <w:tr>
        <w:trPr>
          <w:trHeight w:val="323" w:hRule="exact"/>
        </w:trPr>
        <w:tc>
          <w:tcPr>
            <w:tcW w:w="2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营业利润</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sz w:val="18"/>
              </w:rPr>
              <w:t>6,470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sz w:val="18"/>
              </w:rPr>
              <w:t>5,452</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w w:val="95"/>
                <w:sz w:val="18"/>
              </w:rPr>
              <w:t>18.67%</w:t>
            </w:r>
            <w:r>
              <w:rPr>
                <w:rFonts w:ascii="Times New Roman"/>
                <w:sz w:val="18"/>
              </w:rPr>
            </w:r>
          </w:p>
        </w:tc>
      </w:tr>
      <w:tr>
        <w:trPr>
          <w:trHeight w:val="324" w:hRule="exact"/>
        </w:trPr>
        <w:tc>
          <w:tcPr>
            <w:tcW w:w="2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利润总额</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8"/>
                <w:szCs w:val="18"/>
              </w:rPr>
            </w:pPr>
            <w:r>
              <w:rPr>
                <w:rFonts w:ascii="Times New Roman"/>
                <w:sz w:val="18"/>
              </w:rPr>
              <w:t>8,600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sz w:val="18"/>
              </w:rPr>
              <w:t>8,190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w w:val="95"/>
                <w:sz w:val="18"/>
              </w:rPr>
              <w:t>5.01%</w:t>
            </w:r>
            <w:r>
              <w:rPr>
                <w:rFonts w:ascii="Times New Roman"/>
                <w:sz w:val="18"/>
              </w:rPr>
            </w:r>
          </w:p>
        </w:tc>
      </w:tr>
      <w:tr>
        <w:trPr>
          <w:trHeight w:val="323" w:hRule="exact"/>
        </w:trPr>
        <w:tc>
          <w:tcPr>
            <w:tcW w:w="2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所得税</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8"/>
                <w:szCs w:val="18"/>
              </w:rPr>
            </w:pPr>
            <w:r>
              <w:rPr>
                <w:rFonts w:ascii="Times New Roman"/>
                <w:sz w:val="18"/>
              </w:rPr>
              <w:t>1,251</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sz w:val="18"/>
              </w:rPr>
              <w:t>1,198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w w:val="95"/>
                <w:sz w:val="18"/>
              </w:rPr>
              <w:t>4.42%</w:t>
            </w:r>
            <w:r>
              <w:rPr>
                <w:rFonts w:ascii="Times New Roman"/>
                <w:sz w:val="18"/>
              </w:rPr>
            </w:r>
          </w:p>
        </w:tc>
      </w:tr>
      <w:tr>
        <w:trPr>
          <w:trHeight w:val="324" w:hRule="exact"/>
        </w:trPr>
        <w:tc>
          <w:tcPr>
            <w:tcW w:w="2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8"/>
                <w:szCs w:val="18"/>
              </w:rPr>
            </w:pPr>
            <w:r>
              <w:rPr>
                <w:rFonts w:ascii="Times New Roman"/>
                <w:sz w:val="18"/>
              </w:rPr>
              <w:t>7,349</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8"/>
                <w:szCs w:val="18"/>
              </w:rPr>
            </w:pPr>
            <w:r>
              <w:rPr>
                <w:rFonts w:ascii="Times New Roman"/>
                <w:sz w:val="18"/>
              </w:rPr>
              <w:t>6,992</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pacing w:val="-2"/>
                <w:sz w:val="18"/>
              </w:rPr>
              <w:t>5.11%</w:t>
            </w:r>
          </w:p>
        </w:tc>
      </w:tr>
    </w:tbl>
    <w:p>
      <w:pPr>
        <w:spacing w:before="10"/>
        <w:ind w:left="614" w:right="150" w:firstLine="0"/>
        <w:jc w:val="left"/>
        <w:rPr>
          <w:rFonts w:ascii="宋体" w:hAnsi="宋体" w:cs="宋体" w:eastAsia="宋体" w:hint="default"/>
          <w:sz w:val="18"/>
          <w:szCs w:val="18"/>
        </w:rPr>
      </w:pPr>
      <w:r>
        <w:rPr>
          <w:rFonts w:ascii="宋体" w:hAnsi="宋体" w:cs="宋体" w:eastAsia="宋体" w:hint="default"/>
          <w:sz w:val="18"/>
          <w:szCs w:val="18"/>
        </w:rPr>
        <w:t>提示：本公司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年度经营计划，为公司内部管理控制考核指标，不代表公司盈利预测。</w:t>
      </w:r>
    </w:p>
    <w:p>
      <w:pPr>
        <w:spacing w:after="0"/>
        <w:jc w:val="left"/>
        <w:rPr>
          <w:rFonts w:ascii="宋体" w:hAnsi="宋体" w:cs="宋体" w:eastAsia="宋体" w:hint="default"/>
          <w:sz w:val="18"/>
          <w:szCs w:val="18"/>
        </w:rPr>
        <w:sectPr>
          <w:pgSz w:w="11910" w:h="16840"/>
          <w:pgMar w:header="624" w:footer="711" w:top="1040" w:bottom="900" w:left="880" w:right="860"/>
        </w:sectPr>
      </w:pPr>
    </w:p>
    <w:p>
      <w:pPr>
        <w:spacing w:line="240" w:lineRule="auto" w:before="2"/>
        <w:rPr>
          <w:rFonts w:ascii="宋体" w:hAnsi="宋体" w:cs="宋体" w:eastAsia="宋体" w:hint="default"/>
          <w:sz w:val="24"/>
          <w:szCs w:val="24"/>
        </w:rPr>
      </w:pPr>
    </w:p>
    <w:p>
      <w:pPr>
        <w:spacing w:line="312" w:lineRule="auto" w:before="26"/>
        <w:ind w:left="734" w:right="2590"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、资金需求解决方案</w:t>
      </w:r>
      <w:r>
        <w:rPr>
          <w:rFonts w:ascii="宋体" w:hAnsi="宋体" w:cs="宋体" w:eastAsia="宋体" w:hint="default"/>
          <w:b/>
          <w:bCs/>
          <w:spacing w:val="1"/>
          <w:w w:val="99"/>
          <w:sz w:val="24"/>
          <w:szCs w:val="24"/>
        </w:rPr>
        <w:t> </w:t>
      </w:r>
      <w:r>
        <w:rPr>
          <w:rFonts w:ascii="宋体" w:hAnsi="宋体" w:cs="宋体" w:eastAsia="宋体" w:hint="default"/>
          <w:sz w:val="24"/>
          <w:szCs w:val="24"/>
        </w:rPr>
        <w:t>根据公司</w:t>
      </w:r>
      <w:r>
        <w:rPr>
          <w:rFonts w:ascii="Times New Roman" w:hAnsi="Times New Roman" w:cs="Times New Roman" w:eastAsia="Times New Roman" w:hint="default"/>
          <w:sz w:val="24"/>
          <w:szCs w:val="24"/>
        </w:rPr>
        <w:t>2012</w:t>
      </w:r>
      <w:r>
        <w:rPr>
          <w:rFonts w:ascii="宋体" w:hAnsi="宋体" w:cs="宋体" w:eastAsia="宋体" w:hint="default"/>
          <w:sz w:val="24"/>
          <w:szCs w:val="24"/>
        </w:rPr>
        <w:t>年经营计划，对年度资金需求可通过下列渠道解决：</w:t>
      </w:r>
    </w:p>
    <w:p>
      <w:pPr>
        <w:pStyle w:val="BodyText"/>
        <w:spacing w:line="240" w:lineRule="auto" w:before="27"/>
        <w:ind w:left="734" w:right="272"/>
        <w:jc w:val="left"/>
      </w:pPr>
      <w:r>
        <w:rPr/>
        <w:t>（</w:t>
      </w:r>
      <w:r>
        <w:rPr>
          <w:rFonts w:ascii="Times New Roman" w:hAnsi="Times New Roman" w:cs="Times New Roman" w:eastAsia="Times New Roman" w:hint="default"/>
        </w:rPr>
        <w:t>1</w:t>
      </w:r>
      <w:r>
        <w:rPr/>
        <w:t>）公司自有资金，含公司现有货币资金和 </w:t>
      </w:r>
      <w:r>
        <w:rPr>
          <w:rFonts w:ascii="Times New Roman" w:hAnsi="Times New Roman" w:cs="Times New Roman" w:eastAsia="Times New Roman" w:hint="default"/>
        </w:rPr>
        <w:t>2012  </w:t>
      </w:r>
      <w:r>
        <w:rPr/>
        <w:t>年度现金流入。</w:t>
      </w:r>
    </w:p>
    <w:p>
      <w:pPr>
        <w:pStyle w:val="BodyText"/>
        <w:spacing w:line="240" w:lineRule="auto" w:before="108"/>
        <w:ind w:left="734" w:right="2590"/>
        <w:jc w:val="left"/>
      </w:pPr>
      <w:r>
        <w:rPr/>
        <w:t>（</w:t>
      </w:r>
      <w:r>
        <w:rPr>
          <w:rFonts w:ascii="Times New Roman" w:hAnsi="Times New Roman" w:cs="Times New Roman" w:eastAsia="Times New Roman" w:hint="default"/>
        </w:rPr>
        <w:t>2</w:t>
      </w:r>
      <w:r>
        <w:rPr/>
        <w:t>）向国内金融机构融资。</w:t>
      </w:r>
    </w:p>
    <w:p>
      <w:pPr>
        <w:spacing w:line="240" w:lineRule="auto" w:before="4"/>
        <w:rPr>
          <w:rFonts w:ascii="宋体" w:hAnsi="宋体" w:cs="宋体" w:eastAsia="宋体" w:hint="default"/>
          <w:sz w:val="26"/>
          <w:szCs w:val="26"/>
        </w:rPr>
      </w:pPr>
    </w:p>
    <w:p>
      <w:pPr>
        <w:spacing w:line="312" w:lineRule="auto" w:before="0"/>
        <w:ind w:left="734" w:right="272"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、可能存在的风险因素</w:t>
      </w:r>
      <w:r>
        <w:rPr>
          <w:rFonts w:ascii="宋体" w:hAnsi="宋体" w:cs="宋体" w:eastAsia="宋体" w:hint="default"/>
          <w:b/>
          <w:bCs/>
          <w:w w:val="99"/>
          <w:sz w:val="24"/>
          <w:szCs w:val="24"/>
        </w:rPr>
        <w:t> </w:t>
      </w:r>
      <w:r>
        <w:rPr>
          <w:rFonts w:ascii="宋体" w:hAnsi="宋体" w:cs="宋体" w:eastAsia="宋体" w:hint="default"/>
          <w:sz w:val="24"/>
          <w:szCs w:val="24"/>
        </w:rPr>
        <w:t>应收账款余额较大引致的风险：公司最终用户为电力部门。电力工程建设周期较长，在</w:t>
      </w:r>
    </w:p>
    <w:p>
      <w:pPr>
        <w:pStyle w:val="BodyText"/>
        <w:spacing w:line="300" w:lineRule="auto" w:before="13"/>
        <w:ind w:left="254" w:right="408"/>
        <w:jc w:val="both"/>
      </w:pPr>
      <w:r>
        <w:rPr/>
        <w:t>下达订单以后，要经过设备安装、调试、验收等环节。一般情况下，公司客户在设备验收合</w:t>
      </w:r>
      <w:r>
        <w:rPr>
          <w:spacing w:val="-83"/>
        </w:rPr>
        <w:t> </w:t>
      </w:r>
      <w:r>
        <w:rPr>
          <w:spacing w:val="-83"/>
        </w:rPr>
      </w:r>
      <w:r>
        <w:rPr/>
        <w:t>格后一段时间内先付全部货款的 </w:t>
      </w:r>
      <w:r>
        <w:rPr>
          <w:rFonts w:ascii="Times New Roman" w:hAnsi="Times New Roman" w:cs="Times New Roman" w:eastAsia="Times New Roman" w:hint="default"/>
        </w:rPr>
        <w:t>90</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5"/>
        </w:rPr>
        <w:t>%</w:t>
      </w:r>
      <w:r>
        <w:rPr>
          <w:spacing w:val="-5"/>
        </w:rPr>
        <w:t>，在设备安全运行满一年后再付清余款。因此，随着公</w:t>
      </w:r>
      <w:r>
        <w:rPr>
          <w:spacing w:val="-1"/>
        </w:rPr>
        <w:t> </w:t>
      </w:r>
      <w:r>
        <w:rPr/>
        <w:t>司销售规模的扩大，公司应收账款金额逐年增大。如货款回收不及时，应收账款存在发生坏</w:t>
      </w:r>
      <w:r>
        <w:rPr>
          <w:spacing w:val="-83"/>
        </w:rPr>
        <w:t> </w:t>
      </w:r>
      <w:r>
        <w:rPr>
          <w:spacing w:val="-83"/>
        </w:rPr>
      </w:r>
      <w:r>
        <w:rPr/>
        <w:t>账损失的风险。</w:t>
      </w:r>
    </w:p>
    <w:p>
      <w:pPr>
        <w:pStyle w:val="BodyText"/>
        <w:spacing w:line="304" w:lineRule="auto" w:before="66"/>
        <w:ind w:left="254" w:right="272" w:firstLine="480"/>
        <w:jc w:val="left"/>
      </w:pPr>
      <w:r>
        <w:rPr/>
        <w:t>市场风险：公司主营产品为电缆分支箱类产品、硅橡胶绝缘制品、复合材料绝缘制品，</w:t>
      </w:r>
      <w:r>
        <w:rPr>
          <w:spacing w:val="1"/>
        </w:rPr>
        <w:t> </w:t>
      </w:r>
      <w:r>
        <w:rPr>
          <w:spacing w:val="-2"/>
        </w:rPr>
        <w:t>主要用于城乡电网改造及建设，业务增长依赖国内电力行业发展。公司采取差异化竞争战略，</w:t>
      </w:r>
      <w:r>
        <w:rPr/>
        <w:t> 利用高分子绝缘材料方面的优势，专业生产高可靠性配网装备。近几年来，国家改造、建设</w:t>
      </w:r>
      <w:r>
        <w:rPr>
          <w:spacing w:val="-83"/>
        </w:rPr>
        <w:t> </w:t>
      </w:r>
      <w:r>
        <w:rPr>
          <w:spacing w:val="-83"/>
        </w:rPr>
      </w:r>
      <w:r>
        <w:rPr/>
        <w:t>电网的投资力度不断加大，行业总体需求呈递增趋势。如果电力行业发展速度放缓，国家对</w:t>
      </w:r>
      <w:r>
        <w:rPr>
          <w:spacing w:val="-83"/>
        </w:rPr>
        <w:t> </w:t>
      </w:r>
      <w:r>
        <w:rPr>
          <w:spacing w:val="-83"/>
        </w:rPr>
      </w:r>
      <w:r>
        <w:rPr/>
        <w:t>电网投入减少，或者电网对高可靠性装备产品的需求减少，公司发展将受到较大影响。</w:t>
      </w:r>
    </w:p>
    <w:p>
      <w:pPr>
        <w:pStyle w:val="BodyText"/>
        <w:spacing w:line="304" w:lineRule="auto" w:before="61"/>
        <w:ind w:left="254" w:right="408" w:firstLine="480"/>
        <w:jc w:val="both"/>
      </w:pPr>
      <w:r>
        <w:rPr/>
        <w:t>技术风险：公司目前拥有的生产设备和生产技术均居国内同行领先水平，公司在行业内</w:t>
      </w:r>
      <w:r>
        <w:rPr>
          <w:spacing w:val="1"/>
        </w:rPr>
        <w:t> </w:t>
      </w:r>
      <w:r>
        <w:rPr/>
        <w:t>的竞争优势主要源于自身的技术进步和技术创新能力。但由于行业内的市场竞争和人才竞争</w:t>
      </w:r>
      <w:r>
        <w:rPr>
          <w:spacing w:val="-83"/>
        </w:rPr>
        <w:t> </w:t>
      </w:r>
      <w:r>
        <w:rPr>
          <w:spacing w:val="-83"/>
        </w:rPr>
      </w:r>
      <w:r>
        <w:rPr/>
        <w:t>日趋激烈，公司工艺技术存在被同行业企业仿效的风险。同时，随着技术更新换代速度的不</w:t>
      </w:r>
      <w:r>
        <w:rPr>
          <w:spacing w:val="-83"/>
        </w:rPr>
        <w:t> </w:t>
      </w:r>
      <w:r>
        <w:rPr>
          <w:spacing w:val="-83"/>
        </w:rPr>
      </w:r>
      <w:r>
        <w:rPr/>
        <w:t>断加快，公司也面临技术老化的风险。</w:t>
      </w:r>
    </w:p>
    <w:p>
      <w:pPr>
        <w:pStyle w:val="BodyText"/>
        <w:spacing w:line="304" w:lineRule="auto" w:before="60"/>
        <w:ind w:left="254" w:right="408" w:firstLine="480"/>
        <w:jc w:val="both"/>
      </w:pPr>
      <w:r>
        <w:rPr/>
        <w:t>管理风险：随着公司资产规模的逐渐扩大，经营活动渐趋复杂，公司生产技术要求的不</w:t>
      </w:r>
      <w:r>
        <w:rPr>
          <w:spacing w:val="1"/>
        </w:rPr>
        <w:t> </w:t>
      </w:r>
      <w:r>
        <w:rPr/>
        <w:t>断提高，销售网络相应扩张，客户需求增多，企业员工数量增加，新建项目陆续开工，这些</w:t>
      </w:r>
      <w:r>
        <w:rPr>
          <w:spacing w:val="-83"/>
        </w:rPr>
        <w:t> </w:t>
      </w:r>
      <w:r>
        <w:rPr>
          <w:spacing w:val="-83"/>
        </w:rPr>
      </w:r>
      <w:r>
        <w:rPr/>
        <w:t>都将对公司现有的管理制度、管理人员素质提出更高的要求。</w:t>
      </w:r>
    </w:p>
    <w:p>
      <w:pPr>
        <w:spacing w:line="296" w:lineRule="exact" w:before="0"/>
        <w:ind w:left="736" w:right="2590" w:firstLine="0"/>
        <w:jc w:val="left"/>
        <w:rPr>
          <w:rFonts w:ascii="宋体" w:hAnsi="宋体" w:cs="宋体" w:eastAsia="宋体" w:hint="default"/>
          <w:sz w:val="24"/>
          <w:szCs w:val="24"/>
        </w:rPr>
      </w:pPr>
      <w:r>
        <w:rPr>
          <w:rFonts w:ascii="宋体" w:hAnsi="宋体" w:cs="宋体" w:eastAsia="宋体" w:hint="default"/>
          <w:b/>
          <w:bCs/>
          <w:sz w:val="24"/>
          <w:szCs w:val="24"/>
        </w:rPr>
        <w:t>三、董事会日常工作情况</w:t>
      </w:r>
      <w:r>
        <w:rPr>
          <w:rFonts w:ascii="宋体" w:hAnsi="宋体" w:cs="宋体" w:eastAsia="宋体" w:hint="default"/>
          <w:sz w:val="24"/>
          <w:szCs w:val="24"/>
        </w:rPr>
      </w:r>
    </w:p>
    <w:p>
      <w:pPr>
        <w:spacing w:before="192"/>
        <w:ind w:left="736" w:right="2590"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82"/>
          <w:sz w:val="24"/>
          <w:szCs w:val="24"/>
        </w:rPr>
        <w:t> </w:t>
      </w:r>
      <w:r>
        <w:rPr>
          <w:rFonts w:ascii="宋体" w:hAnsi="宋体" w:cs="宋体" w:eastAsia="宋体" w:hint="default"/>
          <w:b/>
          <w:bCs/>
          <w:sz w:val="24"/>
          <w:szCs w:val="24"/>
        </w:rPr>
        <w:t>董事会会议情况及决议内容</w:t>
      </w:r>
      <w:r>
        <w:rPr>
          <w:rFonts w:ascii="宋体" w:hAnsi="宋体" w:cs="宋体" w:eastAsia="宋体" w:hint="default"/>
          <w:sz w:val="24"/>
          <w:szCs w:val="24"/>
        </w:rPr>
      </w:r>
    </w:p>
    <w:p>
      <w:pPr>
        <w:pStyle w:val="BodyText"/>
        <w:spacing w:line="240" w:lineRule="auto" w:before="192"/>
        <w:ind w:left="734" w:right="272"/>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24"/>
        </w:rPr>
        <w:t> </w:t>
      </w:r>
      <w:r>
        <w:rPr/>
        <w:t>年度，公司三届董事会共召开十次董事会会议，会议的召集、召开与表决程序符合</w:t>
      </w:r>
    </w:p>
    <w:p>
      <w:pPr>
        <w:pStyle w:val="BodyText"/>
        <w:spacing w:line="240" w:lineRule="auto" w:before="135"/>
        <w:ind w:left="254" w:right="0"/>
        <w:jc w:val="both"/>
      </w:pPr>
      <w:r>
        <w:rPr/>
        <w:t>《公司法》及《公司章程》等法律、法规和规范性文件的规定。</w:t>
      </w:r>
    </w:p>
    <w:p>
      <w:pPr>
        <w:spacing w:line="240" w:lineRule="auto" w:before="9"/>
        <w:rPr>
          <w:rFonts w:ascii="宋体" w:hAnsi="宋体" w:cs="宋体" w:eastAsia="宋体" w:hint="default"/>
          <w:sz w:val="17"/>
          <w:szCs w:val="17"/>
        </w:rPr>
      </w:pPr>
    </w:p>
    <w:tbl>
      <w:tblPr>
        <w:tblW w:w="0" w:type="auto"/>
        <w:jc w:val="left"/>
        <w:tblInd w:w="249" w:type="dxa"/>
        <w:tblLayout w:type="fixed"/>
        <w:tblCellMar>
          <w:top w:w="0" w:type="dxa"/>
          <w:left w:w="0" w:type="dxa"/>
          <w:bottom w:w="0" w:type="dxa"/>
          <w:right w:w="0" w:type="dxa"/>
        </w:tblCellMar>
        <w:tblLook w:val="01E0"/>
      </w:tblPr>
      <w:tblGrid>
        <w:gridCol w:w="1560"/>
        <w:gridCol w:w="1702"/>
        <w:gridCol w:w="5102"/>
        <w:gridCol w:w="1566"/>
      </w:tblGrid>
      <w:tr>
        <w:trPr>
          <w:trHeight w:val="376" w:hRule="exact"/>
        </w:trPr>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left="103" w:right="0"/>
              <w:jc w:val="left"/>
              <w:rPr>
                <w:rFonts w:ascii="宋体" w:hAnsi="宋体" w:cs="宋体" w:eastAsia="宋体" w:hint="default"/>
                <w:sz w:val="22"/>
                <w:szCs w:val="22"/>
              </w:rPr>
            </w:pPr>
            <w:r>
              <w:rPr>
                <w:rFonts w:ascii="宋体" w:hAnsi="宋体" w:cs="宋体" w:eastAsia="宋体" w:hint="default"/>
                <w:sz w:val="22"/>
                <w:szCs w:val="22"/>
              </w:rPr>
              <w:t>会议名称</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left="103" w:right="0"/>
              <w:jc w:val="left"/>
              <w:rPr>
                <w:rFonts w:ascii="宋体" w:hAnsi="宋体" w:cs="宋体" w:eastAsia="宋体" w:hint="default"/>
                <w:sz w:val="22"/>
                <w:szCs w:val="22"/>
              </w:rPr>
            </w:pPr>
            <w:r>
              <w:rPr>
                <w:rFonts w:ascii="宋体" w:hAnsi="宋体" w:cs="宋体" w:eastAsia="宋体" w:hint="default"/>
                <w:sz w:val="22"/>
                <w:szCs w:val="22"/>
              </w:rPr>
              <w:t>召开时间</w:t>
            </w:r>
          </w:p>
        </w:tc>
        <w:tc>
          <w:tcPr>
            <w:tcW w:w="5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left="101" w:right="0"/>
              <w:jc w:val="left"/>
              <w:rPr>
                <w:rFonts w:ascii="宋体" w:hAnsi="宋体" w:cs="宋体" w:eastAsia="宋体" w:hint="default"/>
                <w:sz w:val="22"/>
                <w:szCs w:val="22"/>
              </w:rPr>
            </w:pPr>
            <w:r>
              <w:rPr>
                <w:rFonts w:ascii="宋体" w:hAnsi="宋体" w:cs="宋体" w:eastAsia="宋体" w:hint="default"/>
                <w:sz w:val="22"/>
                <w:szCs w:val="22"/>
              </w:rPr>
              <w:t>决议内容</w:t>
            </w:r>
          </w:p>
        </w:tc>
        <w:tc>
          <w:tcPr>
            <w:tcW w:w="15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left="103" w:right="0"/>
              <w:jc w:val="left"/>
              <w:rPr>
                <w:rFonts w:ascii="宋体" w:hAnsi="宋体" w:cs="宋体" w:eastAsia="宋体" w:hint="default"/>
                <w:sz w:val="22"/>
                <w:szCs w:val="22"/>
              </w:rPr>
            </w:pPr>
            <w:r>
              <w:rPr>
                <w:rFonts w:ascii="宋体" w:hAnsi="宋体" w:cs="宋体" w:eastAsia="宋体" w:hint="default"/>
                <w:sz w:val="22"/>
                <w:szCs w:val="22"/>
              </w:rPr>
              <w:t>披露日期</w:t>
            </w:r>
          </w:p>
        </w:tc>
      </w:tr>
      <w:tr>
        <w:trPr>
          <w:trHeight w:val="75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三届二十二次会议</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16"/>
                <w:szCs w:val="16"/>
              </w:rPr>
            </w:pPr>
            <w:r>
              <w:rPr>
                <w:rFonts w:ascii="Times New Roman" w:hAnsi="Times New Roman" w:cs="Times New Roman" w:eastAsia="Times New Roman" w:hint="default"/>
                <w:sz w:val="16"/>
                <w:szCs w:val="16"/>
              </w:rPr>
              <w:t>2011  </w:t>
            </w:r>
            <w:r>
              <w:rPr>
                <w:rFonts w:ascii="宋体" w:hAnsi="宋体" w:cs="宋体" w:eastAsia="宋体" w:hint="default"/>
                <w:sz w:val="16"/>
                <w:szCs w:val="16"/>
              </w:rPr>
              <w:t>年 </w:t>
            </w:r>
            <w:r>
              <w:rPr>
                <w:rFonts w:ascii="Times New Roman" w:hAnsi="Times New Roman" w:cs="Times New Roman" w:eastAsia="Times New Roman" w:hint="default"/>
                <w:sz w:val="16"/>
                <w:szCs w:val="16"/>
              </w:rPr>
              <w:t>1  </w:t>
            </w:r>
            <w:r>
              <w:rPr>
                <w:rFonts w:ascii="宋体" w:hAnsi="宋体" w:cs="宋体" w:eastAsia="宋体" w:hint="default"/>
                <w:sz w:val="16"/>
                <w:szCs w:val="16"/>
              </w:rPr>
              <w:t>月 </w:t>
            </w: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29"/>
                <w:sz w:val="16"/>
                <w:szCs w:val="16"/>
              </w:rPr>
              <w:t> </w:t>
            </w:r>
            <w:r>
              <w:rPr>
                <w:rFonts w:ascii="宋体" w:hAnsi="宋体" w:cs="宋体" w:eastAsia="宋体" w:hint="default"/>
                <w:sz w:val="16"/>
                <w:szCs w:val="16"/>
              </w:rPr>
              <w:t>日</w:t>
            </w:r>
          </w:p>
        </w:tc>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 通过《关于修订公司章程部分条款的议案</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42" w:lineRule="exact"/>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 通过《关于召开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年</w:t>
            </w:r>
            <w:r>
              <w:rPr>
                <w:rFonts w:ascii="宋体" w:hAnsi="宋体" w:cs="宋体" w:eastAsia="宋体" w:hint="default"/>
                <w:sz w:val="18"/>
                <w:szCs w:val="18"/>
              </w:rPr>
              <w:t>第一次临时股东大会的议案</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月</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8</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w:t>
            </w:r>
          </w:p>
        </w:tc>
      </w:tr>
      <w:tr>
        <w:trPr>
          <w:trHeight w:val="1258"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三届二十三次会议</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01"/>
              <w:jc w:val="right"/>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25</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w:t>
            </w:r>
          </w:p>
        </w:tc>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17"/>
              <w:ind w:left="102" w:right="9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宋体" w:hAnsi="宋体" w:cs="宋体" w:eastAsia="宋体" w:hint="default"/>
                <w:spacing w:val="20"/>
                <w:sz w:val="18"/>
                <w:szCs w:val="18"/>
              </w:rPr>
              <w:t> </w:t>
            </w:r>
            <w:r>
              <w:rPr>
                <w:rFonts w:ascii="宋体" w:hAnsi="宋体" w:cs="宋体" w:eastAsia="宋体" w:hint="default"/>
                <w:sz w:val="18"/>
                <w:szCs w:val="18"/>
              </w:rPr>
              <w:t>通过《关于向全资子公司深圳市惠程高能能源科技有限公</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司增资投资建设“新型动力及储能电池生产线建设项目”的议</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0"/>
                <w:sz w:val="18"/>
                <w:szCs w:val="18"/>
              </w:rPr>
              <w:t>案》；</w:t>
            </w:r>
          </w:p>
          <w:p>
            <w:pPr>
              <w:pStyle w:val="TableParagraph"/>
              <w:spacing w:line="234" w:lineRule="exact" w:before="22"/>
              <w:ind w:left="102" w:right="99"/>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宋体" w:hAnsi="宋体" w:cs="宋体" w:eastAsia="宋体" w:hint="default"/>
                <w:spacing w:val="20"/>
                <w:sz w:val="18"/>
                <w:szCs w:val="18"/>
              </w:rPr>
              <w:t> </w:t>
            </w:r>
            <w:r>
              <w:rPr>
                <w:rFonts w:ascii="宋体" w:hAnsi="宋体" w:cs="宋体" w:eastAsia="宋体" w:hint="default"/>
                <w:sz w:val="18"/>
                <w:szCs w:val="18"/>
              </w:rPr>
              <w:t>通过《关于公司使用部分闲置募集资金暂时补充流动资金</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8"/>
                <w:sz w:val="18"/>
                <w:szCs w:val="18"/>
              </w:rPr>
              <w:t>的议案》。</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01"/>
              <w:jc w:val="right"/>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月</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26</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w:t>
            </w:r>
          </w:p>
        </w:tc>
      </w:tr>
    </w:tbl>
    <w:p>
      <w:pPr>
        <w:spacing w:after="0" w:line="240" w:lineRule="auto"/>
        <w:jc w:val="right"/>
        <w:rPr>
          <w:rFonts w:ascii="宋体" w:hAnsi="宋体" w:cs="宋体" w:eastAsia="宋体" w:hint="default"/>
          <w:sz w:val="16"/>
          <w:szCs w:val="16"/>
        </w:rPr>
        <w:sectPr>
          <w:pgSz w:w="11910" w:h="16840"/>
          <w:pgMar w:header="624" w:footer="711" w:top="1040" w:bottom="900" w:left="880" w:right="720"/>
        </w:sectPr>
      </w:pPr>
    </w:p>
    <w:p>
      <w:pPr>
        <w:spacing w:line="240" w:lineRule="auto" w:before="2"/>
        <w:rPr>
          <w:rFonts w:ascii="宋体" w:hAnsi="宋体" w:cs="宋体" w:eastAsia="宋体" w:hint="default"/>
          <w:sz w:val="29"/>
          <w:szCs w:val="29"/>
        </w:rPr>
      </w:pPr>
    </w:p>
    <w:tbl>
      <w:tblPr>
        <w:tblW w:w="0" w:type="auto"/>
        <w:jc w:val="left"/>
        <w:tblInd w:w="249" w:type="dxa"/>
        <w:tblLayout w:type="fixed"/>
        <w:tblCellMar>
          <w:top w:w="0" w:type="dxa"/>
          <w:left w:w="0" w:type="dxa"/>
          <w:bottom w:w="0" w:type="dxa"/>
          <w:right w:w="0" w:type="dxa"/>
        </w:tblCellMar>
        <w:tblLook w:val="01E0"/>
      </w:tblPr>
      <w:tblGrid>
        <w:gridCol w:w="1560"/>
        <w:gridCol w:w="1702"/>
        <w:gridCol w:w="5102"/>
        <w:gridCol w:w="1566"/>
      </w:tblGrid>
      <w:tr>
        <w:trPr>
          <w:trHeight w:val="382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62"/>
              <w:jc w:val="center"/>
              <w:rPr>
                <w:rFonts w:ascii="宋体" w:hAnsi="宋体" w:cs="宋体" w:eastAsia="宋体" w:hint="default"/>
                <w:sz w:val="16"/>
                <w:szCs w:val="16"/>
              </w:rPr>
            </w:pPr>
            <w:r>
              <w:rPr>
                <w:rFonts w:ascii="宋体" w:hAnsi="宋体" w:cs="宋体" w:eastAsia="宋体" w:hint="default"/>
                <w:sz w:val="16"/>
                <w:szCs w:val="16"/>
              </w:rPr>
              <w:t>三届二十四次会议</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101"/>
              <w:jc w:val="right"/>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月</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23</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w:t>
            </w:r>
          </w:p>
        </w:tc>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before="9"/>
              <w:ind w:left="101" w:right="0"/>
              <w:jc w:val="left"/>
              <w:rPr>
                <w:rFonts w:ascii="宋体" w:hAnsi="宋体" w:cs="宋体" w:eastAsia="宋体" w:hint="default"/>
                <w:sz w:val="18"/>
                <w:szCs w:val="18"/>
              </w:rPr>
            </w:pPr>
            <w:r>
              <w:rPr>
                <w:rFonts w:ascii="宋体" w:hAnsi="宋体" w:cs="宋体" w:eastAsia="宋体" w:hint="default"/>
                <w:sz w:val="18"/>
                <w:szCs w:val="18"/>
              </w:rPr>
              <w:t>一、 通过《总经理工作报告</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40" w:lineRule="auto"/>
              <w:ind w:left="101" w:right="308"/>
              <w:jc w:val="left"/>
              <w:rPr>
                <w:rFonts w:ascii="宋体" w:hAnsi="宋体" w:cs="宋体" w:eastAsia="宋体" w:hint="default"/>
                <w:sz w:val="18"/>
                <w:szCs w:val="18"/>
              </w:rPr>
            </w:pPr>
            <w:r>
              <w:rPr>
                <w:rFonts w:ascii="宋体" w:hAnsi="宋体" w:cs="宋体" w:eastAsia="宋体" w:hint="default"/>
                <w:sz w:val="18"/>
                <w:szCs w:val="18"/>
              </w:rPr>
              <w:t>二、 通过《董事会薪酬与考核委员会履职情况汇总报告</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 三、 通过《董事会审计委员会履职情况汇总报告</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32" w:lineRule="exact"/>
              <w:ind w:left="101" w:right="0"/>
              <w:jc w:val="left"/>
              <w:rPr>
                <w:rFonts w:ascii="宋体" w:hAnsi="宋体" w:cs="宋体" w:eastAsia="宋体" w:hint="default"/>
                <w:sz w:val="18"/>
                <w:szCs w:val="18"/>
              </w:rPr>
            </w:pPr>
            <w:r>
              <w:rPr>
                <w:rFonts w:ascii="宋体" w:hAnsi="宋体" w:cs="宋体" w:eastAsia="宋体" w:hint="default"/>
                <w:sz w:val="18"/>
                <w:szCs w:val="18"/>
              </w:rPr>
              <w:t>四、</w:t>
            </w:r>
            <w:r>
              <w:rPr>
                <w:rFonts w:ascii="宋体" w:hAnsi="宋体" w:cs="宋体" w:eastAsia="宋体" w:hint="default"/>
                <w:spacing w:val="26"/>
                <w:sz w:val="18"/>
                <w:szCs w:val="18"/>
              </w:rPr>
              <w:t> </w:t>
            </w:r>
            <w:r>
              <w:rPr>
                <w:rFonts w:ascii="宋体" w:hAnsi="宋体" w:cs="宋体" w:eastAsia="宋体" w:hint="default"/>
                <w:spacing w:val="3"/>
                <w:sz w:val="18"/>
                <w:szCs w:val="18"/>
              </w:rPr>
              <w:t>通过《关于续聘立信大华会计师事务所有限公司为公司</w:t>
            </w:r>
          </w:p>
          <w:p>
            <w:pPr>
              <w:pStyle w:val="TableParagraph"/>
              <w:spacing w:line="240" w:lineRule="exact"/>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年审计</w:t>
            </w:r>
            <w:r>
              <w:rPr>
                <w:rFonts w:ascii="宋体" w:hAnsi="宋体" w:cs="宋体" w:eastAsia="宋体" w:hint="default"/>
                <w:spacing w:val="1"/>
                <w:sz w:val="18"/>
                <w:szCs w:val="18"/>
              </w:rPr>
              <w:t>机</w:t>
            </w:r>
            <w:r>
              <w:rPr>
                <w:rFonts w:ascii="宋体" w:hAnsi="宋体" w:cs="宋体" w:eastAsia="宋体" w:hint="default"/>
                <w:sz w:val="18"/>
                <w:szCs w:val="18"/>
              </w:rPr>
              <w:t>构及确定支付报酬额度的议案</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32" w:lineRule="auto"/>
              <w:ind w:left="102" w:right="578"/>
              <w:jc w:val="left"/>
              <w:rPr>
                <w:rFonts w:ascii="宋体" w:hAnsi="宋体" w:cs="宋体" w:eastAsia="宋体" w:hint="default"/>
                <w:sz w:val="18"/>
                <w:szCs w:val="18"/>
              </w:rPr>
            </w:pPr>
            <w:r>
              <w:rPr>
                <w:rFonts w:ascii="宋体" w:hAnsi="宋体" w:cs="宋体" w:eastAsia="宋体" w:hint="default"/>
                <w:sz w:val="18"/>
                <w:szCs w:val="18"/>
              </w:rPr>
              <w:t>五、 听取独立董事关于续聘会计师事务所的独立意见； 六、 通过《关于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pacing w:val="-6"/>
                <w:sz w:val="18"/>
                <w:szCs w:val="18"/>
              </w:rPr>
              <w:t>年度内部控制的自我评价报告》；</w:t>
            </w:r>
            <w:r>
              <w:rPr>
                <w:rFonts w:ascii="宋体" w:hAnsi="宋体" w:cs="宋体" w:eastAsia="宋体" w:hint="default"/>
                <w:sz w:val="18"/>
                <w:szCs w:val="18"/>
              </w:rPr>
              <w:t> 七、 听取独立董事、保荐人对自我评价报告的意见； 八、 通过《</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pacing w:val="-9"/>
                <w:sz w:val="18"/>
                <w:szCs w:val="18"/>
              </w:rPr>
              <w:t>年度财务决算报告》；</w:t>
            </w:r>
          </w:p>
          <w:p>
            <w:pPr>
              <w:pStyle w:val="TableParagraph"/>
              <w:spacing w:line="226" w:lineRule="exact"/>
              <w:ind w:left="102" w:right="0"/>
              <w:jc w:val="left"/>
              <w:rPr>
                <w:rFonts w:ascii="宋体" w:hAnsi="宋体" w:cs="宋体" w:eastAsia="宋体" w:hint="default"/>
                <w:sz w:val="18"/>
                <w:szCs w:val="18"/>
              </w:rPr>
            </w:pPr>
            <w:r>
              <w:rPr>
                <w:rFonts w:ascii="宋体" w:hAnsi="宋体" w:cs="宋体" w:eastAsia="宋体" w:hint="default"/>
                <w:sz w:val="18"/>
                <w:szCs w:val="18"/>
              </w:rPr>
              <w:t>九、 通过《</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年度经营</w:t>
            </w:r>
            <w:r>
              <w:rPr>
                <w:rFonts w:ascii="宋体" w:hAnsi="宋体" w:cs="宋体" w:eastAsia="宋体" w:hint="default"/>
                <w:spacing w:val="1"/>
                <w:sz w:val="18"/>
                <w:szCs w:val="18"/>
              </w:rPr>
              <w:t>计</w:t>
            </w:r>
            <w:r>
              <w:rPr>
                <w:rFonts w:ascii="宋体" w:hAnsi="宋体" w:cs="宋体" w:eastAsia="宋体" w:hint="default"/>
                <w:sz w:val="18"/>
                <w:szCs w:val="18"/>
              </w:rPr>
              <w:t>划</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25" w:lineRule="auto" w:before="5"/>
              <w:ind w:left="102" w:right="12"/>
              <w:jc w:val="both"/>
              <w:rPr>
                <w:rFonts w:ascii="宋体" w:hAnsi="宋体" w:cs="宋体" w:eastAsia="宋体" w:hint="default"/>
                <w:sz w:val="18"/>
                <w:szCs w:val="18"/>
              </w:rPr>
            </w:pPr>
            <w:r>
              <w:rPr>
                <w:rFonts w:ascii="宋体" w:hAnsi="宋体" w:cs="宋体" w:eastAsia="宋体" w:hint="default"/>
                <w:sz w:val="18"/>
                <w:szCs w:val="18"/>
              </w:rPr>
              <w:t>十、</w:t>
            </w:r>
            <w:r>
              <w:rPr>
                <w:rFonts w:ascii="宋体" w:hAnsi="宋体" w:cs="宋体" w:eastAsia="宋体" w:hint="default"/>
                <w:spacing w:val="-51"/>
                <w:sz w:val="18"/>
                <w:szCs w:val="18"/>
              </w:rPr>
              <w:t> </w:t>
            </w:r>
            <w:r>
              <w:rPr>
                <w:rFonts w:ascii="宋体" w:hAnsi="宋体" w:cs="宋体" w:eastAsia="宋体" w:hint="default"/>
                <w:sz w:val="18"/>
                <w:szCs w:val="18"/>
              </w:rPr>
              <w:t>通</w:t>
            </w:r>
            <w:r>
              <w:rPr>
                <w:rFonts w:ascii="宋体" w:hAnsi="宋体" w:cs="宋体" w:eastAsia="宋体" w:hint="default"/>
                <w:spacing w:val="-51"/>
                <w:sz w:val="18"/>
                <w:szCs w:val="18"/>
              </w:rPr>
              <w:t>过</w:t>
            </w:r>
            <w:r>
              <w:rPr>
                <w:rFonts w:ascii="宋体" w:hAnsi="宋体" w:cs="宋体" w:eastAsia="宋体" w:hint="default"/>
                <w:sz w:val="18"/>
                <w:szCs w:val="18"/>
              </w:rPr>
              <w:t>《</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年度利润分配及资本公积金转增股本的预案</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 十一、 通过《关于募集资金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年度使用情况的专项报告</w:t>
            </w:r>
            <w:r>
              <w:rPr>
                <w:rFonts w:ascii="宋体" w:hAnsi="宋体" w:cs="宋体" w:eastAsia="宋体" w:hint="default"/>
                <w:spacing w:val="-89"/>
                <w:sz w:val="18"/>
                <w:szCs w:val="18"/>
              </w:rPr>
              <w:t>》</w:t>
            </w:r>
            <w:r>
              <w:rPr>
                <w:rFonts w:ascii="宋体" w:hAnsi="宋体" w:cs="宋体" w:eastAsia="宋体" w:hint="default"/>
                <w:sz w:val="18"/>
                <w:szCs w:val="18"/>
              </w:rPr>
              <w:t>；</w:t>
            </w:r>
            <w:r>
              <w:rPr>
                <w:rFonts w:ascii="宋体" w:hAnsi="宋体" w:cs="宋体" w:eastAsia="宋体" w:hint="default"/>
                <w:sz w:val="18"/>
                <w:szCs w:val="18"/>
              </w:rPr>
              <w:t> 十二、 通过《董事会工作报告</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41" w:lineRule="exact"/>
              <w:ind w:left="102" w:right="0"/>
              <w:jc w:val="left"/>
              <w:rPr>
                <w:rFonts w:ascii="宋体" w:hAnsi="宋体" w:cs="宋体" w:eastAsia="宋体" w:hint="default"/>
                <w:sz w:val="18"/>
                <w:szCs w:val="18"/>
              </w:rPr>
            </w:pPr>
            <w:r>
              <w:rPr>
                <w:rFonts w:ascii="宋体" w:hAnsi="宋体" w:cs="宋体" w:eastAsia="宋体" w:hint="default"/>
                <w:sz w:val="18"/>
                <w:szCs w:val="18"/>
              </w:rPr>
              <w:t>十三、 通过《</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年年度报告及其摘要</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34" w:lineRule="exact" w:before="15"/>
              <w:ind w:left="102" w:right="578"/>
              <w:jc w:val="left"/>
              <w:rPr>
                <w:rFonts w:ascii="宋体" w:hAnsi="宋体" w:cs="宋体" w:eastAsia="宋体" w:hint="default"/>
                <w:sz w:val="18"/>
                <w:szCs w:val="18"/>
              </w:rPr>
            </w:pPr>
            <w:r>
              <w:rPr>
                <w:rFonts w:ascii="宋体" w:hAnsi="宋体" w:cs="宋体" w:eastAsia="宋体" w:hint="default"/>
                <w:sz w:val="18"/>
                <w:szCs w:val="18"/>
              </w:rPr>
              <w:t>十四、 通过《关于召开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年年度股东大会的议案</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 十五、 通过《关于公司部分会计政策变更的议案</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101"/>
              <w:jc w:val="right"/>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月</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25</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w:t>
            </w:r>
          </w:p>
        </w:tc>
      </w:tr>
      <w:tr>
        <w:trPr>
          <w:trHeight w:val="215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6"/>
              <w:ind w:right="62"/>
              <w:jc w:val="center"/>
              <w:rPr>
                <w:rFonts w:ascii="宋体" w:hAnsi="宋体" w:cs="宋体" w:eastAsia="宋体" w:hint="default"/>
                <w:sz w:val="16"/>
                <w:szCs w:val="16"/>
              </w:rPr>
            </w:pPr>
            <w:r>
              <w:rPr>
                <w:rFonts w:ascii="宋体" w:hAnsi="宋体" w:cs="宋体" w:eastAsia="宋体" w:hint="default"/>
                <w:sz w:val="16"/>
                <w:szCs w:val="16"/>
              </w:rPr>
              <w:t>三届二十五次会议</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6"/>
              <w:ind w:right="101"/>
              <w:jc w:val="right"/>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月</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20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w:t>
            </w:r>
          </w:p>
        </w:tc>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101" w:right="0"/>
              <w:jc w:val="left"/>
              <w:rPr>
                <w:rFonts w:ascii="宋体" w:hAnsi="宋体" w:cs="宋体" w:eastAsia="宋体" w:hint="default"/>
                <w:sz w:val="18"/>
                <w:szCs w:val="18"/>
              </w:rPr>
            </w:pPr>
            <w:r>
              <w:rPr>
                <w:rFonts w:ascii="宋体" w:hAnsi="宋体" w:cs="宋体" w:eastAsia="宋体" w:hint="default"/>
                <w:sz w:val="18"/>
                <w:szCs w:val="18"/>
              </w:rPr>
              <w:t>一、 通过《</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年第一季</w:t>
            </w:r>
            <w:r>
              <w:rPr>
                <w:rFonts w:ascii="宋体" w:hAnsi="宋体" w:cs="宋体" w:eastAsia="宋体" w:hint="default"/>
                <w:spacing w:val="1"/>
                <w:sz w:val="18"/>
                <w:szCs w:val="18"/>
              </w:rPr>
              <w:t>度</w:t>
            </w:r>
            <w:r>
              <w:rPr>
                <w:rFonts w:ascii="宋体" w:hAnsi="宋体" w:cs="宋体" w:eastAsia="宋体" w:hint="default"/>
                <w:sz w:val="18"/>
                <w:szCs w:val="18"/>
              </w:rPr>
              <w:t>报告</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32" w:lineRule="exact" w:before="17"/>
              <w:ind w:left="102" w:right="102"/>
              <w:jc w:val="left"/>
              <w:rPr>
                <w:rFonts w:ascii="宋体" w:hAnsi="宋体" w:cs="宋体" w:eastAsia="宋体" w:hint="default"/>
                <w:sz w:val="18"/>
                <w:szCs w:val="18"/>
              </w:rPr>
            </w:pPr>
            <w:r>
              <w:rPr>
                <w:rFonts w:ascii="宋体" w:hAnsi="宋体" w:cs="宋体" w:eastAsia="宋体" w:hint="default"/>
                <w:sz w:val="18"/>
                <w:szCs w:val="18"/>
              </w:rPr>
              <w:t>二、</w:t>
            </w:r>
            <w:r>
              <w:rPr>
                <w:rFonts w:ascii="宋体" w:hAnsi="宋体" w:cs="宋体" w:eastAsia="宋体" w:hint="default"/>
                <w:spacing w:val="-60"/>
                <w:sz w:val="18"/>
                <w:szCs w:val="18"/>
              </w:rPr>
              <w:t> </w:t>
            </w:r>
            <w:r>
              <w:rPr>
                <w:rFonts w:ascii="宋体" w:hAnsi="宋体" w:cs="宋体" w:eastAsia="宋体" w:hint="default"/>
                <w:sz w:val="18"/>
                <w:szCs w:val="18"/>
              </w:rPr>
              <w:t>通过《关于用募集资金置换已预先投入募集资金投资项目</w:t>
            </w:r>
            <w:r>
              <w:rPr>
                <w:rFonts w:ascii="宋体" w:hAnsi="宋体" w:cs="宋体" w:eastAsia="宋体" w:hint="default"/>
                <w:sz w:val="18"/>
                <w:szCs w:val="18"/>
              </w:rPr>
              <w:t> </w:t>
            </w:r>
            <w:r>
              <w:rPr>
                <w:rFonts w:ascii="宋体" w:hAnsi="宋体" w:cs="宋体" w:eastAsia="宋体" w:hint="default"/>
                <w:spacing w:val="-10"/>
                <w:sz w:val="18"/>
                <w:szCs w:val="18"/>
              </w:rPr>
              <w:t>自筹资金的议案》；</w:t>
            </w:r>
          </w:p>
          <w:p>
            <w:pPr>
              <w:pStyle w:val="TableParagraph"/>
              <w:spacing w:line="232" w:lineRule="exact" w:before="2"/>
              <w:ind w:left="101" w:right="102"/>
              <w:jc w:val="left"/>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59"/>
                <w:sz w:val="18"/>
                <w:szCs w:val="18"/>
              </w:rPr>
              <w:t> </w:t>
            </w:r>
            <w:r>
              <w:rPr>
                <w:rFonts w:ascii="宋体" w:hAnsi="宋体" w:cs="宋体" w:eastAsia="宋体" w:hint="default"/>
                <w:sz w:val="18"/>
                <w:szCs w:val="18"/>
              </w:rPr>
              <w:t>通过《批准江西先材在南昌高新技术产业开发区投资建设</w:t>
            </w:r>
            <w:r>
              <w:rPr>
                <w:rFonts w:ascii="宋体" w:hAnsi="宋体" w:cs="宋体" w:eastAsia="宋体" w:hint="default"/>
                <w:sz w:val="18"/>
                <w:szCs w:val="18"/>
              </w:rPr>
              <w:t> 年产 </w:t>
            </w:r>
            <w:r>
              <w:rPr>
                <w:rFonts w:ascii="Times New Roman" w:hAnsi="Times New Roman" w:cs="Times New Roman" w:eastAsia="Times New Roman" w:hint="default"/>
                <w:sz w:val="18"/>
                <w:szCs w:val="18"/>
              </w:rPr>
              <w:t>2 </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亿平方米聚酰亚胺</w:t>
            </w:r>
            <w:r>
              <w:rPr>
                <w:rFonts w:ascii="Times New Roman" w:hAnsi="Times New Roman" w:cs="Times New Roman" w:eastAsia="Times New Roman" w:hint="default"/>
                <w:sz w:val="18"/>
                <w:szCs w:val="18"/>
              </w:rPr>
              <w:t>(PI)</w:t>
            </w:r>
            <w:r>
              <w:rPr>
                <w:rFonts w:ascii="宋体" w:hAnsi="宋体" w:cs="宋体" w:eastAsia="宋体" w:hint="default"/>
                <w:sz w:val="18"/>
                <w:szCs w:val="18"/>
              </w:rPr>
              <w:t>纳米纤维电池隔膜产品生产基地</w:t>
            </w:r>
          </w:p>
          <w:p>
            <w:pPr>
              <w:pStyle w:val="TableParagraph"/>
              <w:spacing w:line="232" w:lineRule="exact" w:before="2"/>
              <w:ind w:left="101" w:right="1298"/>
              <w:jc w:val="left"/>
              <w:rPr>
                <w:rFonts w:ascii="宋体" w:hAnsi="宋体" w:cs="宋体" w:eastAsia="宋体" w:hint="default"/>
                <w:sz w:val="18"/>
                <w:szCs w:val="18"/>
              </w:rPr>
            </w:pPr>
            <w:r>
              <w:rPr>
                <w:rFonts w:ascii="宋体" w:hAnsi="宋体" w:cs="宋体" w:eastAsia="宋体" w:hint="default"/>
                <w:spacing w:val="-5"/>
                <w:sz w:val="18"/>
                <w:szCs w:val="18"/>
              </w:rPr>
              <w:t>事宜并授权董事长吕晓义先生签署相关协议》；</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四、 通过修订《公司章程》部分条款的议案；</w:t>
            </w:r>
          </w:p>
          <w:p>
            <w:pPr>
              <w:pStyle w:val="TableParagraph"/>
              <w:spacing w:line="227" w:lineRule="exact"/>
              <w:ind w:left="101" w:right="0"/>
              <w:jc w:val="left"/>
              <w:rPr>
                <w:rFonts w:ascii="宋体" w:hAnsi="宋体" w:cs="宋体" w:eastAsia="宋体" w:hint="default"/>
                <w:sz w:val="18"/>
                <w:szCs w:val="18"/>
              </w:rPr>
            </w:pPr>
            <w:r>
              <w:rPr>
                <w:rFonts w:ascii="宋体" w:hAnsi="宋体" w:cs="宋体" w:eastAsia="宋体" w:hint="default"/>
                <w:sz w:val="18"/>
                <w:szCs w:val="18"/>
              </w:rPr>
              <w:t>五、</w:t>
            </w:r>
            <w:r>
              <w:rPr>
                <w:rFonts w:ascii="宋体" w:hAnsi="宋体" w:cs="宋体" w:eastAsia="宋体" w:hint="default"/>
                <w:spacing w:val="-4"/>
                <w:sz w:val="18"/>
                <w:szCs w:val="18"/>
              </w:rPr>
              <w:t> </w:t>
            </w:r>
            <w:r>
              <w:rPr>
                <w:rFonts w:ascii="宋体" w:hAnsi="宋体" w:cs="宋体" w:eastAsia="宋体" w:hint="default"/>
                <w:sz w:val="18"/>
                <w:szCs w:val="18"/>
              </w:rPr>
              <w:t>通过关于召开</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年第二次临时股东大会的议案。</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6"/>
              <w:ind w:right="101"/>
              <w:jc w:val="right"/>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月</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21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w:t>
            </w:r>
          </w:p>
        </w:tc>
      </w:tr>
      <w:tr>
        <w:trPr>
          <w:trHeight w:val="242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62"/>
              <w:jc w:val="center"/>
              <w:rPr>
                <w:rFonts w:ascii="宋体" w:hAnsi="宋体" w:cs="宋体" w:eastAsia="宋体" w:hint="default"/>
                <w:sz w:val="16"/>
                <w:szCs w:val="16"/>
              </w:rPr>
            </w:pPr>
            <w:r>
              <w:rPr>
                <w:rFonts w:ascii="宋体" w:hAnsi="宋体" w:cs="宋体" w:eastAsia="宋体" w:hint="default"/>
                <w:sz w:val="16"/>
                <w:szCs w:val="16"/>
              </w:rPr>
              <w:t>三届二十六次会议</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right="101"/>
              <w:jc w:val="right"/>
              <w:rPr>
                <w:rFonts w:ascii="宋体" w:hAnsi="宋体" w:cs="宋体" w:eastAsia="宋体" w:hint="default"/>
                <w:sz w:val="16"/>
                <w:szCs w:val="16"/>
              </w:rPr>
            </w:pPr>
            <w:r>
              <w:rPr>
                <w:rFonts w:ascii="Calibri" w:hAnsi="Calibri" w:cs="Calibri" w:eastAsia="Calibri" w:hint="default"/>
                <w:sz w:val="16"/>
                <w:szCs w:val="16"/>
              </w:rPr>
              <w:t>2011 </w:t>
            </w:r>
            <w:r>
              <w:rPr>
                <w:rFonts w:ascii="宋体" w:hAnsi="宋体" w:cs="宋体" w:eastAsia="宋体" w:hint="default"/>
                <w:sz w:val="16"/>
                <w:szCs w:val="16"/>
              </w:rPr>
              <w:t>年 </w:t>
            </w:r>
            <w:r>
              <w:rPr>
                <w:rFonts w:ascii="Calibri" w:hAnsi="Calibri" w:cs="Calibri" w:eastAsia="Calibri" w:hint="default"/>
                <w:sz w:val="16"/>
                <w:szCs w:val="16"/>
              </w:rPr>
              <w:t>5  </w:t>
            </w:r>
            <w:r>
              <w:rPr>
                <w:rFonts w:ascii="宋体" w:hAnsi="宋体" w:cs="宋体" w:eastAsia="宋体" w:hint="default"/>
                <w:sz w:val="16"/>
                <w:szCs w:val="16"/>
              </w:rPr>
              <w:t>月 </w:t>
            </w:r>
            <w:r>
              <w:rPr>
                <w:rFonts w:ascii="Calibri" w:hAnsi="Calibri" w:cs="Calibri" w:eastAsia="Calibri" w:hint="default"/>
                <w:sz w:val="16"/>
                <w:szCs w:val="16"/>
              </w:rPr>
              <w:t>23 </w:t>
            </w:r>
            <w:r>
              <w:rPr>
                <w:rFonts w:ascii="Calibri" w:hAnsi="Calibri" w:cs="Calibri" w:eastAsia="Calibri" w:hint="default"/>
                <w:spacing w:val="12"/>
                <w:sz w:val="16"/>
                <w:szCs w:val="16"/>
              </w:rPr>
              <w:t> </w:t>
            </w:r>
            <w:r>
              <w:rPr>
                <w:rFonts w:ascii="宋体" w:hAnsi="宋体" w:cs="宋体" w:eastAsia="宋体" w:hint="default"/>
                <w:sz w:val="16"/>
                <w:szCs w:val="16"/>
              </w:rPr>
              <w:t>日</w:t>
            </w:r>
          </w:p>
        </w:tc>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308"/>
              <w:jc w:val="left"/>
              <w:rPr>
                <w:rFonts w:ascii="宋体" w:hAnsi="宋体" w:cs="宋体" w:eastAsia="宋体" w:hint="default"/>
                <w:sz w:val="18"/>
                <w:szCs w:val="18"/>
              </w:rPr>
            </w:pPr>
            <w:r>
              <w:rPr>
                <w:rFonts w:ascii="宋体" w:hAnsi="宋体" w:cs="宋体" w:eastAsia="宋体" w:hint="default"/>
                <w:sz w:val="18"/>
                <w:szCs w:val="18"/>
              </w:rPr>
              <w:t>一、 通过《关于聘任桑玉贵先生为公司副总经理的议案</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 二、 通过《关于聘任公司财务负责人的议案</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39" w:lineRule="exact"/>
              <w:ind w:left="101"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三、 通过《关于向兴业银行股份有限公司深圳沙井支行申请</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1</w:t>
            </w:r>
          </w:p>
          <w:p>
            <w:pPr>
              <w:pStyle w:val="TableParagraph"/>
              <w:spacing w:line="227" w:lineRule="exact"/>
              <w:ind w:left="101" w:right="0"/>
              <w:jc w:val="both"/>
              <w:rPr>
                <w:rFonts w:ascii="宋体" w:hAnsi="宋体" w:cs="宋体" w:eastAsia="宋体" w:hint="default"/>
                <w:sz w:val="18"/>
                <w:szCs w:val="18"/>
              </w:rPr>
            </w:pPr>
            <w:r>
              <w:rPr>
                <w:rFonts w:ascii="宋体" w:hAnsi="宋体" w:cs="宋体" w:eastAsia="宋体" w:hint="default"/>
                <w:sz w:val="18"/>
                <w:szCs w:val="18"/>
              </w:rPr>
              <w:t>亿元授信额度的议案</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30" w:lineRule="auto" w:before="7"/>
              <w:ind w:left="101" w:right="102"/>
              <w:jc w:val="both"/>
              <w:rPr>
                <w:rFonts w:ascii="宋体" w:hAnsi="宋体" w:cs="宋体" w:eastAsia="宋体" w:hint="default"/>
                <w:sz w:val="18"/>
                <w:szCs w:val="18"/>
              </w:rPr>
            </w:pPr>
            <w:r>
              <w:rPr>
                <w:rFonts w:ascii="宋体" w:hAnsi="宋体" w:cs="宋体" w:eastAsia="宋体" w:hint="default"/>
                <w:sz w:val="18"/>
                <w:szCs w:val="18"/>
              </w:rPr>
              <w:t>四、</w:t>
            </w:r>
            <w:r>
              <w:rPr>
                <w:rFonts w:ascii="宋体" w:hAnsi="宋体" w:cs="宋体" w:eastAsia="宋体" w:hint="default"/>
                <w:spacing w:val="-59"/>
                <w:sz w:val="18"/>
                <w:szCs w:val="18"/>
              </w:rPr>
              <w:t> </w:t>
            </w:r>
            <w:r>
              <w:rPr>
                <w:rFonts w:ascii="宋体" w:hAnsi="宋体" w:cs="宋体" w:eastAsia="宋体" w:hint="default"/>
                <w:sz w:val="18"/>
                <w:szCs w:val="18"/>
              </w:rPr>
              <w:t>通过《批准江西先材在南昌高新技术产业开发区投资建设</w:t>
            </w:r>
            <w:r>
              <w:rPr>
                <w:rFonts w:ascii="宋体" w:hAnsi="宋体" w:cs="宋体" w:eastAsia="宋体" w:hint="default"/>
                <w:sz w:val="18"/>
                <w:szCs w:val="18"/>
              </w:rPr>
              <w:t> 年产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亿平方米聚酰亚胺</w:t>
            </w:r>
            <w:r>
              <w:rPr>
                <w:rFonts w:ascii="Times New Roman" w:hAnsi="Times New Roman" w:cs="Times New Roman" w:eastAsia="Times New Roman" w:hint="default"/>
                <w:sz w:val="18"/>
                <w:szCs w:val="18"/>
              </w:rPr>
              <w:t>(PI)</w:t>
            </w:r>
            <w:r>
              <w:rPr>
                <w:rFonts w:ascii="宋体" w:hAnsi="宋体" w:cs="宋体" w:eastAsia="宋体" w:hint="default"/>
                <w:sz w:val="18"/>
                <w:szCs w:val="18"/>
              </w:rPr>
              <w:t>纳米纤维电池隔膜产品生产基地 </w:t>
            </w:r>
            <w:r>
              <w:rPr>
                <w:rFonts w:ascii="宋体" w:hAnsi="宋体" w:cs="宋体" w:eastAsia="宋体" w:hint="default"/>
                <w:spacing w:val="-5"/>
                <w:sz w:val="18"/>
                <w:szCs w:val="18"/>
              </w:rPr>
              <w:t>事宜并授权董事长吕晓义先生签署相关协议》；</w:t>
            </w:r>
          </w:p>
          <w:p>
            <w:pPr>
              <w:pStyle w:val="TableParagraph"/>
              <w:spacing w:line="232" w:lineRule="exact" w:before="24"/>
              <w:ind w:left="101" w:right="102"/>
              <w:jc w:val="left"/>
              <w:rPr>
                <w:rFonts w:ascii="宋体" w:hAnsi="宋体" w:cs="宋体" w:eastAsia="宋体" w:hint="default"/>
                <w:sz w:val="18"/>
                <w:szCs w:val="18"/>
              </w:rPr>
            </w:pPr>
            <w:r>
              <w:rPr>
                <w:rFonts w:ascii="宋体" w:hAnsi="宋体" w:cs="宋体" w:eastAsia="宋体" w:hint="default"/>
                <w:sz w:val="18"/>
                <w:szCs w:val="18"/>
              </w:rPr>
              <w:t>五、</w:t>
            </w:r>
            <w:r>
              <w:rPr>
                <w:rFonts w:ascii="宋体" w:hAnsi="宋体" w:cs="宋体" w:eastAsia="宋体" w:hint="default"/>
                <w:spacing w:val="-59"/>
                <w:sz w:val="18"/>
                <w:szCs w:val="18"/>
              </w:rPr>
              <w:t> </w:t>
            </w:r>
            <w:r>
              <w:rPr>
                <w:rFonts w:ascii="宋体" w:hAnsi="宋体" w:cs="宋体" w:eastAsia="宋体" w:hint="default"/>
                <w:sz w:val="18"/>
                <w:szCs w:val="18"/>
              </w:rPr>
              <w:t>通过《关于向间接控股子公司江西先材纳米纤维科技有限</w:t>
            </w:r>
            <w:r>
              <w:rPr>
                <w:rFonts w:ascii="宋体" w:hAnsi="宋体" w:cs="宋体" w:eastAsia="宋体" w:hint="default"/>
                <w:sz w:val="18"/>
                <w:szCs w:val="18"/>
              </w:rPr>
              <w:t> </w:t>
            </w:r>
            <w:r>
              <w:rPr>
                <w:rFonts w:ascii="宋体" w:hAnsi="宋体" w:cs="宋体" w:eastAsia="宋体" w:hint="default"/>
                <w:spacing w:val="-10"/>
                <w:sz w:val="18"/>
                <w:szCs w:val="18"/>
              </w:rPr>
              <w:t>公司增资的议案》；</w:t>
            </w:r>
          </w:p>
          <w:p>
            <w:pPr>
              <w:pStyle w:val="TableParagraph"/>
              <w:spacing w:line="227" w:lineRule="exact"/>
              <w:ind w:left="101" w:right="0"/>
              <w:jc w:val="both"/>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4"/>
                <w:sz w:val="18"/>
                <w:szCs w:val="18"/>
              </w:rPr>
              <w:t> </w:t>
            </w:r>
            <w:r>
              <w:rPr>
                <w:rFonts w:ascii="宋体" w:hAnsi="宋体" w:cs="宋体" w:eastAsia="宋体" w:hint="default"/>
                <w:sz w:val="18"/>
                <w:szCs w:val="18"/>
              </w:rPr>
              <w:t>通过关于召开</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年第二次临时股东大会的议案。</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月</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24</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w:t>
            </w:r>
          </w:p>
        </w:tc>
      </w:tr>
      <w:tr>
        <w:trPr>
          <w:trHeight w:val="172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62"/>
              <w:jc w:val="center"/>
              <w:rPr>
                <w:rFonts w:ascii="宋体" w:hAnsi="宋体" w:cs="宋体" w:eastAsia="宋体" w:hint="default"/>
                <w:sz w:val="16"/>
                <w:szCs w:val="16"/>
              </w:rPr>
            </w:pPr>
            <w:r>
              <w:rPr>
                <w:rFonts w:ascii="宋体" w:hAnsi="宋体" w:cs="宋体" w:eastAsia="宋体" w:hint="default"/>
                <w:sz w:val="16"/>
                <w:szCs w:val="16"/>
              </w:rPr>
              <w:t>三届二十七次会议</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1"/>
              <w:jc w:val="right"/>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8</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月</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17</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w:t>
            </w:r>
          </w:p>
        </w:tc>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32"/>
              <w:ind w:left="102" w:right="1307"/>
              <w:jc w:val="left"/>
              <w:rPr>
                <w:rFonts w:ascii="宋体" w:hAnsi="宋体" w:cs="宋体" w:eastAsia="宋体" w:hint="default"/>
                <w:sz w:val="18"/>
                <w:szCs w:val="18"/>
              </w:rPr>
            </w:pPr>
            <w:r>
              <w:rPr>
                <w:rFonts w:ascii="宋体" w:hAnsi="宋体" w:cs="宋体" w:eastAsia="宋体" w:hint="default"/>
                <w:sz w:val="18"/>
                <w:szCs w:val="18"/>
              </w:rPr>
              <w:t>一、 通过《公司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年半</w:t>
            </w:r>
            <w:r>
              <w:rPr>
                <w:rFonts w:ascii="宋体" w:hAnsi="宋体" w:cs="宋体" w:eastAsia="宋体" w:hint="default"/>
                <w:spacing w:val="1"/>
                <w:sz w:val="18"/>
                <w:szCs w:val="18"/>
              </w:rPr>
              <w:t>年</w:t>
            </w:r>
            <w:r>
              <w:rPr>
                <w:rFonts w:ascii="宋体" w:hAnsi="宋体" w:cs="宋体" w:eastAsia="宋体" w:hint="default"/>
                <w:sz w:val="18"/>
                <w:szCs w:val="18"/>
              </w:rPr>
              <w:t>度报告及摘要</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 二、 通过《公司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年半</w:t>
            </w:r>
            <w:r>
              <w:rPr>
                <w:rFonts w:ascii="宋体" w:hAnsi="宋体" w:cs="宋体" w:eastAsia="宋体" w:hint="default"/>
                <w:spacing w:val="1"/>
                <w:sz w:val="18"/>
                <w:szCs w:val="18"/>
              </w:rPr>
              <w:t>年</w:t>
            </w:r>
            <w:r>
              <w:rPr>
                <w:rFonts w:ascii="宋体" w:hAnsi="宋体" w:cs="宋体" w:eastAsia="宋体" w:hint="default"/>
                <w:sz w:val="18"/>
                <w:szCs w:val="18"/>
              </w:rPr>
              <w:t>度财务报告</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11" w:lineRule="exact"/>
              <w:ind w:left="102" w:right="0"/>
              <w:jc w:val="both"/>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66"/>
                <w:sz w:val="18"/>
                <w:szCs w:val="18"/>
              </w:rPr>
              <w:t> </w:t>
            </w:r>
            <w:r>
              <w:rPr>
                <w:rFonts w:ascii="宋体" w:hAnsi="宋体" w:cs="宋体" w:eastAsia="宋体" w:hint="default"/>
                <w:sz w:val="18"/>
                <w:szCs w:val="18"/>
              </w:rPr>
              <w:t>通过《关于公司再次使用部分闲置募集资金暂时补充流动</w:t>
            </w:r>
          </w:p>
          <w:p>
            <w:pPr>
              <w:pStyle w:val="TableParagraph"/>
              <w:spacing w:line="234" w:lineRule="exact"/>
              <w:ind w:left="102" w:right="0"/>
              <w:jc w:val="both"/>
              <w:rPr>
                <w:rFonts w:ascii="宋体" w:hAnsi="宋体" w:cs="宋体" w:eastAsia="宋体" w:hint="default"/>
                <w:sz w:val="18"/>
                <w:szCs w:val="18"/>
              </w:rPr>
            </w:pPr>
            <w:r>
              <w:rPr>
                <w:rFonts w:ascii="宋体" w:hAnsi="宋体" w:cs="宋体" w:eastAsia="宋体" w:hint="default"/>
                <w:sz w:val="18"/>
                <w:szCs w:val="18"/>
              </w:rPr>
              <w:t>资金的议案</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30" w:lineRule="auto" w:before="7"/>
              <w:ind w:left="102" w:right="101"/>
              <w:jc w:val="both"/>
              <w:rPr>
                <w:rFonts w:ascii="宋体" w:hAnsi="宋体" w:cs="宋体" w:eastAsia="宋体" w:hint="default"/>
                <w:sz w:val="18"/>
                <w:szCs w:val="18"/>
              </w:rPr>
            </w:pPr>
            <w:r>
              <w:rPr>
                <w:rFonts w:ascii="宋体" w:hAnsi="宋体" w:cs="宋体" w:eastAsia="宋体" w:hint="default"/>
                <w:sz w:val="18"/>
                <w:szCs w:val="18"/>
              </w:rPr>
              <w:t>四、 通过《关于向深圳发展银行深圳坪山新区支行申请</w:t>
            </w:r>
            <w:r>
              <w:rPr>
                <w:rFonts w:ascii="宋体" w:hAnsi="宋体" w:cs="宋体" w:eastAsia="宋体" w:hint="default"/>
                <w:spacing w:val="19"/>
                <w:sz w:val="18"/>
                <w:szCs w:val="18"/>
              </w:rPr>
              <w:t> </w:t>
            </w:r>
            <w:r>
              <w:rPr>
                <w:rFonts w:ascii="Times New Roman" w:hAnsi="Times New Roman" w:cs="Times New Roman" w:eastAsia="Times New Roman" w:hint="default"/>
                <w:sz w:val="18"/>
                <w:szCs w:val="18"/>
              </w:rPr>
              <w:t>5000 </w:t>
            </w:r>
            <w:r>
              <w:rPr>
                <w:rFonts w:ascii="宋体" w:hAnsi="宋体" w:cs="宋体" w:eastAsia="宋体" w:hint="default"/>
                <w:sz w:val="18"/>
                <w:szCs w:val="18"/>
              </w:rPr>
              <w:t>万元人民币综合授信额度、向中国银行股份有限公司深圳坑梓</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支行申请</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6000</w:t>
            </w:r>
            <w:r>
              <w:rPr>
                <w:rFonts w:ascii="Times New Roman" w:hAnsi="Times New Roman" w:cs="Times New Roman" w:eastAsia="Times New Roman" w:hint="default"/>
                <w:spacing w:val="4"/>
                <w:sz w:val="18"/>
                <w:szCs w:val="18"/>
              </w:rPr>
              <w:t> </w:t>
            </w:r>
            <w:r>
              <w:rPr>
                <w:rFonts w:ascii="宋体" w:hAnsi="宋体" w:cs="宋体" w:eastAsia="宋体" w:hint="default"/>
                <w:spacing w:val="-7"/>
                <w:sz w:val="18"/>
                <w:szCs w:val="18"/>
              </w:rPr>
              <w:t>万元人民币授信额度的议案》。</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2"/>
              <w:jc w:val="right"/>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8</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月</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w:t>
            </w:r>
          </w:p>
        </w:tc>
      </w:tr>
      <w:tr>
        <w:trPr>
          <w:trHeight w:val="558"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1"/>
                <w:szCs w:val="11"/>
              </w:rPr>
            </w:pPr>
          </w:p>
          <w:p>
            <w:pPr>
              <w:pStyle w:val="TableParagraph"/>
              <w:spacing w:line="240" w:lineRule="auto"/>
              <w:ind w:right="62"/>
              <w:jc w:val="center"/>
              <w:rPr>
                <w:rFonts w:ascii="宋体" w:hAnsi="宋体" w:cs="宋体" w:eastAsia="宋体" w:hint="default"/>
                <w:sz w:val="16"/>
                <w:szCs w:val="16"/>
              </w:rPr>
            </w:pPr>
            <w:r>
              <w:rPr>
                <w:rFonts w:ascii="宋体" w:hAnsi="宋体" w:cs="宋体" w:eastAsia="宋体" w:hint="default"/>
                <w:sz w:val="16"/>
                <w:szCs w:val="16"/>
              </w:rPr>
              <w:t>三届二十八次会议</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9</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月</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27</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w:t>
            </w:r>
          </w:p>
        </w:tc>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128"/>
              <w:jc w:val="left"/>
              <w:rPr>
                <w:rFonts w:ascii="宋体" w:hAnsi="宋体" w:cs="宋体" w:eastAsia="宋体" w:hint="default"/>
                <w:sz w:val="18"/>
                <w:szCs w:val="18"/>
              </w:rPr>
            </w:pPr>
            <w:r>
              <w:rPr>
                <w:rFonts w:ascii="宋体" w:hAnsi="宋体" w:cs="宋体" w:eastAsia="宋体" w:hint="default"/>
                <w:sz w:val="18"/>
                <w:szCs w:val="18"/>
              </w:rPr>
              <w:t>一、</w:t>
            </w:r>
            <w:r>
              <w:rPr>
                <w:rFonts w:ascii="宋体" w:hAnsi="宋体" w:cs="宋体" w:eastAsia="宋体" w:hint="default"/>
                <w:spacing w:val="8"/>
                <w:sz w:val="18"/>
                <w:szCs w:val="18"/>
              </w:rPr>
              <w:t> </w:t>
            </w:r>
            <w:r>
              <w:rPr>
                <w:rFonts w:ascii="宋体" w:hAnsi="宋体" w:cs="宋体" w:eastAsia="宋体" w:hint="default"/>
                <w:spacing w:val="-4"/>
                <w:sz w:val="18"/>
                <w:szCs w:val="18"/>
              </w:rPr>
              <w:t>通过《关于内部控制规则落实情况自查表及整改计划》；</w:t>
            </w:r>
            <w:r>
              <w:rPr>
                <w:rFonts w:ascii="宋体" w:hAnsi="宋体" w:cs="宋体" w:eastAsia="宋体" w:hint="default"/>
                <w:sz w:val="18"/>
                <w:szCs w:val="18"/>
              </w:rPr>
              <w:t> 二、 组织关于进行内幕交易防控及相关制度培训。</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9</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月</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28</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w:t>
            </w:r>
          </w:p>
        </w:tc>
      </w:tr>
      <w:tr>
        <w:trPr>
          <w:trHeight w:val="990"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right="62"/>
              <w:jc w:val="center"/>
              <w:rPr>
                <w:rFonts w:ascii="宋体" w:hAnsi="宋体" w:cs="宋体" w:eastAsia="宋体" w:hint="default"/>
                <w:sz w:val="16"/>
                <w:szCs w:val="16"/>
              </w:rPr>
            </w:pPr>
            <w:r>
              <w:rPr>
                <w:rFonts w:ascii="宋体" w:hAnsi="宋体" w:cs="宋体" w:eastAsia="宋体" w:hint="default"/>
                <w:sz w:val="16"/>
                <w:szCs w:val="16"/>
              </w:rPr>
              <w:t>三届二十九次会议</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10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月</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19</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w:t>
            </w:r>
          </w:p>
        </w:tc>
        <w:tc>
          <w:tcPr>
            <w:tcW w:w="5102"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101" w:right="0"/>
              <w:jc w:val="left"/>
              <w:rPr>
                <w:rFonts w:ascii="宋体" w:hAnsi="宋体" w:cs="宋体" w:eastAsia="宋体" w:hint="default"/>
                <w:sz w:val="18"/>
                <w:szCs w:val="18"/>
              </w:rPr>
            </w:pPr>
            <w:r>
              <w:rPr>
                <w:rFonts w:ascii="宋体" w:hAnsi="宋体" w:cs="宋体" w:eastAsia="宋体" w:hint="default"/>
                <w:sz w:val="18"/>
                <w:szCs w:val="18"/>
              </w:rPr>
              <w:t>一、 通过《公司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w:t>
            </w:r>
            <w:r>
              <w:rPr>
                <w:rFonts w:ascii="宋体" w:hAnsi="宋体" w:cs="宋体" w:eastAsia="宋体" w:hint="default"/>
                <w:spacing w:val="1"/>
                <w:sz w:val="18"/>
                <w:szCs w:val="18"/>
              </w:rPr>
              <w:t>三</w:t>
            </w:r>
            <w:r>
              <w:rPr>
                <w:rFonts w:ascii="宋体" w:hAnsi="宋体" w:cs="宋体" w:eastAsia="宋体" w:hint="default"/>
                <w:sz w:val="18"/>
                <w:szCs w:val="18"/>
              </w:rPr>
              <w:t>季度报告全文及正文</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32" w:lineRule="exact" w:before="17"/>
              <w:ind w:left="102" w:right="102"/>
              <w:jc w:val="left"/>
              <w:rPr>
                <w:rFonts w:ascii="宋体" w:hAnsi="宋体" w:cs="宋体" w:eastAsia="宋体" w:hint="default"/>
                <w:sz w:val="18"/>
                <w:szCs w:val="18"/>
              </w:rPr>
            </w:pPr>
            <w:r>
              <w:rPr>
                <w:rFonts w:ascii="宋体" w:hAnsi="宋体" w:cs="宋体" w:eastAsia="宋体" w:hint="default"/>
                <w:sz w:val="18"/>
                <w:szCs w:val="18"/>
              </w:rPr>
              <w:t>二、</w:t>
            </w:r>
            <w:r>
              <w:rPr>
                <w:rFonts w:ascii="宋体" w:hAnsi="宋体" w:cs="宋体" w:eastAsia="宋体" w:hint="default"/>
                <w:spacing w:val="22"/>
                <w:sz w:val="18"/>
                <w:szCs w:val="18"/>
              </w:rPr>
              <w:t> </w:t>
            </w:r>
            <w:r>
              <w:rPr>
                <w:rFonts w:ascii="宋体" w:hAnsi="宋体" w:cs="宋体" w:eastAsia="宋体" w:hint="default"/>
                <w:spacing w:val="3"/>
                <w:sz w:val="18"/>
                <w:szCs w:val="18"/>
              </w:rPr>
              <w:t>通过《关于改聘会计师事务所并确定支付报酬额度的议</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0"/>
                <w:sz w:val="18"/>
                <w:szCs w:val="18"/>
              </w:rPr>
              <w:t>案》。</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10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月</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20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w:t>
            </w:r>
          </w:p>
        </w:tc>
      </w:tr>
    </w:tbl>
    <w:p>
      <w:pPr>
        <w:spacing w:before="10"/>
        <w:ind w:left="614" w:right="272" w:firstLine="0"/>
        <w:jc w:val="left"/>
        <w:rPr>
          <w:rFonts w:ascii="宋体" w:hAnsi="宋体" w:cs="宋体" w:eastAsia="宋体" w:hint="default"/>
          <w:sz w:val="18"/>
          <w:szCs w:val="18"/>
        </w:rPr>
      </w:pPr>
      <w:r>
        <w:rPr>
          <w:rFonts w:ascii="宋体" w:hAnsi="宋体" w:cs="宋体" w:eastAsia="宋体" w:hint="default"/>
          <w:sz w:val="18"/>
          <w:szCs w:val="18"/>
        </w:rPr>
        <w:t>公司董事会相关决议公告及资料刊登于《证券时报</w:t>
      </w:r>
      <w:r>
        <w:rPr>
          <w:rFonts w:ascii="宋体" w:hAnsi="宋体" w:cs="宋体" w:eastAsia="宋体" w:hint="default"/>
          <w:spacing w:val="-90"/>
          <w:sz w:val="18"/>
          <w:szCs w:val="18"/>
        </w:rPr>
        <w:t>》、</w:t>
      </w:r>
      <w:hyperlink r:id="rId11">
        <w:r>
          <w:rPr>
            <w:rFonts w:ascii="宋体" w:hAnsi="宋体" w:cs="宋体" w:eastAsia="宋体" w:hint="default"/>
            <w:sz w:val="18"/>
            <w:szCs w:val="18"/>
          </w:rPr>
          <w:t>《中国证券报》及巨潮资讯网（http://www.cninfo.com.cn）上。</w:t>
        </w:r>
      </w:hyperlink>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8"/>
          <w:szCs w:val="18"/>
        </w:rPr>
      </w:pPr>
    </w:p>
    <w:p>
      <w:pPr>
        <w:spacing w:line="386" w:lineRule="auto" w:before="0"/>
        <w:ind w:left="733" w:right="272" w:firstLine="2"/>
        <w:jc w:val="left"/>
        <w:rPr>
          <w:rFonts w:ascii="宋体" w:hAnsi="宋体" w:cs="宋体" w:eastAsia="宋体" w:hint="default"/>
          <w:sz w:val="24"/>
          <w:szCs w:val="24"/>
        </w:rPr>
      </w:pPr>
      <w:r>
        <w:rPr>
          <w:rFonts w:ascii="宋体" w:hAnsi="宋体" w:cs="宋体" w:eastAsia="宋体" w:hint="default"/>
          <w:b/>
          <w:bCs/>
          <w:sz w:val="24"/>
          <w:szCs w:val="24"/>
        </w:rPr>
        <w:t>（二）董事会对股东大会决议的执行情况</w:t>
      </w:r>
      <w:r>
        <w:rPr>
          <w:rFonts w:ascii="宋体" w:hAnsi="宋体" w:cs="宋体" w:eastAsia="宋体" w:hint="default"/>
          <w:b/>
          <w:bCs/>
          <w:spacing w:val="1"/>
          <w:w w:val="99"/>
          <w:sz w:val="24"/>
          <w:szCs w:val="24"/>
        </w:rPr>
        <w:t> </w:t>
      </w:r>
      <w:r>
        <w:rPr>
          <w:rFonts w:ascii="宋体" w:hAnsi="宋体" w:cs="宋体" w:eastAsia="宋体" w:hint="default"/>
          <w:spacing w:val="-9"/>
          <w:sz w:val="24"/>
          <w:szCs w:val="24"/>
        </w:rPr>
        <w:t>报告期内，公司董事会根据《公司法》、《证券法》等有关法律法规和《公司章程》要求，</w:t>
      </w:r>
      <w:r>
        <w:rPr>
          <w:rFonts w:ascii="宋体" w:hAnsi="宋体" w:cs="宋体" w:eastAsia="宋体" w:hint="default"/>
          <w:sz w:val="24"/>
          <w:szCs w:val="24"/>
        </w:rPr>
      </w:r>
    </w:p>
    <w:p>
      <w:pPr>
        <w:pStyle w:val="BodyText"/>
        <w:spacing w:line="240" w:lineRule="auto" w:before="6"/>
        <w:ind w:left="253" w:right="272"/>
        <w:jc w:val="left"/>
      </w:pPr>
      <w:r>
        <w:rPr/>
        <w:t>严格按照股东大会的决议和授权，认真执行股东大会通过的各项决议。</w:t>
      </w:r>
    </w:p>
    <w:p>
      <w:pPr>
        <w:spacing w:after="0" w:line="240" w:lineRule="auto"/>
        <w:jc w:val="left"/>
        <w:sectPr>
          <w:pgSz w:w="11910" w:h="16840"/>
          <w:pgMar w:header="624" w:footer="711" w:top="1040" w:bottom="900" w:left="880" w:right="720"/>
        </w:sectPr>
      </w:pPr>
    </w:p>
    <w:p>
      <w:pPr>
        <w:spacing w:line="240" w:lineRule="auto" w:before="2"/>
        <w:rPr>
          <w:rFonts w:ascii="宋体" w:hAnsi="宋体" w:cs="宋体" w:eastAsia="宋体" w:hint="default"/>
          <w:sz w:val="24"/>
          <w:szCs w:val="24"/>
        </w:rPr>
      </w:pPr>
    </w:p>
    <w:p>
      <w:pPr>
        <w:pStyle w:val="BodyText"/>
        <w:spacing w:line="350" w:lineRule="auto" w:before="26"/>
        <w:ind w:left="253" w:right="151" w:firstLine="480"/>
        <w:jc w:val="both"/>
      </w:pPr>
      <w:r>
        <w:rPr>
          <w:rFonts w:ascii="Times New Roman" w:hAnsi="Times New Roman" w:cs="Times New Roman" w:eastAsia="Times New Roman" w:hint="default"/>
        </w:rPr>
        <w:t>1</w:t>
      </w:r>
      <w:r>
        <w:rPr/>
        <w:t>．根据公司 </w:t>
      </w: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1 </w:t>
      </w:r>
      <w:r>
        <w:rPr/>
        <w:t>月 </w:t>
      </w:r>
      <w:r>
        <w:rPr>
          <w:rFonts w:ascii="Times New Roman" w:hAnsi="Times New Roman" w:cs="Times New Roman" w:eastAsia="Times New Roman" w:hint="default"/>
        </w:rPr>
        <w:t>25 </w:t>
      </w:r>
      <w:r>
        <w:rPr/>
        <w:t>日召开的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53"/>
        </w:rPr>
        <w:t> </w:t>
      </w:r>
      <w:r>
        <w:rPr/>
        <w:t>年第一次临时股东大会，审议通过《关</w:t>
      </w:r>
      <w:r>
        <w:rPr>
          <w:spacing w:val="1"/>
        </w:rPr>
        <w:t> </w:t>
      </w:r>
      <w:r>
        <w:rPr>
          <w:spacing w:val="-5"/>
        </w:rPr>
        <w:t>于修订公司章程部分条款的议案》，审议通过《关于设立北京高航先进轻质材料有限公司的议</w:t>
      </w:r>
      <w:r>
        <w:rPr>
          <w:spacing w:val="-117"/>
        </w:rPr>
        <w:t> </w:t>
      </w:r>
      <w:r>
        <w:rPr>
          <w:spacing w:val="-117"/>
        </w:rPr>
      </w:r>
      <w:r>
        <w:rPr>
          <w:spacing w:val="-5"/>
        </w:rPr>
        <w:t>案》。公司董事会根据股东大会的授权，完成修订公司章程并到工商行政管理部门进行了相应</w:t>
      </w:r>
      <w:r>
        <w:rPr>
          <w:spacing w:val="-117"/>
        </w:rPr>
        <w:t> </w:t>
      </w:r>
      <w:r>
        <w:rPr>
          <w:spacing w:val="-117"/>
        </w:rPr>
      </w:r>
      <w:r>
        <w:rPr/>
        <w:t>变更及报备手续。按股东大会批复投资设立了北京高航先进轻质材料有限公司。</w:t>
      </w:r>
    </w:p>
    <w:p>
      <w:pPr>
        <w:pStyle w:val="BodyText"/>
        <w:spacing w:line="338" w:lineRule="auto" w:before="83"/>
        <w:ind w:left="254" w:right="148" w:firstLine="480"/>
        <w:jc w:val="both"/>
      </w:pPr>
      <w:r>
        <w:rPr>
          <w:rFonts w:ascii="Times New Roman" w:hAnsi="Times New Roman" w:cs="Times New Roman" w:eastAsia="Times New Roman" w:hint="default"/>
          <w:spacing w:val="-4"/>
        </w:rPr>
        <w:t>2</w:t>
      </w:r>
      <w:r>
        <w:rPr>
          <w:spacing w:val="-4"/>
        </w:rPr>
        <w:t>．根据公司 </w:t>
      </w: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3 </w:t>
      </w:r>
      <w:r>
        <w:rPr/>
        <w:t>月 </w:t>
      </w:r>
      <w:r>
        <w:rPr>
          <w:rFonts w:ascii="Times New Roman" w:hAnsi="Times New Roman" w:cs="Times New Roman" w:eastAsia="Times New Roman" w:hint="default"/>
        </w:rPr>
        <w:t>18 </w:t>
      </w:r>
      <w:r>
        <w:rPr/>
        <w:t>日召开的 </w:t>
      </w:r>
      <w:r>
        <w:rPr>
          <w:rFonts w:ascii="Times New Roman" w:hAnsi="Times New Roman" w:cs="Times New Roman" w:eastAsia="Times New Roman" w:hint="default"/>
        </w:rPr>
        <w:t>2010 </w:t>
      </w:r>
      <w:r>
        <w:rPr>
          <w:spacing w:val="-3"/>
        </w:rPr>
        <w:t>年年度股东大会，审议通过《</w:t>
      </w:r>
      <w:r>
        <w:rPr>
          <w:rFonts w:ascii="Times New Roman" w:hAnsi="Times New Roman" w:cs="Times New Roman" w:eastAsia="Times New Roman" w:hint="default"/>
          <w:spacing w:val="-3"/>
        </w:rPr>
        <w:t>2010</w:t>
      </w:r>
      <w:r>
        <w:rPr>
          <w:rFonts w:ascii="Times New Roman" w:hAnsi="Times New Roman" w:cs="Times New Roman" w:eastAsia="Times New Roman" w:hint="default"/>
          <w:spacing w:val="19"/>
        </w:rPr>
        <w:t> </w:t>
      </w:r>
      <w:r>
        <w:rPr/>
        <w:t>年度 </w:t>
      </w:r>
      <w:r>
        <w:rPr>
          <w:spacing w:val="-4"/>
        </w:rPr>
        <w:t>董事会工作报告》，听取公司独立董事向公司年度股东大会述职，审议通过《</w:t>
      </w:r>
      <w:r>
        <w:rPr>
          <w:rFonts w:ascii="Times New Roman" w:hAnsi="Times New Roman" w:cs="Times New Roman" w:eastAsia="Times New Roman" w:hint="default"/>
          <w:spacing w:val="-4"/>
        </w:rPr>
        <w:t>2010</w:t>
      </w:r>
      <w:r>
        <w:rPr>
          <w:rFonts w:ascii="Times New Roman" w:hAnsi="Times New Roman" w:cs="Times New Roman" w:eastAsia="Times New Roman" w:hint="default"/>
          <w:spacing w:val="22"/>
        </w:rPr>
        <w:t> </w:t>
      </w:r>
      <w:r>
        <w:rPr/>
        <w:t>年度监事</w:t>
      </w:r>
      <w:r>
        <w:rPr>
          <w:spacing w:val="-111"/>
        </w:rPr>
        <w:t> </w:t>
      </w:r>
      <w:r>
        <w:rPr>
          <w:spacing w:val="-8"/>
        </w:rPr>
        <w:t>会工作报告》，审议通过《</w:t>
      </w:r>
      <w:r>
        <w:rPr>
          <w:rFonts w:ascii="Times New Roman" w:hAnsi="Times New Roman" w:cs="Times New Roman" w:eastAsia="Times New Roman" w:hint="default"/>
          <w:spacing w:val="-8"/>
        </w:rPr>
        <w:t>2010</w:t>
      </w:r>
      <w:r>
        <w:rPr>
          <w:rFonts w:ascii="Times New Roman" w:hAnsi="Times New Roman" w:cs="Times New Roman" w:eastAsia="Times New Roman" w:hint="default"/>
          <w:spacing w:val="5"/>
        </w:rPr>
        <w:t> </w:t>
      </w:r>
      <w:r>
        <w:rPr>
          <w:spacing w:val="-6"/>
        </w:rPr>
        <w:t>年度财务决算报告》，审议通过《关于</w:t>
      </w:r>
      <w:r>
        <w:rPr>
          <w:rFonts w:ascii="Times New Roman" w:hAnsi="Times New Roman" w:cs="Times New Roman" w:eastAsia="Times New Roman" w:hint="default"/>
          <w:spacing w:val="-6"/>
        </w:rPr>
        <w:t>2010</w:t>
      </w:r>
      <w:r>
        <w:rPr>
          <w:rFonts w:ascii="Times New Roman" w:hAnsi="Times New Roman" w:cs="Times New Roman" w:eastAsia="Times New Roman" w:hint="default"/>
          <w:spacing w:val="5"/>
        </w:rPr>
        <w:t> </w:t>
      </w:r>
      <w:r>
        <w:rPr/>
        <w:t>年度利润分配及</w:t>
      </w:r>
      <w:r>
        <w:rPr>
          <w:spacing w:val="-118"/>
        </w:rPr>
        <w:t> </w:t>
      </w:r>
      <w:r>
        <w:rPr>
          <w:spacing w:val="-6"/>
        </w:rPr>
        <w:t>资本公积金转增股本的预案》，审议通过《关于续聘立信大华会计师事务所为公司</w:t>
      </w:r>
      <w:r>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6"/>
        </w:rPr>
        <w:t> </w:t>
      </w:r>
      <w:r>
        <w:rPr/>
        <w:t>年审 </w:t>
      </w:r>
      <w:r>
        <w:rPr>
          <w:spacing w:val="-8"/>
        </w:rPr>
        <w:t>计机构及支付报酬额度的议案》，审议通过《</w:t>
      </w:r>
      <w:r>
        <w:rPr>
          <w:rFonts w:ascii="Times New Roman" w:hAnsi="Times New Roman" w:cs="Times New Roman" w:eastAsia="Times New Roman" w:hint="default"/>
          <w:spacing w:val="-8"/>
        </w:rPr>
        <w:t>2010</w:t>
      </w:r>
      <w:r>
        <w:rPr>
          <w:rFonts w:ascii="Times New Roman" w:hAnsi="Times New Roman" w:cs="Times New Roman" w:eastAsia="Times New Roman" w:hint="default"/>
          <w:spacing w:val="18"/>
        </w:rPr>
        <w:t> </w:t>
      </w:r>
      <w:r>
        <w:rPr>
          <w:spacing w:val="-8"/>
        </w:rPr>
        <w:t>年年度报告及其摘要》。公司董事会根据股</w:t>
      </w:r>
      <w:r>
        <w:rPr/>
        <w:t> 东大会的授权，实施了 </w:t>
      </w:r>
      <w:r>
        <w:rPr>
          <w:rFonts w:ascii="Times New Roman" w:hAnsi="Times New Roman" w:cs="Times New Roman" w:eastAsia="Times New Roman" w:hint="default"/>
        </w:rPr>
        <w:t>2010 </w:t>
      </w:r>
      <w:r>
        <w:rPr/>
        <w:t>年的利润分配及资本公积金转增股本的相关工作。其余决议事 项均已实施。</w:t>
      </w:r>
    </w:p>
    <w:p>
      <w:pPr>
        <w:pStyle w:val="BodyText"/>
        <w:spacing w:line="240" w:lineRule="auto" w:before="94"/>
        <w:ind w:left="734" w:right="139"/>
        <w:jc w:val="left"/>
      </w:pPr>
      <w:r>
        <w:rPr>
          <w:rFonts w:ascii="Times New Roman" w:hAnsi="Times New Roman" w:cs="Times New Roman" w:eastAsia="Times New Roman" w:hint="default"/>
        </w:rPr>
        <w:t>3</w:t>
      </w:r>
      <w:r>
        <w:rPr/>
        <w:t>．公司董事会根据 </w:t>
      </w: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6  </w:t>
      </w:r>
      <w:r>
        <w:rPr/>
        <w:t>月 </w:t>
      </w:r>
      <w:r>
        <w:rPr>
          <w:rFonts w:ascii="Times New Roman" w:hAnsi="Times New Roman" w:cs="Times New Roman" w:eastAsia="Times New Roman" w:hint="default"/>
        </w:rPr>
        <w:t>10  </w:t>
      </w:r>
      <w:r>
        <w:rPr/>
        <w:t>日召开 </w:t>
      </w:r>
      <w:r>
        <w:rPr>
          <w:rFonts w:ascii="Times New Roman" w:hAnsi="Times New Roman" w:cs="Times New Roman" w:eastAsia="Times New Roman" w:hint="default"/>
          <w:spacing w:val="-3"/>
        </w:rPr>
        <w:t>2011 </w:t>
      </w:r>
      <w:r>
        <w:rPr>
          <w:rFonts w:ascii="Times New Roman" w:hAnsi="Times New Roman" w:cs="Times New Roman" w:eastAsia="Times New Roman" w:hint="default"/>
          <w:spacing w:val="15"/>
        </w:rPr>
        <w:t> </w:t>
      </w:r>
      <w:r>
        <w:rPr/>
        <w:t>年第二次临时股东大会审议通过的</w:t>
      </w:r>
    </w:p>
    <w:p>
      <w:pPr>
        <w:pStyle w:val="BodyText"/>
        <w:spacing w:line="352" w:lineRule="auto" w:before="134"/>
        <w:ind w:left="254" w:right="175"/>
        <w:jc w:val="both"/>
      </w:pPr>
      <w:r>
        <w:rPr/>
        <w:t>《批准江西先材在南昌高新技术产业开发区投资建设年产 </w:t>
      </w:r>
      <w:r>
        <w:rPr>
          <w:rFonts w:ascii="Times New Roman" w:hAnsi="Times New Roman" w:cs="Times New Roman" w:eastAsia="Times New Roman" w:hint="default"/>
        </w:rPr>
        <w:t>2</w:t>
      </w:r>
      <w:r>
        <w:rPr>
          <w:rFonts w:ascii="Times New Roman" w:hAnsi="Times New Roman" w:cs="Times New Roman" w:eastAsia="Times New Roman" w:hint="default"/>
          <w:spacing w:val="56"/>
        </w:rPr>
        <w:t> </w:t>
      </w:r>
      <w:r>
        <w:rPr/>
        <w:t>亿平方米聚酰亚胺</w:t>
      </w:r>
      <w:r>
        <w:rPr>
          <w:rFonts w:ascii="Times New Roman" w:hAnsi="Times New Roman" w:cs="Times New Roman" w:eastAsia="Times New Roman" w:hint="default"/>
        </w:rPr>
        <w:t>(PI)</w:t>
      </w:r>
      <w:r>
        <w:rPr/>
        <w:t>纳米纤维</w:t>
      </w:r>
      <w:r>
        <w:rPr>
          <w:spacing w:val="-1"/>
        </w:rPr>
        <w:t> </w:t>
      </w:r>
      <w:r>
        <w:rPr/>
        <w:t>电池隔膜产品生产基地事宜并授权董事长吕晓义先生签署相关协议》及审议关于向间接控股</w:t>
      </w:r>
      <w:r>
        <w:rPr/>
        <w:t> 子公司江西先材纳米纤维科技有限公司增资的议案。公司董事长已按股东大会授权与政府相 关机构签订了投资协议。公司董事会已完成向江西先材的增资事项。董事会完成了《公司章 程》部分条款的修订并到工商管理部门完成了变更登记。</w:t>
      </w:r>
    </w:p>
    <w:p>
      <w:pPr>
        <w:spacing w:before="79"/>
        <w:ind w:left="736" w:right="139" w:firstLine="0"/>
        <w:jc w:val="left"/>
        <w:rPr>
          <w:rFonts w:ascii="宋体" w:hAnsi="宋体" w:cs="宋体" w:eastAsia="宋体" w:hint="default"/>
          <w:sz w:val="24"/>
          <w:szCs w:val="24"/>
        </w:rPr>
      </w:pPr>
      <w:r>
        <w:rPr>
          <w:rFonts w:ascii="宋体" w:hAnsi="宋体" w:cs="宋体" w:eastAsia="宋体" w:hint="default"/>
          <w:b/>
          <w:bCs/>
          <w:sz w:val="24"/>
          <w:szCs w:val="24"/>
        </w:rPr>
        <w:t>（三）董事会下设审计委员会的履职情况</w:t>
      </w:r>
      <w:r>
        <w:rPr>
          <w:rFonts w:ascii="宋体" w:hAnsi="宋体" w:cs="宋体" w:eastAsia="宋体" w:hint="default"/>
          <w:sz w:val="24"/>
          <w:szCs w:val="24"/>
        </w:rPr>
      </w:r>
    </w:p>
    <w:p>
      <w:pPr>
        <w:spacing w:line="240" w:lineRule="auto" w:before="12"/>
        <w:rPr>
          <w:rFonts w:ascii="宋体" w:hAnsi="宋体" w:cs="宋体" w:eastAsia="宋体" w:hint="default"/>
          <w:b/>
          <w:bCs/>
          <w:sz w:val="26"/>
          <w:szCs w:val="26"/>
        </w:rPr>
      </w:pPr>
    </w:p>
    <w:p>
      <w:pPr>
        <w:pStyle w:val="BodyText"/>
        <w:spacing w:line="304" w:lineRule="auto"/>
        <w:ind w:left="254" w:right="199" w:firstLine="470"/>
        <w:jc w:val="both"/>
      </w:pPr>
      <w:r>
        <w:rPr/>
        <w:t>相关内容详见“第五节 治理结构”之“六、公司内部审计制度的建立和执行情况”部 分内容。</w:t>
      </w:r>
    </w:p>
    <w:p>
      <w:pPr>
        <w:spacing w:before="62"/>
        <w:ind w:left="736" w:right="139" w:firstLine="0"/>
        <w:jc w:val="left"/>
        <w:rPr>
          <w:rFonts w:ascii="宋体" w:hAnsi="宋体" w:cs="宋体" w:eastAsia="宋体" w:hint="default"/>
          <w:sz w:val="24"/>
          <w:szCs w:val="24"/>
        </w:rPr>
      </w:pPr>
      <w:r>
        <w:rPr>
          <w:rFonts w:ascii="宋体" w:hAnsi="宋体" w:cs="宋体" w:eastAsia="宋体" w:hint="default"/>
          <w:b/>
          <w:bCs/>
          <w:sz w:val="24"/>
          <w:szCs w:val="24"/>
        </w:rPr>
        <w:t>（四）董事会下设薪酬委员会的履职情况</w:t>
      </w:r>
      <w:r>
        <w:rPr>
          <w:rFonts w:ascii="宋体" w:hAnsi="宋体" w:cs="宋体" w:eastAsia="宋体" w:hint="default"/>
          <w:sz w:val="24"/>
          <w:szCs w:val="24"/>
        </w:rPr>
      </w:r>
    </w:p>
    <w:p>
      <w:pPr>
        <w:spacing w:line="240" w:lineRule="auto" w:before="12"/>
        <w:rPr>
          <w:rFonts w:ascii="宋体" w:hAnsi="宋体" w:cs="宋体" w:eastAsia="宋体" w:hint="default"/>
          <w:b/>
          <w:bCs/>
          <w:sz w:val="26"/>
          <w:szCs w:val="26"/>
        </w:rPr>
      </w:pPr>
    </w:p>
    <w:p>
      <w:pPr>
        <w:pStyle w:val="BodyText"/>
        <w:spacing w:line="297" w:lineRule="auto"/>
        <w:ind w:left="254" w:right="188" w:firstLine="470"/>
        <w:jc w:val="both"/>
      </w:pPr>
      <w:r>
        <w:rPr/>
        <w:t>公司第四届董事会薪酬与考核委员会委员审阅了公司</w:t>
      </w:r>
      <w:r>
        <w:rPr>
          <w:rFonts w:ascii="Times New Roman" w:hAnsi="Times New Roman" w:cs="Times New Roman" w:eastAsia="Times New Roman" w:hint="default"/>
        </w:rPr>
        <w:t>2011</w:t>
      </w:r>
      <w:r>
        <w:rPr/>
        <w:t>年考核和工资、奖励、福利发 放情况，委员会认为公司的薪酬制度和考核奖励办法，能够在体现公司员工利益和公司整体 发展相协调的基础上进行，基本符合按劳取酬和岗位绩效的原则。</w:t>
      </w:r>
    </w:p>
    <w:p>
      <w:pPr>
        <w:pStyle w:val="BodyText"/>
        <w:spacing w:line="297" w:lineRule="auto" w:before="148"/>
        <w:ind w:left="254" w:right="188" w:firstLine="470"/>
        <w:jc w:val="both"/>
      </w:pPr>
      <w:r>
        <w:rPr/>
        <w:t>委员会审查了</w:t>
      </w:r>
      <w:r>
        <w:rPr>
          <w:rFonts w:ascii="Times New Roman" w:hAnsi="Times New Roman" w:cs="Times New Roman" w:eastAsia="Times New Roman" w:hint="default"/>
        </w:rPr>
        <w:t>2011</w:t>
      </w:r>
      <w:r>
        <w:rPr/>
        <w:t>年年度报告中公司董事、监事和高级管理人员的薪酬，认为与实际发 放情况一致，薪酬标准符合公司薪酬管理制度，未有违反公司薪酬管理制度及与公司薪酬管 理制度不一致的情形发生。</w:t>
      </w:r>
    </w:p>
    <w:p>
      <w:pPr>
        <w:pStyle w:val="BodyText"/>
        <w:spacing w:line="288" w:lineRule="auto" w:before="148"/>
        <w:ind w:left="253" w:right="199" w:firstLine="470"/>
        <w:jc w:val="both"/>
      </w:pPr>
      <w:r>
        <w:rPr/>
        <w:t>委员会建议公司管理层</w:t>
      </w:r>
      <w:r>
        <w:rPr>
          <w:rFonts w:ascii="Times New Roman" w:hAnsi="Times New Roman" w:cs="Times New Roman" w:eastAsia="Times New Roman" w:hint="default"/>
        </w:rPr>
        <w:t>2012</w:t>
      </w:r>
      <w:r>
        <w:rPr/>
        <w:t>年进一步明确岗位职责，体现薪酬奖励与绩效挂钩原则，完 善人力资源管理，完善薪酬制度，更好的调动公司全体员工的积极性，提高工作绩效。</w:t>
      </w:r>
    </w:p>
    <w:p>
      <w:pPr>
        <w:spacing w:after="0" w:line="288" w:lineRule="auto"/>
        <w:jc w:val="both"/>
        <w:sectPr>
          <w:pgSz w:w="11910" w:h="16840"/>
          <w:pgMar w:header="624" w:footer="711" w:top="1040" w:bottom="900" w:left="880" w:right="980"/>
        </w:sectPr>
      </w:pPr>
    </w:p>
    <w:p>
      <w:pPr>
        <w:spacing w:line="240" w:lineRule="auto" w:before="2"/>
        <w:rPr>
          <w:rFonts w:ascii="宋体" w:hAnsi="宋体" w:cs="宋体" w:eastAsia="宋体" w:hint="default"/>
          <w:sz w:val="24"/>
          <w:szCs w:val="24"/>
        </w:rPr>
      </w:pPr>
    </w:p>
    <w:p>
      <w:pPr>
        <w:spacing w:before="26"/>
        <w:ind w:left="736" w:right="131" w:firstLine="0"/>
        <w:jc w:val="left"/>
        <w:rPr>
          <w:rFonts w:ascii="宋体" w:hAnsi="宋体" w:cs="宋体" w:eastAsia="宋体" w:hint="default"/>
          <w:sz w:val="24"/>
          <w:szCs w:val="24"/>
        </w:rPr>
      </w:pPr>
      <w:r>
        <w:rPr>
          <w:rFonts w:ascii="宋体" w:hAnsi="宋体" w:cs="宋体" w:eastAsia="宋体" w:hint="default"/>
          <w:b/>
          <w:bCs/>
          <w:sz w:val="24"/>
          <w:szCs w:val="24"/>
        </w:rPr>
        <w:t>（五）董事会下设战略委员会的履职情况</w:t>
      </w:r>
      <w:r>
        <w:rPr>
          <w:rFonts w:ascii="宋体" w:hAnsi="宋体" w:cs="宋体" w:eastAsia="宋体" w:hint="default"/>
          <w:sz w:val="24"/>
          <w:szCs w:val="24"/>
        </w:rPr>
      </w:r>
    </w:p>
    <w:p>
      <w:pPr>
        <w:pStyle w:val="BodyText"/>
        <w:spacing w:line="240" w:lineRule="auto" w:before="192"/>
        <w:ind w:left="733" w:right="131"/>
        <w:jc w:val="left"/>
      </w:pPr>
      <w:r>
        <w:rPr>
          <w:rFonts w:ascii="Times New Roman" w:hAnsi="Times New Roman" w:cs="Times New Roman" w:eastAsia="Times New Roman" w:hint="default"/>
          <w:spacing w:val="-3"/>
        </w:rPr>
        <w:t>2011 </w:t>
      </w:r>
      <w:r>
        <w:rPr>
          <w:rFonts w:ascii="Times New Roman" w:hAnsi="Times New Roman" w:cs="Times New Roman" w:eastAsia="Times New Roman" w:hint="default"/>
          <w:spacing w:val="6"/>
        </w:rPr>
        <w:t> </w:t>
      </w:r>
      <w:r>
        <w:rPr/>
        <w:t>年，战略委员会召开了五次会议，</w:t>
      </w:r>
    </w:p>
    <w:p>
      <w:pPr>
        <w:pStyle w:val="BodyText"/>
        <w:spacing w:line="338" w:lineRule="auto" w:before="175"/>
        <w:ind w:left="253" w:right="231" w:firstLine="480"/>
        <w:jc w:val="both"/>
      </w:pPr>
      <w:r>
        <w:rPr>
          <w:rFonts w:ascii="Times New Roman" w:hAnsi="Times New Roman" w:cs="Times New Roman" w:eastAsia="Times New Roman" w:hint="default"/>
          <w:spacing w:val="25"/>
        </w:rPr>
        <w:t>1</w:t>
      </w:r>
      <w:r>
        <w:rPr>
          <w:spacing w:val="25"/>
        </w:rPr>
        <w:t>、2011年1月</w:t>
      </w:r>
      <w:r>
        <w:rPr>
          <w:spacing w:val="-45"/>
        </w:rPr>
        <w:t> </w:t>
      </w:r>
      <w:r>
        <w:rPr/>
        <w:t>18</w:t>
      </w:r>
      <w:r>
        <w:rPr>
          <w:spacing w:val="-45"/>
        </w:rPr>
        <w:t> </w:t>
      </w:r>
      <w:r>
        <w:rPr/>
        <w:t>日，董事会战略委员会召开</w:t>
      </w:r>
      <w:r>
        <w:rPr>
          <w:spacing w:val="-45"/>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4"/>
        </w:rPr>
        <w:t> </w:t>
      </w:r>
      <w:r>
        <w:rPr/>
        <w:t>年第一次会议，战略委员会审议通 过同意拟向公司全资子公司深圳市惠程高能能源科技有限公司增资</w:t>
      </w:r>
      <w:r>
        <w:rPr>
          <w:spacing w:val="-57"/>
        </w:rPr>
        <w:t> </w:t>
      </w:r>
      <w:r>
        <w:rPr>
          <w:rFonts w:ascii="Times New Roman" w:hAnsi="Times New Roman" w:cs="Times New Roman" w:eastAsia="Times New Roman" w:hint="default"/>
        </w:rPr>
        <w:t>4500</w:t>
      </w:r>
      <w:r>
        <w:rPr>
          <w:rFonts w:ascii="Times New Roman" w:hAnsi="Times New Roman" w:cs="Times New Roman" w:eastAsia="Times New Roman" w:hint="default"/>
          <w:spacing w:val="3"/>
        </w:rPr>
        <w:t> </w:t>
      </w:r>
      <w:r>
        <w:rPr>
          <w:spacing w:val="-10"/>
        </w:rPr>
        <w:t>万元投资建设“新型</w:t>
      </w:r>
      <w:r>
        <w:rPr/>
        <w:t> 动力及储能电池生产线建设项目，并提交公司董事会审议。</w:t>
      </w:r>
    </w:p>
    <w:p>
      <w:pPr>
        <w:pStyle w:val="BodyText"/>
        <w:spacing w:line="348" w:lineRule="auto" w:before="94"/>
        <w:ind w:left="254" w:right="231" w:firstLine="480"/>
        <w:jc w:val="both"/>
      </w:pPr>
      <w:r>
        <w:rPr>
          <w:rFonts w:ascii="Times New Roman" w:hAnsi="Times New Roman" w:cs="Times New Roman" w:eastAsia="Times New Roman" w:hint="default"/>
          <w:spacing w:val="25"/>
        </w:rPr>
        <w:t>2</w:t>
      </w:r>
      <w:r>
        <w:rPr>
          <w:spacing w:val="25"/>
        </w:rPr>
        <w:t>、2011年3月</w:t>
      </w:r>
      <w:r>
        <w:rPr>
          <w:spacing w:val="-45"/>
        </w:rPr>
        <w:t> </w:t>
      </w:r>
      <w:r>
        <w:rPr/>
        <w:t>21</w:t>
      </w:r>
      <w:r>
        <w:rPr>
          <w:spacing w:val="-45"/>
        </w:rPr>
        <w:t> </w:t>
      </w:r>
      <w:r>
        <w:rPr/>
        <w:t>日，董事会战略委员会召开</w:t>
      </w:r>
      <w:r>
        <w:rPr>
          <w:spacing w:val="-45"/>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4"/>
        </w:rPr>
        <w:t> </w:t>
      </w:r>
      <w:r>
        <w:rPr/>
        <w:t>年第二次会议，表决通过了江西先 材规划建设年产 2 亿平方米 PI</w:t>
      </w:r>
      <w:r>
        <w:rPr>
          <w:spacing w:val="-84"/>
        </w:rPr>
        <w:t> </w:t>
      </w:r>
      <w:r>
        <w:rPr/>
        <w:t>纳米纤维电池隔膜产品项目的事项，同意将相关议案提交公</w:t>
      </w:r>
      <w:r>
        <w:rPr/>
        <w:t> 司董事会审议。</w:t>
      </w:r>
    </w:p>
    <w:p>
      <w:pPr>
        <w:pStyle w:val="BodyText"/>
        <w:spacing w:line="338" w:lineRule="auto" w:before="85"/>
        <w:ind w:left="254" w:right="231" w:firstLine="480"/>
        <w:jc w:val="both"/>
      </w:pPr>
      <w:r>
        <w:rPr>
          <w:rFonts w:ascii="Times New Roman" w:hAnsi="Times New Roman" w:cs="Times New Roman" w:eastAsia="Times New Roman" w:hint="default"/>
          <w:spacing w:val="25"/>
        </w:rPr>
        <w:t>3</w:t>
      </w:r>
      <w:r>
        <w:rPr>
          <w:spacing w:val="25"/>
        </w:rPr>
        <w:t>、2011年5月</w:t>
      </w:r>
      <w:r>
        <w:rPr>
          <w:spacing w:val="-45"/>
        </w:rPr>
        <w:t> </w:t>
      </w:r>
      <w:r>
        <w:rPr/>
        <w:t>18</w:t>
      </w:r>
      <w:r>
        <w:rPr>
          <w:spacing w:val="-45"/>
        </w:rPr>
        <w:t> </w:t>
      </w:r>
      <w:r>
        <w:rPr/>
        <w:t>日，董事会战略委员会召开</w:t>
      </w:r>
      <w:r>
        <w:rPr>
          <w:spacing w:val="-45"/>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4"/>
        </w:rPr>
        <w:t> </w:t>
      </w:r>
      <w:r>
        <w:rPr/>
        <w:t>年第三次会议，表决通过了关于向 江西先材增资的议案，同意将相关议案提交公司董事会审议。</w:t>
      </w:r>
    </w:p>
    <w:p>
      <w:pPr>
        <w:pStyle w:val="BodyText"/>
        <w:spacing w:line="338" w:lineRule="auto" w:before="94"/>
        <w:ind w:left="254" w:right="231" w:firstLine="480"/>
        <w:jc w:val="both"/>
      </w:pPr>
      <w:r>
        <w:rPr>
          <w:rFonts w:ascii="Times New Roman" w:hAnsi="Times New Roman" w:cs="Times New Roman" w:eastAsia="Times New Roman" w:hint="default"/>
          <w:spacing w:val="25"/>
        </w:rPr>
        <w:t>4</w:t>
      </w:r>
      <w:r>
        <w:rPr>
          <w:spacing w:val="25"/>
        </w:rPr>
        <w:t>、2011年9月</w:t>
      </w:r>
      <w:r>
        <w:rPr>
          <w:spacing w:val="-45"/>
        </w:rPr>
        <w:t> </w:t>
      </w:r>
      <w:r>
        <w:rPr/>
        <w:t>18</w:t>
      </w:r>
      <w:r>
        <w:rPr>
          <w:spacing w:val="-45"/>
        </w:rPr>
        <w:t> </w:t>
      </w:r>
      <w:r>
        <w:rPr/>
        <w:t>日，董事会战略委员会召开</w:t>
      </w:r>
      <w:r>
        <w:rPr>
          <w:spacing w:val="-45"/>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4"/>
        </w:rPr>
        <w:t> </w:t>
      </w:r>
      <w:r>
        <w:rPr/>
        <w:t>年第四次会议，表决通过了关于长 春高琦向长春聚明增资的议案。</w:t>
      </w:r>
    </w:p>
    <w:p>
      <w:pPr>
        <w:pStyle w:val="BodyText"/>
        <w:spacing w:line="338" w:lineRule="auto" w:before="95"/>
        <w:ind w:left="253" w:right="93" w:firstLine="480"/>
        <w:jc w:val="left"/>
      </w:pPr>
      <w:r>
        <w:rPr>
          <w:rFonts w:ascii="Times New Roman" w:hAnsi="Times New Roman" w:cs="Times New Roman" w:eastAsia="Times New Roman" w:hint="default"/>
        </w:rPr>
        <w:t>5</w:t>
      </w:r>
      <w:r>
        <w:rPr/>
        <w:t>、2011</w:t>
      </w:r>
      <w:r>
        <w:rPr>
          <w:spacing w:val="-62"/>
        </w:rPr>
        <w:t> </w:t>
      </w:r>
      <w:r>
        <w:rPr/>
        <w:t>年</w:t>
      </w:r>
      <w:r>
        <w:rPr>
          <w:spacing w:val="-62"/>
        </w:rPr>
        <w:t> </w:t>
      </w:r>
      <w:r>
        <w:rPr/>
        <w:t>10</w:t>
      </w:r>
      <w:r>
        <w:rPr>
          <w:spacing w:val="-62"/>
        </w:rPr>
        <w:t> </w:t>
      </w:r>
      <w:r>
        <w:rPr/>
        <w:t>月</w:t>
      </w:r>
      <w:r>
        <w:rPr>
          <w:spacing w:val="-62"/>
        </w:rPr>
        <w:t> </w:t>
      </w:r>
      <w:r>
        <w:rPr/>
        <w:t>30</w:t>
      </w:r>
      <w:r>
        <w:rPr>
          <w:spacing w:val="-62"/>
        </w:rPr>
        <w:t> </w:t>
      </w:r>
      <w:r>
        <w:rPr/>
        <w:t>日，董事会战略委员会召开</w:t>
      </w:r>
      <w:r>
        <w:rPr>
          <w:spacing w:val="-62"/>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年第五次会议，表决通过了关于吉 </w:t>
      </w:r>
      <w:r>
        <w:rPr>
          <w:spacing w:val="-2"/>
        </w:rPr>
        <w:t>林高琦规划建设聚酰亚胺树脂及相关原料项目的议案，同意将相关议案提交公司董事会审议。</w:t>
      </w:r>
    </w:p>
    <w:p>
      <w:pPr>
        <w:spacing w:before="94"/>
        <w:ind w:left="736" w:right="131" w:firstLine="0"/>
        <w:jc w:val="left"/>
        <w:rPr>
          <w:rFonts w:ascii="宋体" w:hAnsi="宋体" w:cs="宋体" w:eastAsia="宋体" w:hint="default"/>
          <w:sz w:val="24"/>
          <w:szCs w:val="24"/>
        </w:rPr>
      </w:pPr>
      <w:r>
        <w:rPr>
          <w:rFonts w:ascii="宋体" w:hAnsi="宋体" w:cs="宋体" w:eastAsia="宋体" w:hint="default"/>
          <w:b/>
          <w:bCs/>
          <w:sz w:val="24"/>
          <w:szCs w:val="24"/>
        </w:rPr>
        <w:t>（六）董事会下设提名委员会的履职情况</w:t>
      </w:r>
      <w:r>
        <w:rPr>
          <w:rFonts w:ascii="宋体" w:hAnsi="宋体" w:cs="宋体" w:eastAsia="宋体" w:hint="default"/>
          <w:sz w:val="24"/>
          <w:szCs w:val="24"/>
        </w:rPr>
      </w:r>
    </w:p>
    <w:p>
      <w:pPr>
        <w:pStyle w:val="BodyText"/>
        <w:spacing w:line="348" w:lineRule="auto" w:before="193"/>
        <w:ind w:left="254" w:right="228" w:firstLine="480"/>
        <w:jc w:val="both"/>
      </w:pP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5 </w:t>
      </w:r>
      <w:r>
        <w:rPr/>
        <w:t>月 </w:t>
      </w:r>
      <w:r>
        <w:rPr>
          <w:rFonts w:ascii="Times New Roman" w:hAnsi="Times New Roman" w:cs="Times New Roman" w:eastAsia="Times New Roman" w:hint="default"/>
        </w:rPr>
        <w:t>18</w:t>
      </w:r>
      <w:r>
        <w:rPr>
          <w:rFonts w:ascii="Times New Roman" w:hAnsi="Times New Roman" w:cs="Times New Roman" w:eastAsia="Times New Roman" w:hint="default"/>
          <w:spacing w:val="-11"/>
        </w:rPr>
        <w:t> </w:t>
      </w:r>
      <w:r>
        <w:rPr/>
        <w:t>日，董事会提名委员会召开会议，同意根据公司总经理何平女士提名， 聘任桑玉贵先生担任公司副总经理、刘心先生担任公司财务负责人。并同意将相关议案提交</w:t>
      </w:r>
      <w:r>
        <w:rPr>
          <w:spacing w:val="-83"/>
        </w:rPr>
        <w:t> </w:t>
      </w:r>
      <w:r>
        <w:rPr>
          <w:spacing w:val="-83"/>
        </w:rPr>
      </w:r>
      <w:r>
        <w:rPr/>
        <w:t>公司董事会审议。</w:t>
      </w:r>
    </w:p>
    <w:p>
      <w:pPr>
        <w:spacing w:line="670" w:lineRule="atLeast" w:before="182"/>
        <w:ind w:left="734" w:right="214" w:firstLine="2"/>
        <w:jc w:val="left"/>
        <w:rPr>
          <w:rFonts w:ascii="宋体" w:hAnsi="宋体" w:cs="宋体" w:eastAsia="宋体" w:hint="default"/>
          <w:sz w:val="24"/>
          <w:szCs w:val="24"/>
        </w:rPr>
      </w:pPr>
      <w:r>
        <w:rPr>
          <w:rFonts w:ascii="宋体" w:hAnsi="宋体" w:cs="宋体" w:eastAsia="宋体" w:hint="default"/>
          <w:b/>
          <w:bCs/>
          <w:sz w:val="24"/>
          <w:szCs w:val="24"/>
        </w:rPr>
        <w:t>四、董事会本次利润分配或资本公积金转增股本的预案</w:t>
      </w:r>
      <w:r>
        <w:rPr>
          <w:rFonts w:ascii="宋体" w:hAnsi="宋体" w:cs="宋体" w:eastAsia="宋体" w:hint="default"/>
          <w:b/>
          <w:bCs/>
          <w:spacing w:val="1"/>
          <w:w w:val="99"/>
          <w:sz w:val="24"/>
          <w:szCs w:val="24"/>
        </w:rPr>
        <w:t> </w:t>
      </w:r>
      <w:r>
        <w:rPr>
          <w:rFonts w:ascii="宋体" w:hAnsi="宋体" w:cs="宋体" w:eastAsia="宋体" w:hint="default"/>
          <w:sz w:val="24"/>
          <w:szCs w:val="24"/>
        </w:rPr>
        <w:t>根据立信会计师事务所出具的审计报告，截至 2011 年 12 月 31</w:t>
      </w:r>
      <w:r>
        <w:rPr>
          <w:rFonts w:ascii="宋体" w:hAnsi="宋体" w:cs="宋体" w:eastAsia="宋体" w:hint="default"/>
          <w:spacing w:val="36"/>
          <w:sz w:val="24"/>
          <w:szCs w:val="24"/>
        </w:rPr>
        <w:t> </w:t>
      </w:r>
      <w:r>
        <w:rPr>
          <w:rFonts w:ascii="宋体" w:hAnsi="宋体" w:cs="宋体" w:eastAsia="宋体" w:hint="default"/>
          <w:sz w:val="24"/>
          <w:szCs w:val="24"/>
        </w:rPr>
        <w:t>日，公司实现净利润</w:t>
      </w:r>
    </w:p>
    <w:p>
      <w:pPr>
        <w:pStyle w:val="BodyText"/>
        <w:tabs>
          <w:tab w:pos="2053" w:val="left" w:leader="none"/>
        </w:tabs>
        <w:spacing w:line="240" w:lineRule="auto" w:before="166"/>
        <w:ind w:left="254" w:right="96"/>
        <w:jc w:val="left"/>
      </w:pPr>
      <w:r>
        <w:rPr/>
        <w:t>69,919,215.96</w:t>
        <w:tab/>
        <w:t>元，其中母公司实现净利润</w:t>
      </w:r>
      <w:r>
        <w:rPr>
          <w:spacing w:val="-60"/>
        </w:rPr>
        <w:t> </w:t>
      </w:r>
      <w:r>
        <w:rPr/>
        <w:t>74,538,562.59</w:t>
      </w:r>
      <w:r>
        <w:rPr>
          <w:spacing w:val="-60"/>
        </w:rPr>
        <w:t> </w:t>
      </w:r>
      <w:r>
        <w:rPr/>
        <w:t>元，在提取法定盈余公积金后，</w:t>
      </w:r>
    </w:p>
    <w:p>
      <w:pPr>
        <w:pStyle w:val="BodyText"/>
        <w:tabs>
          <w:tab w:pos="7573" w:val="left" w:leader="none"/>
        </w:tabs>
        <w:spacing w:line="240" w:lineRule="auto" w:before="166"/>
        <w:ind w:left="254" w:right="131"/>
        <w:jc w:val="left"/>
      </w:pPr>
      <w:r>
        <w:rPr/>
        <w:t>母公司期末可供股东分配利润为</w:t>
      </w:r>
      <w:r>
        <w:rPr>
          <w:spacing w:val="-60"/>
        </w:rPr>
        <w:t> </w:t>
      </w:r>
      <w:r>
        <w:rPr/>
        <w:t>278,292,386.11</w:t>
      </w:r>
      <w:r>
        <w:rPr>
          <w:spacing w:val="-60"/>
        </w:rPr>
        <w:t> </w:t>
      </w:r>
      <w:r>
        <w:rPr/>
        <w:t>元，资本公积金为</w:t>
        <w:tab/>
        <w:t>116,130,579.39</w:t>
      </w:r>
      <w:r>
        <w:rPr>
          <w:spacing w:val="-60"/>
        </w:rPr>
        <w:t> </w:t>
      </w:r>
      <w:r>
        <w:rPr/>
        <w:t>元。</w:t>
      </w:r>
    </w:p>
    <w:p>
      <w:pPr>
        <w:pStyle w:val="BodyText"/>
        <w:spacing w:line="240" w:lineRule="auto" w:before="166"/>
        <w:ind w:left="734" w:right="131"/>
        <w:jc w:val="left"/>
      </w:pPr>
      <w:r>
        <w:rPr/>
        <w:t>公司拟以</w:t>
      </w:r>
      <w:r>
        <w:rPr>
          <w:spacing w:val="-60"/>
        </w:rPr>
        <w:t> </w:t>
      </w:r>
      <w:r>
        <w:rPr/>
        <w:t>2011</w:t>
      </w:r>
      <w:r>
        <w:rPr>
          <w:spacing w:val="-60"/>
        </w:rPr>
        <w:t> </w:t>
      </w:r>
      <w:r>
        <w:rPr/>
        <w:t>年末总股本 63,092.064 </w:t>
      </w:r>
      <w:r>
        <w:rPr>
          <w:spacing w:val="-4"/>
        </w:rPr>
        <w:t>万股为基数，以资本公积金转增股本，向全体股</w:t>
      </w:r>
    </w:p>
    <w:p>
      <w:pPr>
        <w:pStyle w:val="BodyText"/>
        <w:spacing w:line="240" w:lineRule="auto" w:before="166"/>
        <w:ind w:left="254" w:right="131"/>
        <w:jc w:val="left"/>
      </w:pPr>
      <w:r>
        <w:rPr/>
        <w:t>东每</w:t>
      </w:r>
      <w:r>
        <w:rPr>
          <w:spacing w:val="-54"/>
        </w:rPr>
        <w:t> </w:t>
      </w:r>
      <w:r>
        <w:rPr/>
        <w:t>10</w:t>
      </w:r>
      <w:r>
        <w:rPr>
          <w:spacing w:val="-54"/>
        </w:rPr>
        <w:t> </w:t>
      </w:r>
      <w:r>
        <w:rPr/>
        <w:t>股转增</w:t>
      </w:r>
      <w:r>
        <w:rPr>
          <w:spacing w:val="-54"/>
        </w:rPr>
        <w:t> </w:t>
      </w:r>
      <w:r>
        <w:rPr/>
        <w:t>1.7</w:t>
      </w:r>
      <w:r>
        <w:rPr>
          <w:spacing w:val="-54"/>
        </w:rPr>
        <w:t> </w:t>
      </w:r>
      <w:r>
        <w:rPr/>
        <w:t>股，同时向全体股东每 10 股送 0.3 股，并派发现金股利</w:t>
      </w:r>
      <w:r>
        <w:rPr>
          <w:spacing w:val="-54"/>
        </w:rPr>
        <w:t> </w:t>
      </w:r>
      <w:r>
        <w:rPr/>
        <w:t>0.035</w:t>
      </w:r>
      <w:r>
        <w:rPr>
          <w:spacing w:val="-54"/>
        </w:rPr>
        <w:t> </w:t>
      </w:r>
      <w:r>
        <w:rPr/>
        <w:t>元人民</w:t>
      </w:r>
    </w:p>
    <w:p>
      <w:pPr>
        <w:pStyle w:val="BodyText"/>
        <w:spacing w:line="240" w:lineRule="auto" w:before="166"/>
        <w:ind w:left="254" w:right="131"/>
        <w:jc w:val="left"/>
      </w:pPr>
      <w:r>
        <w:rPr/>
        <w:t>币（含税</w:t>
      </w:r>
      <w:r>
        <w:rPr>
          <w:spacing w:val="-120"/>
        </w:rPr>
        <w:t>）</w:t>
      </w:r>
      <w:r>
        <w:rPr/>
        <w:t>，共计现金分红</w:t>
      </w:r>
      <w:r>
        <w:rPr>
          <w:spacing w:val="-51"/>
        </w:rPr>
        <w:t> </w:t>
      </w:r>
      <w:r>
        <w:rPr/>
        <w:t>2,208,222.24</w:t>
      </w:r>
      <w:r>
        <w:rPr>
          <w:spacing w:val="-51"/>
        </w:rPr>
        <w:t> </w:t>
      </w:r>
      <w:r>
        <w:rPr/>
        <w:t>元。以上方案实施后，公司总股本由</w:t>
      </w:r>
      <w:r>
        <w:rPr>
          <w:spacing w:val="-51"/>
        </w:rPr>
        <w:t> </w:t>
      </w:r>
      <w:r>
        <w:rPr/>
        <w:t>63,092.06</w:t>
      </w:r>
      <w:r>
        <w:rPr>
          <w:spacing w:val="-51"/>
        </w:rPr>
        <w:t> </w:t>
      </w:r>
      <w:r>
        <w:rPr/>
        <w:t>万</w:t>
      </w:r>
    </w:p>
    <w:p>
      <w:pPr>
        <w:pStyle w:val="BodyText"/>
        <w:tabs>
          <w:tab w:pos="9493" w:val="left" w:leader="none"/>
        </w:tabs>
        <w:spacing w:line="367" w:lineRule="auto" w:before="166"/>
        <w:ind w:left="254" w:right="148"/>
        <w:jc w:val="left"/>
      </w:pPr>
      <w:r>
        <w:rPr/>
        <w:t>股增加到</w:t>
      </w:r>
      <w:r>
        <w:rPr>
          <w:spacing w:val="-59"/>
        </w:rPr>
        <w:t> </w:t>
      </w:r>
      <w:r>
        <w:rPr/>
        <w:t>75,710.48</w:t>
      </w:r>
      <w:r>
        <w:rPr>
          <w:spacing w:val="-59"/>
        </w:rPr>
        <w:t> </w:t>
      </w:r>
      <w:r>
        <w:rPr/>
        <w:t>万股（757,104,768</w:t>
      </w:r>
      <w:r>
        <w:rPr>
          <w:spacing w:val="-59"/>
        </w:rPr>
        <w:t> </w:t>
      </w:r>
      <w:r>
        <w:rPr>
          <w:spacing w:val="-9"/>
        </w:rPr>
        <w:t>股）。母公司剩余资本公积金为</w:t>
      </w:r>
      <w:r>
        <w:rPr>
          <w:spacing w:val="-59"/>
        </w:rPr>
        <w:t> </w:t>
      </w:r>
      <w:r>
        <w:rPr/>
        <w:t>8,874,070.59</w:t>
        <w:tab/>
        <w:t>元，</w:t>
      </w:r>
      <w:r>
        <w:rPr/>
        <w:t> 结转下一年度。转增金额未超过报告期末“资本公积—股本溢价”的余额，本分配预案符合</w:t>
      </w:r>
    </w:p>
    <w:p>
      <w:pPr>
        <w:spacing w:after="0" w:line="367" w:lineRule="auto"/>
        <w:jc w:val="left"/>
        <w:sectPr>
          <w:pgSz w:w="11910" w:h="16840"/>
          <w:pgMar w:header="624" w:footer="711" w:top="1040" w:bottom="900" w:left="880" w:right="9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spacing w:line="367" w:lineRule="auto" w:before="26"/>
        <w:ind w:left="736" w:right="2011" w:hanging="483"/>
        <w:jc w:val="left"/>
        <w:rPr>
          <w:rFonts w:ascii="宋体" w:hAnsi="宋体" w:cs="宋体" w:eastAsia="宋体" w:hint="default"/>
          <w:sz w:val="24"/>
          <w:szCs w:val="24"/>
        </w:rPr>
      </w:pPr>
      <w:r>
        <w:rPr>
          <w:rFonts w:ascii="宋体" w:hAnsi="宋体" w:cs="宋体" w:eastAsia="宋体" w:hint="default"/>
          <w:sz w:val="24"/>
          <w:szCs w:val="24"/>
        </w:rPr>
        <w:t>相关法律、法规的规定。本预案须经</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年度股东大会审议批准后实施。</w:t>
      </w:r>
      <w:r>
        <w:rPr>
          <w:rFonts w:ascii="宋体" w:hAnsi="宋体" w:cs="宋体" w:eastAsia="宋体" w:hint="default"/>
          <w:sz w:val="24"/>
          <w:szCs w:val="24"/>
        </w:rPr>
        <w:t> </w:t>
      </w:r>
      <w:r>
        <w:rPr>
          <w:rFonts w:ascii="宋体" w:hAnsi="宋体" w:cs="宋体" w:eastAsia="宋体" w:hint="default"/>
          <w:b/>
          <w:bCs/>
          <w:sz w:val="24"/>
          <w:szCs w:val="24"/>
        </w:rPr>
        <w:t>公司前三年现金分红情况：</w:t>
      </w:r>
      <w:r>
        <w:rPr>
          <w:rFonts w:ascii="宋体" w:hAnsi="宋体" w:cs="宋体" w:eastAsia="宋体" w:hint="default"/>
          <w:sz w:val="24"/>
          <w:szCs w:val="24"/>
        </w:rPr>
      </w:r>
    </w:p>
    <w:p>
      <w:pPr>
        <w:pStyle w:val="BodyText"/>
        <w:spacing w:line="240" w:lineRule="auto" w:before="38"/>
        <w:ind w:left="733" w:right="0"/>
        <w:jc w:val="left"/>
      </w:pPr>
      <w:r>
        <w:rPr/>
        <w:t>为实现公司持续发展，不断扩大公司产能，公司在</w:t>
      </w:r>
      <w:r>
        <w:rPr>
          <w:spacing w:val="-51"/>
        </w:rPr>
        <w:t> </w:t>
      </w:r>
      <w:r>
        <w:rPr/>
        <w:t>1999</w:t>
      </w:r>
      <w:r>
        <w:rPr>
          <w:spacing w:val="-51"/>
        </w:rPr>
        <w:t> </w:t>
      </w:r>
      <w:r>
        <w:rPr/>
        <w:t>年成立到</w:t>
      </w:r>
      <w:r>
        <w:rPr>
          <w:spacing w:val="-51"/>
        </w:rPr>
        <w:t> </w:t>
      </w:r>
      <w:r>
        <w:rPr/>
        <w:t>2007</w:t>
      </w:r>
      <w:r>
        <w:rPr>
          <w:spacing w:val="-51"/>
        </w:rPr>
        <w:t> </w:t>
      </w:r>
      <w:r>
        <w:rPr/>
        <w:t>年上市前未进行</w:t>
      </w:r>
    </w:p>
    <w:p>
      <w:pPr>
        <w:pStyle w:val="BodyText"/>
        <w:spacing w:line="240" w:lineRule="auto" w:before="166"/>
        <w:ind w:left="253" w:right="2011"/>
        <w:jc w:val="left"/>
      </w:pPr>
      <w:r>
        <w:rPr/>
        <w:t>分红，上市后，公司采用积极稳健分红政策，具体情况如下：</w:t>
      </w:r>
    </w:p>
    <w:p>
      <w:pPr>
        <w:spacing w:before="46"/>
        <w:ind w:left="0" w:right="1788"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2"/>
        <w:rPr>
          <w:rFonts w:ascii="宋体" w:hAnsi="宋体" w:cs="宋体" w:eastAsia="宋体" w:hint="default"/>
          <w:sz w:val="5"/>
          <w:szCs w:val="5"/>
        </w:rPr>
      </w:pPr>
    </w:p>
    <w:tbl>
      <w:tblPr>
        <w:tblW w:w="0" w:type="auto"/>
        <w:jc w:val="left"/>
        <w:tblInd w:w="232" w:type="dxa"/>
        <w:tblLayout w:type="fixed"/>
        <w:tblCellMar>
          <w:top w:w="0" w:type="dxa"/>
          <w:left w:w="0" w:type="dxa"/>
          <w:bottom w:w="0" w:type="dxa"/>
          <w:right w:w="0" w:type="dxa"/>
        </w:tblCellMar>
        <w:tblLook w:val="01E0"/>
      </w:tblPr>
      <w:tblGrid>
        <w:gridCol w:w="2246"/>
        <w:gridCol w:w="2280"/>
        <w:gridCol w:w="2194"/>
        <w:gridCol w:w="2200"/>
      </w:tblGrid>
      <w:tr>
        <w:trPr>
          <w:trHeight w:val="122" w:hRule="exact"/>
        </w:trPr>
        <w:tc>
          <w:tcPr>
            <w:tcW w:w="2246" w:type="dxa"/>
            <w:tcBorders>
              <w:top w:val="single" w:sz="4" w:space="0" w:color="000000"/>
              <w:left w:val="single" w:sz="4" w:space="0" w:color="000000"/>
              <w:bottom w:val="nil" w:sz="6" w:space="0" w:color="auto"/>
              <w:right w:val="single" w:sz="4" w:space="0" w:color="000000"/>
            </w:tcBorders>
            <w:shd w:val="clear" w:color="auto" w:fill="DCDCDC"/>
          </w:tcPr>
          <w:p>
            <w:pPr/>
          </w:p>
        </w:tc>
        <w:tc>
          <w:tcPr>
            <w:tcW w:w="2280" w:type="dxa"/>
            <w:tcBorders>
              <w:top w:val="single" w:sz="4" w:space="0" w:color="000000"/>
              <w:left w:val="single" w:sz="4" w:space="0" w:color="000000"/>
              <w:bottom w:val="nil" w:sz="6" w:space="0" w:color="auto"/>
              <w:right w:val="single" w:sz="4" w:space="0" w:color="000000"/>
            </w:tcBorders>
            <w:shd w:val="clear" w:color="auto" w:fill="DCDCDC"/>
          </w:tcPr>
          <w:p>
            <w:pPr/>
          </w:p>
        </w:tc>
        <w:tc>
          <w:tcPr>
            <w:tcW w:w="2194" w:type="dxa"/>
            <w:vMerge w:val="restart"/>
            <w:tcBorders>
              <w:top w:val="single" w:sz="4" w:space="0" w:color="000000"/>
              <w:left w:val="single" w:sz="4" w:space="0" w:color="000000"/>
              <w:right w:val="single" w:sz="4" w:space="0" w:color="000000"/>
            </w:tcBorders>
            <w:shd w:val="clear" w:color="auto" w:fill="DCDCDC"/>
          </w:tcPr>
          <w:p>
            <w:pPr>
              <w:pStyle w:val="TableParagraph"/>
              <w:spacing w:line="232" w:lineRule="exact" w:before="35"/>
              <w:ind w:left="101" w:right="101"/>
              <w:jc w:val="left"/>
              <w:rPr>
                <w:rFonts w:ascii="宋体" w:hAnsi="宋体" w:cs="宋体" w:eastAsia="宋体" w:hint="default"/>
                <w:sz w:val="18"/>
                <w:szCs w:val="18"/>
              </w:rPr>
            </w:pPr>
            <w:r>
              <w:rPr>
                <w:rFonts w:ascii="宋体" w:hAnsi="宋体" w:cs="宋体" w:eastAsia="宋体" w:hint="default"/>
                <w:sz w:val="18"/>
                <w:szCs w:val="18"/>
              </w:rPr>
              <w:t>分红年度合并报表中归属 于上市公司股东的净利润</w:t>
            </w:r>
          </w:p>
        </w:tc>
        <w:tc>
          <w:tcPr>
            <w:tcW w:w="2200" w:type="dxa"/>
            <w:vMerge w:val="restart"/>
            <w:tcBorders>
              <w:top w:val="single" w:sz="4" w:space="0" w:color="000000"/>
              <w:left w:val="single" w:sz="4" w:space="0" w:color="000000"/>
              <w:right w:val="single" w:sz="4" w:space="0" w:color="000000"/>
            </w:tcBorders>
            <w:shd w:val="clear" w:color="auto" w:fill="DCDCDC"/>
          </w:tcPr>
          <w:p>
            <w:pPr>
              <w:pStyle w:val="TableParagraph"/>
              <w:spacing w:line="232" w:lineRule="exact" w:before="35"/>
              <w:ind w:left="104" w:right="103"/>
              <w:jc w:val="left"/>
              <w:rPr>
                <w:rFonts w:ascii="宋体" w:hAnsi="宋体" w:cs="宋体" w:eastAsia="宋体" w:hint="default"/>
                <w:sz w:val="18"/>
                <w:szCs w:val="18"/>
              </w:rPr>
            </w:pPr>
            <w:r>
              <w:rPr>
                <w:rFonts w:ascii="宋体" w:hAnsi="宋体" w:cs="宋体" w:eastAsia="宋体" w:hint="default"/>
                <w:sz w:val="18"/>
                <w:szCs w:val="18"/>
              </w:rPr>
              <w:t>占合并报表中归属于上市 公司股东的净利润的比率</w:t>
            </w:r>
          </w:p>
        </w:tc>
      </w:tr>
      <w:tr>
        <w:trPr>
          <w:trHeight w:val="434" w:hRule="exact"/>
        </w:trPr>
        <w:tc>
          <w:tcPr>
            <w:tcW w:w="2246"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10"/>
              <w:ind w:left="757"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228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现金分红金额（含税）</w:t>
            </w:r>
          </w:p>
        </w:tc>
        <w:tc>
          <w:tcPr>
            <w:tcW w:w="2194" w:type="dxa"/>
            <w:vMerge/>
            <w:tcBorders>
              <w:left w:val="single" w:sz="4" w:space="0" w:color="000000"/>
              <w:bottom w:val="single" w:sz="4" w:space="0" w:color="000000"/>
              <w:right w:val="single" w:sz="4" w:space="0" w:color="000000"/>
            </w:tcBorders>
            <w:shd w:val="clear" w:color="auto" w:fill="DCDCDC"/>
          </w:tcPr>
          <w:p>
            <w:pPr/>
          </w:p>
        </w:tc>
        <w:tc>
          <w:tcPr>
            <w:tcW w:w="2200" w:type="dxa"/>
            <w:vMerge/>
            <w:tcBorders>
              <w:left w:val="single" w:sz="4" w:space="0" w:color="000000"/>
              <w:bottom w:val="single" w:sz="4" w:space="0" w:color="000000"/>
              <w:right w:val="single" w:sz="4" w:space="0" w:color="000000"/>
            </w:tcBorders>
            <w:shd w:val="clear" w:color="auto" w:fill="DCDCDC"/>
          </w:tcPr>
          <w:p>
            <w:pPr/>
          </w:p>
        </w:tc>
      </w:tr>
      <w:tr>
        <w:trPr>
          <w:trHeight w:val="324"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8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80" w:type="dxa"/>
            <w:tcBorders>
              <w:top w:val="single" w:sz="50" w:space="0" w:color="DCDCDC"/>
              <w:left w:val="single" w:sz="13" w:space="0" w:color="DCDCDC"/>
              <w:bottom w:val="single" w:sz="4" w:space="0" w:color="000000"/>
              <w:right w:val="single" w:sz="4" w:space="0" w:color="000000"/>
            </w:tcBorders>
          </w:tcPr>
          <w:p>
            <w:pPr>
              <w:pStyle w:val="TableParagraph"/>
              <w:spacing w:line="186" w:lineRule="exact"/>
              <w:ind w:right="1"/>
              <w:jc w:val="center"/>
              <w:rPr>
                <w:rFonts w:ascii="Times New Roman" w:hAnsi="Times New Roman" w:cs="Times New Roman" w:eastAsia="Times New Roman" w:hint="default"/>
                <w:sz w:val="18"/>
                <w:szCs w:val="18"/>
              </w:rPr>
            </w:pPr>
            <w:r>
              <w:rPr>
                <w:rFonts w:ascii="Times New Roman"/>
                <w:sz w:val="18"/>
              </w:rPr>
              <w:t>0</w:t>
            </w:r>
          </w:p>
        </w:tc>
        <w:tc>
          <w:tcPr>
            <w:tcW w:w="2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Times New Roman" w:hAnsi="Times New Roman" w:cs="Times New Roman" w:eastAsia="Times New Roman" w:hint="default"/>
                <w:sz w:val="18"/>
                <w:szCs w:val="18"/>
              </w:rPr>
            </w:pPr>
            <w:r>
              <w:rPr>
                <w:rFonts w:ascii="Times New Roman"/>
                <w:sz w:val="18"/>
              </w:rPr>
              <w:t>7026</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8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8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18"/>
                <w:szCs w:val="18"/>
              </w:rPr>
            </w:pPr>
            <w:r>
              <w:rPr>
                <w:rFonts w:ascii="Times New Roman"/>
                <w:sz w:val="18"/>
              </w:rPr>
              <w:t>4005.85</w:t>
            </w:r>
          </w:p>
        </w:tc>
        <w:tc>
          <w:tcPr>
            <w:tcW w:w="2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18"/>
                <w:szCs w:val="18"/>
              </w:rPr>
            </w:pPr>
            <w:r>
              <w:rPr>
                <w:rFonts w:ascii="Times New Roman"/>
                <w:sz w:val="18"/>
              </w:rPr>
              <w:t>7495</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18"/>
                <w:szCs w:val="18"/>
              </w:rPr>
            </w:pPr>
            <w:r>
              <w:rPr>
                <w:rFonts w:ascii="Times New Roman"/>
                <w:sz w:val="18"/>
              </w:rPr>
              <w:t>53.45%</w:t>
            </w:r>
          </w:p>
        </w:tc>
      </w:tr>
      <w:tr>
        <w:trPr>
          <w:trHeight w:val="324"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8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8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7"/>
              <w:ind w:right="0"/>
              <w:jc w:val="center"/>
              <w:rPr>
                <w:rFonts w:ascii="Times New Roman" w:hAnsi="Times New Roman" w:cs="Times New Roman" w:eastAsia="Times New Roman" w:hint="default"/>
                <w:sz w:val="18"/>
                <w:szCs w:val="18"/>
              </w:rPr>
            </w:pPr>
            <w:r>
              <w:rPr>
                <w:rFonts w:ascii="Times New Roman"/>
                <w:sz w:val="18"/>
              </w:rPr>
              <w:t>3004.39</w:t>
            </w:r>
          </w:p>
        </w:tc>
        <w:tc>
          <w:tcPr>
            <w:tcW w:w="2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Times New Roman" w:hAnsi="Times New Roman" w:cs="Times New Roman" w:eastAsia="Times New Roman" w:hint="default"/>
                <w:sz w:val="18"/>
                <w:szCs w:val="18"/>
              </w:rPr>
            </w:pPr>
            <w:r>
              <w:rPr>
                <w:rFonts w:ascii="Times New Roman"/>
                <w:sz w:val="18"/>
              </w:rPr>
              <w:t>4614.03</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Times New Roman" w:hAnsi="Times New Roman" w:cs="Times New Roman" w:eastAsia="Times New Roman" w:hint="default"/>
                <w:sz w:val="18"/>
                <w:szCs w:val="18"/>
              </w:rPr>
            </w:pPr>
            <w:r>
              <w:rPr>
                <w:rFonts w:ascii="Times New Roman"/>
                <w:sz w:val="18"/>
              </w:rPr>
              <w:t>65.11%</w:t>
            </w:r>
          </w:p>
        </w:tc>
      </w:tr>
      <w:tr>
        <w:trPr>
          <w:trHeight w:val="324" w:hRule="exact"/>
        </w:trPr>
        <w:tc>
          <w:tcPr>
            <w:tcW w:w="4526"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最近三年累计现金分红金额占最近年均净利润的比</w:t>
            </w:r>
            <w:r>
              <w:rPr>
                <w:rFonts w:ascii="宋体" w:hAnsi="宋体" w:cs="宋体" w:eastAsia="宋体" w:hint="default"/>
                <w:spacing w:val="-80"/>
                <w:sz w:val="18"/>
                <w:szCs w:val="18"/>
              </w:rPr>
              <w:t>例</w:t>
            </w:r>
            <w:r>
              <w:rPr>
                <w:rFonts w:ascii="宋体" w:hAnsi="宋体" w:cs="宋体" w:eastAsia="宋体" w:hint="default"/>
                <w:sz w:val="18"/>
                <w:szCs w:val="18"/>
              </w:rPr>
              <w:t>（</w:t>
            </w:r>
            <w:r>
              <w:rPr>
                <w:rFonts w:ascii="Times New Roman" w:hAnsi="Times New Roman" w:cs="Times New Roman" w:eastAsia="Times New Roman" w:hint="default"/>
                <w:sz w:val="18"/>
                <w:szCs w:val="18"/>
              </w:rPr>
              <w:t>%</w:t>
            </w:r>
          </w:p>
        </w:tc>
        <w:tc>
          <w:tcPr>
            <w:tcW w:w="4393" w:type="dxa"/>
            <w:gridSpan w:val="2"/>
            <w:tcBorders>
              <w:top w:val="single" w:sz="4" w:space="0" w:color="000000"/>
              <w:left w:val="single" w:sz="13" w:space="0" w:color="DCDCDC"/>
              <w:bottom w:val="single" w:sz="4" w:space="0" w:color="000000"/>
              <w:right w:val="single" w:sz="4" w:space="0" w:color="000000"/>
            </w:tcBorders>
          </w:tcPr>
          <w:p>
            <w:pPr>
              <w:pStyle w:val="TableParagraph"/>
              <w:tabs>
                <w:tab w:pos="1857" w:val="left" w:leader="none"/>
              </w:tabs>
              <w:spacing w:line="240" w:lineRule="auto" w:before="10"/>
              <w:ind w:left="-13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position w:val="2"/>
                <w:sz w:val="18"/>
                <w:szCs w:val="18"/>
              </w:rPr>
              <w:t>109.91%</w:t>
            </w:r>
            <w:r>
              <w:rPr>
                <w:rFonts w:ascii="Times New Roman" w:hAnsi="Times New Roman" w:cs="Times New Roman" w:eastAsia="Times New Roman" w:hint="default"/>
                <w:sz w:val="18"/>
                <w:szCs w:val="18"/>
              </w:rPr>
            </w:r>
          </w:p>
        </w:tc>
      </w:tr>
    </w:tbl>
    <w:p>
      <w:pPr>
        <w:spacing w:before="0"/>
        <w:ind w:left="736" w:right="2011" w:firstLine="0"/>
        <w:jc w:val="left"/>
        <w:rPr>
          <w:rFonts w:ascii="宋体" w:hAnsi="宋体" w:cs="宋体" w:eastAsia="宋体" w:hint="default"/>
          <w:sz w:val="24"/>
          <w:szCs w:val="24"/>
        </w:rPr>
      </w:pPr>
      <w:r>
        <w:rPr>
          <w:rFonts w:ascii="宋体" w:hAnsi="宋体" w:cs="宋体" w:eastAsia="宋体" w:hint="default"/>
          <w:b/>
          <w:bCs/>
          <w:sz w:val="24"/>
          <w:szCs w:val="24"/>
        </w:rPr>
        <w:t>五、其他事项</w:t>
      </w:r>
      <w:r>
        <w:rPr>
          <w:rFonts w:ascii="宋体" w:hAnsi="宋体" w:cs="宋体" w:eastAsia="宋体" w:hint="default"/>
          <w:sz w:val="24"/>
          <w:szCs w:val="24"/>
        </w:rPr>
      </w:r>
    </w:p>
    <w:p>
      <w:pPr>
        <w:pStyle w:val="BodyText"/>
        <w:spacing w:line="240" w:lineRule="auto" w:before="192"/>
        <w:ind w:left="734" w:right="0"/>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20"/>
        </w:rPr>
        <w:t> </w:t>
      </w:r>
      <w:r>
        <w:rPr>
          <w:spacing w:val="41"/>
        </w:rPr>
        <w:t>、公司指定信息披露的媒体为《证券时</w:t>
      </w:r>
      <w:r>
        <w:rPr/>
        <w:t>报</w:t>
      </w:r>
      <w:r>
        <w:rPr>
          <w:spacing w:val="-79"/>
        </w:rPr>
        <w:t> </w:t>
      </w:r>
      <w:r>
        <w:rPr>
          <w:spacing w:val="-80"/>
        </w:rPr>
        <w:t>》</w:t>
      </w:r>
      <w:r>
        <w:rPr>
          <w:spacing w:val="-78"/>
        </w:rPr>
        <w:t>、</w:t>
      </w:r>
      <w:r>
        <w:rPr>
          <w:spacing w:val="41"/>
        </w:rPr>
        <w:t>《中国证券报》和巨潮资</w:t>
      </w:r>
      <w:r>
        <w:rPr/>
        <w:t>讯</w:t>
      </w:r>
      <w:r>
        <w:rPr>
          <w:spacing w:val="-77"/>
        </w:rPr>
        <w:t> </w:t>
      </w:r>
      <w:r>
        <w:rPr/>
        <w:t>网</w:t>
      </w:r>
    </w:p>
    <w:p>
      <w:pPr>
        <w:pStyle w:val="BodyText"/>
        <w:spacing w:line="240" w:lineRule="auto" w:before="135"/>
        <w:ind w:left="254" w:right="2011"/>
        <w:jc w:val="left"/>
      </w:pPr>
      <w:r>
        <w:rPr/>
        <w:t>（</w:t>
      </w:r>
      <w:hyperlink r:id="rId11">
        <w:r>
          <w:rPr>
            <w:rFonts w:ascii="Times New Roman" w:hAnsi="Times New Roman" w:cs="Times New Roman" w:eastAsia="Times New Roman" w:hint="default"/>
            <w:w w:val="99"/>
          </w:rPr>
          <w:t>http://ww</w:t>
        </w:r>
        <w:r>
          <w:rPr>
            <w:rFonts w:ascii="Times New Roman" w:hAnsi="Times New Roman" w:cs="Times New Roman" w:eastAsia="Times New Roman" w:hint="default"/>
            <w:spacing w:val="-16"/>
            <w:w w:val="99"/>
          </w:rPr>
          <w:t>w</w:t>
        </w:r>
        <w:r>
          <w:rPr>
            <w:rFonts w:ascii="Times New Roman" w:hAnsi="Times New Roman" w:cs="Times New Roman" w:eastAsia="Times New Roman" w:hint="default"/>
            <w:w w:val="99"/>
          </w:rPr>
          <w:t>.cninfo.com.cn</w:t>
        </w:r>
      </w:hyperlink>
      <w:r>
        <w:rPr>
          <w:spacing w:val="-120"/>
          <w:w w:val="99"/>
        </w:rPr>
        <w:t>）</w:t>
      </w:r>
      <w:r>
        <w:rPr>
          <w:w w:val="99"/>
        </w:rPr>
        <w:t>。</w:t>
      </w:r>
      <w:r>
        <w:rPr/>
      </w:r>
    </w:p>
    <w:p>
      <w:pPr>
        <w:pStyle w:val="BodyText"/>
        <w:spacing w:line="348" w:lineRule="auto" w:before="174"/>
        <w:ind w:left="254" w:right="188" w:firstLine="480"/>
        <w:jc w:val="both"/>
      </w:pPr>
      <w:r>
        <w:rPr>
          <w:rFonts w:ascii="Times New Roman" w:hAnsi="Times New Roman" w:cs="Times New Roman" w:eastAsia="Times New Roman" w:hint="default"/>
          <w:spacing w:val="-3"/>
        </w:rPr>
        <w:t>2</w:t>
      </w:r>
      <w:r>
        <w:rPr>
          <w:spacing w:val="-3"/>
        </w:rPr>
        <w:t>、公司专门制定了《投资者关系管理制度》，指定公司董事会秘书张国刚先生为投资者</w:t>
      </w:r>
      <w:r>
        <w:rPr>
          <w:spacing w:val="1"/>
        </w:rPr>
        <w:t> </w:t>
      </w:r>
      <w:r>
        <w:rPr/>
        <w:t>关系管理的负责人，公司董事会秘书室负责投资者关系管理的日常事务，公司证券事务代表</w:t>
      </w:r>
      <w:r>
        <w:rPr>
          <w:spacing w:val="-83"/>
        </w:rPr>
        <w:t> </w:t>
      </w:r>
      <w:r>
        <w:rPr>
          <w:spacing w:val="-83"/>
        </w:rPr>
      </w:r>
      <w:r>
        <w:rPr/>
        <w:t>刘婷女士负责协助董事会秘书从事投资者关系的管理工作。</w:t>
      </w:r>
    </w:p>
    <w:p>
      <w:pPr>
        <w:pStyle w:val="BodyText"/>
        <w:spacing w:line="350" w:lineRule="auto" w:before="84"/>
        <w:ind w:left="254" w:right="104" w:firstLine="480"/>
        <w:jc w:val="both"/>
      </w:pPr>
      <w:r>
        <w:rPr>
          <w:rFonts w:ascii="Times New Roman" w:hAnsi="Times New Roman" w:cs="Times New Roman" w:eastAsia="Times New Roman" w:hint="default"/>
          <w:spacing w:val="-3"/>
        </w:rPr>
        <w:t>3</w:t>
      </w:r>
      <w:r>
        <w:rPr>
          <w:spacing w:val="-3"/>
        </w:rPr>
        <w:t>、公司重视投资者关系管理，指定了专人回答投资者的问询，日常通过电话的方式回答</w:t>
      </w:r>
      <w:r>
        <w:rPr/>
        <w:t> 投资者、媒体和中介机构的咨询，积极接待投资者、新闻媒体的咨询和来访，加强同投资者</w:t>
      </w:r>
      <w:r>
        <w:rPr>
          <w:spacing w:val="-83"/>
        </w:rPr>
        <w:t> </w:t>
      </w:r>
      <w:r>
        <w:rPr>
          <w:spacing w:val="-83"/>
        </w:rPr>
      </w:r>
      <w:r>
        <w:rPr/>
        <w:t>和新闻媒体的交流和沟通，及时准确完整披露应该披露的信息，并依托巨潮资讯中小企业路</w:t>
      </w:r>
      <w:r>
        <w:rPr>
          <w:spacing w:val="-83"/>
        </w:rPr>
        <w:t> </w:t>
      </w:r>
      <w:r>
        <w:rPr>
          <w:spacing w:val="-83"/>
        </w:rPr>
      </w:r>
      <w:r>
        <w:rPr>
          <w:spacing w:val="-3"/>
        </w:rPr>
        <w:t>演网建立了与投资者沟通平台（</w:t>
      </w:r>
      <w:hyperlink r:id="rId42">
        <w:r>
          <w:rPr>
            <w:rFonts w:ascii="Times New Roman" w:hAnsi="Times New Roman" w:cs="Times New Roman" w:eastAsia="Times New Roman" w:hint="default"/>
            <w:spacing w:val="-3"/>
          </w:rPr>
          <w:t>http://irm.p5w.net/002168/index.html</w:t>
        </w:r>
      </w:hyperlink>
      <w:r>
        <w:rPr>
          <w:spacing w:val="-3"/>
        </w:rPr>
        <w:t>），加强与投资者的交流。</w:t>
      </w:r>
    </w:p>
    <w:p>
      <w:pPr>
        <w:spacing w:after="0" w:line="350" w:lineRule="auto"/>
        <w:jc w:val="both"/>
        <w:sectPr>
          <w:pgSz w:w="11910" w:h="16840"/>
          <w:pgMar w:header="624" w:footer="711" w:top="1040" w:bottom="900" w:left="880" w:right="94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p>
      <w:pPr>
        <w:pStyle w:val="Heading1"/>
        <w:tabs>
          <w:tab w:pos="1385" w:val="left" w:leader="none"/>
        </w:tabs>
        <w:spacing w:line="240" w:lineRule="auto"/>
        <w:ind w:left="100" w:right="0"/>
        <w:jc w:val="center"/>
        <w:rPr>
          <w:b w:val="0"/>
          <w:bCs w:val="0"/>
        </w:rPr>
      </w:pPr>
      <w:bookmarkStart w:name="_TOC_250003" w:id="12"/>
      <w:r>
        <w:rPr>
          <w:w w:val="95"/>
        </w:rPr>
        <w:t>第八节</w:t>
        <w:tab/>
      </w:r>
      <w:r>
        <w:rPr/>
        <w:t>监事会工作报告</w:t>
      </w:r>
      <w:bookmarkEnd w:id="12"/>
      <w:r>
        <w:rPr>
          <w:b w:val="0"/>
          <w:bCs w:val="0"/>
        </w:rPr>
      </w:r>
    </w:p>
    <w:p>
      <w:pPr>
        <w:spacing w:line="240" w:lineRule="auto" w:before="0"/>
        <w:rPr>
          <w:rFonts w:ascii="宋体" w:hAnsi="宋体" w:cs="宋体" w:eastAsia="宋体" w:hint="default"/>
          <w:b/>
          <w:bCs/>
          <w:sz w:val="32"/>
          <w:szCs w:val="32"/>
        </w:rPr>
      </w:pPr>
    </w:p>
    <w:p>
      <w:pPr>
        <w:spacing w:line="384" w:lineRule="auto" w:before="229"/>
        <w:ind w:left="734" w:right="170" w:hanging="9"/>
        <w:jc w:val="left"/>
        <w:rPr>
          <w:rFonts w:ascii="宋体" w:hAnsi="宋体" w:cs="宋体" w:eastAsia="宋体" w:hint="default"/>
          <w:sz w:val="24"/>
          <w:szCs w:val="24"/>
        </w:rPr>
      </w:pPr>
      <w:r>
        <w:rPr>
          <w:rFonts w:ascii="宋体" w:hAnsi="宋体" w:cs="宋体" w:eastAsia="宋体" w:hint="default"/>
          <w:b/>
          <w:bCs/>
          <w:sz w:val="24"/>
          <w:szCs w:val="24"/>
        </w:rPr>
        <w:t>一、报告期内监事会工作情况</w:t>
      </w:r>
      <w:r>
        <w:rPr>
          <w:rFonts w:ascii="宋体" w:hAnsi="宋体" w:cs="宋体" w:eastAsia="宋体" w:hint="default"/>
          <w:b/>
          <w:bCs/>
          <w:w w:val="99"/>
          <w:sz w:val="24"/>
          <w:szCs w:val="24"/>
        </w:rPr>
        <w:t> </w:t>
      </w:r>
      <w:r>
        <w:rPr>
          <w:rFonts w:ascii="宋体" w:hAnsi="宋体" w:cs="宋体" w:eastAsia="宋体" w:hint="default"/>
          <w:sz w:val="24"/>
          <w:szCs w:val="24"/>
        </w:rPr>
        <w:t>报告期内，公司共召开五次监事会会议，会议的召集、召开与表决程序符合《公司法》</w:t>
      </w:r>
    </w:p>
    <w:p>
      <w:pPr>
        <w:pStyle w:val="BodyText"/>
        <w:spacing w:line="240" w:lineRule="auto" w:before="22"/>
        <w:ind w:left="254" w:right="139"/>
        <w:jc w:val="left"/>
      </w:pPr>
      <w:r>
        <w:rPr/>
        <w:t>及《公司章程》等法律、法规和规范性文件的规定。</w:t>
      </w:r>
    </w:p>
    <w:p>
      <w:pPr>
        <w:pStyle w:val="BodyText"/>
        <w:spacing w:line="357" w:lineRule="auto" w:before="205"/>
        <w:ind w:left="253" w:right="188" w:firstLine="480"/>
        <w:jc w:val="both"/>
      </w:pPr>
      <w:r>
        <w:rPr>
          <w:rFonts w:ascii="Times New Roman" w:hAnsi="Times New Roman" w:cs="Times New Roman" w:eastAsia="Times New Roman" w:hint="default"/>
        </w:rPr>
        <w:t>1</w:t>
      </w:r>
      <w:r>
        <w:rPr/>
        <w:t>．公司于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25</w:t>
      </w:r>
      <w:r>
        <w:rPr/>
        <w:t>日在公司会议室召开第三届监事会第十二次会议，会议应到监事 三名，实到三名，会议由公司监事会召集人姜宏华先生主持。本次会议审议通过了《关于公 </w:t>
      </w:r>
      <w:r>
        <w:rPr>
          <w:spacing w:val="-5"/>
        </w:rPr>
        <w:t>司使用部分闲置募集资金暂时补充流动资金的议案》。</w:t>
      </w:r>
    </w:p>
    <w:p>
      <w:pPr>
        <w:pStyle w:val="BodyText"/>
        <w:spacing w:line="345" w:lineRule="auto" w:before="88"/>
        <w:ind w:left="253" w:right="151" w:firstLine="480"/>
        <w:jc w:val="both"/>
      </w:pPr>
      <w:r>
        <w:rPr>
          <w:rFonts w:ascii="Times New Roman" w:hAnsi="Times New Roman" w:cs="Times New Roman" w:eastAsia="Times New Roman" w:hint="default"/>
        </w:rPr>
        <w:t>2</w:t>
      </w:r>
      <w:r>
        <w:rPr/>
        <w:t>．公司于</w:t>
      </w:r>
      <w:r>
        <w:rPr>
          <w:rFonts w:ascii="Times New Roman" w:hAnsi="Times New Roman" w:cs="Times New Roman" w:eastAsia="Times New Roman" w:hint="default"/>
        </w:rPr>
        <w:t>2011</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23</w:t>
      </w:r>
      <w:r>
        <w:rPr>
          <w:rFonts w:ascii="Times New Roman" w:hAnsi="Times New Roman" w:cs="Times New Roman" w:eastAsia="Times New Roman" w:hint="default"/>
          <w:spacing w:val="51"/>
        </w:rPr>
        <w:t> </w:t>
      </w:r>
      <w:r>
        <w:rPr/>
        <w:t>日，在公司会议室召开第三届监事会第十三次会议，会议应 到监事三名，实到三名，会议由监事会召集人姜宏华先生主持。本次会议审议通过了《</w:t>
      </w:r>
      <w:r>
        <w:rPr>
          <w:rFonts w:ascii="Times New Roman" w:hAnsi="Times New Roman" w:cs="Times New Roman" w:eastAsia="Times New Roman" w:hint="default"/>
        </w:rPr>
        <w:t>2010 </w:t>
      </w:r>
      <w:r>
        <w:rPr>
          <w:spacing w:val="-11"/>
        </w:rPr>
        <w:t>年监事会工作报告》，《</w:t>
      </w:r>
      <w:r>
        <w:rPr>
          <w:rFonts w:ascii="Times New Roman" w:hAnsi="Times New Roman" w:cs="Times New Roman" w:eastAsia="Times New Roman" w:hint="default"/>
          <w:spacing w:val="-11"/>
        </w:rPr>
        <w:t>2010</w:t>
      </w:r>
      <w:r>
        <w:rPr>
          <w:spacing w:val="-11"/>
        </w:rPr>
        <w:t>年度财务决算报告》，《</w:t>
      </w:r>
      <w:r>
        <w:rPr>
          <w:rFonts w:ascii="Times New Roman" w:hAnsi="Times New Roman" w:cs="Times New Roman" w:eastAsia="Times New Roman" w:hint="default"/>
          <w:spacing w:val="-11"/>
        </w:rPr>
        <w:t>2010</w:t>
      </w:r>
      <w:r>
        <w:rPr>
          <w:spacing w:val="-11"/>
        </w:rPr>
        <w:t>年度利润分配及资本公积金转增股本</w:t>
      </w:r>
      <w:r>
        <w:rPr>
          <w:spacing w:val="-94"/>
        </w:rPr>
        <w:t> </w:t>
      </w:r>
      <w:r>
        <w:rPr>
          <w:spacing w:val="-17"/>
        </w:rPr>
        <w:t>的预案》，《</w:t>
      </w:r>
      <w:r>
        <w:rPr>
          <w:rFonts w:ascii="Times New Roman" w:hAnsi="Times New Roman" w:cs="Times New Roman" w:eastAsia="Times New Roman" w:hint="default"/>
          <w:spacing w:val="-17"/>
        </w:rPr>
        <w:t>2010</w:t>
      </w:r>
      <w:r>
        <w:rPr>
          <w:spacing w:val="-17"/>
        </w:rPr>
        <w:t>年年度报告及其摘要》，《关于募集资金</w:t>
      </w:r>
      <w:r>
        <w:rPr>
          <w:rFonts w:ascii="Times New Roman" w:hAnsi="Times New Roman" w:cs="Times New Roman" w:eastAsia="Times New Roman" w:hint="default"/>
          <w:spacing w:val="-17"/>
        </w:rPr>
        <w:t>2010</w:t>
      </w:r>
      <w:r>
        <w:rPr>
          <w:rFonts w:ascii="Times New Roman" w:hAnsi="Times New Roman" w:cs="Times New Roman" w:eastAsia="Times New Roman" w:hint="default"/>
          <w:spacing w:val="9"/>
        </w:rPr>
        <w:t> </w:t>
      </w:r>
      <w:r>
        <w:rPr>
          <w:spacing w:val="-18"/>
        </w:rPr>
        <w:t>年度使用情况的专项报告》，《关</w:t>
      </w:r>
      <w:r>
        <w:rPr/>
        <w:t> 于公司</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spacing w:val="-9"/>
        </w:rPr>
        <w:t>年度内部控制的自我评价报告的议案》，《关于公司变更部分会计政策的议案》等</w:t>
      </w:r>
      <w:r>
        <w:rPr/>
        <w:t> 七项议案。</w:t>
      </w:r>
    </w:p>
    <w:p>
      <w:pPr>
        <w:pStyle w:val="BodyText"/>
        <w:spacing w:line="345" w:lineRule="auto" w:before="101"/>
        <w:ind w:left="254" w:right="148" w:firstLine="480"/>
        <w:jc w:val="both"/>
      </w:pPr>
      <w:r>
        <w:rPr>
          <w:rFonts w:ascii="Times New Roman" w:hAnsi="Times New Roman" w:cs="Times New Roman" w:eastAsia="Times New Roman" w:hint="default"/>
          <w:spacing w:val="-5"/>
        </w:rPr>
        <w:t>3</w:t>
      </w:r>
      <w:r>
        <w:rPr>
          <w:spacing w:val="-5"/>
        </w:rPr>
        <w:t>．公司于</w:t>
      </w:r>
      <w:r>
        <w:rPr>
          <w:rFonts w:ascii="Times New Roman" w:hAnsi="Times New Roman" w:cs="Times New Roman" w:eastAsia="Times New Roman" w:hint="default"/>
          <w:spacing w:val="-5"/>
        </w:rPr>
        <w:t>2011 </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rPr>
        <w:t>20</w:t>
      </w:r>
      <w:r>
        <w:rPr>
          <w:rFonts w:ascii="Times New Roman" w:hAnsi="Times New Roman" w:cs="Times New Roman" w:eastAsia="Times New Roman" w:hint="default"/>
          <w:spacing w:val="34"/>
        </w:rPr>
        <w:t> </w:t>
      </w:r>
      <w:r>
        <w:rPr/>
        <w:t>日在公司会议室召开第三届监事会第十四次会议，会议应到 监事三名，实到三名，会议由姜宏华先生主持。本次会议讨论了</w:t>
      </w:r>
      <w:r>
        <w:rPr>
          <w:rFonts w:ascii="Times New Roman" w:hAnsi="Times New Roman" w:cs="Times New Roman" w:eastAsia="Times New Roman" w:hint="default"/>
        </w:rPr>
        <w:t>2010</w:t>
      </w:r>
      <w:r>
        <w:rPr/>
        <w:t>年上半年的公司经营情 </w:t>
      </w:r>
      <w:r>
        <w:rPr>
          <w:spacing w:val="-6"/>
        </w:rPr>
        <w:t>况并审议通过了《</w:t>
      </w:r>
      <w:r>
        <w:rPr>
          <w:rFonts w:ascii="Times New Roman" w:hAnsi="Times New Roman" w:cs="Times New Roman" w:eastAsia="Times New Roman" w:hint="default"/>
          <w:spacing w:val="-6"/>
        </w:rPr>
        <w:t>2011</w:t>
      </w:r>
      <w:r>
        <w:rPr>
          <w:spacing w:val="-6"/>
        </w:rPr>
        <w:t>年第一季度报告》，《关于用募集资金置换已预先投入募集资金投资项</w:t>
      </w:r>
      <w:r>
        <w:rPr>
          <w:spacing w:val="-111"/>
        </w:rPr>
        <w:t> </w:t>
      </w:r>
      <w:r>
        <w:rPr>
          <w:spacing w:val="-111"/>
        </w:rPr>
      </w:r>
      <w:r>
        <w:rPr/>
        <w:t>目自筹资金的议案》等两项议案。</w:t>
      </w:r>
    </w:p>
    <w:p>
      <w:pPr>
        <w:pStyle w:val="BodyText"/>
        <w:spacing w:line="352" w:lineRule="auto" w:before="100"/>
        <w:ind w:left="253" w:right="148" w:firstLine="480"/>
        <w:jc w:val="both"/>
      </w:pPr>
      <w:r>
        <w:rPr>
          <w:rFonts w:ascii="Times New Roman" w:hAnsi="Times New Roman" w:cs="Times New Roman" w:eastAsia="Times New Roman" w:hint="default"/>
          <w:spacing w:val="-5"/>
        </w:rPr>
        <w:t>4</w:t>
      </w:r>
      <w:r>
        <w:rPr>
          <w:spacing w:val="-5"/>
        </w:rPr>
        <w:t>．公司于</w:t>
      </w:r>
      <w:r>
        <w:rPr>
          <w:rFonts w:ascii="Times New Roman" w:hAnsi="Times New Roman" w:cs="Times New Roman" w:eastAsia="Times New Roman" w:hint="default"/>
          <w:spacing w:val="-5"/>
        </w:rPr>
        <w:t>2011 </w:t>
      </w:r>
      <w:r>
        <w:rPr/>
        <w:t>年 </w:t>
      </w:r>
      <w:r>
        <w:rPr>
          <w:rFonts w:ascii="Times New Roman" w:hAnsi="Times New Roman" w:cs="Times New Roman" w:eastAsia="Times New Roman" w:hint="default"/>
        </w:rPr>
        <w:t>8 </w:t>
      </w:r>
      <w:r>
        <w:rPr/>
        <w:t>月 </w:t>
      </w:r>
      <w:r>
        <w:rPr>
          <w:rFonts w:ascii="Times New Roman" w:hAnsi="Times New Roman" w:cs="Times New Roman" w:eastAsia="Times New Roman" w:hint="default"/>
        </w:rPr>
        <w:t>17</w:t>
      </w:r>
      <w:r>
        <w:rPr>
          <w:rFonts w:ascii="Times New Roman" w:hAnsi="Times New Roman" w:cs="Times New Roman" w:eastAsia="Times New Roman" w:hint="default"/>
          <w:spacing w:val="34"/>
        </w:rPr>
        <w:t> </w:t>
      </w:r>
      <w:r>
        <w:rPr/>
        <w:t>日在公司会议室召开第三届监事会第十五次会议，会议应到 </w:t>
      </w:r>
      <w:r>
        <w:rPr>
          <w:spacing w:val="-5"/>
        </w:rPr>
        <w:t>监事三名，实到三名，会议由公司监事会召集人姜宏华先生主持。本次会议审议通过了《</w:t>
      </w:r>
      <w:r>
        <w:rPr>
          <w:rFonts w:ascii="Times New Roman" w:hAnsi="Times New Roman" w:cs="Times New Roman" w:eastAsia="Times New Roman" w:hint="default"/>
          <w:spacing w:val="-5"/>
        </w:rPr>
        <w:t>2011</w:t>
      </w:r>
      <w:r>
        <w:rPr>
          <w:rFonts w:ascii="Times New Roman" w:hAnsi="Times New Roman" w:cs="Times New Roman" w:eastAsia="Times New Roman" w:hint="default"/>
          <w:spacing w:val="-46"/>
        </w:rPr>
        <w:t> </w:t>
      </w:r>
      <w:r>
        <w:rPr>
          <w:rFonts w:ascii="Times New Roman" w:hAnsi="Times New Roman" w:cs="Times New Roman" w:eastAsia="Times New Roman" w:hint="default"/>
          <w:spacing w:val="-46"/>
        </w:rPr>
      </w:r>
      <w:r>
        <w:rPr>
          <w:spacing w:val="-6"/>
        </w:rPr>
        <w:t>年半年度报告及摘要》，《关于公司再次使用部分闲置募集资金暂时补充流动资金的议案》等</w:t>
      </w:r>
      <w:r>
        <w:rPr>
          <w:spacing w:val="-114"/>
        </w:rPr>
        <w:t> </w:t>
      </w:r>
      <w:r>
        <w:rPr>
          <w:spacing w:val="-114"/>
        </w:rPr>
      </w:r>
      <w:r>
        <w:rPr/>
        <w:t>两项议案。</w:t>
      </w:r>
    </w:p>
    <w:p>
      <w:pPr>
        <w:pStyle w:val="BodyText"/>
        <w:spacing w:line="357" w:lineRule="auto" w:before="92"/>
        <w:ind w:left="253" w:right="188" w:firstLine="480"/>
        <w:jc w:val="both"/>
      </w:pPr>
      <w:r>
        <w:rPr>
          <w:rFonts w:ascii="Times New Roman" w:hAnsi="Times New Roman" w:cs="Times New Roman" w:eastAsia="Times New Roman" w:hint="default"/>
        </w:rPr>
        <w:t>5.</w:t>
      </w:r>
      <w:r>
        <w:rPr/>
        <w:t>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19</w:t>
      </w:r>
      <w:r>
        <w:rPr/>
        <w:t>日在公司会议室召开第三届监事会第十六次会议，会议应到监事 三名，实到三名，会议由公司监事会召集人姜宏华先生主持。本次会议审议通过了《深圳市 </w:t>
      </w:r>
      <w:r>
        <w:rPr>
          <w:spacing w:val="-6"/>
        </w:rPr>
        <w:t>惠程电气股份有限公司</w:t>
      </w:r>
      <w:r>
        <w:rPr>
          <w:rFonts w:ascii="Times New Roman" w:hAnsi="Times New Roman" w:cs="Times New Roman" w:eastAsia="Times New Roman" w:hint="default"/>
          <w:spacing w:val="-6"/>
        </w:rPr>
        <w:t>2011</w:t>
      </w:r>
      <w:r>
        <w:rPr>
          <w:spacing w:val="-6"/>
        </w:rPr>
        <w:t>年第三季度报告》。</w:t>
      </w:r>
    </w:p>
    <w:p>
      <w:pPr>
        <w:spacing w:line="374" w:lineRule="auto" w:before="58"/>
        <w:ind w:left="733" w:right="171" w:firstLine="2"/>
        <w:jc w:val="left"/>
        <w:rPr>
          <w:rFonts w:ascii="宋体" w:hAnsi="宋体" w:cs="宋体" w:eastAsia="宋体" w:hint="default"/>
          <w:sz w:val="24"/>
          <w:szCs w:val="24"/>
        </w:rPr>
      </w:pPr>
      <w:r>
        <w:rPr>
          <w:rFonts w:ascii="宋体" w:hAnsi="宋体" w:cs="宋体" w:eastAsia="宋体" w:hint="default"/>
          <w:b/>
          <w:bCs/>
          <w:sz w:val="24"/>
          <w:szCs w:val="24"/>
        </w:rPr>
        <w:t>二、监事会对</w:t>
      </w:r>
      <w:r>
        <w:rPr>
          <w:rFonts w:ascii="Times New Roman" w:hAnsi="Times New Roman" w:cs="Times New Roman" w:eastAsia="Times New Roman" w:hint="default"/>
          <w:b/>
          <w:bCs/>
          <w:sz w:val="24"/>
          <w:szCs w:val="24"/>
        </w:rPr>
        <w:t>2011</w:t>
      </w:r>
      <w:r>
        <w:rPr>
          <w:rFonts w:ascii="宋体" w:hAnsi="宋体" w:cs="宋体" w:eastAsia="宋体" w:hint="default"/>
          <w:b/>
          <w:bCs/>
          <w:sz w:val="24"/>
          <w:szCs w:val="24"/>
        </w:rPr>
        <w:t>年度有关事项的意见</w:t>
      </w:r>
      <w:r>
        <w:rPr>
          <w:rFonts w:ascii="宋体" w:hAnsi="宋体" w:cs="宋体" w:eastAsia="宋体" w:hint="default"/>
          <w:b/>
          <w:bCs/>
          <w:w w:val="99"/>
          <w:sz w:val="24"/>
          <w:szCs w:val="24"/>
        </w:rPr>
        <w:t> </w:t>
      </w:r>
      <w:r>
        <w:rPr>
          <w:rFonts w:ascii="宋体" w:hAnsi="宋体" w:cs="宋体" w:eastAsia="宋体" w:hint="default"/>
          <w:sz w:val="24"/>
          <w:szCs w:val="24"/>
        </w:rPr>
        <w:t>报告期内，公司监事会按照《公司章程》及《公司监事会议事规则》的规定，认真履行</w:t>
      </w:r>
    </w:p>
    <w:p>
      <w:pPr>
        <w:pStyle w:val="BodyText"/>
        <w:spacing w:line="240" w:lineRule="auto" w:before="31"/>
        <w:ind w:left="253" w:right="139"/>
        <w:jc w:val="left"/>
      </w:pPr>
      <w:r>
        <w:rPr/>
        <w:t>职责，积极开展工作，列席了历次董事会会议，对公司规范运作、财务状况、重大投资、对</w:t>
      </w:r>
    </w:p>
    <w:p>
      <w:pPr>
        <w:spacing w:after="0" w:line="240" w:lineRule="auto"/>
        <w:jc w:val="left"/>
        <w:sectPr>
          <w:pgSz w:w="11910" w:h="16840"/>
          <w:pgMar w:header="624" w:footer="711" w:top="1040" w:bottom="900" w:left="880" w:right="9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367" w:lineRule="auto" w:before="26"/>
        <w:ind w:left="254" w:right="250"/>
        <w:jc w:val="left"/>
      </w:pPr>
      <w:r>
        <w:rPr/>
        <w:t>外担保、募集资金使用等有关方面进行了一系列监督、审核活动，对下列事项发表了独立意 见：</w:t>
      </w:r>
    </w:p>
    <w:p>
      <w:pPr>
        <w:pStyle w:val="BodyText"/>
        <w:spacing w:line="376" w:lineRule="auto" w:before="78"/>
        <w:ind w:left="733" w:right="251"/>
        <w:jc w:val="left"/>
      </w:pPr>
      <w:r>
        <w:rPr>
          <w:rFonts w:ascii="Times New Roman" w:hAnsi="Times New Roman" w:cs="Times New Roman" w:eastAsia="Times New Roman" w:hint="default"/>
        </w:rPr>
        <w:t>1</w:t>
      </w:r>
      <w:r>
        <w:rPr/>
        <w:t>、监事会对公司依法运作情况的意见 报告期内，公司依照国家有关法律法规、公司章程的规定以及股东大会、董事会的决议</w:t>
      </w:r>
    </w:p>
    <w:p>
      <w:pPr>
        <w:pStyle w:val="BodyText"/>
        <w:spacing w:line="367" w:lineRule="auto" w:before="29"/>
        <w:ind w:left="253" w:right="96"/>
        <w:jc w:val="left"/>
      </w:pPr>
      <w:r>
        <w:rPr>
          <w:spacing w:val="-3"/>
        </w:rPr>
        <w:t>和授权运作，法人治理结构比较合理规范；内部控制制度基本健全；公司重大决策科学合理，</w:t>
      </w:r>
      <w:r>
        <w:rPr>
          <w:spacing w:val="-81"/>
        </w:rPr>
        <w:t> </w:t>
      </w:r>
      <w:r>
        <w:rPr>
          <w:spacing w:val="-81"/>
        </w:rPr>
      </w:r>
      <w:r>
        <w:rPr/>
        <w:t>决策程序合法；公司董事、高级管理人员执行职务时能够勤勉尽责，没有发现违反法律、法 规、公司章程或损害公司利益和股东合法权益的行为。对此，监事会表示肯定，并希望董事 及高级管理人员在公司未来的重大决策、经营管理过程中，严格遵守有关法律法规，保证按 照股东大会及董事会的决议和授权，规范运作，防止出现损害公司利益和股东利益的行为。</w:t>
      </w:r>
    </w:p>
    <w:p>
      <w:pPr>
        <w:pStyle w:val="BodyText"/>
        <w:spacing w:line="374" w:lineRule="auto" w:before="78"/>
        <w:ind w:left="734" w:right="250"/>
        <w:jc w:val="left"/>
      </w:pPr>
      <w:r>
        <w:rPr>
          <w:rFonts w:ascii="Times New Roman" w:hAnsi="Times New Roman" w:cs="Times New Roman" w:eastAsia="Times New Roman" w:hint="default"/>
        </w:rPr>
        <w:t>2</w:t>
      </w:r>
      <w:r>
        <w:rPr/>
        <w:t>、监事会检查公司财务的情况 监事会对本年度财务制度和财务状况进行了检查，认为公司财务会计内控制度较健全，</w:t>
      </w:r>
    </w:p>
    <w:p>
      <w:pPr>
        <w:pStyle w:val="BodyText"/>
        <w:spacing w:line="357" w:lineRule="auto" w:before="31"/>
        <w:ind w:left="254" w:right="268"/>
        <w:jc w:val="both"/>
      </w:pPr>
      <w:r>
        <w:rPr/>
        <w:t>会计无重大遗漏和虚假记载，公司财务状况、经营成果良好，财务报告真实、客观地反映了 公司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5"/>
        </w:rPr>
        <w:t> </w:t>
      </w:r>
      <w:r>
        <w:rPr/>
        <w:t>年度的财务状况和经营成果。同时监事会认为，公司未来仍需进一步加强内控制 度执行力度。</w:t>
      </w:r>
    </w:p>
    <w:p>
      <w:pPr>
        <w:pStyle w:val="BodyText"/>
        <w:spacing w:line="345" w:lineRule="auto" w:before="89"/>
        <w:ind w:left="254" w:right="131" w:firstLine="480"/>
        <w:jc w:val="left"/>
      </w:pPr>
      <w:r>
        <w:rPr>
          <w:rFonts w:ascii="Times New Roman" w:hAnsi="Times New Roman" w:cs="Times New Roman" w:eastAsia="Times New Roman" w:hint="default"/>
          <w:spacing w:val="-3"/>
        </w:rPr>
        <w:t>3</w:t>
      </w:r>
      <w:r>
        <w:rPr>
          <w:spacing w:val="-3"/>
        </w:rPr>
        <w:t>、报告期内公司监事会未发现公司有重大收购、出售资产行为；未发现公司有内幕交易</w:t>
      </w:r>
      <w:r>
        <w:rPr/>
        <w:t> 的行为；未发现公司有损害股东权益或造成公司资产流失的情形。</w:t>
      </w:r>
    </w:p>
    <w:p>
      <w:pPr>
        <w:pStyle w:val="BodyText"/>
        <w:spacing w:line="240" w:lineRule="auto" w:before="100"/>
        <w:ind w:left="734" w:right="131"/>
        <w:jc w:val="left"/>
      </w:pPr>
      <w:r>
        <w:rPr>
          <w:rFonts w:ascii="Times New Roman" w:hAnsi="Times New Roman" w:cs="Times New Roman" w:eastAsia="Times New Roman" w:hint="default"/>
        </w:rPr>
        <w:t>4</w:t>
      </w:r>
      <w:r>
        <w:rPr/>
        <w:t>、监事会对公司关联交易情况的意见</w:t>
      </w:r>
    </w:p>
    <w:p>
      <w:pPr>
        <w:pStyle w:val="BodyText"/>
        <w:spacing w:line="345" w:lineRule="auto" w:before="187"/>
        <w:ind w:left="254" w:right="131" w:firstLine="480"/>
        <w:jc w:val="left"/>
      </w:pPr>
      <w:r>
        <w:rPr>
          <w:spacing w:val="-3"/>
        </w:rPr>
        <w:t>（</w:t>
      </w:r>
      <w:r>
        <w:rPr>
          <w:rFonts w:ascii="Times New Roman" w:hAnsi="Times New Roman" w:cs="Times New Roman" w:eastAsia="Times New Roman" w:hint="default"/>
          <w:spacing w:val="-3"/>
        </w:rPr>
        <w:t>1</w:t>
      </w:r>
      <w:r>
        <w:rPr>
          <w:spacing w:val="-3"/>
        </w:rPr>
        <w:t>）报告期内公司股东为公司提供反担保事项，符合有关法律法规的规定。上述担保事</w:t>
      </w:r>
      <w:r>
        <w:rPr/>
        <w:t> 项未对公司财务状况和业绩造成不利影响。</w:t>
      </w:r>
    </w:p>
    <w:p>
      <w:pPr>
        <w:pStyle w:val="BodyText"/>
        <w:spacing w:line="355" w:lineRule="auto" w:before="101"/>
        <w:ind w:left="253" w:right="131" w:firstLine="480"/>
        <w:jc w:val="left"/>
      </w:pPr>
      <w:r>
        <w:rPr>
          <w:spacing w:val="-5"/>
        </w:rPr>
        <w:t>（</w:t>
      </w:r>
      <w:r>
        <w:rPr>
          <w:rFonts w:ascii="Times New Roman" w:hAnsi="Times New Roman" w:cs="Times New Roman" w:eastAsia="Times New Roman" w:hint="default"/>
          <w:spacing w:val="-5"/>
        </w:rPr>
        <w:t>2</w:t>
      </w:r>
      <w:r>
        <w:rPr>
          <w:spacing w:val="-5"/>
        </w:rPr>
        <w:t>）</w:t>
      </w:r>
      <w:r>
        <w:rPr>
          <w:rFonts w:ascii="Times New Roman" w:hAnsi="Times New Roman" w:cs="Times New Roman" w:eastAsia="Times New Roman" w:hint="default"/>
          <w:spacing w:val="-5"/>
        </w:rPr>
        <w:t>2011 </w:t>
      </w:r>
      <w:r>
        <w:rPr/>
        <w:t>年 </w:t>
      </w:r>
      <w:r>
        <w:rPr>
          <w:rFonts w:ascii="Times New Roman" w:hAnsi="Times New Roman" w:cs="Times New Roman" w:eastAsia="Times New Roman" w:hint="default"/>
        </w:rPr>
        <w:t>5 </w:t>
      </w:r>
      <w:r>
        <w:rPr/>
        <w:t>月 </w:t>
      </w:r>
      <w:r>
        <w:rPr>
          <w:rFonts w:ascii="Times New Roman" w:hAnsi="Times New Roman" w:cs="Times New Roman" w:eastAsia="Times New Roman" w:hint="default"/>
        </w:rPr>
        <w:t>23</w:t>
      </w:r>
      <w:r>
        <w:rPr>
          <w:rFonts w:ascii="Times New Roman" w:hAnsi="Times New Roman" w:cs="Times New Roman" w:eastAsia="Times New Roman" w:hint="default"/>
          <w:spacing w:val="28"/>
        </w:rPr>
        <w:t> </w:t>
      </w:r>
      <w:r>
        <w:rPr/>
        <w:t>日，在公司召开的第三届董事会第二十六次会议上，深圳市惠程 电气股份有限公司拟与公司部分技术人员以自有资金向江西先材现金增资人民币</w:t>
      </w:r>
      <w:r>
        <w:rPr>
          <w:rFonts w:ascii="Times New Roman" w:hAnsi="Times New Roman" w:cs="Times New Roman" w:eastAsia="Times New Roman" w:hint="default"/>
        </w:rPr>
        <w:t>7,000</w:t>
      </w:r>
      <w:r>
        <w:rPr/>
        <w:t>万元</w:t>
      </w:r>
      <w:r>
        <w:rPr>
          <w:rFonts w:ascii="Times New Roman" w:hAnsi="Times New Roman" w:cs="Times New Roman" w:eastAsia="Times New Roman" w:hint="default"/>
        </w:rPr>
        <w:t>,</w:t>
      </w:r>
      <w:r>
        <w:rPr/>
        <w:t>， 增资方中，吕凤华、祁锦华为公司关联自然人与公司共同增资构成关联交易。公司监事会成 员列席了本次会议，认为：</w:t>
      </w:r>
      <w:r>
        <w:rPr>
          <w:rFonts w:ascii="Times New Roman" w:hAnsi="Times New Roman" w:cs="Times New Roman" w:eastAsia="Times New Roman" w:hint="default"/>
        </w:rPr>
        <w:t>A</w:t>
      </w:r>
      <w:r>
        <w:rPr/>
        <w:t>、本次对江西先材的增资增加了江西先材的注册资本金，有利 于江西先材的未来发展。</w:t>
      </w:r>
      <w:r>
        <w:rPr>
          <w:rFonts w:ascii="Times New Roman" w:hAnsi="Times New Roman" w:cs="Times New Roman" w:eastAsia="Times New Roman" w:hint="default"/>
        </w:rPr>
        <w:t>B</w:t>
      </w:r>
      <w:r>
        <w:rPr/>
        <w:t>、本次增资采取以净资产为基础，按每</w:t>
      </w:r>
      <w:r>
        <w:rPr>
          <w:rFonts w:ascii="Times New Roman" w:hAnsi="Times New Roman" w:cs="Times New Roman" w:eastAsia="Times New Roman" w:hint="default"/>
        </w:rPr>
        <w:t>1</w:t>
      </w:r>
      <w:r>
        <w:rPr/>
        <w:t>元注册资本</w:t>
      </w:r>
      <w:r>
        <w:rPr>
          <w:rFonts w:ascii="Times New Roman" w:hAnsi="Times New Roman" w:cs="Times New Roman" w:eastAsia="Times New Roman" w:hint="default"/>
        </w:rPr>
        <w:t>1</w:t>
      </w:r>
      <w:r>
        <w:rPr/>
        <w:t>元的价格进 行现金增资，且已取得江西先材原有股东的一致同意意见，本次增资行为没有明显损害交易 各方的利益，对深圳惠程、其他增资方及深圳惠程其他中小股东的利益一致性不会产生明显 不利影响。</w:t>
      </w:r>
      <w:r>
        <w:rPr>
          <w:rFonts w:ascii="Times New Roman" w:hAnsi="Times New Roman" w:cs="Times New Roman" w:eastAsia="Times New Roman" w:hint="default"/>
        </w:rPr>
        <w:t>C</w:t>
      </w:r>
      <w:r>
        <w:rPr/>
        <w:t>、关联董事在董事会审议此项关联交易事项时回避表决，非关联董事一致同意 </w:t>
      </w:r>
      <w:r>
        <w:rPr>
          <w:spacing w:val="-6"/>
        </w:rPr>
        <w:t>此项关联交易事项。本次关联交易表决程序符合《公司章程》、《公司法》及有关法律的有关</w:t>
      </w:r>
    </w:p>
    <w:p>
      <w:pPr>
        <w:spacing w:after="0" w:line="355" w:lineRule="auto"/>
        <w:jc w:val="left"/>
        <w:sectPr>
          <w:pgSz w:w="11910" w:h="16840"/>
          <w:pgMar w:header="624" w:footer="711" w:top="1040" w:bottom="900" w:left="880" w:right="90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357" w:lineRule="auto" w:before="26"/>
        <w:ind w:left="254" w:right="151"/>
        <w:jc w:val="both"/>
      </w:pPr>
      <w:r>
        <w:rPr/>
        <w:t>规定。</w:t>
      </w:r>
      <w:r>
        <w:rPr>
          <w:spacing w:val="-17"/>
        </w:rPr>
        <w:t> </w:t>
      </w:r>
      <w:r>
        <w:rPr>
          <w:rFonts w:ascii="Times New Roman" w:hAnsi="Times New Roman" w:cs="Times New Roman" w:eastAsia="Times New Roman" w:hint="default"/>
        </w:rPr>
        <w:t>D</w:t>
      </w:r>
      <w:r>
        <w:rPr/>
        <w:t>、目前江西先材项目处于投入期，尚处于亏损阶段，监事会成员对项目的前景与风 险难以评估。本次关联交易坚持了公平、公正、公开的原则，并未损害公司及中小股东的利 益。</w:t>
      </w:r>
    </w:p>
    <w:p>
      <w:pPr>
        <w:pStyle w:val="BodyText"/>
        <w:spacing w:line="376" w:lineRule="auto" w:before="88"/>
        <w:ind w:left="734" w:right="170"/>
        <w:jc w:val="left"/>
      </w:pPr>
      <w:r>
        <w:rPr>
          <w:rFonts w:ascii="Times New Roman" w:hAnsi="Times New Roman" w:cs="Times New Roman" w:eastAsia="Times New Roman" w:hint="default"/>
        </w:rPr>
        <w:t>5</w:t>
      </w:r>
      <w:r>
        <w:rPr/>
        <w:t>、股东大会决议执行情况的独立意见 报告期内，公司监事会对股东大会的决议执行情况进行了监督，认为公司董事会能够认</w:t>
      </w:r>
    </w:p>
    <w:p>
      <w:pPr>
        <w:pStyle w:val="BodyText"/>
        <w:spacing w:line="240" w:lineRule="auto" w:before="29"/>
        <w:ind w:left="254" w:right="0"/>
        <w:jc w:val="both"/>
      </w:pPr>
      <w:r>
        <w:rPr/>
        <w:t>真履行股东大会的有关决议。</w:t>
      </w:r>
    </w:p>
    <w:p>
      <w:pPr>
        <w:pStyle w:val="BodyText"/>
        <w:spacing w:line="374" w:lineRule="auto" w:before="205"/>
        <w:ind w:left="734" w:right="170"/>
        <w:jc w:val="left"/>
      </w:pPr>
      <w:r>
        <w:rPr>
          <w:rFonts w:ascii="Times New Roman" w:hAnsi="Times New Roman" w:cs="Times New Roman" w:eastAsia="Times New Roman" w:hint="default"/>
        </w:rPr>
        <w:t>6</w:t>
      </w:r>
      <w:r>
        <w:rPr/>
        <w:t>、监事会对公司 </w:t>
      </w:r>
      <w:r>
        <w:rPr>
          <w:rFonts w:ascii="Times New Roman" w:hAnsi="Times New Roman" w:cs="Times New Roman" w:eastAsia="Times New Roman" w:hint="default"/>
          <w:spacing w:val="-3"/>
        </w:rPr>
        <w:t>2011 </w:t>
      </w:r>
      <w:r>
        <w:rPr/>
        <w:t>年内部控制自我评价报告的独立意见</w:t>
      </w:r>
      <w:r>
        <w:rPr>
          <w:spacing w:val="-111"/>
        </w:rPr>
        <w:t> </w:t>
      </w:r>
      <w:r>
        <w:rPr/>
        <w:t>公司现有的内部控制已覆盖了公司运营的各层面和各环节，形成了规范的管理体系，能</w:t>
      </w:r>
    </w:p>
    <w:p>
      <w:pPr>
        <w:pStyle w:val="BodyText"/>
        <w:spacing w:line="362" w:lineRule="auto" w:before="31"/>
        <w:ind w:left="254" w:right="188"/>
        <w:jc w:val="both"/>
      </w:pPr>
      <w:r>
        <w:rPr/>
        <w:t>够预防和及时发现、纠正公司运营过程可能出现的重要错误和舞弊，保护公司资产的安全和 完整，保证会计记录和会计信息的真实性、准确性和及时性，在完整性、合理性及有效性方 面不存在重大缺陷。随着本公司规模的不断扩大，外部环境的变化和管理要求的提高，内部 控制需要不断修订和完善。建议公司</w:t>
      </w:r>
      <w:r>
        <w:rPr>
          <w:rFonts w:ascii="Times New Roman" w:hAnsi="Times New Roman" w:cs="Times New Roman" w:eastAsia="Times New Roman" w:hint="default"/>
        </w:rPr>
        <w:t>2012</w:t>
      </w:r>
      <w:r>
        <w:rPr/>
        <w:t>年加强公司内部审计，加强财务管理，加强对公司 员工的全员考核，加强对员工的激励和约束。</w:t>
      </w:r>
    </w:p>
    <w:p>
      <w:pPr>
        <w:spacing w:after="0" w:line="362" w:lineRule="auto"/>
        <w:jc w:val="both"/>
        <w:sectPr>
          <w:pgSz w:w="11910" w:h="16840"/>
          <w:pgMar w:header="624" w:footer="711" w:top="1040" w:bottom="900" w:left="8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0"/>
          <w:szCs w:val="20"/>
        </w:rPr>
      </w:pPr>
    </w:p>
    <w:p>
      <w:pPr>
        <w:pStyle w:val="Heading1"/>
        <w:tabs>
          <w:tab w:pos="1386" w:val="left" w:leader="none"/>
        </w:tabs>
        <w:spacing w:line="240" w:lineRule="auto"/>
        <w:ind w:left="101" w:right="0"/>
        <w:jc w:val="center"/>
        <w:rPr>
          <w:b w:val="0"/>
          <w:bCs w:val="0"/>
        </w:rPr>
      </w:pPr>
      <w:bookmarkStart w:name="_TOC_250002" w:id="13"/>
      <w:r>
        <w:rPr>
          <w:w w:val="95"/>
        </w:rPr>
        <w:t>第九节</w:t>
        <w:tab/>
      </w:r>
      <w:r>
        <w:rPr/>
        <w:t>重要事项</w:t>
      </w:r>
      <w:bookmarkEnd w:id="13"/>
      <w:r>
        <w:rPr>
          <w:b w:val="0"/>
          <w:bCs w:val="0"/>
        </w:rPr>
      </w:r>
    </w:p>
    <w:p>
      <w:pPr>
        <w:spacing w:line="240" w:lineRule="auto" w:before="0"/>
        <w:rPr>
          <w:rFonts w:ascii="宋体" w:hAnsi="宋体" w:cs="宋体" w:eastAsia="宋体" w:hint="default"/>
          <w:b/>
          <w:bCs/>
          <w:sz w:val="32"/>
          <w:szCs w:val="32"/>
        </w:rPr>
      </w:pPr>
    </w:p>
    <w:p>
      <w:pPr>
        <w:spacing w:line="336" w:lineRule="auto" w:before="230"/>
        <w:ind w:left="734" w:right="4970" w:hanging="480"/>
        <w:jc w:val="left"/>
        <w:rPr>
          <w:rFonts w:ascii="宋体" w:hAnsi="宋体" w:cs="宋体" w:eastAsia="宋体" w:hint="default"/>
          <w:sz w:val="24"/>
          <w:szCs w:val="24"/>
        </w:rPr>
      </w:pPr>
      <w:r>
        <w:rPr>
          <w:rFonts w:ascii="宋体" w:hAnsi="宋体" w:cs="宋体" w:eastAsia="宋体" w:hint="default"/>
          <w:b/>
          <w:bCs/>
          <w:sz w:val="24"/>
          <w:szCs w:val="24"/>
        </w:rPr>
        <w:t>一、重大诉讼、仲裁事项</w:t>
      </w:r>
      <w:r>
        <w:rPr>
          <w:rFonts w:ascii="宋体" w:hAnsi="宋体" w:cs="宋体" w:eastAsia="宋体" w:hint="default"/>
          <w:b/>
          <w:bCs/>
          <w:w w:val="99"/>
          <w:sz w:val="24"/>
          <w:szCs w:val="24"/>
        </w:rPr>
        <w:t> </w:t>
      </w:r>
      <w:r>
        <w:rPr>
          <w:rFonts w:ascii="宋体" w:hAnsi="宋体" w:cs="宋体" w:eastAsia="宋体" w:hint="default"/>
          <w:sz w:val="24"/>
          <w:szCs w:val="24"/>
        </w:rPr>
        <w:t>报告期内，公司无重大诉讼、仲裁事项。</w:t>
      </w:r>
    </w:p>
    <w:p>
      <w:pPr>
        <w:spacing w:line="336" w:lineRule="auto" w:before="30"/>
        <w:ind w:left="734" w:right="5690" w:hanging="480"/>
        <w:jc w:val="left"/>
        <w:rPr>
          <w:rFonts w:ascii="宋体" w:hAnsi="宋体" w:cs="宋体" w:eastAsia="宋体" w:hint="default"/>
          <w:sz w:val="24"/>
          <w:szCs w:val="24"/>
        </w:rPr>
      </w:pPr>
      <w:r>
        <w:rPr>
          <w:rFonts w:ascii="宋体" w:hAnsi="宋体" w:cs="宋体" w:eastAsia="宋体" w:hint="default"/>
          <w:b/>
          <w:bCs/>
          <w:sz w:val="24"/>
          <w:szCs w:val="24"/>
        </w:rPr>
        <w:t>二、破产重整相关事项</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报告期内，公司无破产重整事项。</w:t>
      </w:r>
    </w:p>
    <w:p>
      <w:pPr>
        <w:spacing w:line="336" w:lineRule="auto" w:before="29"/>
        <w:ind w:left="734" w:right="139" w:hanging="480"/>
        <w:jc w:val="left"/>
        <w:rPr>
          <w:rFonts w:ascii="宋体" w:hAnsi="宋体" w:cs="宋体" w:eastAsia="宋体" w:hint="default"/>
          <w:sz w:val="24"/>
          <w:szCs w:val="24"/>
        </w:rPr>
      </w:pPr>
      <w:r>
        <w:rPr>
          <w:rFonts w:ascii="宋体" w:hAnsi="宋体" w:cs="宋体" w:eastAsia="宋体" w:hint="default"/>
          <w:b/>
          <w:bCs/>
          <w:sz w:val="24"/>
          <w:szCs w:val="24"/>
        </w:rPr>
        <w:t>三、持有其他上市公司股权及参股金融企业股权情况</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报告期内，公司未发生买卖其他上市公司股份或参股商业银行、证券公司、保险公司、</w:t>
      </w:r>
    </w:p>
    <w:p>
      <w:pPr>
        <w:spacing w:line="336" w:lineRule="auto" w:before="0"/>
        <w:ind w:left="254" w:right="4970" w:firstLine="0"/>
        <w:jc w:val="left"/>
        <w:rPr>
          <w:rFonts w:ascii="宋体" w:hAnsi="宋体" w:cs="宋体" w:eastAsia="宋体" w:hint="default"/>
          <w:sz w:val="24"/>
          <w:szCs w:val="24"/>
        </w:rPr>
      </w:pPr>
      <w:r>
        <w:rPr>
          <w:rFonts w:ascii="宋体" w:hAnsi="宋体" w:cs="宋体" w:eastAsia="宋体" w:hint="default"/>
          <w:sz w:val="24"/>
          <w:szCs w:val="24"/>
        </w:rPr>
        <w:t>信托公司和期货公司等金融企业股权的事项。 </w:t>
      </w:r>
      <w:r>
        <w:rPr>
          <w:rFonts w:ascii="宋体" w:hAnsi="宋体" w:cs="宋体" w:eastAsia="宋体" w:hint="default"/>
          <w:b/>
          <w:bCs/>
          <w:sz w:val="24"/>
          <w:szCs w:val="24"/>
        </w:rPr>
        <w:t>四、重大收购及出售资产、吸收合并事项</w:t>
      </w:r>
      <w:r>
        <w:rPr>
          <w:rFonts w:ascii="宋体" w:hAnsi="宋体" w:cs="宋体" w:eastAsia="宋体" w:hint="default"/>
          <w:sz w:val="24"/>
          <w:szCs w:val="24"/>
        </w:rPr>
      </w:r>
    </w:p>
    <w:p>
      <w:pPr>
        <w:spacing w:line="336" w:lineRule="auto" w:before="30"/>
        <w:ind w:left="254" w:right="3290" w:firstLine="480"/>
        <w:jc w:val="left"/>
        <w:rPr>
          <w:rFonts w:ascii="宋体" w:hAnsi="宋体" w:cs="宋体" w:eastAsia="宋体" w:hint="default"/>
          <w:sz w:val="24"/>
          <w:szCs w:val="24"/>
        </w:rPr>
      </w:pPr>
      <w:r>
        <w:rPr>
          <w:rFonts w:ascii="宋体" w:hAnsi="宋体" w:cs="宋体" w:eastAsia="宋体" w:hint="default"/>
          <w:sz w:val="24"/>
          <w:szCs w:val="24"/>
        </w:rPr>
        <w:t>报告期内，公司未发生收购、出售资产及吸收合并事项。 </w:t>
      </w:r>
      <w:r>
        <w:rPr>
          <w:rFonts w:ascii="宋体" w:hAnsi="宋体" w:cs="宋体" w:eastAsia="宋体" w:hint="default"/>
          <w:b/>
          <w:bCs/>
          <w:sz w:val="24"/>
          <w:szCs w:val="24"/>
        </w:rPr>
        <w:t>五、股权激励计划实施情况</w:t>
      </w:r>
      <w:r>
        <w:rPr>
          <w:rFonts w:ascii="宋体" w:hAnsi="宋体" w:cs="宋体" w:eastAsia="宋体" w:hint="default"/>
          <w:sz w:val="24"/>
          <w:szCs w:val="24"/>
        </w:rPr>
      </w:r>
    </w:p>
    <w:p>
      <w:pPr>
        <w:spacing w:line="336" w:lineRule="auto" w:before="30"/>
        <w:ind w:left="254" w:right="5210" w:firstLine="480"/>
        <w:jc w:val="left"/>
        <w:rPr>
          <w:rFonts w:ascii="宋体" w:hAnsi="宋体" w:cs="宋体" w:eastAsia="宋体" w:hint="default"/>
          <w:sz w:val="24"/>
          <w:szCs w:val="24"/>
        </w:rPr>
      </w:pPr>
      <w:r>
        <w:rPr>
          <w:rFonts w:ascii="宋体" w:hAnsi="宋体" w:cs="宋体" w:eastAsia="宋体" w:hint="default"/>
          <w:sz w:val="24"/>
          <w:szCs w:val="24"/>
        </w:rPr>
        <w:t>报告期内，公司未实行股权激励计划。 </w:t>
      </w:r>
      <w:r>
        <w:rPr>
          <w:rFonts w:ascii="宋体" w:hAnsi="宋体" w:cs="宋体" w:eastAsia="宋体" w:hint="default"/>
          <w:b/>
          <w:bCs/>
          <w:sz w:val="24"/>
          <w:szCs w:val="24"/>
        </w:rPr>
        <w:t>六、关联方关系及重大交易事项</w:t>
      </w:r>
      <w:r>
        <w:rPr>
          <w:rFonts w:ascii="宋体" w:hAnsi="宋体" w:cs="宋体" w:eastAsia="宋体" w:hint="default"/>
          <w:sz w:val="24"/>
          <w:szCs w:val="24"/>
        </w:rPr>
      </w:r>
    </w:p>
    <w:p>
      <w:pPr>
        <w:spacing w:before="29"/>
        <w:ind w:left="725" w:right="139" w:firstLine="0"/>
        <w:jc w:val="left"/>
        <w:rPr>
          <w:rFonts w:ascii="宋体" w:hAnsi="宋体" w:cs="宋体" w:eastAsia="宋体" w:hint="default"/>
          <w:sz w:val="24"/>
          <w:szCs w:val="24"/>
        </w:rPr>
      </w:pPr>
      <w:r>
        <w:rPr>
          <w:rFonts w:ascii="宋体" w:hAnsi="宋体" w:cs="宋体" w:eastAsia="宋体" w:hint="default"/>
          <w:b/>
          <w:bCs/>
          <w:sz w:val="24"/>
          <w:szCs w:val="24"/>
        </w:rPr>
        <w:t>（一）关联方关系</w:t>
      </w:r>
      <w:r>
        <w:rPr>
          <w:rFonts w:ascii="宋体" w:hAnsi="宋体" w:cs="宋体" w:eastAsia="宋体" w:hint="default"/>
          <w:sz w:val="24"/>
          <w:szCs w:val="24"/>
        </w:rPr>
      </w:r>
    </w:p>
    <w:p>
      <w:pPr>
        <w:pStyle w:val="BodyText"/>
        <w:spacing w:line="240" w:lineRule="auto" w:before="126"/>
        <w:ind w:left="734" w:right="139"/>
        <w:jc w:val="left"/>
      </w:pPr>
      <w:r>
        <w:rPr>
          <w:rFonts w:ascii="Times New Roman" w:hAnsi="Times New Roman" w:cs="Times New Roman" w:eastAsia="Times New Roman" w:hint="default"/>
        </w:rPr>
        <w:t>1</w:t>
      </w:r>
      <w:r>
        <w:rPr/>
        <w:t>、关联方</w:t>
      </w:r>
    </w:p>
    <w:p>
      <w:pPr>
        <w:pStyle w:val="BodyText"/>
        <w:spacing w:line="288" w:lineRule="auto" w:before="108"/>
        <w:ind w:left="254" w:right="132" w:firstLine="480"/>
        <w:jc w:val="left"/>
      </w:pPr>
      <w:r>
        <w:rPr/>
        <w:t>（</w:t>
      </w:r>
      <w:r>
        <w:rPr>
          <w:rFonts w:ascii="Times New Roman" w:hAnsi="Times New Roman" w:cs="Times New Roman" w:eastAsia="Times New Roman" w:hint="default"/>
        </w:rPr>
        <w:t>1</w:t>
      </w:r>
      <w:r>
        <w:rPr/>
        <w:t>）大股东：吕晓义先生持有公司</w:t>
      </w:r>
      <w:r>
        <w:rPr>
          <w:spacing w:val="-60"/>
        </w:rPr>
        <w:t> </w:t>
      </w:r>
      <w:r>
        <w:rPr>
          <w:rFonts w:ascii="Times New Roman" w:hAnsi="Times New Roman" w:cs="Times New Roman" w:eastAsia="Times New Roman" w:hint="default"/>
        </w:rPr>
        <w:t>26.47</w:t>
      </w:r>
      <w:r>
        <w:rPr>
          <w:rFonts w:ascii="Times New Roman" w:hAnsi="Times New Roman" w:cs="Times New Roman" w:eastAsia="Times New Roman" w:hint="default"/>
          <w:spacing w:val="18"/>
        </w:rPr>
        <w:t> </w:t>
      </w:r>
      <w:r>
        <w:rPr>
          <w:rFonts w:ascii="Times New Roman" w:hAnsi="Times New Roman" w:cs="Times New Roman" w:eastAsia="Times New Roman" w:hint="default"/>
        </w:rPr>
        <w:t>%</w:t>
      </w:r>
      <w:r>
        <w:rPr/>
        <w:t>的股权，为公司第一大股东，对公司存在相 对控制。</w:t>
      </w:r>
    </w:p>
    <w:p>
      <w:pPr>
        <w:pStyle w:val="BodyText"/>
        <w:spacing w:line="288" w:lineRule="auto" w:before="78"/>
        <w:ind w:left="253" w:right="136" w:firstLine="480"/>
        <w:jc w:val="left"/>
      </w:pPr>
      <w:r>
        <w:rPr>
          <w:spacing w:val="-3"/>
        </w:rPr>
        <w:t>（</w:t>
      </w:r>
      <w:r>
        <w:rPr>
          <w:rFonts w:ascii="Times New Roman" w:hAnsi="Times New Roman" w:cs="Times New Roman" w:eastAsia="Times New Roman" w:hint="default"/>
          <w:spacing w:val="-3"/>
        </w:rPr>
        <w:t>2</w:t>
      </w:r>
      <w:r>
        <w:rPr>
          <w:spacing w:val="-3"/>
        </w:rPr>
        <w:t>）其他股东：何平、匡晓明、任金生等人分别持有公司</w:t>
      </w:r>
      <w:r>
        <w:rPr>
          <w:spacing w:val="-67"/>
        </w:rPr>
        <w:t> </w:t>
      </w:r>
      <w:r>
        <w:rPr>
          <w:rFonts w:ascii="Times New Roman" w:hAnsi="Times New Roman" w:cs="Times New Roman" w:eastAsia="Times New Roman" w:hint="default"/>
        </w:rPr>
        <w:t>15.56%</w:t>
      </w:r>
      <w:r>
        <w:rPr/>
        <w:t>、</w:t>
      </w:r>
      <w:r>
        <w:rPr>
          <w:rFonts w:ascii="Times New Roman" w:hAnsi="Times New Roman" w:cs="Times New Roman" w:eastAsia="Times New Roman" w:hint="default"/>
        </w:rPr>
        <w:t>12.19%</w:t>
      </w:r>
      <w:r>
        <w:rPr/>
        <w:t>、</w:t>
      </w:r>
      <w:r>
        <w:rPr>
          <w:rFonts w:ascii="Times New Roman" w:hAnsi="Times New Roman" w:cs="Times New Roman" w:eastAsia="Times New Roman" w:hint="default"/>
        </w:rPr>
        <w:t>4.77%</w:t>
      </w:r>
      <w:r>
        <w:rPr/>
        <w:t>的股 权。</w:t>
      </w:r>
    </w:p>
    <w:p>
      <w:pPr>
        <w:pStyle w:val="BodyText"/>
        <w:spacing w:line="240" w:lineRule="auto" w:before="78"/>
        <w:ind w:left="733" w:right="139"/>
        <w:jc w:val="left"/>
      </w:pPr>
      <w:r>
        <w:rPr/>
        <w:t>（</w:t>
      </w:r>
      <w:r>
        <w:rPr>
          <w:rFonts w:ascii="Times New Roman" w:hAnsi="Times New Roman" w:cs="Times New Roman" w:eastAsia="Times New Roman" w:hint="default"/>
        </w:rPr>
        <w:t>3</w:t>
      </w:r>
      <w:r>
        <w:rPr/>
        <w:t>）对主要股东有实质影响的机构或个人：无。</w:t>
      </w:r>
    </w:p>
    <w:p>
      <w:pPr>
        <w:pStyle w:val="BodyText"/>
        <w:spacing w:line="240" w:lineRule="auto" w:before="107"/>
        <w:ind w:left="733" w:right="139"/>
        <w:jc w:val="left"/>
      </w:pPr>
      <w:r>
        <w:rPr/>
        <w:t>（</w:t>
      </w:r>
      <w:r>
        <w:rPr>
          <w:rFonts w:ascii="Times New Roman" w:hAnsi="Times New Roman" w:cs="Times New Roman" w:eastAsia="Times New Roman" w:hint="default"/>
        </w:rPr>
        <w:t>4</w:t>
      </w:r>
      <w:r>
        <w:rPr/>
        <w:t>）发行人的参股公司：无。</w:t>
      </w:r>
    </w:p>
    <w:p>
      <w:pPr>
        <w:pStyle w:val="BodyText"/>
        <w:spacing w:line="240" w:lineRule="auto" w:before="108"/>
        <w:ind w:left="733" w:right="139"/>
        <w:jc w:val="left"/>
      </w:pPr>
      <w:r>
        <w:rPr/>
        <w:t>（</w:t>
      </w:r>
      <w:r>
        <w:rPr>
          <w:rFonts w:ascii="Times New Roman" w:hAnsi="Times New Roman" w:cs="Times New Roman" w:eastAsia="Times New Roman" w:hint="default"/>
        </w:rPr>
        <w:t>5</w:t>
      </w:r>
      <w:r>
        <w:rPr/>
        <w:t>）发行人参与的联营企业：无。</w:t>
      </w:r>
    </w:p>
    <w:p>
      <w:pPr>
        <w:pStyle w:val="BodyText"/>
        <w:spacing w:line="240" w:lineRule="auto" w:before="108"/>
        <w:ind w:left="733" w:right="139"/>
        <w:jc w:val="left"/>
      </w:pPr>
      <w:r>
        <w:rPr/>
        <w:t>（</w:t>
      </w:r>
      <w:r>
        <w:rPr>
          <w:rFonts w:ascii="Times New Roman" w:hAnsi="Times New Roman" w:cs="Times New Roman" w:eastAsia="Times New Roman" w:hint="default"/>
        </w:rPr>
        <w:t>6</w:t>
      </w:r>
      <w:r>
        <w:rPr/>
        <w:t>）关键管理人员、核心技术人员控制的其他企业：无。</w:t>
      </w:r>
    </w:p>
    <w:p>
      <w:pPr>
        <w:pStyle w:val="BodyText"/>
        <w:spacing w:line="240" w:lineRule="auto" w:before="107"/>
        <w:ind w:left="733" w:right="139"/>
        <w:jc w:val="left"/>
      </w:pPr>
      <w:r>
        <w:rPr/>
        <w:t>（</w:t>
      </w:r>
      <w:r>
        <w:rPr>
          <w:rFonts w:ascii="Times New Roman" w:hAnsi="Times New Roman" w:cs="Times New Roman" w:eastAsia="Times New Roman" w:hint="default"/>
        </w:rPr>
        <w:t>7</w:t>
      </w:r>
      <w:r>
        <w:rPr/>
        <w:t>）其他对发行人有实质影响的法人或自然人：无。</w:t>
      </w:r>
    </w:p>
    <w:p>
      <w:pPr>
        <w:pStyle w:val="BodyText"/>
        <w:spacing w:line="240" w:lineRule="auto" w:before="108"/>
        <w:ind w:left="733" w:right="139"/>
        <w:jc w:val="left"/>
      </w:pPr>
      <w:r>
        <w:rPr>
          <w:rFonts w:ascii="Times New Roman" w:hAnsi="Times New Roman" w:cs="Times New Roman" w:eastAsia="Times New Roman" w:hint="default"/>
        </w:rPr>
        <w:t>2</w:t>
      </w:r>
      <w:r>
        <w:rPr/>
        <w:t>、关联关系</w:t>
      </w:r>
    </w:p>
    <w:p>
      <w:pPr>
        <w:pStyle w:val="BodyText"/>
        <w:spacing w:line="240" w:lineRule="auto" w:before="108"/>
        <w:ind w:left="733" w:right="139"/>
        <w:jc w:val="left"/>
      </w:pPr>
      <w:r>
        <w:rPr/>
        <w:t>（</w:t>
      </w:r>
      <w:r>
        <w:rPr>
          <w:rFonts w:ascii="Times New Roman" w:hAnsi="Times New Roman" w:cs="Times New Roman" w:eastAsia="Times New Roman" w:hint="default"/>
        </w:rPr>
        <w:t>1</w:t>
      </w:r>
      <w:r>
        <w:rPr/>
        <w:t>）股权关系</w:t>
      </w:r>
    </w:p>
    <w:p>
      <w:pPr>
        <w:pStyle w:val="BodyText"/>
        <w:spacing w:line="290" w:lineRule="auto" w:before="107"/>
        <w:ind w:left="253" w:right="135" w:firstLine="480"/>
        <w:jc w:val="left"/>
      </w:pPr>
      <w:r>
        <w:rPr/>
        <w:t>吕晓义先生持有公司</w:t>
      </w:r>
      <w:r>
        <w:rPr>
          <w:spacing w:val="-58"/>
        </w:rPr>
        <w:t> </w:t>
      </w:r>
      <w:r>
        <w:rPr>
          <w:rFonts w:ascii="Times New Roman" w:hAnsi="Times New Roman" w:cs="Times New Roman" w:eastAsia="Times New Roman" w:hint="default"/>
        </w:rPr>
        <w:t>26.47</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4"/>
        </w:rPr>
        <w:t>%</w:t>
      </w:r>
      <w:r>
        <w:rPr>
          <w:spacing w:val="-4"/>
        </w:rPr>
        <w:t>的股权，为公司第一大股东，任公司董事长，可以对公司生</w:t>
      </w:r>
      <w:r>
        <w:rPr/>
        <w:t> 产经营施加重要影响。</w:t>
      </w:r>
    </w:p>
    <w:p>
      <w:pPr>
        <w:pStyle w:val="BodyText"/>
        <w:spacing w:line="240" w:lineRule="auto" w:before="74"/>
        <w:ind w:left="733" w:right="0"/>
        <w:jc w:val="left"/>
      </w:pPr>
      <w:r>
        <w:rPr>
          <w:spacing w:val="-4"/>
        </w:rPr>
        <w:t>何平、任金生、匡晓明均持有公司</w:t>
      </w:r>
      <w:r>
        <w:rPr>
          <w:spacing w:val="-32"/>
        </w:rPr>
        <w:t> </w:t>
      </w:r>
      <w:r>
        <w:rPr>
          <w:rFonts w:ascii="Times New Roman" w:hAnsi="Times New Roman" w:cs="Times New Roman" w:eastAsia="Times New Roman" w:hint="default"/>
          <w:spacing w:val="-3"/>
        </w:rPr>
        <w:t>5%</w:t>
      </w:r>
      <w:r>
        <w:rPr>
          <w:spacing w:val="-3"/>
        </w:rPr>
        <w:t>以上的股份，均为公司董事，可以对公司的生产经</w:t>
      </w:r>
    </w:p>
    <w:p>
      <w:pPr>
        <w:spacing w:after="0" w:line="240" w:lineRule="auto"/>
        <w:jc w:val="left"/>
        <w:sectPr>
          <w:pgSz w:w="11910" w:h="16840"/>
          <w:pgMar w:header="624" w:footer="711" w:top="1040" w:bottom="900" w:left="880" w:right="980"/>
        </w:sectPr>
      </w:pPr>
    </w:p>
    <w:p>
      <w:pPr>
        <w:spacing w:line="240" w:lineRule="auto" w:before="0"/>
        <w:rPr>
          <w:rFonts w:ascii="宋体" w:hAnsi="宋体" w:cs="宋体" w:eastAsia="宋体" w:hint="default"/>
          <w:sz w:val="20"/>
          <w:szCs w:val="20"/>
        </w:rPr>
      </w:pPr>
    </w:p>
    <w:p>
      <w:pPr>
        <w:pStyle w:val="BodyText"/>
        <w:spacing w:line="240" w:lineRule="auto" w:before="160"/>
        <w:ind w:left="254" w:right="131"/>
        <w:jc w:val="left"/>
      </w:pPr>
      <w:r>
        <w:rPr/>
        <w:t>营决策施加一定影响。</w:t>
      </w:r>
    </w:p>
    <w:p>
      <w:pPr>
        <w:pStyle w:val="BodyText"/>
        <w:spacing w:line="316" w:lineRule="auto" w:before="126"/>
        <w:ind w:left="733" w:right="131"/>
        <w:jc w:val="left"/>
      </w:pPr>
      <w:r>
        <w:rPr/>
        <w:t>（</w:t>
      </w:r>
      <w:r>
        <w:rPr>
          <w:rFonts w:ascii="Times New Roman" w:hAnsi="Times New Roman" w:cs="Times New Roman" w:eastAsia="Times New Roman" w:hint="default"/>
        </w:rPr>
        <w:t>2</w:t>
      </w:r>
      <w:r>
        <w:rPr/>
        <w:t>）人事管理关系 吕晓义先生、何平女士、匡晓明先生、任金生先生在深圳惠程控股子公司长春高琦、江</w:t>
      </w:r>
    </w:p>
    <w:p>
      <w:pPr>
        <w:pStyle w:val="BodyText"/>
        <w:spacing w:line="304" w:lineRule="auto" w:before="10"/>
        <w:ind w:left="253" w:right="131"/>
        <w:jc w:val="left"/>
      </w:pPr>
      <w:r>
        <w:rPr/>
        <w:t>西先材、北京高航担任董事，公司其他董事、监事、高级管理人员及核心技术人员未有在关</w:t>
      </w:r>
      <w:r>
        <w:rPr>
          <w:spacing w:val="-83"/>
        </w:rPr>
        <w:t> </w:t>
      </w:r>
      <w:r>
        <w:rPr>
          <w:spacing w:val="-83"/>
        </w:rPr>
      </w:r>
      <w:r>
        <w:rPr/>
        <w:t>联方任职的情况。</w:t>
      </w:r>
    </w:p>
    <w:p>
      <w:pPr>
        <w:spacing w:before="61"/>
        <w:ind w:left="607" w:right="131" w:firstLine="0"/>
        <w:jc w:val="left"/>
        <w:rPr>
          <w:rFonts w:ascii="宋体" w:hAnsi="宋体" w:cs="宋体" w:eastAsia="宋体" w:hint="default"/>
          <w:sz w:val="24"/>
          <w:szCs w:val="24"/>
        </w:rPr>
      </w:pPr>
      <w:r>
        <w:rPr>
          <w:rFonts w:ascii="宋体" w:hAnsi="宋体" w:cs="宋体" w:eastAsia="宋体" w:hint="default"/>
          <w:b/>
          <w:bCs/>
          <w:sz w:val="24"/>
          <w:szCs w:val="24"/>
        </w:rPr>
        <w:t>（二）关联方交易</w:t>
      </w:r>
      <w:r>
        <w:rPr>
          <w:rFonts w:ascii="宋体" w:hAnsi="宋体" w:cs="宋体" w:eastAsia="宋体" w:hint="default"/>
          <w:sz w:val="24"/>
          <w:szCs w:val="24"/>
        </w:rPr>
      </w:r>
    </w:p>
    <w:p>
      <w:pPr>
        <w:pStyle w:val="BodyText"/>
        <w:spacing w:line="319" w:lineRule="auto" w:before="125"/>
        <w:ind w:left="733" w:right="971"/>
        <w:jc w:val="left"/>
      </w:pPr>
      <w:r>
        <w:rPr/>
        <w:t>（</w:t>
      </w:r>
      <w:r>
        <w:rPr>
          <w:rFonts w:ascii="Times New Roman" w:hAnsi="Times New Roman" w:cs="Times New Roman" w:eastAsia="Times New Roman" w:hint="default"/>
        </w:rPr>
        <w:t>1</w:t>
      </w:r>
      <w:r>
        <w:rPr/>
        <w:t>）关联担保情况 报告期内关联担保均为公司股东为公司借款担保及本公司为控股公司借款担保。</w:t>
      </w:r>
    </w:p>
    <w:tbl>
      <w:tblPr>
        <w:tblW w:w="0" w:type="auto"/>
        <w:jc w:val="left"/>
        <w:tblInd w:w="390" w:type="dxa"/>
        <w:tblLayout w:type="fixed"/>
        <w:tblCellMar>
          <w:top w:w="0" w:type="dxa"/>
          <w:left w:w="0" w:type="dxa"/>
          <w:bottom w:w="0" w:type="dxa"/>
          <w:right w:w="0" w:type="dxa"/>
        </w:tblCellMar>
        <w:tblLook w:val="01E0"/>
      </w:tblPr>
      <w:tblGrid>
        <w:gridCol w:w="2694"/>
        <w:gridCol w:w="1134"/>
        <w:gridCol w:w="1560"/>
        <w:gridCol w:w="1274"/>
        <w:gridCol w:w="1134"/>
        <w:gridCol w:w="1418"/>
      </w:tblGrid>
      <w:tr>
        <w:trPr>
          <w:trHeight w:val="650"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1"/>
              <w:ind w:right="1"/>
              <w:jc w:val="center"/>
              <w:rPr>
                <w:rFonts w:ascii="宋体" w:hAnsi="宋体" w:cs="宋体" w:eastAsia="宋体" w:hint="default"/>
                <w:sz w:val="18"/>
                <w:szCs w:val="18"/>
              </w:rPr>
            </w:pPr>
            <w:r>
              <w:rPr>
                <w:rFonts w:ascii="宋体" w:hAnsi="宋体" w:cs="宋体" w:eastAsia="宋体" w:hint="default"/>
                <w:sz w:val="18"/>
                <w:szCs w:val="18"/>
              </w:rPr>
              <w:t>担保方</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1"/>
              <w:ind w:right="1"/>
              <w:jc w:val="center"/>
              <w:rPr>
                <w:rFonts w:ascii="宋体" w:hAnsi="宋体" w:cs="宋体" w:eastAsia="宋体" w:hint="default"/>
                <w:sz w:val="18"/>
                <w:szCs w:val="18"/>
              </w:rPr>
            </w:pPr>
            <w:r>
              <w:rPr>
                <w:rFonts w:ascii="宋体" w:hAnsi="宋体" w:cs="宋体" w:eastAsia="宋体" w:hint="default"/>
                <w:sz w:val="18"/>
                <w:szCs w:val="18"/>
              </w:rPr>
              <w:t>被担保方</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1"/>
              <w:ind w:left="413"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1"/>
              <w:ind w:right="0"/>
              <w:jc w:val="center"/>
              <w:rPr>
                <w:rFonts w:ascii="宋体" w:hAnsi="宋体" w:cs="宋体" w:eastAsia="宋体" w:hint="default"/>
                <w:sz w:val="18"/>
                <w:szCs w:val="18"/>
              </w:rPr>
            </w:pPr>
            <w:r>
              <w:rPr>
                <w:rFonts w:ascii="宋体" w:hAnsi="宋体" w:cs="宋体" w:eastAsia="宋体" w:hint="default"/>
                <w:sz w:val="18"/>
                <w:szCs w:val="18"/>
              </w:rPr>
              <w:t>担保起始日</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1"/>
              <w:ind w:right="1"/>
              <w:jc w:val="center"/>
              <w:rPr>
                <w:rFonts w:ascii="宋体" w:hAnsi="宋体" w:cs="宋体" w:eastAsia="宋体" w:hint="default"/>
                <w:sz w:val="18"/>
                <w:szCs w:val="18"/>
              </w:rPr>
            </w:pPr>
            <w:r>
              <w:rPr>
                <w:rFonts w:ascii="宋体" w:hAnsi="宋体" w:cs="宋体" w:eastAsia="宋体" w:hint="default"/>
                <w:sz w:val="18"/>
                <w:szCs w:val="18"/>
              </w:rPr>
              <w:t>担保到期日</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85" w:lineRule="auto" w:before="9"/>
              <w:ind w:left="344" w:right="162" w:hanging="180"/>
              <w:jc w:val="left"/>
              <w:rPr>
                <w:rFonts w:ascii="宋体" w:hAnsi="宋体" w:cs="宋体" w:eastAsia="宋体" w:hint="default"/>
                <w:sz w:val="18"/>
                <w:szCs w:val="18"/>
              </w:rPr>
            </w:pPr>
            <w:r>
              <w:rPr>
                <w:rFonts w:ascii="宋体" w:hAnsi="宋体" w:cs="宋体" w:eastAsia="宋体" w:hint="default"/>
                <w:sz w:val="18"/>
                <w:szCs w:val="18"/>
              </w:rPr>
              <w:t>担保是否已经 履行完毕</w:t>
            </w:r>
          </w:p>
        </w:tc>
      </w:tr>
      <w:tr>
        <w:trPr>
          <w:trHeight w:val="323"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吕晓义、匡晓明、何平</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6" w:right="0"/>
              <w:jc w:val="left"/>
              <w:rPr>
                <w:rFonts w:ascii="Times New Roman" w:hAnsi="Times New Roman" w:cs="Times New Roman" w:eastAsia="Times New Roman" w:hint="default"/>
                <w:sz w:val="18"/>
                <w:szCs w:val="18"/>
              </w:rPr>
            </w:pPr>
            <w:r>
              <w:rPr>
                <w:rFonts w:ascii="Times New Roman"/>
                <w:sz w:val="18"/>
              </w:rPr>
              <w:t>70,000,000.00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2009.12.16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sz w:val="18"/>
              </w:rPr>
              <w:t>2011.12.15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2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4"/>
                <w:sz w:val="18"/>
                <w:szCs w:val="18"/>
              </w:rPr>
              <w:t>吕晓义、匡晓明、何平、任金生</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6" w:right="0"/>
              <w:jc w:val="left"/>
              <w:rPr>
                <w:rFonts w:ascii="Times New Roman" w:hAnsi="Times New Roman" w:cs="Times New Roman" w:eastAsia="Times New Roman" w:hint="default"/>
                <w:sz w:val="18"/>
                <w:szCs w:val="18"/>
              </w:rPr>
            </w:pPr>
            <w:r>
              <w:rPr>
                <w:rFonts w:ascii="Times New Roman"/>
                <w:sz w:val="18"/>
              </w:rPr>
              <w:t>50,000,000.00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2010.6.4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sz w:val="18"/>
              </w:rPr>
              <w:t>2011.6.4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23"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4"/>
                <w:sz w:val="18"/>
                <w:szCs w:val="18"/>
              </w:rPr>
              <w:t>吕晓义、匡晓明、何平、任金生</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6" w:right="0"/>
              <w:jc w:val="left"/>
              <w:rPr>
                <w:rFonts w:ascii="Times New Roman" w:hAnsi="Times New Roman" w:cs="Times New Roman" w:eastAsia="Times New Roman" w:hint="default"/>
                <w:sz w:val="18"/>
                <w:szCs w:val="18"/>
              </w:rPr>
            </w:pPr>
            <w:r>
              <w:rPr>
                <w:rFonts w:ascii="Times New Roman"/>
                <w:sz w:val="18"/>
              </w:rPr>
              <w:t>60,000,000.00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2010.1.15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2011.1.15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2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吕晓义、匡晓明、何平</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11" w:right="0"/>
              <w:jc w:val="left"/>
              <w:rPr>
                <w:rFonts w:ascii="Times New Roman" w:hAnsi="Times New Roman" w:cs="Times New Roman" w:eastAsia="Times New Roman" w:hint="default"/>
                <w:sz w:val="18"/>
                <w:szCs w:val="18"/>
              </w:rPr>
            </w:pPr>
            <w:r>
              <w:rPr>
                <w:rFonts w:ascii="Times New Roman"/>
                <w:sz w:val="18"/>
              </w:rPr>
              <w:t>100,000,000.00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2010.5.12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2011.5.12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23"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4"/>
                <w:sz w:val="18"/>
                <w:szCs w:val="18"/>
              </w:rPr>
              <w:t>吕晓义、匡晓明、何平、任金生</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6" w:right="0"/>
              <w:jc w:val="left"/>
              <w:rPr>
                <w:rFonts w:ascii="Times New Roman" w:hAnsi="Times New Roman" w:cs="Times New Roman" w:eastAsia="Times New Roman" w:hint="default"/>
                <w:sz w:val="18"/>
                <w:szCs w:val="18"/>
              </w:rPr>
            </w:pPr>
            <w:r>
              <w:rPr>
                <w:rFonts w:ascii="Times New Roman"/>
                <w:sz w:val="18"/>
              </w:rPr>
              <w:t>50,000,000.00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2010.3.23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2011.3.23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2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本公司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长春高琦</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56" w:right="0"/>
              <w:jc w:val="left"/>
              <w:rPr>
                <w:rFonts w:ascii="Times New Roman" w:hAnsi="Times New Roman" w:cs="Times New Roman" w:eastAsia="Times New Roman" w:hint="default"/>
                <w:sz w:val="18"/>
                <w:szCs w:val="18"/>
              </w:rPr>
            </w:pPr>
            <w:r>
              <w:rPr>
                <w:rFonts w:ascii="Times New Roman"/>
                <w:sz w:val="18"/>
              </w:rPr>
              <w:t>20,000,000.00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2010.9.3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2011.3.2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23"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本公司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吉林高琦</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6" w:right="0"/>
              <w:jc w:val="left"/>
              <w:rPr>
                <w:rFonts w:ascii="Times New Roman" w:hAnsi="Times New Roman" w:cs="Times New Roman" w:eastAsia="Times New Roman" w:hint="default"/>
                <w:sz w:val="18"/>
                <w:szCs w:val="18"/>
              </w:rPr>
            </w:pPr>
            <w:r>
              <w:rPr>
                <w:rFonts w:ascii="Times New Roman"/>
                <w:sz w:val="18"/>
              </w:rPr>
              <w:t>20,000,000.00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2010.10.8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2011.10.7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2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吕晓义、匡晓明、何平</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11" w:right="0"/>
              <w:jc w:val="left"/>
              <w:rPr>
                <w:rFonts w:ascii="Times New Roman" w:hAnsi="Times New Roman" w:cs="Times New Roman" w:eastAsia="Times New Roman" w:hint="default"/>
                <w:sz w:val="18"/>
                <w:szCs w:val="18"/>
              </w:rPr>
            </w:pPr>
            <w:r>
              <w:rPr>
                <w:rFonts w:ascii="Times New Roman"/>
                <w:sz w:val="18"/>
              </w:rPr>
              <w:t>100,000,000.00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2011.6.9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2012.6.9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4"/>
                <w:sz w:val="18"/>
                <w:szCs w:val="18"/>
              </w:rPr>
              <w:t>吕晓义、匡晓明、何平、任金生</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11" w:right="0"/>
              <w:jc w:val="left"/>
              <w:rPr>
                <w:rFonts w:ascii="Times New Roman" w:hAnsi="Times New Roman" w:cs="Times New Roman" w:eastAsia="Times New Roman" w:hint="default"/>
                <w:sz w:val="18"/>
                <w:szCs w:val="18"/>
              </w:rPr>
            </w:pPr>
            <w:r>
              <w:rPr>
                <w:rFonts w:ascii="Times New Roman"/>
                <w:sz w:val="18"/>
              </w:rPr>
              <w:t>60,000,000.00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2011.7.28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sz w:val="18"/>
              </w:rPr>
              <w:t>2012.</w:t>
            </w:r>
            <w:r>
              <w:rPr>
                <w:rFonts w:ascii="Times New Roman"/>
                <w:spacing w:val="-2"/>
                <w:sz w:val="18"/>
              </w:rPr>
              <w:t> </w:t>
            </w:r>
            <w:r>
              <w:rPr>
                <w:rFonts w:ascii="Times New Roman"/>
                <w:sz w:val="18"/>
              </w:rPr>
              <w:t>7.28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吕晓义、匡晓明、何平</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301" w:right="0"/>
              <w:jc w:val="left"/>
              <w:rPr>
                <w:rFonts w:ascii="Times New Roman" w:hAnsi="Times New Roman" w:cs="Times New Roman" w:eastAsia="Times New Roman" w:hint="default"/>
                <w:sz w:val="18"/>
                <w:szCs w:val="18"/>
              </w:rPr>
            </w:pPr>
            <w:r>
              <w:rPr>
                <w:rFonts w:ascii="Times New Roman"/>
                <w:sz w:val="18"/>
              </w:rPr>
              <w:t>5,000,000.00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2011.2.25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2011.8.25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10"/>
        <w:rPr>
          <w:rFonts w:ascii="宋体" w:hAnsi="宋体" w:cs="宋体" w:eastAsia="宋体" w:hint="default"/>
          <w:sz w:val="4"/>
          <w:szCs w:val="4"/>
        </w:rPr>
      </w:pPr>
    </w:p>
    <w:p>
      <w:pPr>
        <w:pStyle w:val="BodyText"/>
        <w:spacing w:line="240" w:lineRule="auto" w:before="26"/>
        <w:ind w:left="734" w:right="131"/>
        <w:jc w:val="left"/>
      </w:pPr>
      <w:r>
        <w:rPr/>
        <w:t>（</w:t>
      </w:r>
      <w:r>
        <w:rPr>
          <w:rFonts w:ascii="Times New Roman" w:hAnsi="Times New Roman" w:cs="Times New Roman" w:eastAsia="Times New Roman" w:hint="default"/>
        </w:rPr>
        <w:t>2</w:t>
      </w:r>
      <w:r>
        <w:rPr/>
        <w:t>）关联交易事项</w:t>
      </w:r>
    </w:p>
    <w:p>
      <w:pPr>
        <w:pStyle w:val="BodyText"/>
        <w:spacing w:line="240" w:lineRule="auto" w:before="107"/>
        <w:ind w:left="733" w:right="131"/>
        <w:jc w:val="left"/>
      </w:pP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5  </w:t>
      </w:r>
      <w:r>
        <w:rPr/>
        <w:t>月 </w:t>
      </w:r>
      <w:r>
        <w:rPr>
          <w:rFonts w:ascii="Times New Roman" w:hAnsi="Times New Roman" w:cs="Times New Roman" w:eastAsia="Times New Roman" w:hint="default"/>
        </w:rPr>
        <w:t>23 </w:t>
      </w:r>
      <w:r>
        <w:rPr>
          <w:rFonts w:ascii="Times New Roman" w:hAnsi="Times New Roman" w:cs="Times New Roman" w:eastAsia="Times New Roman" w:hint="default"/>
          <w:spacing w:val="45"/>
        </w:rPr>
        <w:t> </w:t>
      </w:r>
      <w:r>
        <w:rPr/>
        <w:t>日，在公司召开的第三届董事会第二十六次会议上，深圳市惠程电气</w:t>
      </w:r>
    </w:p>
    <w:p>
      <w:pPr>
        <w:pStyle w:val="BodyText"/>
        <w:spacing w:line="297" w:lineRule="auto" w:before="68"/>
        <w:ind w:left="253" w:right="228"/>
        <w:jc w:val="both"/>
      </w:pPr>
      <w:r>
        <w:rPr/>
        <w:t>股份有限公司拟与公司部分技术人员以自有资金向江西先材现金增资人民币 </w:t>
      </w:r>
      <w:r>
        <w:rPr>
          <w:rFonts w:ascii="Times New Roman" w:hAnsi="Times New Roman" w:cs="Times New Roman" w:eastAsia="Times New Roman" w:hint="default"/>
        </w:rPr>
        <w:t>7,000</w:t>
      </w:r>
      <w:r>
        <w:rPr>
          <w:rFonts w:ascii="Times New Roman" w:hAnsi="Times New Roman" w:cs="Times New Roman" w:eastAsia="Times New Roman" w:hint="default"/>
          <w:spacing w:val="-22"/>
        </w:rPr>
        <w:t> </w:t>
      </w:r>
      <w:r>
        <w:rPr/>
        <w:t>万元</w:t>
      </w:r>
      <w:r>
        <w:rPr>
          <w:rFonts w:ascii="Times New Roman" w:hAnsi="Times New Roman" w:cs="Times New Roman" w:eastAsia="Times New Roman" w:hint="default"/>
        </w:rPr>
        <w:t>,</w:t>
      </w:r>
      <w:r>
        <w:rPr/>
        <w:t>，增 资方中，吕凤华、祁锦华为公司关联自然人与公司共同增资构成关联交易。关联董事吕晓义</w:t>
      </w:r>
      <w:r>
        <w:rPr>
          <w:spacing w:val="-83"/>
        </w:rPr>
        <w:t> </w:t>
      </w:r>
      <w:r>
        <w:rPr>
          <w:spacing w:val="-83"/>
        </w:rPr>
      </w:r>
      <w:r>
        <w:rPr/>
        <w:t>先生在董事会审议此项关联交易事项时回避表决，非关联董事一致同意此项关联交易事项。</w:t>
      </w:r>
    </w:p>
    <w:p>
      <w:pPr>
        <w:spacing w:before="68"/>
        <w:ind w:left="607" w:right="0" w:firstLine="0"/>
        <w:jc w:val="left"/>
        <w:rPr>
          <w:rFonts w:ascii="宋体" w:hAnsi="宋体" w:cs="宋体" w:eastAsia="宋体" w:hint="default"/>
          <w:sz w:val="24"/>
          <w:szCs w:val="24"/>
        </w:rPr>
      </w:pPr>
      <w:r>
        <w:rPr>
          <w:rFonts w:ascii="宋体" w:hAnsi="宋体" w:cs="宋体" w:eastAsia="宋体" w:hint="default"/>
          <w:b/>
          <w:bCs/>
          <w:spacing w:val="-6"/>
          <w:sz w:val="24"/>
          <w:szCs w:val="24"/>
        </w:rPr>
        <w:t>（三）报告期内，公司与关联方未发生与日常经营相关的资产、股权转让的关联交易事项。</w:t>
      </w:r>
      <w:r>
        <w:rPr>
          <w:rFonts w:ascii="宋体" w:hAnsi="宋体" w:cs="宋体" w:eastAsia="宋体" w:hint="default"/>
          <w:spacing w:val="-6"/>
          <w:sz w:val="24"/>
          <w:szCs w:val="24"/>
        </w:rPr>
      </w:r>
    </w:p>
    <w:p>
      <w:pPr>
        <w:spacing w:line="304" w:lineRule="auto" w:before="126"/>
        <w:ind w:left="253" w:right="100" w:firstLine="354"/>
        <w:jc w:val="left"/>
        <w:rPr>
          <w:rFonts w:ascii="宋体" w:hAnsi="宋体" w:cs="宋体" w:eastAsia="宋体" w:hint="default"/>
          <w:sz w:val="24"/>
          <w:szCs w:val="24"/>
        </w:rPr>
      </w:pPr>
      <w:r>
        <w:rPr>
          <w:rFonts w:ascii="宋体" w:hAnsi="宋体" w:cs="宋体" w:eastAsia="宋体" w:hint="default"/>
          <w:b/>
          <w:bCs/>
          <w:sz w:val="24"/>
          <w:szCs w:val="24"/>
        </w:rPr>
        <w:t>（四）报告期内，公司与关联方未发生购买或出售资产、租入或租出资产、购买原材料、</w:t>
      </w:r>
      <w:r>
        <w:rPr>
          <w:rFonts w:ascii="宋体" w:hAnsi="宋体" w:cs="宋体" w:eastAsia="宋体" w:hint="default"/>
          <w:b/>
          <w:bCs/>
          <w:spacing w:val="1"/>
          <w:w w:val="99"/>
          <w:sz w:val="24"/>
          <w:szCs w:val="24"/>
        </w:rPr>
        <w:t> </w:t>
      </w:r>
      <w:r>
        <w:rPr>
          <w:rFonts w:ascii="宋体" w:hAnsi="宋体" w:cs="宋体" w:eastAsia="宋体" w:hint="default"/>
          <w:b/>
          <w:bCs/>
          <w:sz w:val="24"/>
          <w:szCs w:val="24"/>
        </w:rPr>
        <w:t>销售产品、商品、提供或接受劳务、委托或受托销售等方面的重大关联交易事项。</w:t>
      </w:r>
      <w:r>
        <w:rPr>
          <w:rFonts w:ascii="宋体" w:hAnsi="宋体" w:cs="宋体" w:eastAsia="宋体" w:hint="default"/>
          <w:sz w:val="24"/>
          <w:szCs w:val="24"/>
        </w:rPr>
      </w:r>
    </w:p>
    <w:p>
      <w:pPr>
        <w:spacing w:before="61"/>
        <w:ind w:left="607" w:right="131" w:firstLine="0"/>
        <w:jc w:val="left"/>
        <w:rPr>
          <w:rFonts w:ascii="宋体" w:hAnsi="宋体" w:cs="宋体" w:eastAsia="宋体" w:hint="default"/>
          <w:sz w:val="24"/>
          <w:szCs w:val="24"/>
        </w:rPr>
      </w:pPr>
      <w:r>
        <w:rPr>
          <w:rFonts w:ascii="宋体" w:hAnsi="宋体" w:cs="宋体" w:eastAsia="宋体" w:hint="default"/>
          <w:b/>
          <w:bCs/>
          <w:sz w:val="24"/>
          <w:szCs w:val="24"/>
        </w:rPr>
        <w:t>（五）报告期内，公司不存在为股东、股东的控股子公司、股东的附属企业提供担保。</w:t>
      </w:r>
      <w:r>
        <w:rPr>
          <w:rFonts w:ascii="宋体" w:hAnsi="宋体" w:cs="宋体" w:eastAsia="宋体" w:hint="default"/>
          <w:sz w:val="24"/>
          <w:szCs w:val="24"/>
        </w:rPr>
      </w:r>
    </w:p>
    <w:p>
      <w:pPr>
        <w:spacing w:line="336" w:lineRule="auto" w:before="125"/>
        <w:ind w:left="733" w:right="215" w:hanging="126"/>
        <w:jc w:val="left"/>
        <w:rPr>
          <w:rFonts w:ascii="宋体" w:hAnsi="宋体" w:cs="宋体" w:eastAsia="宋体" w:hint="default"/>
          <w:sz w:val="24"/>
          <w:szCs w:val="24"/>
        </w:rPr>
      </w:pPr>
      <w:r>
        <w:rPr>
          <w:rFonts w:ascii="宋体" w:hAnsi="宋体" w:cs="宋体" w:eastAsia="宋体" w:hint="default"/>
          <w:b/>
          <w:bCs/>
          <w:sz w:val="24"/>
          <w:szCs w:val="24"/>
        </w:rPr>
        <w:t>（六）报告期内，对控股股东及其他关联方占用上市公司资金情况</w:t>
      </w:r>
      <w:r>
        <w:rPr>
          <w:rFonts w:ascii="宋体" w:hAnsi="宋体" w:cs="宋体" w:eastAsia="宋体" w:hint="default"/>
          <w:b/>
          <w:bCs/>
          <w:spacing w:val="1"/>
          <w:w w:val="99"/>
          <w:sz w:val="24"/>
          <w:szCs w:val="24"/>
        </w:rPr>
        <w:t> </w:t>
      </w:r>
      <w:r>
        <w:rPr>
          <w:rFonts w:ascii="宋体" w:hAnsi="宋体" w:cs="宋体" w:eastAsia="宋体" w:hint="default"/>
          <w:sz w:val="24"/>
          <w:szCs w:val="24"/>
        </w:rPr>
        <w:t>根据立信会计师事务所出具的信会师报字</w:t>
      </w:r>
      <w:r>
        <w:rPr>
          <w:rFonts w:ascii="Times New Roman" w:hAnsi="Times New Roman" w:cs="Times New Roman" w:eastAsia="Times New Roman" w:hint="default"/>
          <w:sz w:val="24"/>
          <w:szCs w:val="24"/>
        </w:rPr>
        <w:t>[2012]</w:t>
      </w:r>
      <w:r>
        <w:rPr>
          <w:rFonts w:ascii="宋体" w:hAnsi="宋体" w:cs="宋体" w:eastAsia="宋体" w:hint="default"/>
          <w:sz w:val="24"/>
          <w:szCs w:val="24"/>
        </w:rPr>
        <w:t>第</w:t>
      </w:r>
      <w:r>
        <w:rPr>
          <w:rFonts w:ascii="宋体" w:hAnsi="宋体" w:cs="宋体" w:eastAsia="宋体" w:hint="default"/>
          <w:spacing w:val="-62"/>
          <w:sz w:val="24"/>
          <w:szCs w:val="24"/>
        </w:rPr>
        <w:t> </w:t>
      </w:r>
      <w:r>
        <w:rPr>
          <w:rFonts w:ascii="Times New Roman" w:hAnsi="Times New Roman" w:cs="Times New Roman" w:eastAsia="Times New Roman" w:hint="default"/>
          <w:sz w:val="24"/>
          <w:szCs w:val="24"/>
        </w:rPr>
        <w:t>310213</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号文“关于对深圳市惠程电气</w:t>
      </w:r>
    </w:p>
    <w:p>
      <w:pPr>
        <w:pStyle w:val="BodyText"/>
        <w:spacing w:line="275" w:lineRule="exact"/>
        <w:ind w:left="253" w:right="0"/>
        <w:jc w:val="both"/>
      </w:pPr>
      <w:r>
        <w:rPr/>
        <w:t>股份有限公司控股股东及其他关联方占用资金情况的专项审计说明</w:t>
      </w:r>
      <w:r>
        <w:rPr>
          <w:spacing w:val="-120"/>
        </w:rPr>
        <w:t>”</w:t>
      </w:r>
      <w:r>
        <w:rPr/>
        <w:t>，全文如下：</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5"/>
          <w:szCs w:val="25"/>
        </w:rPr>
      </w:pPr>
    </w:p>
    <w:p>
      <w:pPr>
        <w:spacing w:before="0"/>
        <w:ind w:left="733" w:right="131" w:firstLine="0"/>
        <w:jc w:val="left"/>
        <w:rPr>
          <w:rFonts w:ascii="宋体" w:hAnsi="宋体" w:cs="宋体" w:eastAsia="宋体" w:hint="default"/>
          <w:sz w:val="21"/>
          <w:szCs w:val="21"/>
        </w:rPr>
      </w:pPr>
      <w:r>
        <w:rPr>
          <w:rFonts w:ascii="宋体" w:hAnsi="宋体" w:cs="宋体" w:eastAsia="宋体" w:hint="default"/>
          <w:sz w:val="21"/>
          <w:szCs w:val="21"/>
        </w:rPr>
        <w:t>我们审计了后附的深圳市惠程电气股份有限公</w:t>
      </w:r>
      <w:r>
        <w:rPr>
          <w:rFonts w:ascii="宋体" w:hAnsi="宋体" w:cs="宋体" w:eastAsia="宋体" w:hint="default"/>
          <w:spacing w:val="-10"/>
          <w:sz w:val="21"/>
          <w:szCs w:val="21"/>
        </w:rPr>
        <w:t>司</w:t>
      </w:r>
      <w:r>
        <w:rPr>
          <w:rFonts w:ascii="宋体" w:hAnsi="宋体" w:cs="宋体" w:eastAsia="宋体" w:hint="default"/>
          <w:sz w:val="21"/>
          <w:szCs w:val="21"/>
        </w:rPr>
        <w:t>（以下简</w:t>
      </w:r>
      <w:r>
        <w:rPr>
          <w:rFonts w:ascii="宋体" w:hAnsi="宋体" w:cs="宋体" w:eastAsia="宋体" w:hint="default"/>
          <w:spacing w:val="-10"/>
          <w:sz w:val="21"/>
          <w:szCs w:val="21"/>
        </w:rPr>
        <w:t>称</w:t>
      </w:r>
      <w:r>
        <w:rPr>
          <w:rFonts w:ascii="宋体" w:hAnsi="宋体" w:cs="宋体" w:eastAsia="宋体" w:hint="default"/>
          <w:sz w:val="21"/>
          <w:szCs w:val="21"/>
        </w:rPr>
        <w:t>“贵公司</w:t>
      </w:r>
      <w:r>
        <w:rPr>
          <w:rFonts w:ascii="宋体" w:hAnsi="宋体" w:cs="宋体" w:eastAsia="宋体" w:hint="default"/>
          <w:spacing w:val="-106"/>
          <w:sz w:val="21"/>
          <w:szCs w:val="21"/>
        </w:rPr>
        <w:t>”</w:t>
      </w:r>
      <w:r>
        <w:rPr>
          <w:rFonts w:ascii="宋体" w:hAnsi="宋体" w:cs="宋体" w:eastAsia="宋体" w:hint="default"/>
          <w:spacing w:val="-10"/>
          <w:sz w:val="21"/>
          <w:szCs w:val="21"/>
        </w:rPr>
        <w:t>）</w:t>
      </w: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2"/>
          <w:sz w:val="21"/>
          <w:szCs w:val="21"/>
        </w:rPr>
        <w:t>度</w:t>
      </w:r>
      <w:r>
        <w:rPr>
          <w:rFonts w:ascii="宋体" w:hAnsi="宋体" w:cs="宋体" w:eastAsia="宋体" w:hint="default"/>
          <w:sz w:val="21"/>
          <w:szCs w:val="21"/>
        </w:rPr>
        <w:t>非经营性资金占用</w:t>
      </w:r>
    </w:p>
    <w:p>
      <w:pPr>
        <w:spacing w:after="0"/>
        <w:jc w:val="left"/>
        <w:rPr>
          <w:rFonts w:ascii="宋体" w:hAnsi="宋体" w:cs="宋体" w:eastAsia="宋体" w:hint="default"/>
          <w:sz w:val="21"/>
          <w:szCs w:val="21"/>
        </w:rPr>
        <w:sectPr>
          <w:pgSz w:w="11910" w:h="16840"/>
          <w:pgMar w:header="624" w:footer="711" w:top="1040" w:bottom="900" w:left="880" w:right="9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spacing w:line="348" w:lineRule="auto" w:before="0"/>
        <w:ind w:left="254" w:right="210" w:firstLine="0"/>
        <w:jc w:val="both"/>
        <w:rPr>
          <w:rFonts w:ascii="宋体" w:hAnsi="宋体" w:cs="宋体" w:eastAsia="宋体" w:hint="default"/>
          <w:sz w:val="21"/>
          <w:szCs w:val="21"/>
        </w:rPr>
      </w:pPr>
      <w:r>
        <w:rPr>
          <w:rFonts w:ascii="宋体" w:hAnsi="宋体" w:cs="宋体" w:eastAsia="宋体" w:hint="default"/>
          <w:spacing w:val="-5"/>
          <w:sz w:val="21"/>
          <w:szCs w:val="21"/>
        </w:rPr>
        <w:t>及其他关联方资金往来情况汇总表（以下简称“汇总表”）。该汇总表已由贵公司管理层按照监管机构的有</w:t>
      </w:r>
      <w:r>
        <w:rPr>
          <w:rFonts w:ascii="宋体" w:hAnsi="宋体" w:cs="宋体" w:eastAsia="宋体" w:hint="default"/>
          <w:sz w:val="21"/>
          <w:szCs w:val="21"/>
        </w:rPr>
        <w:t> 关规定编制以满足监管要求。</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tabs>
          <w:tab w:pos="1513" w:val="left" w:leader="none"/>
        </w:tabs>
        <w:spacing w:line="384" w:lineRule="auto" w:before="0"/>
        <w:ind w:left="733" w:right="210"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管理层对汇总表的责任</w:t>
      </w:r>
      <w:r>
        <w:rPr>
          <w:rFonts w:ascii="宋体" w:hAnsi="宋体" w:cs="宋体" w:eastAsia="宋体" w:hint="default"/>
          <w:b/>
          <w:bCs/>
          <w:w w:val="99"/>
          <w:sz w:val="21"/>
          <w:szCs w:val="21"/>
        </w:rPr>
        <w:t> </w:t>
      </w:r>
      <w:r>
        <w:rPr>
          <w:rFonts w:ascii="宋体" w:hAnsi="宋体" w:cs="宋体" w:eastAsia="宋体" w:hint="default"/>
          <w:spacing w:val="-2"/>
          <w:sz w:val="21"/>
          <w:szCs w:val="21"/>
        </w:rPr>
        <w:t>管理层负责按照中国证券监督管理委员会和国务院国有资产监督管理委员会印发的《关于规范上市公</w:t>
      </w:r>
    </w:p>
    <w:p>
      <w:pPr>
        <w:spacing w:line="348" w:lineRule="auto" w:before="0"/>
        <w:ind w:left="254" w:right="210" w:firstLine="0"/>
        <w:jc w:val="both"/>
        <w:rPr>
          <w:rFonts w:ascii="宋体" w:hAnsi="宋体" w:cs="宋体" w:eastAsia="宋体" w:hint="default"/>
          <w:sz w:val="21"/>
          <w:szCs w:val="21"/>
        </w:rPr>
      </w:pPr>
      <w:r>
        <w:rPr>
          <w:rFonts w:ascii="宋体" w:hAnsi="宋体" w:cs="宋体" w:eastAsia="宋体" w:hint="default"/>
          <w:spacing w:val="-3"/>
          <w:sz w:val="21"/>
          <w:szCs w:val="21"/>
        </w:rPr>
        <w:t>司与关联方资金往来及上市公司对外担保若干问题的通知》（证监发[2003]56</w:t>
      </w:r>
      <w:r>
        <w:rPr>
          <w:rFonts w:ascii="宋体" w:hAnsi="宋体" w:cs="宋体" w:eastAsia="宋体" w:hint="default"/>
          <w:spacing w:val="-7"/>
          <w:sz w:val="21"/>
          <w:szCs w:val="21"/>
        </w:rPr>
        <w:t> </w:t>
      </w:r>
      <w:r>
        <w:rPr>
          <w:rFonts w:ascii="宋体" w:hAnsi="宋体" w:cs="宋体" w:eastAsia="宋体" w:hint="default"/>
          <w:spacing w:val="-1"/>
          <w:sz w:val="21"/>
          <w:szCs w:val="21"/>
        </w:rPr>
        <w:t>号）及其他相关规定编制汇</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总表以满足监管要求，并负责设计、执行和维护必要的内部控制，以使汇总表不存在由于舞弊或错误导致</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的重大错报。</w:t>
      </w:r>
    </w:p>
    <w:p>
      <w:pPr>
        <w:tabs>
          <w:tab w:pos="1513" w:val="left" w:leader="none"/>
        </w:tabs>
        <w:spacing w:line="384" w:lineRule="auto" w:before="71"/>
        <w:ind w:left="733" w:right="210"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注册会计师的责任</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我们的责任是在执行审计工作的基础上对汇总表发表专项审计意见。我们按照中国注册会计师审计准</w:t>
      </w:r>
    </w:p>
    <w:p>
      <w:pPr>
        <w:spacing w:line="348" w:lineRule="auto" w:before="0"/>
        <w:ind w:left="253" w:right="211" w:firstLine="0"/>
        <w:jc w:val="both"/>
        <w:rPr>
          <w:rFonts w:ascii="宋体" w:hAnsi="宋体" w:cs="宋体" w:eastAsia="宋体" w:hint="default"/>
          <w:sz w:val="21"/>
          <w:szCs w:val="21"/>
        </w:rPr>
      </w:pPr>
      <w:r>
        <w:rPr>
          <w:rFonts w:ascii="宋体" w:hAnsi="宋体" w:cs="宋体" w:eastAsia="宋体" w:hint="default"/>
          <w:spacing w:val="-1"/>
          <w:sz w:val="21"/>
          <w:szCs w:val="21"/>
        </w:rPr>
        <w:t>则的规定执行了审计工作。中国注册会计师审计准则要求我们遵守中国注册会计师职业道德守则，计划和</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执行审计工作以对汇总表是否不存在重大错报获取合理保证。</w:t>
      </w:r>
    </w:p>
    <w:p>
      <w:pPr>
        <w:spacing w:line="350" w:lineRule="auto" w:before="71"/>
        <w:ind w:left="253" w:right="102" w:firstLine="480"/>
        <w:jc w:val="left"/>
        <w:rPr>
          <w:rFonts w:ascii="宋体" w:hAnsi="宋体" w:cs="宋体" w:eastAsia="宋体" w:hint="default"/>
          <w:sz w:val="21"/>
          <w:szCs w:val="21"/>
        </w:rPr>
      </w:pPr>
      <w:r>
        <w:rPr>
          <w:rFonts w:ascii="宋体" w:hAnsi="宋体" w:cs="宋体" w:eastAsia="宋体" w:hint="default"/>
          <w:spacing w:val="-2"/>
          <w:sz w:val="21"/>
          <w:szCs w:val="21"/>
        </w:rPr>
        <w:t>审计工作涉及实施审计程序，以获取有关汇总表金额和披露的审计证据。选择的审计程序取决于注册</w:t>
      </w:r>
      <w:r>
        <w:rPr>
          <w:rFonts w:ascii="宋体" w:hAnsi="宋体" w:cs="宋体" w:eastAsia="宋体" w:hint="default"/>
          <w:sz w:val="21"/>
          <w:szCs w:val="21"/>
        </w:rPr>
        <w:t> 会计师的判断，包括对由于舞弊或错误导致的汇总表重大错报风险的评估。在进行风险评估时，注册会计 </w:t>
      </w:r>
      <w:r>
        <w:rPr>
          <w:rFonts w:ascii="宋体" w:hAnsi="宋体" w:cs="宋体" w:eastAsia="宋体" w:hint="default"/>
          <w:spacing w:val="-3"/>
          <w:sz w:val="21"/>
          <w:szCs w:val="21"/>
        </w:rPr>
        <w:t>师考虑与汇总表编制相关的内部控制，以设计恰当的审计程序，但目的并非对内部控制的有效性发表意见。</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pacing w:val="3"/>
          <w:sz w:val="21"/>
          <w:szCs w:val="21"/>
        </w:rPr>
        <w:t>审计工作还包括评价管理层选用会计政策的恰当性和作出会计估计的合理性，以及评价汇总表的总体列</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报。我们相信，我们获取的审计证据是充分、适当的，为发表专项审计意见提供了基础。</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8"/>
          <w:szCs w:val="18"/>
        </w:rPr>
      </w:pPr>
    </w:p>
    <w:p>
      <w:pPr>
        <w:tabs>
          <w:tab w:pos="1513" w:val="left" w:leader="none"/>
        </w:tabs>
        <w:spacing w:before="0"/>
        <w:ind w:left="733" w:right="210"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专项审计意见</w:t>
      </w:r>
      <w:r>
        <w:rPr>
          <w:rFonts w:ascii="宋体" w:hAnsi="宋体" w:cs="宋体" w:eastAsia="宋体" w:hint="default"/>
          <w:sz w:val="21"/>
          <w:szCs w:val="21"/>
        </w:rPr>
      </w:r>
    </w:p>
    <w:p>
      <w:pPr>
        <w:spacing w:line="350" w:lineRule="auto" w:before="164"/>
        <w:ind w:left="253" w:right="195" w:firstLine="480"/>
        <w:jc w:val="left"/>
        <w:rPr>
          <w:rFonts w:ascii="宋体" w:hAnsi="宋体" w:cs="宋体" w:eastAsia="宋体" w:hint="default"/>
          <w:sz w:val="21"/>
          <w:szCs w:val="21"/>
        </w:rPr>
      </w:pPr>
      <w:r>
        <w:rPr>
          <w:rFonts w:ascii="宋体" w:hAnsi="宋体" w:cs="宋体" w:eastAsia="宋体" w:hint="default"/>
          <w:sz w:val="21"/>
          <w:szCs w:val="21"/>
        </w:rPr>
        <w:t>我们认为，贵公司 2011</w:t>
      </w:r>
      <w:r>
        <w:rPr>
          <w:rFonts w:ascii="宋体" w:hAnsi="宋体" w:cs="宋体" w:eastAsia="宋体" w:hint="default"/>
          <w:spacing w:val="-84"/>
          <w:sz w:val="21"/>
          <w:szCs w:val="21"/>
        </w:rPr>
        <w:t> </w:t>
      </w:r>
      <w:r>
        <w:rPr>
          <w:rFonts w:ascii="宋体" w:hAnsi="宋体" w:cs="宋体" w:eastAsia="宋体" w:hint="default"/>
          <w:sz w:val="21"/>
          <w:szCs w:val="21"/>
        </w:rPr>
        <w:t>年度非经营性资金占用及其他关联方资金往来情况汇总表的财务信息在所有</w:t>
      </w:r>
      <w:r>
        <w:rPr>
          <w:rFonts w:ascii="宋体" w:hAnsi="宋体" w:cs="宋体" w:eastAsia="宋体" w:hint="default"/>
          <w:sz w:val="21"/>
          <w:szCs w:val="21"/>
        </w:rPr>
        <w:t> 重大方面按照监管机构的相关规定编制以满足监管要求。</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p>
      <w:pPr>
        <w:tabs>
          <w:tab w:pos="1513" w:val="left" w:leader="none"/>
        </w:tabs>
        <w:spacing w:line="384" w:lineRule="auto" w:before="0"/>
        <w:ind w:left="733" w:right="210"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编制基础和本专项审计说明使用者、使用目的的限制</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我们提醒汇总表使用者关注，汇总表是深圳市惠程电气股份有限公司为满足中国证券监督管理委员会</w:t>
      </w:r>
    </w:p>
    <w:p>
      <w:pPr>
        <w:spacing w:line="348" w:lineRule="auto" w:before="0"/>
        <w:ind w:left="253" w:right="210" w:firstLine="0"/>
        <w:jc w:val="both"/>
        <w:rPr>
          <w:rFonts w:ascii="宋体" w:hAnsi="宋体" w:cs="宋体" w:eastAsia="宋体" w:hint="default"/>
          <w:sz w:val="21"/>
          <w:szCs w:val="21"/>
        </w:rPr>
      </w:pPr>
      <w:r>
        <w:rPr>
          <w:rFonts w:ascii="宋体" w:hAnsi="宋体" w:cs="宋体" w:eastAsia="宋体" w:hint="default"/>
          <w:spacing w:val="-1"/>
          <w:sz w:val="21"/>
          <w:szCs w:val="21"/>
        </w:rPr>
        <w:t>等监管机构的要求而编制的。因此，汇总表可能不适于其他用途。本专项审计说明仅供深圳市惠程电气股</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份有限公司</w:t>
      </w:r>
      <w:r>
        <w:rPr>
          <w:rFonts w:ascii="宋体" w:hAnsi="宋体" w:cs="宋体" w:eastAsia="宋体" w:hint="default"/>
          <w:spacing w:val="-76"/>
          <w:sz w:val="21"/>
          <w:szCs w:val="21"/>
        </w:rPr>
        <w:t> </w:t>
      </w:r>
      <w:r>
        <w:rPr>
          <w:rFonts w:ascii="宋体" w:hAnsi="宋体" w:cs="宋体" w:eastAsia="宋体" w:hint="default"/>
          <w:sz w:val="21"/>
          <w:szCs w:val="21"/>
        </w:rPr>
        <w:t>2011</w:t>
      </w:r>
      <w:r>
        <w:rPr>
          <w:rFonts w:ascii="宋体" w:hAnsi="宋体" w:cs="宋体" w:eastAsia="宋体" w:hint="default"/>
          <w:spacing w:val="-76"/>
          <w:sz w:val="21"/>
          <w:szCs w:val="21"/>
        </w:rPr>
        <w:t> </w:t>
      </w:r>
      <w:r>
        <w:rPr>
          <w:rFonts w:ascii="宋体" w:hAnsi="宋体" w:cs="宋体" w:eastAsia="宋体" w:hint="default"/>
          <w:sz w:val="21"/>
          <w:szCs w:val="21"/>
        </w:rPr>
        <w:t>年年度报告披露之目的，不得用作任何其他用途。本段内容不影响已发表的审计意见。</w:t>
      </w:r>
    </w:p>
    <w:p>
      <w:pPr>
        <w:spacing w:after="0" w:line="348" w:lineRule="auto"/>
        <w:jc w:val="both"/>
        <w:rPr>
          <w:rFonts w:ascii="宋体" w:hAnsi="宋体" w:cs="宋体" w:eastAsia="宋体" w:hint="default"/>
          <w:sz w:val="21"/>
          <w:szCs w:val="21"/>
        </w:rPr>
        <w:sectPr>
          <w:pgSz w:w="11910" w:h="16840"/>
          <w:pgMar w:header="624" w:footer="711" w:top="1040" w:bottom="900" w:left="880" w:right="920"/>
        </w:sectPr>
      </w:pPr>
    </w:p>
    <w:p>
      <w:pPr>
        <w:spacing w:line="240" w:lineRule="auto" w:before="1"/>
        <w:rPr>
          <w:rFonts w:ascii="宋体" w:hAnsi="宋体" w:cs="宋体" w:eastAsia="宋体" w:hint="default"/>
          <w:sz w:val="6"/>
          <w:szCs w:val="6"/>
        </w:rPr>
      </w:pPr>
    </w:p>
    <w:p>
      <w:pPr>
        <w:spacing w:line="434" w:lineRule="exact"/>
        <w:ind w:left="118"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706.9pt;height:21.75pt;mso-position-horizontal-relative:char;mso-position-vertical-relative:line" coordorigin="0,0" coordsize="14138,435">
            <v:shape style="position:absolute;left:0;top:0;width:1546;height:434" type="#_x0000_t75" stroked="false">
              <v:imagedata r:id="rId26" o:title=""/>
            </v:shape>
            <v:group style="position:absolute;left:112;top:397;width:14019;height:2" coordorigin="112,397" coordsize="14019,2">
              <v:shape style="position:absolute;left:112;top:397;width:14019;height:2" coordorigin="112,397" coordsize="14019,0" path="m112,397l14130,397e" filled="false" stroked="true" strokeweight=".72pt" strokecolor="#000000">
                <v:path arrowok="t"/>
              </v:shape>
              <v:shape style="position:absolute;left:8152;top:163;width:130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v:group>
          </v:group>
        </w:pict>
      </w:r>
      <w:r>
        <w:rPr>
          <w:rFonts w:ascii="宋体" w:hAnsi="宋体" w:cs="宋体" w:eastAsia="宋体" w:hint="default"/>
          <w:position w:val="-8"/>
          <w:sz w:val="20"/>
          <w:szCs w:val="20"/>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spacing w:line="417" w:lineRule="exact" w:before="1"/>
        <w:ind w:left="2796" w:right="3137" w:firstLine="0"/>
        <w:jc w:val="center"/>
        <w:rPr>
          <w:rFonts w:ascii="宋体" w:hAnsi="宋体" w:cs="宋体" w:eastAsia="宋体" w:hint="default"/>
          <w:sz w:val="32"/>
          <w:szCs w:val="32"/>
        </w:rPr>
      </w:pPr>
      <w:r>
        <w:rPr>
          <w:rFonts w:ascii="宋体" w:hAnsi="宋体" w:cs="宋体" w:eastAsia="宋体" w:hint="default"/>
          <w:sz w:val="32"/>
          <w:szCs w:val="32"/>
        </w:rPr>
        <w:t>深圳市惠程电气股份有限公司</w:t>
      </w:r>
    </w:p>
    <w:p>
      <w:pPr>
        <w:spacing w:line="441" w:lineRule="exact" w:before="0"/>
        <w:ind w:left="2798" w:right="3137" w:firstLine="0"/>
        <w:jc w:val="center"/>
        <w:rPr>
          <w:rFonts w:ascii="宋体" w:hAnsi="宋体" w:cs="宋体" w:eastAsia="宋体" w:hint="default"/>
          <w:sz w:val="32"/>
          <w:szCs w:val="32"/>
        </w:rPr>
      </w:pPr>
      <w:r>
        <w:rPr>
          <w:rFonts w:ascii="Times New Roman" w:hAnsi="Times New Roman" w:cs="Times New Roman" w:eastAsia="Times New Roman" w:hint="default"/>
          <w:sz w:val="32"/>
          <w:szCs w:val="32"/>
        </w:rPr>
        <w:t>2011</w:t>
      </w:r>
      <w:r>
        <w:rPr>
          <w:rFonts w:ascii="Times New Roman" w:hAnsi="Times New Roman" w:cs="Times New Roman" w:eastAsia="Times New Roman" w:hint="default"/>
          <w:spacing w:val="-16"/>
          <w:sz w:val="32"/>
          <w:szCs w:val="32"/>
        </w:rPr>
        <w:t> </w:t>
      </w:r>
      <w:r>
        <w:rPr>
          <w:rFonts w:ascii="宋体" w:hAnsi="宋体" w:cs="宋体" w:eastAsia="宋体" w:hint="default"/>
          <w:sz w:val="32"/>
          <w:szCs w:val="32"/>
        </w:rPr>
        <w:t>年度非经营性资金占用及其他关联资金往来情况汇总表</w:t>
      </w:r>
    </w:p>
    <w:p>
      <w:pPr>
        <w:spacing w:line="240" w:lineRule="auto" w:before="8"/>
        <w:rPr>
          <w:rFonts w:ascii="宋体" w:hAnsi="宋体" w:cs="宋体" w:eastAsia="宋体" w:hint="default"/>
          <w:sz w:val="23"/>
          <w:szCs w:val="23"/>
        </w:rPr>
      </w:pPr>
    </w:p>
    <w:p>
      <w:pPr>
        <w:spacing w:before="35"/>
        <w:ind w:left="0" w:right="600"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136" w:type="dxa"/>
        <w:tblLayout w:type="fixed"/>
        <w:tblCellMar>
          <w:top w:w="0" w:type="dxa"/>
          <w:left w:w="0" w:type="dxa"/>
          <w:bottom w:w="0" w:type="dxa"/>
          <w:right w:w="0" w:type="dxa"/>
        </w:tblCellMar>
        <w:tblLook w:val="01E0"/>
      </w:tblPr>
      <w:tblGrid>
        <w:gridCol w:w="814"/>
        <w:gridCol w:w="1986"/>
        <w:gridCol w:w="1700"/>
        <w:gridCol w:w="1134"/>
        <w:gridCol w:w="1276"/>
        <w:gridCol w:w="1134"/>
        <w:gridCol w:w="1134"/>
        <w:gridCol w:w="992"/>
        <w:gridCol w:w="992"/>
        <w:gridCol w:w="1276"/>
        <w:gridCol w:w="1275"/>
      </w:tblGrid>
      <w:tr>
        <w:trPr>
          <w:trHeight w:val="1016" w:hRule="exact"/>
        </w:trPr>
        <w:tc>
          <w:tcPr>
            <w:tcW w:w="814" w:type="dxa"/>
            <w:tcBorders>
              <w:top w:val="single" w:sz="12" w:space="0" w:color="000000"/>
              <w:left w:val="single" w:sz="12"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152" w:right="161"/>
              <w:jc w:val="both"/>
              <w:rPr>
                <w:rFonts w:ascii="宋体" w:hAnsi="宋体" w:cs="宋体" w:eastAsia="宋体" w:hint="default"/>
                <w:sz w:val="16"/>
                <w:szCs w:val="16"/>
              </w:rPr>
            </w:pPr>
            <w:r>
              <w:rPr>
                <w:rFonts w:ascii="宋体" w:hAnsi="宋体" w:cs="宋体" w:eastAsia="宋体" w:hint="default"/>
                <w:sz w:val="16"/>
                <w:szCs w:val="16"/>
              </w:rPr>
              <w:t>非经营</w:t>
            </w:r>
            <w:r>
              <w:rPr>
                <w:rFonts w:ascii="宋体" w:hAnsi="宋体" w:cs="宋体" w:eastAsia="宋体" w:hint="default"/>
                <w:w w:val="99"/>
                <w:sz w:val="16"/>
                <w:szCs w:val="16"/>
              </w:rPr>
              <w:t> </w:t>
            </w:r>
            <w:r>
              <w:rPr>
                <w:rFonts w:ascii="宋体" w:hAnsi="宋体" w:cs="宋体" w:eastAsia="宋体" w:hint="default"/>
                <w:sz w:val="16"/>
                <w:szCs w:val="16"/>
              </w:rPr>
              <w:t>性资金</w:t>
            </w:r>
            <w:r>
              <w:rPr>
                <w:rFonts w:ascii="宋体" w:hAnsi="宋体" w:cs="宋体" w:eastAsia="宋体" w:hint="default"/>
                <w:w w:val="99"/>
                <w:sz w:val="16"/>
                <w:szCs w:val="16"/>
              </w:rPr>
              <w:t> </w:t>
            </w:r>
            <w:r>
              <w:rPr>
                <w:rFonts w:ascii="宋体" w:hAnsi="宋体" w:cs="宋体" w:eastAsia="宋体" w:hint="default"/>
                <w:sz w:val="16"/>
                <w:szCs w:val="16"/>
              </w:rPr>
              <w:t>占用</w:t>
            </w:r>
          </w:p>
        </w:tc>
        <w:tc>
          <w:tcPr>
            <w:tcW w:w="1986"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left="427" w:right="0"/>
              <w:jc w:val="left"/>
              <w:rPr>
                <w:rFonts w:ascii="宋体" w:hAnsi="宋体" w:cs="宋体" w:eastAsia="宋体" w:hint="default"/>
                <w:sz w:val="16"/>
                <w:szCs w:val="16"/>
              </w:rPr>
            </w:pPr>
            <w:r>
              <w:rPr>
                <w:rFonts w:ascii="宋体" w:hAnsi="宋体" w:cs="宋体" w:eastAsia="宋体" w:hint="default"/>
                <w:sz w:val="16"/>
                <w:szCs w:val="16"/>
              </w:rPr>
              <w:t>资金占用方名称</w:t>
            </w:r>
          </w:p>
        </w:tc>
        <w:tc>
          <w:tcPr>
            <w:tcW w:w="1700"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524" w:right="125" w:hanging="400"/>
              <w:jc w:val="left"/>
              <w:rPr>
                <w:rFonts w:ascii="宋体" w:hAnsi="宋体" w:cs="宋体" w:eastAsia="宋体" w:hint="default"/>
                <w:sz w:val="16"/>
                <w:szCs w:val="16"/>
              </w:rPr>
            </w:pPr>
            <w:r>
              <w:rPr>
                <w:rFonts w:ascii="宋体" w:hAnsi="宋体" w:cs="宋体" w:eastAsia="宋体" w:hint="default"/>
                <w:sz w:val="16"/>
                <w:szCs w:val="16"/>
              </w:rPr>
              <w:t>占用方与上市公司的</w:t>
            </w:r>
            <w:r>
              <w:rPr>
                <w:rFonts w:ascii="宋体" w:hAnsi="宋体" w:cs="宋体" w:eastAsia="宋体" w:hint="default"/>
                <w:w w:val="99"/>
                <w:sz w:val="16"/>
                <w:szCs w:val="16"/>
              </w:rPr>
              <w:t> </w:t>
            </w:r>
            <w:r>
              <w:rPr>
                <w:rFonts w:ascii="宋体" w:hAnsi="宋体" w:cs="宋体" w:eastAsia="宋体" w:hint="default"/>
                <w:sz w:val="16"/>
                <w:szCs w:val="16"/>
              </w:rPr>
              <w:t>关联关系</w:t>
            </w:r>
          </w:p>
        </w:tc>
        <w:tc>
          <w:tcPr>
            <w:tcW w:w="1134"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161" w:right="161"/>
              <w:jc w:val="center"/>
              <w:rPr>
                <w:rFonts w:ascii="宋体" w:hAnsi="宋体" w:cs="宋体" w:eastAsia="宋体" w:hint="default"/>
                <w:sz w:val="16"/>
                <w:szCs w:val="16"/>
              </w:rPr>
            </w:pPr>
            <w:r>
              <w:rPr>
                <w:rFonts w:ascii="宋体" w:hAnsi="宋体" w:cs="宋体" w:eastAsia="宋体" w:hint="default"/>
                <w:sz w:val="16"/>
                <w:szCs w:val="16"/>
              </w:rPr>
              <w:t>上市公司核</w:t>
            </w:r>
            <w:r>
              <w:rPr>
                <w:rFonts w:ascii="宋体" w:hAnsi="宋体" w:cs="宋体" w:eastAsia="宋体" w:hint="default"/>
                <w:w w:val="99"/>
                <w:sz w:val="16"/>
                <w:szCs w:val="16"/>
              </w:rPr>
              <w:t> </w:t>
            </w:r>
            <w:r>
              <w:rPr>
                <w:rFonts w:ascii="宋体" w:hAnsi="宋体" w:cs="宋体" w:eastAsia="宋体" w:hint="default"/>
                <w:sz w:val="16"/>
                <w:szCs w:val="16"/>
              </w:rPr>
              <w:t>算的会计科</w:t>
            </w:r>
            <w:r>
              <w:rPr>
                <w:rFonts w:ascii="宋体" w:hAnsi="宋体" w:cs="宋体" w:eastAsia="宋体" w:hint="default"/>
                <w:w w:val="99"/>
                <w:sz w:val="16"/>
                <w:szCs w:val="16"/>
              </w:rPr>
              <w:t> </w:t>
            </w:r>
            <w:r>
              <w:rPr>
                <w:rFonts w:ascii="宋体" w:hAnsi="宋体" w:cs="宋体" w:eastAsia="宋体" w:hint="default"/>
                <w:sz w:val="16"/>
                <w:szCs w:val="16"/>
              </w:rPr>
              <w:t>目</w:t>
            </w:r>
          </w:p>
        </w:tc>
        <w:tc>
          <w:tcPr>
            <w:tcW w:w="1276"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21"/>
                <w:szCs w:val="21"/>
              </w:rPr>
            </w:pPr>
          </w:p>
          <w:p>
            <w:pPr>
              <w:pStyle w:val="TableParagraph"/>
              <w:spacing w:line="208" w:lineRule="exact"/>
              <w:ind w:left="231" w:right="132" w:hanging="100"/>
              <w:jc w:val="left"/>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年期初占</w:t>
            </w:r>
            <w:r>
              <w:rPr>
                <w:rFonts w:ascii="宋体" w:hAnsi="宋体" w:cs="宋体" w:eastAsia="宋体" w:hint="default"/>
                <w:w w:val="99"/>
                <w:sz w:val="16"/>
                <w:szCs w:val="16"/>
              </w:rPr>
              <w:t> </w:t>
            </w:r>
            <w:r>
              <w:rPr>
                <w:rFonts w:ascii="宋体" w:hAnsi="宋体" w:cs="宋体" w:eastAsia="宋体" w:hint="default"/>
                <w:sz w:val="16"/>
                <w:szCs w:val="16"/>
              </w:rPr>
              <w:t>用资金余额</w:t>
            </w:r>
          </w:p>
        </w:tc>
        <w:tc>
          <w:tcPr>
            <w:tcW w:w="1134"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08" w:lineRule="exact" w:before="76"/>
              <w:ind w:left="101" w:right="103"/>
              <w:jc w:val="center"/>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年度占</w:t>
            </w:r>
            <w:r>
              <w:rPr>
                <w:rFonts w:ascii="宋体" w:hAnsi="宋体" w:cs="宋体" w:eastAsia="宋体" w:hint="default"/>
                <w:w w:val="99"/>
                <w:sz w:val="16"/>
                <w:szCs w:val="16"/>
              </w:rPr>
              <w:t> </w:t>
            </w:r>
            <w:r>
              <w:rPr>
                <w:rFonts w:ascii="宋体" w:hAnsi="宋体" w:cs="宋体" w:eastAsia="宋体" w:hint="default"/>
                <w:sz w:val="16"/>
                <w:szCs w:val="16"/>
              </w:rPr>
              <w:t>用累计发生</w:t>
            </w:r>
            <w:r>
              <w:rPr>
                <w:rFonts w:ascii="宋体" w:hAnsi="宋体" w:cs="宋体" w:eastAsia="宋体" w:hint="default"/>
                <w:w w:val="99"/>
                <w:sz w:val="16"/>
                <w:szCs w:val="16"/>
              </w:rPr>
              <w:t> </w:t>
            </w:r>
            <w:r>
              <w:rPr>
                <w:rFonts w:ascii="宋体" w:hAnsi="宋体" w:cs="宋体" w:eastAsia="宋体" w:hint="default"/>
                <w:spacing w:val="-7"/>
                <w:sz w:val="16"/>
                <w:szCs w:val="16"/>
              </w:rPr>
              <w:t>金额（不含利</w:t>
            </w:r>
            <w:r>
              <w:rPr>
                <w:rFonts w:ascii="宋体" w:hAnsi="宋体" w:cs="宋体" w:eastAsia="宋体" w:hint="default"/>
                <w:w w:val="99"/>
                <w:sz w:val="16"/>
                <w:szCs w:val="16"/>
              </w:rPr>
              <w:t> </w:t>
            </w:r>
            <w:r>
              <w:rPr>
                <w:rFonts w:ascii="宋体" w:hAnsi="宋体" w:cs="宋体" w:eastAsia="宋体" w:hint="default"/>
                <w:sz w:val="16"/>
                <w:szCs w:val="16"/>
              </w:rPr>
              <w:t>息）</w:t>
            </w:r>
          </w:p>
        </w:tc>
        <w:tc>
          <w:tcPr>
            <w:tcW w:w="1134"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3"/>
                <w:szCs w:val="13"/>
              </w:rPr>
            </w:pPr>
          </w:p>
          <w:p>
            <w:pPr>
              <w:pStyle w:val="TableParagraph"/>
              <w:spacing w:line="208" w:lineRule="exact"/>
              <w:ind w:left="160" w:right="143" w:hanging="21"/>
              <w:jc w:val="both"/>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年度占</w:t>
            </w:r>
            <w:r>
              <w:rPr>
                <w:rFonts w:ascii="宋体" w:hAnsi="宋体" w:cs="宋体" w:eastAsia="宋体" w:hint="default"/>
                <w:w w:val="99"/>
                <w:sz w:val="16"/>
                <w:szCs w:val="16"/>
              </w:rPr>
              <w:t> </w:t>
            </w:r>
            <w:r>
              <w:rPr>
                <w:rFonts w:ascii="宋体" w:hAnsi="宋体" w:cs="宋体" w:eastAsia="宋体" w:hint="default"/>
                <w:sz w:val="16"/>
                <w:szCs w:val="16"/>
              </w:rPr>
              <w:t>用资金的利</w:t>
            </w:r>
            <w:r>
              <w:rPr>
                <w:rFonts w:ascii="宋体" w:hAnsi="宋体" w:cs="宋体" w:eastAsia="宋体" w:hint="default"/>
                <w:w w:val="99"/>
                <w:sz w:val="16"/>
                <w:szCs w:val="16"/>
              </w:rPr>
              <w:t> </w:t>
            </w:r>
            <w:r>
              <w:rPr>
                <w:rFonts w:ascii="宋体" w:hAnsi="宋体" w:cs="宋体" w:eastAsia="宋体" w:hint="default"/>
                <w:sz w:val="16"/>
                <w:szCs w:val="16"/>
              </w:rPr>
              <w:t>息（如有）</w:t>
            </w:r>
          </w:p>
        </w:tc>
        <w:tc>
          <w:tcPr>
            <w:tcW w:w="992"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3"/>
                <w:szCs w:val="13"/>
              </w:rPr>
            </w:pPr>
          </w:p>
          <w:p>
            <w:pPr>
              <w:pStyle w:val="TableParagraph"/>
              <w:spacing w:line="208" w:lineRule="exact"/>
              <w:ind w:left="170" w:right="150" w:hanging="21"/>
              <w:jc w:val="both"/>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年度</w:t>
            </w:r>
            <w:r>
              <w:rPr>
                <w:rFonts w:ascii="宋体" w:hAnsi="宋体" w:cs="宋体" w:eastAsia="宋体" w:hint="default"/>
                <w:w w:val="99"/>
                <w:sz w:val="16"/>
                <w:szCs w:val="16"/>
              </w:rPr>
              <w:t> </w:t>
            </w:r>
            <w:r>
              <w:rPr>
                <w:rFonts w:ascii="宋体" w:hAnsi="宋体" w:cs="宋体" w:eastAsia="宋体" w:hint="default"/>
                <w:sz w:val="16"/>
                <w:szCs w:val="16"/>
              </w:rPr>
              <w:t>偿还累计</w:t>
            </w:r>
            <w:r>
              <w:rPr>
                <w:rFonts w:ascii="宋体" w:hAnsi="宋体" w:cs="宋体" w:eastAsia="宋体" w:hint="default"/>
                <w:w w:val="99"/>
                <w:sz w:val="16"/>
                <w:szCs w:val="16"/>
              </w:rPr>
              <w:t> </w:t>
            </w:r>
            <w:r>
              <w:rPr>
                <w:rFonts w:ascii="宋体" w:hAnsi="宋体" w:cs="宋体" w:eastAsia="宋体" w:hint="default"/>
                <w:sz w:val="16"/>
                <w:szCs w:val="16"/>
              </w:rPr>
              <w:t>发生金额</w:t>
            </w:r>
          </w:p>
        </w:tc>
        <w:tc>
          <w:tcPr>
            <w:tcW w:w="992"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3"/>
                <w:szCs w:val="13"/>
              </w:rPr>
            </w:pPr>
          </w:p>
          <w:p>
            <w:pPr>
              <w:pStyle w:val="TableParagraph"/>
              <w:spacing w:line="208" w:lineRule="exact"/>
              <w:ind w:left="171" w:right="149" w:hanging="21"/>
              <w:jc w:val="both"/>
              <w:rPr>
                <w:rFonts w:ascii="宋体" w:hAnsi="宋体" w:cs="宋体" w:eastAsia="宋体" w:hint="default"/>
                <w:sz w:val="16"/>
                <w:szCs w:val="16"/>
              </w:rPr>
            </w:pPr>
            <w:r>
              <w:rPr>
                <w:rFonts w:ascii="Times New Roman" w:hAnsi="Times New Roman" w:cs="Times New Roman" w:eastAsia="Times New Roman" w:hint="default"/>
                <w:sz w:val="16"/>
                <w:szCs w:val="16"/>
              </w:rPr>
              <w:t>2011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年期</w:t>
            </w:r>
            <w:r>
              <w:rPr>
                <w:rFonts w:ascii="宋体" w:hAnsi="宋体" w:cs="宋体" w:eastAsia="宋体" w:hint="default"/>
                <w:w w:val="99"/>
                <w:sz w:val="16"/>
                <w:szCs w:val="16"/>
              </w:rPr>
              <w:t> </w:t>
            </w:r>
            <w:r>
              <w:rPr>
                <w:rFonts w:ascii="宋体" w:hAnsi="宋体" w:cs="宋体" w:eastAsia="宋体" w:hint="default"/>
                <w:sz w:val="16"/>
                <w:szCs w:val="16"/>
              </w:rPr>
              <w:t>末占用资</w:t>
            </w:r>
            <w:r>
              <w:rPr>
                <w:rFonts w:ascii="宋体" w:hAnsi="宋体" w:cs="宋体" w:eastAsia="宋体" w:hint="default"/>
                <w:w w:val="99"/>
                <w:sz w:val="16"/>
                <w:szCs w:val="16"/>
              </w:rPr>
              <w:t> </w:t>
            </w:r>
            <w:r>
              <w:rPr>
                <w:rFonts w:ascii="宋体" w:hAnsi="宋体" w:cs="宋体" w:eastAsia="宋体" w:hint="default"/>
                <w:sz w:val="16"/>
                <w:szCs w:val="16"/>
              </w:rPr>
              <w:t>金余额</w:t>
            </w:r>
          </w:p>
        </w:tc>
        <w:tc>
          <w:tcPr>
            <w:tcW w:w="1276"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left="152" w:right="0"/>
              <w:jc w:val="left"/>
              <w:rPr>
                <w:rFonts w:ascii="宋体" w:hAnsi="宋体" w:cs="宋体" w:eastAsia="宋体" w:hint="default"/>
                <w:sz w:val="16"/>
                <w:szCs w:val="16"/>
              </w:rPr>
            </w:pPr>
            <w:r>
              <w:rPr>
                <w:rFonts w:ascii="宋体" w:hAnsi="宋体" w:cs="宋体" w:eastAsia="宋体" w:hint="default"/>
                <w:sz w:val="16"/>
                <w:szCs w:val="16"/>
              </w:rPr>
              <w:t>占用形成原因</w:t>
            </w:r>
          </w:p>
        </w:tc>
        <w:tc>
          <w:tcPr>
            <w:tcW w:w="1275" w:type="dxa"/>
            <w:tcBorders>
              <w:top w:val="single" w:sz="12" w:space="0" w:color="000000"/>
              <w:left w:val="single" w:sz="4" w:space="0" w:color="000000"/>
              <w:bottom w:val="single" w:sz="4" w:space="0" w:color="000000"/>
              <w:right w:val="single" w:sz="12" w:space="0" w:color="000000"/>
            </w:tcBorders>
            <w:shd w:val="clear" w:color="auto" w:fill="D9D9D9"/>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left="7" w:right="0"/>
              <w:jc w:val="center"/>
              <w:rPr>
                <w:rFonts w:ascii="宋体" w:hAnsi="宋体" w:cs="宋体" w:eastAsia="宋体" w:hint="default"/>
                <w:sz w:val="16"/>
                <w:szCs w:val="16"/>
              </w:rPr>
            </w:pPr>
            <w:r>
              <w:rPr>
                <w:rFonts w:ascii="宋体" w:hAnsi="宋体" w:cs="宋体" w:eastAsia="宋体" w:hint="default"/>
                <w:sz w:val="16"/>
                <w:szCs w:val="16"/>
              </w:rPr>
              <w:t>占用性质</w:t>
            </w:r>
          </w:p>
        </w:tc>
      </w:tr>
      <w:tr>
        <w:trPr>
          <w:trHeight w:val="821" w:hRule="exact"/>
        </w:trPr>
        <w:tc>
          <w:tcPr>
            <w:tcW w:w="814" w:type="dxa"/>
            <w:vMerge w:val="restart"/>
            <w:tcBorders>
              <w:top w:val="single" w:sz="4" w:space="0" w:color="000000"/>
              <w:left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37" w:lineRule="auto"/>
              <w:ind w:left="152" w:right="161"/>
              <w:jc w:val="both"/>
              <w:rPr>
                <w:rFonts w:ascii="宋体" w:hAnsi="宋体" w:cs="宋体" w:eastAsia="宋体" w:hint="default"/>
                <w:sz w:val="16"/>
                <w:szCs w:val="16"/>
              </w:rPr>
            </w:pPr>
            <w:r>
              <w:rPr>
                <w:rFonts w:ascii="宋体" w:hAnsi="宋体" w:cs="宋体" w:eastAsia="宋体" w:hint="default"/>
                <w:sz w:val="16"/>
                <w:szCs w:val="16"/>
              </w:rPr>
              <w:t>其他关</w:t>
            </w:r>
            <w:r>
              <w:rPr>
                <w:rFonts w:ascii="宋体" w:hAnsi="宋体" w:cs="宋体" w:eastAsia="宋体" w:hint="default"/>
                <w:w w:val="99"/>
                <w:sz w:val="16"/>
                <w:szCs w:val="16"/>
              </w:rPr>
              <w:t> </w:t>
            </w:r>
            <w:r>
              <w:rPr>
                <w:rFonts w:ascii="宋体" w:hAnsi="宋体" w:cs="宋体" w:eastAsia="宋体" w:hint="default"/>
                <w:sz w:val="16"/>
                <w:szCs w:val="16"/>
              </w:rPr>
              <w:t>联方及</w:t>
            </w:r>
            <w:r>
              <w:rPr>
                <w:rFonts w:ascii="宋体" w:hAnsi="宋体" w:cs="宋体" w:eastAsia="宋体" w:hint="default"/>
                <w:w w:val="99"/>
                <w:sz w:val="16"/>
                <w:szCs w:val="16"/>
              </w:rPr>
              <w:t> </w:t>
            </w:r>
            <w:r>
              <w:rPr>
                <w:rFonts w:ascii="宋体" w:hAnsi="宋体" w:cs="宋体" w:eastAsia="宋体" w:hint="default"/>
                <w:sz w:val="16"/>
                <w:szCs w:val="16"/>
              </w:rPr>
              <w:t>其附属</w:t>
            </w:r>
            <w:r>
              <w:rPr>
                <w:rFonts w:ascii="宋体" w:hAnsi="宋体" w:cs="宋体" w:eastAsia="宋体" w:hint="default"/>
                <w:w w:val="99"/>
                <w:sz w:val="16"/>
                <w:szCs w:val="16"/>
              </w:rPr>
              <w:t> </w:t>
            </w:r>
            <w:r>
              <w:rPr>
                <w:rFonts w:ascii="宋体" w:hAnsi="宋体" w:cs="宋体" w:eastAsia="宋体" w:hint="default"/>
                <w:sz w:val="16"/>
                <w:szCs w:val="16"/>
              </w:rPr>
              <w:t>企业</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香港惠程有限公司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本公司控全资子公司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left="105"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right="102"/>
              <w:jc w:val="right"/>
              <w:rPr>
                <w:rFonts w:ascii="宋体" w:hAnsi="宋体" w:cs="宋体" w:eastAsia="宋体" w:hint="default"/>
                <w:sz w:val="16"/>
                <w:szCs w:val="16"/>
              </w:rPr>
            </w:pPr>
            <w:r>
              <w:rPr>
                <w:rFonts w:ascii="宋体"/>
                <w:w w:val="99"/>
                <w:sz w:val="16"/>
              </w:rPr>
              <w:t>-</w:t>
            </w:r>
            <w:r>
              <w:rPr>
                <w:rFonts w:ascii="宋体"/>
                <w:sz w:val="16"/>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3"/>
              <w:jc w:val="right"/>
              <w:rPr>
                <w:rFonts w:ascii="宋体" w:hAnsi="宋体" w:cs="宋体" w:eastAsia="宋体" w:hint="default"/>
                <w:sz w:val="16"/>
                <w:szCs w:val="16"/>
              </w:rPr>
            </w:pPr>
            <w:r>
              <w:rPr>
                <w:rFonts w:ascii="宋体"/>
                <w:spacing w:val="-1"/>
                <w:sz w:val="16"/>
              </w:rPr>
              <w:t>41.52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right="103"/>
              <w:jc w:val="right"/>
              <w:rPr>
                <w:rFonts w:ascii="宋体" w:hAnsi="宋体" w:cs="宋体" w:eastAsia="宋体" w:hint="default"/>
                <w:sz w:val="16"/>
                <w:szCs w:val="16"/>
              </w:rPr>
            </w:pPr>
            <w:r>
              <w:rPr>
                <w:rFonts w:ascii="宋体"/>
                <w:w w:val="99"/>
                <w:sz w:val="16"/>
              </w:rPr>
              <w:t>-</w:t>
            </w:r>
            <w:r>
              <w:rPr>
                <w:rFonts w:ascii="宋体"/>
                <w:sz w:val="16"/>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6"/>
                <w:szCs w:val="16"/>
              </w:rPr>
            </w:pPr>
            <w:r>
              <w:rPr>
                <w:rFonts w:ascii="宋体"/>
                <w:w w:val="99"/>
                <w:sz w:val="16"/>
              </w:rPr>
              <w:t>-</w:t>
            </w:r>
            <w:r>
              <w:rPr>
                <w:rFonts w:ascii="宋体"/>
                <w:sz w:val="16"/>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6"/>
                <w:szCs w:val="16"/>
              </w:rPr>
            </w:pPr>
            <w:r>
              <w:rPr>
                <w:rFonts w:ascii="宋体"/>
                <w:spacing w:val="-1"/>
                <w:sz w:val="16"/>
              </w:rPr>
              <w:t>41.52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代付费用</w:t>
            </w:r>
          </w:p>
        </w:tc>
        <w:tc>
          <w:tcPr>
            <w:tcW w:w="127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left="8" w:right="0"/>
              <w:jc w:val="center"/>
              <w:rPr>
                <w:rFonts w:ascii="宋体" w:hAnsi="宋体" w:cs="宋体" w:eastAsia="宋体" w:hint="default"/>
                <w:sz w:val="16"/>
                <w:szCs w:val="16"/>
              </w:rPr>
            </w:pPr>
            <w:r>
              <w:rPr>
                <w:rFonts w:ascii="宋体" w:hAnsi="宋体" w:cs="宋体" w:eastAsia="宋体" w:hint="default"/>
                <w:sz w:val="16"/>
                <w:szCs w:val="16"/>
              </w:rPr>
              <w:t>非经营性往来</w:t>
            </w:r>
          </w:p>
        </w:tc>
      </w:tr>
      <w:tr>
        <w:trPr>
          <w:trHeight w:val="895" w:hRule="exact"/>
        </w:trPr>
        <w:tc>
          <w:tcPr>
            <w:tcW w:w="814" w:type="dxa"/>
            <w:vMerge/>
            <w:tcBorders>
              <w:left w:val="single" w:sz="12" w:space="0" w:color="000000"/>
              <w:right w:val="single" w:sz="4" w:space="0" w:color="000000"/>
            </w:tcBorders>
          </w:tcPr>
          <w:p>
            <w:pP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113"/>
              <w:jc w:val="left"/>
              <w:rPr>
                <w:rFonts w:ascii="宋体" w:hAnsi="宋体" w:cs="宋体" w:eastAsia="宋体" w:hint="default"/>
                <w:sz w:val="16"/>
                <w:szCs w:val="16"/>
              </w:rPr>
            </w:pPr>
            <w:r>
              <w:rPr>
                <w:rFonts w:ascii="宋体" w:hAnsi="宋体" w:cs="宋体" w:eastAsia="宋体" w:hint="default"/>
                <w:sz w:val="16"/>
                <w:szCs w:val="16"/>
              </w:rPr>
              <w:t>深圳市惠程高能能源科技</w:t>
            </w:r>
            <w:r>
              <w:rPr>
                <w:rFonts w:ascii="宋体" w:hAnsi="宋体" w:cs="宋体" w:eastAsia="宋体" w:hint="default"/>
                <w:w w:val="99"/>
                <w:sz w:val="16"/>
                <w:szCs w:val="16"/>
              </w:rPr>
              <w:t> </w:t>
            </w:r>
            <w:r>
              <w:rPr>
                <w:rFonts w:ascii="宋体" w:hAnsi="宋体" w:cs="宋体" w:eastAsia="宋体" w:hint="default"/>
                <w:sz w:val="16"/>
                <w:szCs w:val="16"/>
              </w:rPr>
              <w:t>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101" w:right="0"/>
              <w:jc w:val="left"/>
              <w:rPr>
                <w:rFonts w:ascii="宋体" w:hAnsi="宋体" w:cs="宋体" w:eastAsia="宋体" w:hint="default"/>
                <w:sz w:val="16"/>
                <w:szCs w:val="16"/>
              </w:rPr>
            </w:pPr>
            <w:r>
              <w:rPr>
                <w:rFonts w:ascii="宋体" w:hAnsi="宋体" w:cs="宋体" w:eastAsia="宋体" w:hint="default"/>
                <w:sz w:val="16"/>
                <w:szCs w:val="16"/>
              </w:rPr>
              <w:t>本公司控股子公司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4"/>
              <w:jc w:val="right"/>
              <w:rPr>
                <w:rFonts w:ascii="宋体" w:hAnsi="宋体" w:cs="宋体" w:eastAsia="宋体" w:hint="default"/>
                <w:sz w:val="16"/>
                <w:szCs w:val="16"/>
              </w:rPr>
            </w:pPr>
            <w:r>
              <w:rPr>
                <w:rFonts w:ascii="宋体"/>
                <w:spacing w:val="-1"/>
                <w:sz w:val="16"/>
              </w:rPr>
              <w:t>14.46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3"/>
              <w:jc w:val="right"/>
              <w:rPr>
                <w:rFonts w:ascii="宋体" w:hAnsi="宋体" w:cs="宋体" w:eastAsia="宋体" w:hint="default"/>
                <w:sz w:val="16"/>
                <w:szCs w:val="16"/>
              </w:rPr>
            </w:pPr>
            <w:r>
              <w:rPr>
                <w:rFonts w:ascii="宋体"/>
                <w:w w:val="99"/>
                <w:sz w:val="16"/>
              </w:rPr>
              <w:t>-</w:t>
            </w:r>
            <w:r>
              <w:rPr>
                <w:rFonts w:ascii="宋体"/>
                <w:sz w:val="16"/>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104"/>
              <w:jc w:val="right"/>
              <w:rPr>
                <w:rFonts w:ascii="宋体" w:hAnsi="宋体" w:cs="宋体" w:eastAsia="宋体" w:hint="default"/>
                <w:sz w:val="16"/>
                <w:szCs w:val="16"/>
              </w:rPr>
            </w:pPr>
            <w:r>
              <w:rPr>
                <w:rFonts w:ascii="宋体"/>
                <w:w w:val="99"/>
                <w:sz w:val="16"/>
              </w:rPr>
              <w:t>-</w:t>
            </w:r>
            <w:r>
              <w:rPr>
                <w:rFonts w:ascii="宋体"/>
                <w:sz w:val="16"/>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6"/>
                <w:szCs w:val="16"/>
              </w:rPr>
            </w:pPr>
            <w:r>
              <w:rPr>
                <w:rFonts w:ascii="宋体"/>
                <w:w w:val="99"/>
                <w:sz w:val="16"/>
              </w:rPr>
              <w:t>-</w:t>
            </w:r>
            <w:r>
              <w:rPr>
                <w:rFonts w:ascii="宋体"/>
                <w:sz w:val="16"/>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6"/>
                <w:szCs w:val="16"/>
              </w:rPr>
            </w:pPr>
            <w:r>
              <w:rPr>
                <w:rFonts w:ascii="宋体"/>
                <w:spacing w:val="-1"/>
                <w:sz w:val="16"/>
              </w:rPr>
              <w:t>14.46</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102"/>
              <w:jc w:val="left"/>
              <w:rPr>
                <w:rFonts w:ascii="宋体" w:hAnsi="宋体" w:cs="宋体" w:eastAsia="宋体" w:hint="default"/>
                <w:sz w:val="16"/>
                <w:szCs w:val="16"/>
              </w:rPr>
            </w:pPr>
            <w:r>
              <w:rPr>
                <w:rFonts w:ascii="宋体" w:hAnsi="宋体" w:cs="宋体" w:eastAsia="宋体" w:hint="default"/>
                <w:spacing w:val="-9"/>
                <w:sz w:val="16"/>
                <w:szCs w:val="16"/>
              </w:rPr>
              <w:t>应收租金、及代</w:t>
            </w:r>
            <w:r>
              <w:rPr>
                <w:rFonts w:ascii="宋体" w:hAnsi="宋体" w:cs="宋体" w:eastAsia="宋体" w:hint="default"/>
                <w:w w:val="99"/>
                <w:sz w:val="16"/>
                <w:szCs w:val="16"/>
              </w:rPr>
              <w:t> </w:t>
            </w:r>
            <w:r>
              <w:rPr>
                <w:rFonts w:ascii="宋体" w:hAnsi="宋体" w:cs="宋体" w:eastAsia="宋体" w:hint="default"/>
                <w:sz w:val="16"/>
                <w:szCs w:val="16"/>
              </w:rPr>
              <w:t>付水电费</w:t>
            </w:r>
          </w:p>
        </w:tc>
        <w:tc>
          <w:tcPr>
            <w:tcW w:w="127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8" w:right="0"/>
              <w:jc w:val="center"/>
              <w:rPr>
                <w:rFonts w:ascii="宋体" w:hAnsi="宋体" w:cs="宋体" w:eastAsia="宋体" w:hint="default"/>
                <w:sz w:val="16"/>
                <w:szCs w:val="16"/>
              </w:rPr>
            </w:pPr>
            <w:r>
              <w:rPr>
                <w:rFonts w:ascii="宋体" w:hAnsi="宋体" w:cs="宋体" w:eastAsia="宋体" w:hint="default"/>
                <w:sz w:val="16"/>
                <w:szCs w:val="16"/>
              </w:rPr>
              <w:t>非经营性往来</w:t>
            </w:r>
          </w:p>
        </w:tc>
      </w:tr>
      <w:tr>
        <w:trPr>
          <w:trHeight w:val="894" w:hRule="exact"/>
        </w:trPr>
        <w:tc>
          <w:tcPr>
            <w:tcW w:w="814" w:type="dxa"/>
            <w:vMerge/>
            <w:tcBorders>
              <w:left w:val="single" w:sz="12" w:space="0" w:color="000000"/>
              <w:right w:val="single" w:sz="4" w:space="0" w:color="000000"/>
            </w:tcBorders>
          </w:tcPr>
          <w:p>
            <w:pP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113"/>
              <w:jc w:val="left"/>
              <w:rPr>
                <w:rFonts w:ascii="宋体" w:hAnsi="宋体" w:cs="宋体" w:eastAsia="宋体" w:hint="default"/>
                <w:sz w:val="16"/>
                <w:szCs w:val="16"/>
              </w:rPr>
            </w:pPr>
            <w:r>
              <w:rPr>
                <w:rFonts w:ascii="宋体" w:hAnsi="宋体" w:cs="宋体" w:eastAsia="宋体" w:hint="default"/>
                <w:sz w:val="16"/>
                <w:szCs w:val="16"/>
              </w:rPr>
              <w:t>江西先材纳米纤维科技有</w:t>
            </w:r>
            <w:r>
              <w:rPr>
                <w:rFonts w:ascii="宋体" w:hAnsi="宋体" w:cs="宋体" w:eastAsia="宋体" w:hint="default"/>
                <w:w w:val="99"/>
                <w:sz w:val="16"/>
                <w:szCs w:val="16"/>
              </w:rPr>
              <w:t> </w:t>
            </w:r>
            <w:r>
              <w:rPr>
                <w:rFonts w:ascii="宋体" w:hAnsi="宋体" w:cs="宋体" w:eastAsia="宋体" w:hint="default"/>
                <w:sz w:val="16"/>
                <w:szCs w:val="16"/>
              </w:rPr>
              <w:t>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101" w:right="0"/>
              <w:jc w:val="left"/>
              <w:rPr>
                <w:rFonts w:ascii="宋体" w:hAnsi="宋体" w:cs="宋体" w:eastAsia="宋体" w:hint="default"/>
                <w:sz w:val="16"/>
                <w:szCs w:val="16"/>
              </w:rPr>
            </w:pPr>
            <w:r>
              <w:rPr>
                <w:rFonts w:ascii="宋体" w:hAnsi="宋体" w:cs="宋体" w:eastAsia="宋体" w:hint="default"/>
                <w:sz w:val="16"/>
                <w:szCs w:val="16"/>
              </w:rPr>
              <w:t>本公司控股子公司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16"/>
                <w:szCs w:val="16"/>
              </w:rPr>
            </w:pPr>
            <w:r>
              <w:rPr>
                <w:rFonts w:ascii="宋体"/>
                <w:spacing w:val="-1"/>
                <w:sz w:val="16"/>
              </w:rPr>
              <w:t>5,000.00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104"/>
              <w:jc w:val="right"/>
              <w:rPr>
                <w:rFonts w:ascii="宋体" w:hAnsi="宋体" w:cs="宋体" w:eastAsia="宋体" w:hint="default"/>
                <w:sz w:val="16"/>
                <w:szCs w:val="16"/>
              </w:rPr>
            </w:pPr>
            <w:r>
              <w:rPr>
                <w:rFonts w:ascii="宋体"/>
                <w:w w:val="99"/>
                <w:sz w:val="16"/>
              </w:rPr>
              <w:t>-</w:t>
            </w:r>
            <w:r>
              <w:rPr>
                <w:rFonts w:ascii="宋体"/>
                <w:sz w:val="16"/>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6"/>
                <w:szCs w:val="16"/>
              </w:rPr>
            </w:pPr>
            <w:r>
              <w:rPr>
                <w:rFonts w:ascii="宋体"/>
                <w:spacing w:val="-1"/>
                <w:sz w:val="16"/>
              </w:rPr>
              <w:t>5,000.00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6"/>
                <w:szCs w:val="16"/>
              </w:rPr>
            </w:pPr>
            <w:r>
              <w:rPr>
                <w:rFonts w:ascii="宋体"/>
                <w:w w:val="99"/>
                <w:sz w:val="16"/>
              </w:rPr>
              <w:t>-</w:t>
            </w:r>
            <w:r>
              <w:rPr>
                <w:rFonts w:ascii="宋体"/>
                <w:sz w:val="16"/>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往来款</w:t>
            </w:r>
          </w:p>
        </w:tc>
        <w:tc>
          <w:tcPr>
            <w:tcW w:w="127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8" w:right="0"/>
              <w:jc w:val="center"/>
              <w:rPr>
                <w:rFonts w:ascii="宋体" w:hAnsi="宋体" w:cs="宋体" w:eastAsia="宋体" w:hint="default"/>
                <w:sz w:val="16"/>
                <w:szCs w:val="16"/>
              </w:rPr>
            </w:pPr>
            <w:r>
              <w:rPr>
                <w:rFonts w:ascii="宋体" w:hAnsi="宋体" w:cs="宋体" w:eastAsia="宋体" w:hint="default"/>
                <w:sz w:val="16"/>
                <w:szCs w:val="16"/>
              </w:rPr>
              <w:t>非经营性往来</w:t>
            </w:r>
          </w:p>
        </w:tc>
      </w:tr>
      <w:tr>
        <w:trPr>
          <w:trHeight w:val="431" w:hRule="exact"/>
        </w:trPr>
        <w:tc>
          <w:tcPr>
            <w:tcW w:w="814" w:type="dxa"/>
            <w:vMerge/>
            <w:tcBorders>
              <w:left w:val="single" w:sz="12" w:space="0" w:color="000000"/>
              <w:right w:val="single" w:sz="4" w:space="0" w:color="000000"/>
            </w:tcBorders>
          </w:tcPr>
          <w:p>
            <w:pP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宋体" w:hAnsi="宋体" w:cs="宋体" w:eastAsia="宋体" w:hint="default"/>
                <w:sz w:val="16"/>
                <w:szCs w:val="16"/>
              </w:rPr>
            </w:pPr>
            <w:r>
              <w:rPr>
                <w:rFonts w:ascii="宋体" w:hAnsi="宋体" w:cs="宋体" w:eastAsia="宋体" w:hint="default"/>
                <w:sz w:val="16"/>
                <w:szCs w:val="16"/>
              </w:rPr>
              <w:t>小计</w:t>
            </w:r>
          </w:p>
        </w:tc>
        <w:tc>
          <w:tcPr>
            <w:tcW w:w="170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04"/>
              <w:jc w:val="right"/>
              <w:rPr>
                <w:rFonts w:ascii="宋体" w:hAnsi="宋体" w:cs="宋体" w:eastAsia="宋体" w:hint="default"/>
                <w:sz w:val="16"/>
                <w:szCs w:val="16"/>
              </w:rPr>
            </w:pPr>
            <w:r>
              <w:rPr>
                <w:rFonts w:ascii="宋体"/>
                <w:spacing w:val="-1"/>
                <w:sz w:val="16"/>
              </w:rPr>
              <w:t>14.46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04"/>
              <w:jc w:val="right"/>
              <w:rPr>
                <w:rFonts w:ascii="宋体" w:hAnsi="宋体" w:cs="宋体" w:eastAsia="宋体" w:hint="default"/>
                <w:sz w:val="16"/>
                <w:szCs w:val="16"/>
              </w:rPr>
            </w:pPr>
            <w:r>
              <w:rPr>
                <w:rFonts w:ascii="宋体"/>
                <w:spacing w:val="-1"/>
                <w:sz w:val="16"/>
              </w:rPr>
              <w:t>5,041.52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4"/>
              <w:jc w:val="right"/>
              <w:rPr>
                <w:rFonts w:ascii="宋体" w:hAnsi="宋体" w:cs="宋体" w:eastAsia="宋体" w:hint="default"/>
                <w:sz w:val="16"/>
                <w:szCs w:val="16"/>
              </w:rPr>
            </w:pPr>
            <w:r>
              <w:rPr>
                <w:rFonts w:ascii="宋体"/>
                <w:w w:val="99"/>
                <w:sz w:val="16"/>
              </w:rPr>
              <w:t>-</w:t>
            </w:r>
            <w:r>
              <w:rPr>
                <w:rFonts w:ascii="宋体"/>
                <w:sz w:val="16"/>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16"/>
                <w:szCs w:val="16"/>
              </w:rPr>
            </w:pPr>
            <w:r>
              <w:rPr>
                <w:rFonts w:ascii="宋体"/>
                <w:spacing w:val="-1"/>
                <w:sz w:val="16"/>
              </w:rPr>
              <w:t>5,000.00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16"/>
                <w:szCs w:val="16"/>
              </w:rPr>
            </w:pPr>
            <w:r>
              <w:rPr>
                <w:rFonts w:ascii="宋体"/>
                <w:spacing w:val="-1"/>
                <w:sz w:val="16"/>
              </w:rPr>
              <w:t>55.98</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12" w:space="0" w:color="000000"/>
            </w:tcBorders>
          </w:tcPr>
          <w:p>
            <w:pPr/>
          </w:p>
        </w:tc>
      </w:tr>
      <w:tr>
        <w:trPr>
          <w:trHeight w:val="440" w:hRule="exact"/>
        </w:trPr>
        <w:tc>
          <w:tcPr>
            <w:tcW w:w="814" w:type="dxa"/>
            <w:vMerge/>
            <w:tcBorders>
              <w:left w:val="single" w:sz="12" w:space="0" w:color="000000"/>
              <w:bottom w:val="single" w:sz="4" w:space="0" w:color="000000"/>
              <w:right w:val="single" w:sz="4" w:space="0" w:color="000000"/>
            </w:tcBorders>
          </w:tcPr>
          <w:p>
            <w:pP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宋体" w:hAnsi="宋体" w:cs="宋体" w:eastAsia="宋体" w:hint="default"/>
                <w:sz w:val="16"/>
                <w:szCs w:val="16"/>
              </w:rPr>
            </w:pPr>
            <w:r>
              <w:rPr>
                <w:rFonts w:ascii="宋体" w:hAnsi="宋体" w:cs="宋体" w:eastAsia="宋体" w:hint="default"/>
                <w:b/>
                <w:bCs/>
                <w:sz w:val="16"/>
                <w:szCs w:val="16"/>
              </w:rPr>
              <w:t>总计</w:t>
            </w:r>
            <w:r>
              <w:rPr>
                <w:rFonts w:ascii="宋体" w:hAnsi="宋体" w:cs="宋体" w:eastAsia="宋体" w:hint="default"/>
                <w:sz w:val="16"/>
                <w:szCs w:val="16"/>
              </w:rPr>
            </w:r>
          </w:p>
        </w:tc>
        <w:tc>
          <w:tcPr>
            <w:tcW w:w="1700" w:type="dxa"/>
            <w:tcBorders>
              <w:top w:val="single" w:sz="4" w:space="0" w:color="000000"/>
              <w:left w:val="single" w:sz="4" w:space="0" w:color="000000"/>
              <w:bottom w:val="single" w:sz="12" w:space="0" w:color="000000"/>
              <w:right w:val="single" w:sz="4" w:space="0" w:color="000000"/>
            </w:tcBorders>
          </w:tcPr>
          <w:p>
            <w:pPr/>
          </w:p>
        </w:tc>
        <w:tc>
          <w:tcPr>
            <w:tcW w:w="1134" w:type="dxa"/>
            <w:tcBorders>
              <w:top w:val="single" w:sz="4" w:space="0" w:color="000000"/>
              <w:left w:val="single" w:sz="4" w:space="0" w:color="000000"/>
              <w:bottom w:val="single" w:sz="12" w:space="0" w:color="000000"/>
              <w:right w:val="single" w:sz="4" w:space="0" w:color="000000"/>
            </w:tcBorders>
          </w:tcPr>
          <w:p>
            <w:pPr/>
          </w:p>
        </w:tc>
        <w:tc>
          <w:tcPr>
            <w:tcW w:w="127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9"/>
              <w:ind w:right="101"/>
              <w:jc w:val="right"/>
              <w:rPr>
                <w:rFonts w:ascii="宋体" w:hAnsi="宋体" w:cs="宋体" w:eastAsia="宋体" w:hint="default"/>
                <w:sz w:val="16"/>
                <w:szCs w:val="16"/>
              </w:rPr>
            </w:pPr>
            <w:r>
              <w:rPr>
                <w:rFonts w:ascii="宋体"/>
                <w:b/>
                <w:w w:val="95"/>
                <w:sz w:val="16"/>
              </w:rPr>
              <w:t>14.46</w:t>
            </w:r>
            <w:r>
              <w:rPr>
                <w:rFonts w:ascii="宋体"/>
                <w:sz w:val="16"/>
              </w:rPr>
            </w:r>
          </w:p>
        </w:tc>
        <w:tc>
          <w:tcPr>
            <w:tcW w:w="113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102"/>
              <w:jc w:val="right"/>
              <w:rPr>
                <w:rFonts w:ascii="宋体" w:hAnsi="宋体" w:cs="宋体" w:eastAsia="宋体" w:hint="default"/>
                <w:sz w:val="16"/>
                <w:szCs w:val="16"/>
              </w:rPr>
            </w:pPr>
            <w:r>
              <w:rPr>
                <w:rFonts w:ascii="宋体"/>
                <w:b/>
                <w:w w:val="95"/>
                <w:sz w:val="16"/>
              </w:rPr>
              <w:t>5,041.52</w:t>
            </w:r>
            <w:r>
              <w:rPr>
                <w:rFonts w:ascii="宋体"/>
                <w:sz w:val="16"/>
              </w:rPr>
            </w:r>
          </w:p>
        </w:tc>
        <w:tc>
          <w:tcPr>
            <w:tcW w:w="113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9"/>
              <w:ind w:right="104"/>
              <w:jc w:val="right"/>
              <w:rPr>
                <w:rFonts w:ascii="宋体" w:hAnsi="宋体" w:cs="宋体" w:eastAsia="宋体" w:hint="default"/>
                <w:sz w:val="16"/>
                <w:szCs w:val="16"/>
              </w:rPr>
            </w:pPr>
            <w:r>
              <w:rPr>
                <w:rFonts w:ascii="宋体"/>
                <w:b/>
                <w:w w:val="98"/>
                <w:sz w:val="16"/>
              </w:rPr>
              <w:t>-</w:t>
            </w:r>
            <w:r>
              <w:rPr>
                <w:rFonts w:ascii="宋体"/>
                <w:sz w:val="16"/>
              </w:rPr>
            </w:r>
          </w:p>
        </w:tc>
        <w:tc>
          <w:tcPr>
            <w:tcW w:w="99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16"/>
                <w:szCs w:val="16"/>
              </w:rPr>
            </w:pPr>
            <w:r>
              <w:rPr>
                <w:rFonts w:ascii="宋体"/>
                <w:b/>
                <w:w w:val="95"/>
                <w:sz w:val="16"/>
              </w:rPr>
              <w:t>5,000.00</w:t>
            </w:r>
            <w:r>
              <w:rPr>
                <w:rFonts w:ascii="宋体"/>
                <w:sz w:val="16"/>
              </w:rPr>
            </w:r>
          </w:p>
        </w:tc>
        <w:tc>
          <w:tcPr>
            <w:tcW w:w="99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101"/>
              <w:jc w:val="right"/>
              <w:rPr>
                <w:rFonts w:ascii="宋体" w:hAnsi="宋体" w:cs="宋体" w:eastAsia="宋体" w:hint="default"/>
                <w:sz w:val="16"/>
                <w:szCs w:val="16"/>
              </w:rPr>
            </w:pPr>
            <w:r>
              <w:rPr>
                <w:rFonts w:ascii="宋体"/>
                <w:b/>
                <w:w w:val="95"/>
                <w:sz w:val="16"/>
              </w:rPr>
              <w:t>55.98</w:t>
            </w:r>
            <w:r>
              <w:rPr>
                <w:rFonts w:ascii="宋体"/>
                <w:sz w:val="16"/>
              </w:rPr>
            </w:r>
          </w:p>
        </w:tc>
        <w:tc>
          <w:tcPr>
            <w:tcW w:w="1276" w:type="dxa"/>
            <w:tcBorders>
              <w:top w:val="single" w:sz="4" w:space="0" w:color="000000"/>
              <w:left w:val="single" w:sz="4" w:space="0" w:color="000000"/>
              <w:bottom w:val="single" w:sz="12" w:space="0" w:color="000000"/>
              <w:right w:val="single" w:sz="4" w:space="0" w:color="000000"/>
            </w:tcBorders>
          </w:tcPr>
          <w:p>
            <w:pPr/>
          </w:p>
        </w:tc>
        <w:tc>
          <w:tcPr>
            <w:tcW w:w="1275" w:type="dxa"/>
            <w:tcBorders>
              <w:top w:val="single" w:sz="4" w:space="0" w:color="000000"/>
              <w:left w:val="single" w:sz="4" w:space="0" w:color="000000"/>
              <w:bottom w:val="single" w:sz="12" w:space="0" w:color="000000"/>
              <w:right w:val="single" w:sz="12" w:space="0" w:color="000000"/>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before="76"/>
        <w:ind w:left="0" w:right="139" w:firstLine="0"/>
        <w:jc w:val="right"/>
        <w:rPr>
          <w:rFonts w:ascii="Times New Roman" w:hAnsi="Times New Roman" w:cs="Times New Roman" w:eastAsia="Times New Roman" w:hint="default"/>
          <w:sz w:val="18"/>
          <w:szCs w:val="18"/>
        </w:rPr>
      </w:pPr>
      <w:r>
        <w:rPr>
          <w:rFonts w:ascii="Times New Roman"/>
          <w:sz w:val="18"/>
        </w:rPr>
        <w:t>79</w:t>
      </w:r>
    </w:p>
    <w:p>
      <w:pPr>
        <w:spacing w:after="0"/>
        <w:jc w:val="right"/>
        <w:rPr>
          <w:rFonts w:ascii="Times New Roman" w:hAnsi="Times New Roman" w:cs="Times New Roman" w:eastAsia="Times New Roman" w:hint="default"/>
          <w:sz w:val="18"/>
          <w:szCs w:val="18"/>
        </w:rPr>
        <w:sectPr>
          <w:headerReference w:type="default" r:id="rId43"/>
          <w:footerReference w:type="default" r:id="rId44"/>
          <w:pgSz w:w="16840" w:h="11910" w:orient="landscape"/>
          <w:pgMar w:header="0" w:footer="0" w:top="540" w:bottom="280" w:left="1180" w:right="1300"/>
        </w:sectPr>
      </w:pPr>
    </w:p>
    <w:p>
      <w:pPr>
        <w:spacing w:line="240" w:lineRule="auto" w:before="0"/>
        <w:rPr>
          <w:rFonts w:ascii="Times New Roman" w:hAnsi="Times New Roman" w:cs="Times New Roman" w:eastAsia="Times New Roman" w:hint="default"/>
          <w:sz w:val="20"/>
          <w:szCs w:val="20"/>
        </w:rPr>
      </w:pPr>
    </w:p>
    <w:p>
      <w:pPr>
        <w:spacing w:before="191"/>
        <w:ind w:left="725" w:right="131" w:firstLine="0"/>
        <w:jc w:val="left"/>
        <w:rPr>
          <w:rFonts w:ascii="宋体" w:hAnsi="宋体" w:cs="宋体" w:eastAsia="宋体" w:hint="default"/>
          <w:sz w:val="24"/>
          <w:szCs w:val="24"/>
        </w:rPr>
      </w:pPr>
      <w:r>
        <w:rPr>
          <w:rFonts w:ascii="宋体" w:hAnsi="宋体" w:cs="宋体" w:eastAsia="宋体" w:hint="default"/>
          <w:b/>
          <w:bCs/>
          <w:sz w:val="24"/>
          <w:szCs w:val="24"/>
        </w:rPr>
        <w:t>七、重大合同及履行情况</w:t>
      </w:r>
      <w:r>
        <w:rPr>
          <w:rFonts w:ascii="宋体" w:hAnsi="宋体" w:cs="宋体" w:eastAsia="宋体" w:hint="default"/>
          <w:sz w:val="24"/>
          <w:szCs w:val="24"/>
        </w:rPr>
      </w:r>
    </w:p>
    <w:p>
      <w:pPr>
        <w:pStyle w:val="BodyText"/>
        <w:spacing w:line="304" w:lineRule="auto" w:before="126"/>
        <w:ind w:left="253" w:right="230" w:firstLine="480"/>
        <w:jc w:val="both"/>
      </w:pPr>
      <w:r>
        <w:rPr/>
        <w:t>（一）本年度公司未发生且无以前期间发生延续到报告期的托管、承包、租赁其他公司</w:t>
      </w:r>
      <w:r>
        <w:rPr>
          <w:spacing w:val="1"/>
        </w:rPr>
        <w:t> </w:t>
      </w:r>
      <w:r>
        <w:rPr/>
        <w:t>资产或其他公司托管、承包、租赁公司资产的事项。</w:t>
      </w:r>
    </w:p>
    <w:p>
      <w:pPr>
        <w:pStyle w:val="BodyText"/>
        <w:spacing w:line="240" w:lineRule="auto" w:before="61"/>
        <w:ind w:left="733" w:right="131"/>
        <w:jc w:val="left"/>
      </w:pPr>
      <w:r>
        <w:rPr/>
        <w:t>（二）本年度公司未发生且无以前期间发生延续到报告期的对外担保事项。</w:t>
      </w:r>
    </w:p>
    <w:p>
      <w:pPr>
        <w:pStyle w:val="BodyText"/>
        <w:spacing w:line="307" w:lineRule="auto" w:before="125"/>
        <w:ind w:left="253" w:right="230" w:firstLine="480"/>
        <w:jc w:val="both"/>
      </w:pPr>
      <w:r>
        <w:rPr/>
        <w:t>（三）本年度公司未发生且无以前期间发生延续到报告期的委托他人进行现金资产管理</w:t>
      </w:r>
      <w:r>
        <w:rPr>
          <w:spacing w:val="1"/>
        </w:rPr>
        <w:t> </w:t>
      </w:r>
      <w:r>
        <w:rPr/>
        <w:t>的事项。</w:t>
      </w:r>
    </w:p>
    <w:p>
      <w:pPr>
        <w:spacing w:before="58"/>
        <w:ind w:left="725" w:right="131" w:firstLine="0"/>
        <w:jc w:val="left"/>
        <w:rPr>
          <w:rFonts w:ascii="宋体" w:hAnsi="宋体" w:cs="宋体" w:eastAsia="宋体" w:hint="default"/>
          <w:sz w:val="24"/>
          <w:szCs w:val="24"/>
        </w:rPr>
      </w:pPr>
      <w:r>
        <w:rPr>
          <w:rFonts w:ascii="宋体" w:hAnsi="宋体" w:cs="宋体" w:eastAsia="宋体" w:hint="default"/>
          <w:b/>
          <w:bCs/>
          <w:sz w:val="24"/>
          <w:szCs w:val="24"/>
        </w:rPr>
        <w:t>八、承诺事项的履行情况</w:t>
      </w:r>
      <w:r>
        <w:rPr>
          <w:rFonts w:ascii="宋体" w:hAnsi="宋体" w:cs="宋体" w:eastAsia="宋体" w:hint="default"/>
          <w:sz w:val="24"/>
          <w:szCs w:val="24"/>
        </w:rPr>
      </w:r>
    </w:p>
    <w:p>
      <w:pPr>
        <w:pStyle w:val="BodyText"/>
        <w:spacing w:line="336" w:lineRule="auto" w:before="126"/>
        <w:ind w:left="733" w:right="131"/>
        <w:jc w:val="left"/>
      </w:pPr>
      <w:r>
        <w:rPr/>
        <w:t>（一）关于股份限售的承诺 作为担任公司董事、高级管理人员的吕晓义、何平、任金生、匡晓明承诺：在其任职期</w:t>
      </w:r>
    </w:p>
    <w:p>
      <w:pPr>
        <w:pStyle w:val="BodyText"/>
        <w:spacing w:line="304" w:lineRule="auto"/>
        <w:ind w:left="253" w:right="228"/>
        <w:jc w:val="both"/>
      </w:pPr>
      <w:r>
        <w:rPr/>
        <w:t>间每年转让的股份不得超过其所持有本公司股份总数的百分之二十五；离职后半年内，不转</w:t>
      </w:r>
      <w:r>
        <w:rPr>
          <w:spacing w:val="-83"/>
        </w:rPr>
        <w:t> </w:t>
      </w:r>
      <w:r>
        <w:rPr>
          <w:spacing w:val="-83"/>
        </w:rPr>
      </w:r>
      <w:r>
        <w:rPr/>
        <w:t>让其所持有的本公司股份。截止本报告期末，本承诺事项在严格执行中。</w:t>
      </w:r>
    </w:p>
    <w:p>
      <w:pPr>
        <w:pStyle w:val="BodyText"/>
        <w:spacing w:line="240" w:lineRule="auto" w:before="61"/>
        <w:ind w:left="733" w:right="131"/>
        <w:jc w:val="left"/>
      </w:pPr>
      <w:r>
        <w:rPr/>
        <w:t>（二）公司上市前的承诺</w:t>
      </w:r>
    </w:p>
    <w:p>
      <w:pPr>
        <w:pStyle w:val="BodyText"/>
        <w:spacing w:line="300" w:lineRule="auto" w:before="126"/>
        <w:ind w:left="254" w:right="228" w:firstLine="480"/>
        <w:jc w:val="both"/>
      </w:pPr>
      <w:r>
        <w:rPr/>
        <w:t>（</w:t>
      </w:r>
      <w:r>
        <w:rPr>
          <w:rFonts w:ascii="Times New Roman" w:hAnsi="Times New Roman" w:cs="Times New Roman" w:eastAsia="Times New Roman" w:hint="default"/>
        </w:rPr>
        <w:t>1</w:t>
      </w:r>
      <w:r>
        <w:rPr/>
        <w:t>）持有公司</w:t>
      </w:r>
      <w:r>
        <w:rPr>
          <w:spacing w:val="-42"/>
        </w:rPr>
        <w:t> </w:t>
      </w:r>
      <w:r>
        <w:rPr>
          <w:rFonts w:ascii="Times New Roman" w:hAnsi="Times New Roman" w:cs="Times New Roman" w:eastAsia="Times New Roman" w:hint="default"/>
        </w:rPr>
        <w:t>5%</w:t>
      </w:r>
      <w:r>
        <w:rPr/>
        <w:t>以上股份的股东吕晓义、何平、匡晓明、任金生已向公司出具了《避 </w:t>
      </w:r>
      <w:r>
        <w:rPr>
          <w:spacing w:val="-5"/>
        </w:rPr>
        <w:t>免同业竞争的承诺》，承诺：“不在公司之外直接或间接从事或经营与公司主营业务、主导产</w:t>
      </w:r>
      <w:r>
        <w:rPr>
          <w:spacing w:val="1"/>
        </w:rPr>
        <w:t> </w:t>
      </w:r>
      <w:r>
        <w:rPr/>
        <w:t>品构成竞争的业务活动；在今后的经营或投资项目安排上，避免同种类业务或同类产品的同</w:t>
      </w:r>
      <w:r>
        <w:rPr>
          <w:spacing w:val="-83"/>
        </w:rPr>
        <w:t> </w:t>
      </w:r>
      <w:r>
        <w:rPr>
          <w:spacing w:val="-83"/>
        </w:rPr>
      </w:r>
      <w:r>
        <w:rPr>
          <w:spacing w:val="-12"/>
        </w:rPr>
        <w:t>类竞争行为的发生”。</w:t>
      </w:r>
    </w:p>
    <w:p>
      <w:pPr>
        <w:pStyle w:val="BodyText"/>
        <w:spacing w:line="302" w:lineRule="auto" w:before="65"/>
        <w:ind w:left="254" w:right="228" w:firstLine="480"/>
        <w:jc w:val="both"/>
      </w:pPr>
      <w:r>
        <w:rPr>
          <w:spacing w:val="-3"/>
        </w:rPr>
        <w:t>（</w:t>
      </w:r>
      <w:r>
        <w:rPr>
          <w:rFonts w:ascii="Times New Roman" w:hAnsi="Times New Roman" w:cs="Times New Roman" w:eastAsia="Times New Roman" w:hint="default"/>
          <w:spacing w:val="-3"/>
        </w:rPr>
        <w:t>2</w:t>
      </w:r>
      <w:r>
        <w:rPr>
          <w:spacing w:val="-3"/>
        </w:rPr>
        <w:t>）公司股东吕晓义、何平、匡晓明、任金生承诺：尽管公司主要股东、高管人员和核</w:t>
      </w:r>
      <w:r>
        <w:rPr>
          <w:spacing w:val="-1"/>
        </w:rPr>
        <w:t> </w:t>
      </w:r>
      <w:r>
        <w:rPr/>
        <w:t>心技术人员曾就职于长春热缩材料股份有限公司，但公司所拥有的核心技术及知识产权均由</w:t>
      </w:r>
      <w:r>
        <w:rPr>
          <w:spacing w:val="-83"/>
        </w:rPr>
        <w:t> </w:t>
      </w:r>
      <w:r>
        <w:rPr>
          <w:spacing w:val="-83"/>
        </w:rPr>
      </w:r>
      <w:r>
        <w:rPr/>
        <w:t>公司成立后组织相关技术人员独立开发完成，并非来源于长春热缩材料股份有限公司或中科</w:t>
      </w:r>
      <w:r>
        <w:rPr>
          <w:spacing w:val="-83"/>
        </w:rPr>
        <w:t> </w:t>
      </w:r>
      <w:r>
        <w:rPr>
          <w:spacing w:val="-83"/>
        </w:rPr>
      </w:r>
      <w:r>
        <w:rPr/>
        <w:t>院长春应用化学研究所，不存在侵犯长春热缩材料股份有限公司与中科院长春应用化学研究</w:t>
      </w:r>
      <w:r>
        <w:rPr>
          <w:spacing w:val="-83"/>
        </w:rPr>
        <w:t> </w:t>
      </w:r>
      <w:r>
        <w:rPr>
          <w:spacing w:val="-83"/>
        </w:rPr>
      </w:r>
      <w:r>
        <w:rPr/>
        <w:t>所知识产权或商业秘密的情形，也不存在纠纷或潜在纠纷的情况。</w:t>
      </w:r>
    </w:p>
    <w:p>
      <w:pPr>
        <w:pStyle w:val="BodyText"/>
        <w:spacing w:line="290" w:lineRule="auto" w:before="62"/>
        <w:ind w:left="253" w:right="95" w:firstLine="480"/>
        <w:jc w:val="left"/>
      </w:pPr>
      <w:r>
        <w:rPr>
          <w:spacing w:val="1"/>
        </w:rPr>
        <w:t>（</w:t>
      </w:r>
      <w:r>
        <w:rPr>
          <w:rFonts w:ascii="Times New Roman" w:hAnsi="Times New Roman" w:cs="Times New Roman" w:eastAsia="Times New Roman" w:hint="default"/>
          <w:spacing w:val="1"/>
        </w:rPr>
        <w:t>3</w:t>
      </w:r>
      <w:r>
        <w:rPr>
          <w:spacing w:val="1"/>
        </w:rPr>
        <w:t>）公司股东吕晓义、何平、匡晓明、任金生承诺</w:t>
      </w:r>
      <w:r>
        <w:rPr>
          <w:spacing w:val="-120"/>
        </w:rPr>
        <w:t>：</w:t>
      </w:r>
      <w:r>
        <w:rPr>
          <w:spacing w:val="1"/>
        </w:rPr>
        <w:t>“本人现拥有深圳市惠程电气股份</w:t>
      </w:r>
      <w:r>
        <w:rPr>
          <w:spacing w:val="1"/>
        </w:rPr>
        <w:t> </w:t>
      </w:r>
      <w:r>
        <w:rPr/>
        <w:t>有限公司股权</w:t>
      </w:r>
      <w:r>
        <w:rPr>
          <w:spacing w:val="-68"/>
        </w:rPr>
        <w:t>，</w:t>
      </w:r>
      <w:r>
        <w:rPr/>
        <w:t>本人为所持有股份的终极持有人</w:t>
      </w:r>
      <w:r>
        <w:rPr>
          <w:spacing w:val="-68"/>
        </w:rPr>
        <w:t>，</w:t>
      </w:r>
      <w:r>
        <w:rPr/>
        <w:t>无任何委托持股</w:t>
      </w:r>
      <w:r>
        <w:rPr>
          <w:spacing w:val="-68"/>
        </w:rPr>
        <w:t>、</w:t>
      </w:r>
      <w:r>
        <w:rPr/>
        <w:t>信托或其它类似的安排</w:t>
      </w:r>
      <w:r>
        <w:rPr>
          <w:spacing w:val="-120"/>
        </w:rPr>
        <w:t>”</w:t>
      </w:r>
      <w:r>
        <w:rPr/>
        <w:t>。</w:t>
      </w:r>
    </w:p>
    <w:p>
      <w:pPr>
        <w:spacing w:line="336" w:lineRule="auto" w:before="74"/>
        <w:ind w:left="725" w:right="2651" w:firstLine="8"/>
        <w:jc w:val="left"/>
        <w:rPr>
          <w:rFonts w:ascii="宋体" w:hAnsi="宋体" w:cs="宋体" w:eastAsia="宋体" w:hint="default"/>
          <w:sz w:val="24"/>
          <w:szCs w:val="24"/>
        </w:rPr>
      </w:pPr>
      <w:r>
        <w:rPr>
          <w:rFonts w:ascii="宋体" w:hAnsi="宋体" w:cs="宋体" w:eastAsia="宋体" w:hint="default"/>
          <w:sz w:val="24"/>
          <w:szCs w:val="24"/>
        </w:rPr>
        <w:t>截止本报告期末，以上公司上市前的承诺事项均在严格执行中。 </w:t>
      </w:r>
      <w:r>
        <w:rPr>
          <w:rFonts w:ascii="宋体" w:hAnsi="宋体" w:cs="宋体" w:eastAsia="宋体" w:hint="default"/>
          <w:b/>
          <w:bCs/>
          <w:sz w:val="24"/>
          <w:szCs w:val="24"/>
        </w:rPr>
        <w:t>九、公司聘任、解聘会计师事务所情况及支付报酬情况</w:t>
      </w:r>
      <w:r>
        <w:rPr>
          <w:rFonts w:ascii="宋体" w:hAnsi="宋体" w:cs="宋体" w:eastAsia="宋体" w:hint="default"/>
          <w:sz w:val="24"/>
          <w:szCs w:val="24"/>
        </w:rPr>
      </w:r>
    </w:p>
    <w:p>
      <w:pPr>
        <w:pStyle w:val="BodyText"/>
        <w:spacing w:line="288" w:lineRule="auto" w:before="30"/>
        <w:ind w:left="253" w:right="228" w:firstLine="480"/>
        <w:jc w:val="both"/>
      </w:pPr>
      <w:r>
        <w:rPr/>
        <w:t>公司</w:t>
      </w:r>
      <w:r>
        <w:rPr>
          <w:spacing w:val="-6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年年度股东大会审议通过续聘立信大华会计师事务所为公司</w:t>
      </w:r>
      <w:r>
        <w:rPr>
          <w:spacing w:val="-65"/>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5"/>
        </w:rPr>
        <w:t> </w:t>
      </w:r>
      <w:r>
        <w:rPr/>
        <w:t>年度财务审 计机构。</w:t>
      </w:r>
      <w:r>
        <w:rPr>
          <w:rFonts w:ascii="Times New Roman" w:hAnsi="Times New Roman" w:cs="Times New Roman" w:eastAsia="Times New Roman" w:hint="default"/>
        </w:rPr>
        <w:t>2011 </w:t>
      </w:r>
      <w:r>
        <w:rPr/>
        <w:t>年 </w:t>
      </w:r>
      <w:r>
        <w:rPr>
          <w:rFonts w:ascii="Times New Roman" w:hAnsi="Times New Roman" w:cs="Times New Roman" w:eastAsia="Times New Roman" w:hint="default"/>
        </w:rPr>
        <w:t>10</w:t>
      </w:r>
      <w:r>
        <w:rPr>
          <w:rFonts w:ascii="Times New Roman" w:hAnsi="Times New Roman" w:cs="Times New Roman" w:eastAsia="Times New Roman" w:hint="default"/>
          <w:spacing w:val="-23"/>
        </w:rPr>
        <w:t> </w:t>
      </w:r>
      <w:r>
        <w:rPr/>
        <w:t>月公司收到立信会计师事务所（特殊普通合伙）的通知，获悉公司原聘 任的立信大华会计师事务所有限公司与立信会计师事务所管理公司管理的立信会计师事务所</w:t>
      </w:r>
    </w:p>
    <w:p>
      <w:pPr>
        <w:pStyle w:val="BodyText"/>
        <w:spacing w:line="240" w:lineRule="auto" w:before="38"/>
        <w:ind w:left="253" w:right="0"/>
        <w:jc w:val="both"/>
      </w:pPr>
      <w:r>
        <w:rPr/>
        <w:t>（特殊普通合伙</w:t>
      </w:r>
      <w:r>
        <w:rPr>
          <w:spacing w:val="-120"/>
        </w:rPr>
        <w:t>）</w:t>
      </w:r>
      <w:r>
        <w:rPr/>
        <w:t>进行部分人员的交换</w:t>
      </w:r>
      <w:r>
        <w:rPr>
          <w:spacing w:val="-120"/>
        </w:rPr>
        <w:t>，</w:t>
      </w:r>
      <w:r>
        <w:rPr/>
        <w:t>负责我公司审计的合伙人和专业人士从 </w:t>
      </w:r>
      <w:r>
        <w:rPr>
          <w:rFonts w:ascii="Times New Roman" w:hAnsi="Times New Roman" w:cs="Times New Roman" w:eastAsia="Times New Roman" w:hint="default"/>
        </w:rPr>
        <w:t>20</w:t>
      </w:r>
      <w:r>
        <w:rPr>
          <w:rFonts w:ascii="Times New Roman" w:hAnsi="Times New Roman" w:cs="Times New Roman" w:eastAsia="Times New Roman" w:hint="default"/>
          <w:spacing w:val="-9"/>
        </w:rPr>
        <w:t>1</w:t>
      </w:r>
      <w:r>
        <w:rPr>
          <w:rFonts w:ascii="Times New Roman" w:hAnsi="Times New Roman" w:cs="Times New Roman" w:eastAsia="Times New Roman" w:hint="default"/>
        </w:rPr>
        <w:t>1</w:t>
      </w:r>
      <w:r>
        <w:rPr>
          <w:rFonts w:ascii="Times New Roman" w:hAnsi="Times New Roman" w:cs="Times New Roman" w:eastAsia="Times New Roman" w:hint="default"/>
          <w:spacing w:val="-14"/>
        </w:rPr>
        <w:t> </w:t>
      </w:r>
      <w:r>
        <w:rPr/>
        <w:t>年 </w:t>
      </w:r>
      <w:r>
        <w:rPr>
          <w:rFonts w:ascii="Times New Roman" w:hAnsi="Times New Roman" w:cs="Times New Roman" w:eastAsia="Times New Roman" w:hint="default"/>
        </w:rPr>
        <w:t>7  </w:t>
      </w:r>
      <w:r>
        <w:rPr/>
        <w:t>月</w:t>
      </w:r>
    </w:p>
    <w:p>
      <w:pPr>
        <w:pStyle w:val="BodyText"/>
        <w:spacing w:line="300" w:lineRule="auto" w:before="67"/>
        <w:ind w:left="253" w:right="228"/>
        <w:jc w:val="both"/>
      </w:pPr>
      <w:r>
        <w:rPr>
          <w:rFonts w:ascii="Times New Roman" w:hAnsi="Times New Roman" w:cs="Times New Roman" w:eastAsia="Times New Roman" w:hint="default"/>
        </w:rPr>
        <w:t>1 </w:t>
      </w:r>
      <w:r>
        <w:rPr>
          <w:spacing w:val="-5"/>
        </w:rPr>
        <w:t>日起加入立信会计师事务所（特殊普通合伙）。鉴于与公司</w:t>
      </w:r>
      <w:r>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年度审计工作相关的合伙 </w:t>
      </w:r>
      <w:r>
        <w:rPr>
          <w:spacing w:val="-5"/>
        </w:rPr>
        <w:t>人和专业人士已转入立信会计师事务所（特殊普通合伙），并将以立信会计师事务所（特殊普</w:t>
      </w:r>
      <w:r>
        <w:rPr/>
        <w:t> 通合伙）的名义继续为本公司提供审计服务，故公司董事会审计委员提议聘用立信会计师事</w:t>
      </w:r>
      <w:r>
        <w:rPr>
          <w:spacing w:val="-83"/>
        </w:rPr>
        <w:t> </w:t>
      </w:r>
      <w:r>
        <w:rPr>
          <w:spacing w:val="-83"/>
        </w:rPr>
      </w:r>
      <w:r>
        <w:rPr>
          <w:spacing w:val="-8"/>
        </w:rPr>
        <w:t>务所（特殊普通合伙）为公司 </w:t>
      </w:r>
      <w:r>
        <w:rPr>
          <w:rFonts w:ascii="Times New Roman" w:hAnsi="Times New Roman" w:cs="Times New Roman" w:eastAsia="Times New Roman" w:hint="default"/>
          <w:spacing w:val="-3"/>
        </w:rPr>
        <w:t>2011  </w:t>
      </w:r>
      <w:r>
        <w:rPr>
          <w:spacing w:val="-4"/>
        </w:rPr>
        <w:t>年度审计机构，负责本公司 </w:t>
      </w:r>
      <w:r>
        <w:rPr>
          <w:rFonts w:ascii="Times New Roman" w:hAnsi="Times New Roman" w:cs="Times New Roman" w:eastAsia="Times New Roman" w:hint="default"/>
          <w:spacing w:val="-3"/>
        </w:rPr>
        <w:t>2011 </w:t>
      </w:r>
      <w:r>
        <w:rPr>
          <w:rFonts w:ascii="Times New Roman" w:hAnsi="Times New Roman" w:cs="Times New Roman" w:eastAsia="Times New Roman" w:hint="default"/>
          <w:spacing w:val="46"/>
        </w:rPr>
        <w:t> </w:t>
      </w:r>
      <w:r>
        <w:rPr>
          <w:spacing w:val="-6"/>
        </w:rPr>
        <w:t>年度财务报告审计（含</w:t>
      </w:r>
      <w:r>
        <w:rPr/>
      </w:r>
    </w:p>
    <w:p>
      <w:pPr>
        <w:spacing w:after="0" w:line="300" w:lineRule="auto"/>
        <w:jc w:val="both"/>
        <w:sectPr>
          <w:footerReference w:type="default" r:id="rId45"/>
          <w:pgSz w:w="11910" w:h="16840"/>
          <w:pgMar w:footer="711" w:header="0" w:top="1040" w:bottom="900" w:left="880" w:right="900"/>
          <w:pgNumType w:start="80"/>
        </w:sectPr>
      </w:pPr>
    </w:p>
    <w:p>
      <w:pPr>
        <w:spacing w:line="240" w:lineRule="auto" w:before="0"/>
        <w:rPr>
          <w:rFonts w:ascii="宋体" w:hAnsi="宋体" w:cs="宋体" w:eastAsia="宋体" w:hint="default"/>
          <w:sz w:val="20"/>
          <w:szCs w:val="20"/>
        </w:rPr>
      </w:pPr>
    </w:p>
    <w:p>
      <w:pPr>
        <w:pStyle w:val="BodyText"/>
        <w:spacing w:line="240" w:lineRule="auto" w:before="160"/>
        <w:ind w:left="254" w:right="0"/>
        <w:jc w:val="both"/>
      </w:pPr>
      <w:r>
        <w:rPr/>
        <w:t>子公司</w:t>
      </w:r>
      <w:r>
        <w:rPr>
          <w:spacing w:val="-120"/>
        </w:rPr>
        <w:t>）</w:t>
      </w:r>
      <w:r>
        <w:rPr>
          <w:spacing w:val="-41"/>
        </w:rPr>
        <w:t>、</w:t>
      </w:r>
      <w:r>
        <w:rPr/>
        <w:t>年度募集资金使用专项审计和关联方资金占用专项审计等业务</w:t>
      </w:r>
      <w:r>
        <w:rPr>
          <w:spacing w:val="-41"/>
        </w:rPr>
        <w:t>，</w:t>
      </w:r>
      <w:r>
        <w:rPr/>
        <w:t>并支付其年审报酬</w:t>
      </w:r>
    </w:p>
    <w:p>
      <w:pPr>
        <w:pStyle w:val="BodyText"/>
        <w:spacing w:line="240" w:lineRule="auto" w:before="85"/>
        <w:ind w:left="254" w:right="0"/>
        <w:jc w:val="both"/>
      </w:pPr>
      <w:r>
        <w:rPr>
          <w:rFonts w:ascii="Times New Roman" w:hAnsi="Times New Roman" w:cs="Times New Roman" w:eastAsia="Times New Roman" w:hint="default"/>
        </w:rPr>
        <w:t>65  </w:t>
      </w:r>
      <w:r>
        <w:rPr/>
        <w:t>万元人民币。</w:t>
      </w:r>
    </w:p>
    <w:p>
      <w:pPr>
        <w:pStyle w:val="BodyText"/>
        <w:spacing w:line="295" w:lineRule="auto" w:before="108"/>
        <w:ind w:left="254" w:right="228" w:firstLine="480"/>
        <w:jc w:val="both"/>
      </w:pPr>
      <w:r>
        <w:rPr/>
        <w:t>本次会计师事务所变更属于更换会计师事务所事项。经公司 </w:t>
      </w: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10 </w:t>
      </w:r>
      <w:r>
        <w:rPr/>
        <w:t>月 </w:t>
      </w:r>
      <w:r>
        <w:rPr>
          <w:rFonts w:ascii="Times New Roman" w:hAnsi="Times New Roman" w:cs="Times New Roman" w:eastAsia="Times New Roman" w:hint="default"/>
        </w:rPr>
        <w:t>19</w:t>
      </w:r>
      <w:r>
        <w:rPr>
          <w:rFonts w:ascii="Times New Roman" w:hAnsi="Times New Roman" w:cs="Times New Roman" w:eastAsia="Times New Roman" w:hint="default"/>
          <w:spacing w:val="42"/>
        </w:rPr>
        <w:t> </w:t>
      </w:r>
      <w:r>
        <w:rPr>
          <w:spacing w:val="2"/>
        </w:rPr>
        <w:t>日召开 </w:t>
      </w:r>
      <w:r>
        <w:rPr/>
        <w:t>的第三届董事会第二十九次会议审议，同意聘任立信会计师事务所（特殊普通合伙）为公司</w:t>
      </w:r>
      <w:r>
        <w:rPr>
          <w:spacing w:val="-83"/>
        </w:rPr>
        <w:t> </w:t>
      </w:r>
      <w:r>
        <w:rPr>
          <w:spacing w:val="-83"/>
        </w:rPr>
      </w:r>
      <w:r>
        <w:rPr>
          <w:rFonts w:ascii="Times New Roman" w:hAnsi="Times New Roman" w:cs="Times New Roman" w:eastAsia="Times New Roman" w:hint="default"/>
          <w:spacing w:val="-3"/>
        </w:rPr>
        <w:t>2011 </w:t>
      </w:r>
      <w:r>
        <w:rPr/>
        <w:t>年度审计机构并支付其报酬 </w:t>
      </w:r>
      <w:r>
        <w:rPr>
          <w:rFonts w:ascii="Times New Roman" w:hAnsi="Times New Roman" w:cs="Times New Roman" w:eastAsia="Times New Roman" w:hint="default"/>
        </w:rPr>
        <w:t>65 </w:t>
      </w:r>
      <w:r>
        <w:rPr/>
        <w:t>万元人民币。本次更换会计师事务所事项已经 </w:t>
      </w:r>
      <w:r>
        <w:rPr>
          <w:rFonts w:ascii="Times New Roman" w:hAnsi="Times New Roman" w:cs="Times New Roman" w:eastAsia="Times New Roman" w:hint="default"/>
        </w:rPr>
        <w:t>2012</w:t>
      </w:r>
      <w:r>
        <w:rPr>
          <w:rFonts w:ascii="Times New Roman" w:hAnsi="Times New Roman" w:cs="Times New Roman" w:eastAsia="Times New Roman" w:hint="default"/>
          <w:spacing w:val="-17"/>
        </w:rPr>
        <w:t> </w:t>
      </w:r>
      <w:r>
        <w:rPr/>
        <w:t>年 第一次临时股东大会审议通过。</w:t>
      </w:r>
    </w:p>
    <w:p>
      <w:pPr>
        <w:spacing w:line="304" w:lineRule="auto" w:before="71"/>
        <w:ind w:left="254" w:right="228" w:firstLine="471"/>
        <w:jc w:val="both"/>
        <w:rPr>
          <w:rFonts w:ascii="宋体" w:hAnsi="宋体" w:cs="宋体" w:eastAsia="宋体" w:hint="default"/>
          <w:sz w:val="24"/>
          <w:szCs w:val="24"/>
        </w:rPr>
      </w:pPr>
      <w:r>
        <w:rPr>
          <w:rFonts w:ascii="宋体" w:hAnsi="宋体" w:cs="宋体" w:eastAsia="宋体" w:hint="default"/>
          <w:b/>
          <w:bCs/>
          <w:sz w:val="24"/>
          <w:szCs w:val="24"/>
        </w:rPr>
        <w:t>十、报告期内，公司及公司董事、监事、高级管理人员、公司股东、实际控制人未发生</w:t>
      </w:r>
      <w:r>
        <w:rPr>
          <w:rFonts w:ascii="宋体" w:hAnsi="宋体" w:cs="宋体" w:eastAsia="宋体" w:hint="default"/>
          <w:b/>
          <w:bCs/>
          <w:spacing w:val="1"/>
          <w:w w:val="99"/>
          <w:sz w:val="24"/>
          <w:szCs w:val="24"/>
        </w:rPr>
        <w:t> </w:t>
      </w:r>
      <w:r>
        <w:rPr>
          <w:rFonts w:ascii="宋体" w:hAnsi="宋体" w:cs="宋体" w:eastAsia="宋体" w:hint="default"/>
          <w:b/>
          <w:bCs/>
          <w:sz w:val="24"/>
          <w:szCs w:val="24"/>
        </w:rPr>
        <w:t>受有权机关调查、司法纪检部门采取强制措施、被移送司法机关或追究刑事责任、中国证监</w:t>
      </w:r>
      <w:r>
        <w:rPr>
          <w:rFonts w:ascii="宋体" w:hAnsi="宋体" w:cs="宋体" w:eastAsia="宋体" w:hint="default"/>
          <w:b/>
          <w:bCs/>
          <w:spacing w:val="1"/>
          <w:w w:val="99"/>
          <w:sz w:val="24"/>
          <w:szCs w:val="24"/>
        </w:rPr>
        <w:t> </w:t>
      </w:r>
      <w:r>
        <w:rPr>
          <w:rFonts w:ascii="宋体" w:hAnsi="宋体" w:cs="宋体" w:eastAsia="宋体" w:hint="default"/>
          <w:b/>
          <w:bCs/>
          <w:sz w:val="24"/>
          <w:szCs w:val="24"/>
        </w:rPr>
        <w:t>会稽查、中国证监会行政处罚、证券市场禁入、认定为不适当人选被其他行政管理部门处罚</w:t>
      </w:r>
      <w:r>
        <w:rPr>
          <w:rFonts w:ascii="宋体" w:hAnsi="宋体" w:cs="宋体" w:eastAsia="宋体" w:hint="default"/>
          <w:b/>
          <w:bCs/>
          <w:spacing w:val="1"/>
          <w:w w:val="99"/>
          <w:sz w:val="24"/>
          <w:szCs w:val="24"/>
        </w:rPr>
        <w:t> </w:t>
      </w:r>
      <w:r>
        <w:rPr>
          <w:rFonts w:ascii="宋体" w:hAnsi="宋体" w:cs="宋体" w:eastAsia="宋体" w:hint="default"/>
          <w:b/>
          <w:bCs/>
          <w:sz w:val="24"/>
          <w:szCs w:val="24"/>
        </w:rPr>
        <w:t>及证券交易所公开谴责的情形。</w:t>
      </w:r>
      <w:r>
        <w:rPr>
          <w:rFonts w:ascii="宋体" w:hAnsi="宋体" w:cs="宋体" w:eastAsia="宋体" w:hint="default"/>
          <w:sz w:val="24"/>
          <w:szCs w:val="24"/>
        </w:rPr>
      </w:r>
    </w:p>
    <w:p>
      <w:pPr>
        <w:spacing w:line="307" w:lineRule="auto" w:before="60"/>
        <w:ind w:left="254" w:right="227" w:firstLine="471"/>
        <w:jc w:val="both"/>
        <w:rPr>
          <w:rFonts w:ascii="宋体" w:hAnsi="宋体" w:cs="宋体" w:eastAsia="宋体" w:hint="default"/>
          <w:sz w:val="24"/>
          <w:szCs w:val="24"/>
        </w:rPr>
      </w:pPr>
      <w:r>
        <w:rPr>
          <w:rFonts w:ascii="宋体" w:hAnsi="宋体" w:cs="宋体" w:eastAsia="宋体" w:hint="default"/>
          <w:b/>
          <w:bCs/>
          <w:spacing w:val="1"/>
          <w:w w:val="99"/>
          <w:sz w:val="24"/>
          <w:szCs w:val="24"/>
        </w:rPr>
        <w:t>十一</w:t>
      </w:r>
      <w:r>
        <w:rPr>
          <w:rFonts w:ascii="宋体" w:hAnsi="宋体" w:cs="宋体" w:eastAsia="宋体" w:hint="default"/>
          <w:b/>
          <w:bCs/>
          <w:spacing w:val="-21"/>
          <w:w w:val="99"/>
          <w:sz w:val="24"/>
          <w:szCs w:val="24"/>
        </w:rPr>
        <w:t>、</w:t>
      </w:r>
      <w:r>
        <w:rPr>
          <w:rFonts w:ascii="宋体" w:hAnsi="宋体" w:cs="宋体" w:eastAsia="宋体" w:hint="default"/>
          <w:b/>
          <w:bCs/>
          <w:spacing w:val="1"/>
          <w:w w:val="99"/>
          <w:sz w:val="24"/>
          <w:szCs w:val="24"/>
        </w:rPr>
        <w:t>报告期内</w:t>
      </w:r>
      <w:r>
        <w:rPr>
          <w:rFonts w:ascii="宋体" w:hAnsi="宋体" w:cs="宋体" w:eastAsia="宋体" w:hint="default"/>
          <w:b/>
          <w:bCs/>
          <w:spacing w:val="-21"/>
          <w:w w:val="99"/>
          <w:sz w:val="24"/>
          <w:szCs w:val="24"/>
        </w:rPr>
        <w:t>，</w:t>
      </w:r>
      <w:r>
        <w:rPr>
          <w:rFonts w:ascii="宋体" w:hAnsi="宋体" w:cs="宋体" w:eastAsia="宋体" w:hint="default"/>
          <w:b/>
          <w:bCs/>
          <w:spacing w:val="1"/>
          <w:w w:val="99"/>
          <w:sz w:val="24"/>
          <w:szCs w:val="24"/>
        </w:rPr>
        <w:t>公司未发</w:t>
      </w:r>
      <w:r>
        <w:rPr>
          <w:rFonts w:ascii="宋体" w:hAnsi="宋体" w:cs="宋体" w:eastAsia="宋体" w:hint="default"/>
          <w:b/>
          <w:bCs/>
          <w:spacing w:val="-21"/>
          <w:w w:val="99"/>
          <w:sz w:val="24"/>
          <w:szCs w:val="24"/>
        </w:rPr>
        <w:t>生</w:t>
      </w:r>
      <w:r>
        <w:rPr>
          <w:rFonts w:ascii="宋体" w:hAnsi="宋体" w:cs="宋体" w:eastAsia="宋体" w:hint="default"/>
          <w:b/>
          <w:bCs/>
          <w:spacing w:val="1"/>
          <w:w w:val="99"/>
          <w:sz w:val="24"/>
          <w:szCs w:val="24"/>
        </w:rPr>
        <w:t>《证券法</w:t>
      </w:r>
      <w:r>
        <w:rPr>
          <w:rFonts w:ascii="宋体" w:hAnsi="宋体" w:cs="宋体" w:eastAsia="宋体" w:hint="default"/>
          <w:b/>
          <w:bCs/>
          <w:spacing w:val="-21"/>
          <w:w w:val="99"/>
          <w:sz w:val="24"/>
          <w:szCs w:val="24"/>
        </w:rPr>
        <w:t>》</w:t>
      </w:r>
      <w:r>
        <w:rPr>
          <w:rFonts w:ascii="宋体" w:hAnsi="宋体" w:cs="宋体" w:eastAsia="宋体" w:hint="default"/>
          <w:b/>
          <w:bCs/>
          <w:spacing w:val="1"/>
          <w:w w:val="99"/>
          <w:sz w:val="24"/>
          <w:szCs w:val="24"/>
        </w:rPr>
        <w:t>第六十七条</w:t>
      </w:r>
      <w:r>
        <w:rPr>
          <w:rFonts w:ascii="宋体" w:hAnsi="宋体" w:cs="宋体" w:eastAsia="宋体" w:hint="default"/>
          <w:b/>
          <w:bCs/>
          <w:spacing w:val="-143"/>
          <w:w w:val="99"/>
          <w:sz w:val="24"/>
          <w:szCs w:val="24"/>
        </w:rPr>
        <w:t>、</w:t>
      </w:r>
      <w:r>
        <w:rPr>
          <w:rFonts w:ascii="宋体" w:hAnsi="宋体" w:cs="宋体" w:eastAsia="宋体" w:hint="default"/>
          <w:b/>
          <w:bCs/>
          <w:w w:val="99"/>
          <w:sz w:val="24"/>
          <w:szCs w:val="24"/>
        </w:rPr>
        <w:t>《公开发行股票公司信息披露实施</w:t>
      </w:r>
      <w:r>
        <w:rPr>
          <w:rFonts w:ascii="宋体" w:hAnsi="宋体" w:cs="宋体" w:eastAsia="宋体" w:hint="default"/>
          <w:b/>
          <w:bCs/>
          <w:w w:val="99"/>
          <w:sz w:val="24"/>
          <w:szCs w:val="24"/>
        </w:rPr>
        <w:t> 细则（试行</w:t>
      </w:r>
      <w:r>
        <w:rPr>
          <w:rFonts w:ascii="宋体" w:hAnsi="宋体" w:cs="宋体" w:eastAsia="宋体" w:hint="default"/>
          <w:b/>
          <w:bCs/>
          <w:spacing w:val="-119"/>
          <w:w w:val="99"/>
          <w:sz w:val="24"/>
          <w:szCs w:val="24"/>
        </w:rPr>
        <w:t>）</w:t>
      </w:r>
      <w:r>
        <w:rPr>
          <w:rFonts w:ascii="宋体" w:hAnsi="宋体" w:cs="宋体" w:eastAsia="宋体" w:hint="default"/>
          <w:b/>
          <w:bCs/>
          <w:w w:val="99"/>
          <w:sz w:val="24"/>
          <w:szCs w:val="24"/>
        </w:rPr>
        <w:t>》第十七条所列的重大事项。</w:t>
      </w:r>
      <w:r>
        <w:rPr>
          <w:rFonts w:ascii="宋体" w:hAnsi="宋体" w:cs="宋体" w:eastAsia="宋体" w:hint="default"/>
          <w:sz w:val="24"/>
          <w:szCs w:val="24"/>
        </w:rPr>
      </w:r>
    </w:p>
    <w:p>
      <w:pPr>
        <w:spacing w:before="58"/>
        <w:ind w:left="725" w:right="131" w:firstLine="0"/>
        <w:jc w:val="left"/>
        <w:rPr>
          <w:rFonts w:ascii="宋体" w:hAnsi="宋体" w:cs="宋体" w:eastAsia="宋体" w:hint="default"/>
          <w:sz w:val="24"/>
          <w:szCs w:val="24"/>
        </w:rPr>
      </w:pPr>
      <w:r>
        <w:rPr>
          <w:rFonts w:ascii="宋体" w:hAnsi="宋体" w:cs="宋体" w:eastAsia="宋体" w:hint="default"/>
          <w:b/>
          <w:bCs/>
          <w:sz w:val="24"/>
          <w:szCs w:val="24"/>
        </w:rPr>
        <w:t>十二、报告期内，发生一笔违规买卖股票的情况</w:t>
      </w:r>
      <w:r>
        <w:rPr>
          <w:rFonts w:ascii="宋体" w:hAnsi="宋体" w:cs="宋体" w:eastAsia="宋体" w:hint="default"/>
          <w:sz w:val="24"/>
          <w:szCs w:val="24"/>
        </w:rPr>
      </w:r>
    </w:p>
    <w:p>
      <w:pPr>
        <w:pStyle w:val="BodyText"/>
        <w:spacing w:line="240" w:lineRule="auto" w:before="158"/>
        <w:ind w:left="734" w:right="131"/>
        <w:jc w:val="left"/>
      </w:pP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rPr>
        <w:t>19  </w:t>
      </w:r>
      <w:r>
        <w:rPr>
          <w:spacing w:val="-9"/>
        </w:rPr>
        <w:t>日，赵玉梅女士在买入其他公司股票时，因操作失误，操作成买入</w:t>
      </w:r>
      <w:r>
        <w:rPr>
          <w:spacing w:val="-42"/>
        </w:rPr>
        <w:t> </w:t>
      </w:r>
      <w:r>
        <w:rPr/>
        <w:t>“深</w:t>
      </w:r>
    </w:p>
    <w:p>
      <w:pPr>
        <w:pStyle w:val="BodyText"/>
        <w:spacing w:line="240" w:lineRule="auto" w:before="67"/>
        <w:ind w:left="254" w:right="0"/>
        <w:jc w:val="both"/>
      </w:pPr>
      <w:r>
        <w:rPr/>
        <w:t>圳惠程”股票 </w:t>
      </w:r>
      <w:r>
        <w:rPr>
          <w:rFonts w:ascii="Times New Roman" w:hAnsi="Times New Roman" w:cs="Times New Roman" w:eastAsia="Times New Roman" w:hint="default"/>
        </w:rPr>
        <w:t>3,000  </w:t>
      </w:r>
      <w:r>
        <w:rPr/>
        <w:t>股，待发现操作失误后立即撤销，但已成交。该笔交易价格为 </w:t>
      </w:r>
      <w:r>
        <w:rPr>
          <w:rFonts w:ascii="Times New Roman" w:hAnsi="Times New Roman" w:cs="Times New Roman" w:eastAsia="Times New Roman" w:hint="default"/>
        </w:rPr>
        <w:t>21.55</w:t>
      </w:r>
      <w:r>
        <w:rPr>
          <w:rFonts w:ascii="Times New Roman" w:hAnsi="Times New Roman" w:cs="Times New Roman" w:eastAsia="Times New Roman" w:hint="default"/>
          <w:spacing w:val="-23"/>
        </w:rPr>
        <w:t> </w:t>
      </w:r>
      <w:r>
        <w:rPr/>
        <w:t>元</w:t>
      </w:r>
    </w:p>
    <w:p>
      <w:pPr>
        <w:pStyle w:val="BodyText"/>
        <w:spacing w:line="297" w:lineRule="auto" w:before="67"/>
        <w:ind w:left="254" w:right="111"/>
        <w:jc w:val="both"/>
      </w:pPr>
      <w:r>
        <w:rPr>
          <w:rFonts w:ascii="Times New Roman" w:hAnsi="Times New Roman" w:cs="Times New Roman" w:eastAsia="Times New Roman" w:hint="default"/>
        </w:rPr>
        <w:t>/</w:t>
      </w:r>
      <w:r>
        <w:rPr/>
        <w:t>股，交易金额为人民币 </w:t>
      </w:r>
      <w:r>
        <w:rPr>
          <w:rFonts w:ascii="Times New Roman" w:hAnsi="Times New Roman" w:cs="Times New Roman" w:eastAsia="Times New Roman" w:hint="default"/>
        </w:rPr>
        <w:t>64,650 </w:t>
      </w:r>
      <w:r>
        <w:rPr/>
        <w:t>元。公司拟于</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21 </w:t>
      </w:r>
      <w:r>
        <w:rPr/>
        <w:t>日披露</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年第一季度报告， 赵玉梅女士由于操作失误在定期报告窗口期买卖本公司股票行为所形成的事实违反了《深证</w:t>
      </w:r>
      <w:r>
        <w:rPr>
          <w:spacing w:val="-83"/>
        </w:rPr>
        <w:t> </w:t>
      </w:r>
      <w:r>
        <w:rPr>
          <w:spacing w:val="-83"/>
        </w:rPr>
      </w:r>
      <w:r>
        <w:rPr>
          <w:spacing w:val="-4"/>
        </w:rPr>
        <w:t>证券交易所股票上市规则》第</w:t>
      </w:r>
      <w:r>
        <w:rPr/>
        <w:t> </w:t>
      </w:r>
      <w:r>
        <w:rPr>
          <w:rFonts w:ascii="Times New Roman" w:hAnsi="Times New Roman" w:cs="Times New Roman" w:eastAsia="Times New Roman" w:hint="default"/>
        </w:rPr>
        <w:t>3.1.8</w:t>
      </w:r>
      <w:r>
        <w:rPr>
          <w:rFonts w:ascii="Times New Roman" w:hAnsi="Times New Roman" w:cs="Times New Roman" w:eastAsia="Times New Roman" w:hint="default"/>
          <w:spacing w:val="-28"/>
        </w:rPr>
        <w:t> </w:t>
      </w:r>
      <w:r>
        <w:rPr>
          <w:spacing w:val="-7"/>
        </w:rPr>
        <w:t>条、《深圳证券交易所中小企业板上市公司规范运作指引》</w:t>
      </w:r>
    </w:p>
    <w:p>
      <w:pPr>
        <w:pStyle w:val="BodyText"/>
        <w:spacing w:line="240" w:lineRule="auto" w:before="3"/>
        <w:ind w:left="254" w:right="0"/>
        <w:jc w:val="both"/>
      </w:pPr>
      <w:r>
        <w:rPr/>
        <w:t>第</w:t>
      </w:r>
      <w:r>
        <w:rPr>
          <w:spacing w:val="1"/>
        </w:rPr>
        <w:t> </w:t>
      </w:r>
      <w:r>
        <w:rPr>
          <w:rFonts w:ascii="Times New Roman" w:hAnsi="Times New Roman" w:cs="Times New Roman" w:eastAsia="Times New Roman" w:hint="default"/>
        </w:rPr>
        <w:t>3.8.16 </w:t>
      </w:r>
      <w:r>
        <w:rPr>
          <w:rFonts w:ascii="Times New Roman" w:hAnsi="Times New Roman" w:cs="Times New Roman" w:eastAsia="Times New Roman" w:hint="default"/>
          <w:spacing w:val="1"/>
        </w:rPr>
        <w:t> </w:t>
      </w:r>
      <w:r>
        <w:rPr>
          <w:spacing w:val="1"/>
        </w:rPr>
        <w:t>条</w:t>
      </w:r>
      <w:r>
        <w:rPr>
          <w:spacing w:val="-119"/>
        </w:rPr>
        <w:t>、</w:t>
      </w:r>
      <w:r>
        <w:rPr>
          <w:spacing w:val="1"/>
        </w:rPr>
        <w:t>《深圳证券交易所上市公司董事、监事</w:t>
      </w:r>
      <w:r>
        <w:rPr>
          <w:spacing w:val="-1"/>
        </w:rPr>
        <w:t>和</w:t>
      </w:r>
      <w:r>
        <w:rPr>
          <w:spacing w:val="1"/>
        </w:rPr>
        <w:t>高级管理人员所持本公司股份及其变</w:t>
      </w:r>
      <w:r>
        <w:rPr/>
      </w:r>
    </w:p>
    <w:p>
      <w:pPr>
        <w:pStyle w:val="BodyText"/>
        <w:spacing w:line="288" w:lineRule="auto" w:before="68"/>
        <w:ind w:left="254" w:right="212"/>
        <w:jc w:val="left"/>
      </w:pPr>
      <w:r>
        <w:rPr>
          <w:spacing w:val="-4"/>
        </w:rPr>
        <w:t>动管理业务指引》第</w:t>
      </w:r>
      <w:r>
        <w:rPr>
          <w:spacing w:val="-83"/>
        </w:rPr>
        <w:t> </w:t>
      </w:r>
      <w:r>
        <w:rPr>
          <w:rFonts w:ascii="Times New Roman" w:hAnsi="Times New Roman" w:cs="Times New Roman" w:eastAsia="Times New Roman" w:hint="default"/>
        </w:rPr>
        <w:t>19</w:t>
      </w:r>
      <w:r>
        <w:rPr>
          <w:rFonts w:ascii="Times New Roman" w:hAnsi="Times New Roman" w:cs="Times New Roman" w:eastAsia="Times New Roman" w:hint="default"/>
          <w:spacing w:val="-23"/>
        </w:rPr>
        <w:t> </w:t>
      </w:r>
      <w:r>
        <w:rPr/>
        <w:t>条及本公司制定的《公司董事、监事和高级管理人员买卖本公司股票 </w:t>
      </w:r>
      <w:r>
        <w:rPr>
          <w:spacing w:val="-18"/>
        </w:rPr>
        <w:t>的管理制度》。</w:t>
      </w:r>
    </w:p>
    <w:p>
      <w:pPr>
        <w:pStyle w:val="BodyText"/>
        <w:spacing w:line="302" w:lineRule="auto" w:before="109"/>
        <w:ind w:left="254" w:right="228" w:firstLine="480"/>
        <w:jc w:val="both"/>
      </w:pPr>
      <w:r>
        <w:rPr/>
        <w:t>在得悉此事件发生后，公司领导极为重视，对赵玉梅女士进行了严厉的批评。按其与公</w:t>
      </w:r>
      <w:r>
        <w:rPr>
          <w:spacing w:val="1"/>
        </w:rPr>
        <w:t> </w:t>
      </w:r>
      <w:r>
        <w:rPr/>
        <w:t>司签署的《公司董事、监事、高管关于买卖本公司股票的承诺函》的违规处罚条款，赵玉梅</w:t>
      </w:r>
      <w:r>
        <w:rPr>
          <w:spacing w:val="-83"/>
        </w:rPr>
        <w:t> </w:t>
      </w:r>
      <w:r>
        <w:rPr>
          <w:spacing w:val="-83"/>
        </w:rPr>
      </w:r>
      <w:r>
        <w:rPr/>
        <w:t>监事上缴买入股票的金额人民币 </w:t>
      </w:r>
      <w:r>
        <w:rPr>
          <w:rFonts w:ascii="Times New Roman" w:hAnsi="Times New Roman" w:cs="Times New Roman" w:eastAsia="Times New Roman" w:hint="default"/>
        </w:rPr>
        <w:t>64,650 </w:t>
      </w:r>
      <w:r>
        <w:rPr/>
        <w:t>元作为罚金作为惩戒。为引以为戒，公司已经与公</w:t>
      </w:r>
      <w:r>
        <w:rPr>
          <w:spacing w:val="-104"/>
        </w:rPr>
        <w:t> </w:t>
      </w:r>
      <w:r>
        <w:rPr/>
        <w:t>司董事、监事、高管重新签署承诺书，公司董事、监事、高管及其亲属再次发生违规买卖公</w:t>
      </w:r>
      <w:r>
        <w:rPr>
          <w:spacing w:val="-83"/>
        </w:rPr>
        <w:t> </w:t>
      </w:r>
      <w:r>
        <w:rPr>
          <w:spacing w:val="-83"/>
        </w:rPr>
      </w:r>
      <w:r>
        <w:rPr/>
        <w:t>司股票的行为将按买卖金额的双倍向公司缴纳罚金，作为惩戒。</w:t>
      </w:r>
    </w:p>
    <w:p>
      <w:pPr>
        <w:spacing w:line="360" w:lineRule="auto" w:before="95"/>
        <w:ind w:left="734" w:right="131" w:firstLine="2"/>
        <w:jc w:val="left"/>
        <w:rPr>
          <w:rFonts w:ascii="宋体" w:hAnsi="宋体" w:cs="宋体" w:eastAsia="宋体" w:hint="default"/>
          <w:sz w:val="24"/>
          <w:szCs w:val="24"/>
        </w:rPr>
      </w:pPr>
      <w:r>
        <w:rPr>
          <w:rFonts w:ascii="宋体" w:hAnsi="宋体" w:cs="宋体" w:eastAsia="宋体" w:hint="default"/>
          <w:b/>
          <w:bCs/>
          <w:sz w:val="24"/>
          <w:szCs w:val="24"/>
        </w:rPr>
        <w:t>十三、报告期内公司及相关当事人受到深交所通报批评一次</w:t>
      </w:r>
      <w:r>
        <w:rPr>
          <w:rFonts w:ascii="宋体" w:hAnsi="宋体" w:cs="宋体" w:eastAsia="宋体" w:hint="default"/>
          <w:b/>
          <w:bCs/>
          <w:w w:val="99"/>
          <w:sz w:val="24"/>
          <w:szCs w:val="24"/>
        </w:rPr>
        <w:t> </w:t>
      </w:r>
      <w:r>
        <w:rPr>
          <w:rFonts w:ascii="宋体" w:hAnsi="宋体" w:cs="宋体" w:eastAsia="宋体" w:hint="default"/>
          <w:spacing w:val="-6"/>
          <w:sz w:val="24"/>
          <w:szCs w:val="24"/>
        </w:rPr>
        <w:t>公司非公开发行股票的募集资金投资项目“高性能耐热聚酰亚胺纤维产业化项目”，是以</w:t>
      </w:r>
    </w:p>
    <w:p>
      <w:pPr>
        <w:pStyle w:val="BodyText"/>
        <w:spacing w:line="281" w:lineRule="exact"/>
        <w:ind w:left="254" w:right="0"/>
        <w:jc w:val="both"/>
      </w:pPr>
      <w:r>
        <w:rPr/>
        <w:t>公司控股子公司长春高琦聚酰亚胺材料有限公司的全资子公司吉林高琦聚酰亚胺材料有限公</w:t>
      </w:r>
    </w:p>
    <w:p>
      <w:pPr>
        <w:pStyle w:val="BodyText"/>
        <w:spacing w:line="304" w:lineRule="auto" w:before="85"/>
        <w:ind w:left="254" w:right="215"/>
        <w:jc w:val="left"/>
      </w:pPr>
      <w:r>
        <w:rPr>
          <w:spacing w:val="-5"/>
        </w:rPr>
        <w:t>司（以下简称“吉林高琦”）为实施主体，吉林高琦在中国银行吉林市分行开设了募集资金专</w:t>
      </w:r>
      <w:r>
        <w:rPr/>
        <w:t> 项账户。吉林高琦自</w:t>
      </w:r>
      <w:r>
        <w:rPr>
          <w:spacing w:val="-56"/>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4"/>
        </w:rPr>
        <w:t> </w:t>
      </w:r>
      <w:r>
        <w:rPr/>
        <w:t>年</w:t>
      </w:r>
      <w:r>
        <w:rPr>
          <w:spacing w:val="-57"/>
        </w:rPr>
        <w:t> </w:t>
      </w:r>
      <w:r>
        <w:rPr>
          <w:rFonts w:ascii="Times New Roman" w:hAnsi="Times New Roman" w:cs="Times New Roman" w:eastAsia="Times New Roman" w:hint="default"/>
        </w:rPr>
        <w:t>3</w:t>
      </w:r>
      <w:r>
        <w:rPr>
          <w:rFonts w:ascii="Times New Roman" w:hAnsi="Times New Roman" w:cs="Times New Roman" w:eastAsia="Times New Roman" w:hint="default"/>
          <w:spacing w:val="4"/>
        </w:rPr>
        <w:t> </w:t>
      </w:r>
      <w:r>
        <w:rPr/>
        <w:t>月</w:t>
      </w:r>
      <w:r>
        <w:rPr>
          <w:spacing w:val="-57"/>
        </w:rPr>
        <w:t> </w:t>
      </w:r>
      <w:r>
        <w:rPr>
          <w:rFonts w:ascii="Times New Roman" w:hAnsi="Times New Roman" w:cs="Times New Roman" w:eastAsia="Times New Roman" w:hint="default"/>
        </w:rPr>
        <w:t>25</w:t>
      </w:r>
      <w:r>
        <w:rPr>
          <w:rFonts w:ascii="Times New Roman" w:hAnsi="Times New Roman" w:cs="Times New Roman" w:eastAsia="Times New Roman" w:hint="default"/>
          <w:spacing w:val="4"/>
        </w:rPr>
        <w:t> </w:t>
      </w:r>
      <w:r>
        <w:rPr/>
        <w:t>日开始，先后五次动用闲置募集资金购买了中国银行吉</w:t>
      </w:r>
    </w:p>
    <w:p>
      <w:pPr>
        <w:pStyle w:val="BodyText"/>
        <w:spacing w:line="288" w:lineRule="auto"/>
        <w:ind w:left="253" w:right="213"/>
        <w:jc w:val="left"/>
      </w:pPr>
      <w:r>
        <w:rPr/>
        <w:t>林市分行推出的保本型理财产品，最高金额为 </w:t>
      </w:r>
      <w:r>
        <w:rPr>
          <w:rFonts w:ascii="Times New Roman" w:hAnsi="Times New Roman" w:cs="Times New Roman" w:eastAsia="Times New Roman" w:hint="default"/>
        </w:rPr>
        <w:t>2.8</w:t>
      </w:r>
      <w:r>
        <w:rPr>
          <w:rFonts w:ascii="Times New Roman" w:hAnsi="Times New Roman" w:cs="Times New Roman" w:eastAsia="Times New Roman" w:hint="default"/>
          <w:spacing w:val="38"/>
        </w:rPr>
        <w:t> </w:t>
      </w:r>
      <w:r>
        <w:rPr/>
        <w:t>亿元，公司未及时履行相关审批程序和信 息披露义务。</w:t>
      </w:r>
    </w:p>
    <w:p>
      <w:pPr>
        <w:spacing w:after="0" w:line="288" w:lineRule="auto"/>
        <w:jc w:val="left"/>
        <w:sectPr>
          <w:pgSz w:w="11910" w:h="16840"/>
          <w:pgMar w:header="0" w:footer="711" w:top="1040" w:bottom="900" w:left="880" w:right="900"/>
        </w:sectPr>
      </w:pPr>
    </w:p>
    <w:p>
      <w:pPr>
        <w:spacing w:line="240" w:lineRule="auto" w:before="0"/>
        <w:rPr>
          <w:rFonts w:ascii="宋体" w:hAnsi="宋体" w:cs="宋体" w:eastAsia="宋体" w:hint="default"/>
          <w:sz w:val="20"/>
          <w:szCs w:val="20"/>
        </w:rPr>
      </w:pPr>
    </w:p>
    <w:p>
      <w:pPr>
        <w:pStyle w:val="BodyText"/>
        <w:spacing w:line="295" w:lineRule="auto" w:before="160"/>
        <w:ind w:left="254" w:right="96" w:firstLine="480"/>
        <w:jc w:val="left"/>
      </w:pPr>
      <w:r>
        <w:rPr/>
        <w:t>公司的上述行为违反了本所《股票上市规则（</w:t>
      </w:r>
      <w:r>
        <w:rPr>
          <w:rFonts w:ascii="Times New Roman" w:hAnsi="Times New Roman" w:cs="Times New Roman" w:eastAsia="Times New Roman" w:hint="default"/>
        </w:rPr>
        <w:t>2008 </w:t>
      </w:r>
      <w:r>
        <w:rPr>
          <w:spacing w:val="-20"/>
        </w:rPr>
        <w:t>年修订）》第</w:t>
      </w:r>
      <w:r>
        <w:rPr/>
        <w:t> </w:t>
      </w:r>
      <w:r>
        <w:rPr>
          <w:rFonts w:ascii="Times New Roman" w:hAnsi="Times New Roman" w:cs="Times New Roman" w:eastAsia="Times New Roman" w:hint="default"/>
        </w:rPr>
        <w:t>1.4</w:t>
      </w:r>
      <w:r>
        <w:rPr>
          <w:rFonts w:ascii="Times New Roman" w:hAnsi="Times New Roman" w:cs="Times New Roman" w:eastAsia="Times New Roman" w:hint="default"/>
          <w:spacing w:val="-18"/>
        </w:rPr>
        <w:t> </w:t>
      </w:r>
      <w:r>
        <w:rPr>
          <w:spacing w:val="-14"/>
        </w:rPr>
        <w:t>条、《中小企业板上</w:t>
      </w:r>
      <w:r>
        <w:rPr/>
        <w:t> 市公司规范运作指引》第</w:t>
      </w:r>
      <w:r>
        <w:rPr>
          <w:spacing w:val="-51"/>
        </w:rPr>
        <w:t> </w:t>
      </w:r>
      <w:r>
        <w:rPr>
          <w:rFonts w:ascii="Times New Roman" w:hAnsi="Times New Roman" w:cs="Times New Roman" w:eastAsia="Times New Roman" w:hint="default"/>
        </w:rPr>
        <w:t>6.3.1</w:t>
      </w:r>
      <w:r>
        <w:rPr>
          <w:rFonts w:ascii="Times New Roman" w:hAnsi="Times New Roman" w:cs="Times New Roman" w:eastAsia="Times New Roman" w:hint="default"/>
          <w:spacing w:val="9"/>
        </w:rPr>
        <w:t> </w:t>
      </w:r>
      <w:r>
        <w:rPr/>
        <w:t>条、第</w:t>
      </w:r>
      <w:r>
        <w:rPr>
          <w:spacing w:val="-51"/>
        </w:rPr>
        <w:t> </w:t>
      </w:r>
      <w:r>
        <w:rPr>
          <w:rFonts w:ascii="Times New Roman" w:hAnsi="Times New Roman" w:cs="Times New Roman" w:eastAsia="Times New Roman" w:hint="default"/>
        </w:rPr>
        <w:t>6.3.2</w:t>
      </w:r>
      <w:r>
        <w:rPr>
          <w:rFonts w:ascii="Times New Roman" w:hAnsi="Times New Roman" w:cs="Times New Roman" w:eastAsia="Times New Roman" w:hint="default"/>
          <w:spacing w:val="9"/>
        </w:rPr>
        <w:t> </w:t>
      </w:r>
      <w:r>
        <w:rPr/>
        <w:t>条的相关规定。公司董事长吕晓义、时任财务总 监匡晓明和现任财务总监刘心未能恪尽职守、履行诚信勤勉义务，违反了本所《股票上市规</w:t>
      </w:r>
      <w:r>
        <w:rPr>
          <w:spacing w:val="-83"/>
        </w:rPr>
        <w:t> </w:t>
      </w:r>
      <w:r>
        <w:rPr>
          <w:spacing w:val="-83"/>
        </w:rPr>
      </w:r>
      <w:r>
        <w:rPr>
          <w:spacing w:val="-3"/>
        </w:rPr>
        <w:t>则（</w:t>
      </w:r>
      <w:r>
        <w:rPr>
          <w:rFonts w:ascii="Times New Roman" w:hAnsi="Times New Roman" w:cs="Times New Roman" w:eastAsia="Times New Roman" w:hint="default"/>
          <w:spacing w:val="-3"/>
        </w:rPr>
        <w:t>2008</w:t>
      </w:r>
      <w:r>
        <w:rPr>
          <w:rFonts w:ascii="Times New Roman" w:hAnsi="Times New Roman" w:cs="Times New Roman" w:eastAsia="Times New Roman" w:hint="default"/>
        </w:rPr>
        <w:t> </w:t>
      </w:r>
      <w:r>
        <w:rPr>
          <w:spacing w:val="-23"/>
        </w:rPr>
        <w:t>年修订）》第</w:t>
      </w:r>
      <w:r>
        <w:rPr>
          <w:spacing w:val="-60"/>
        </w:rPr>
        <w:t> </w:t>
      </w:r>
      <w:r>
        <w:rPr>
          <w:rFonts w:ascii="Times New Roman" w:hAnsi="Times New Roman" w:cs="Times New Roman" w:eastAsia="Times New Roman" w:hint="default"/>
        </w:rPr>
        <w:t>2.2 </w:t>
      </w:r>
      <w:r>
        <w:rPr>
          <w:spacing w:val="-6"/>
        </w:rPr>
        <w:t>条、第</w:t>
      </w:r>
      <w:r>
        <w:rPr>
          <w:spacing w:val="-60"/>
        </w:rPr>
        <w:t> </w:t>
      </w:r>
      <w:r>
        <w:rPr>
          <w:rFonts w:ascii="Times New Roman" w:hAnsi="Times New Roman" w:cs="Times New Roman" w:eastAsia="Times New Roman" w:hint="default"/>
        </w:rPr>
        <w:t>3.1.5 </w:t>
      </w:r>
      <w:r>
        <w:rPr>
          <w:spacing w:val="-6"/>
        </w:rPr>
        <w:t>条、第</w:t>
      </w:r>
      <w:r>
        <w:rPr>
          <w:spacing w:val="-60"/>
        </w:rPr>
        <w:t> </w:t>
      </w:r>
      <w:r>
        <w:rPr>
          <w:rFonts w:ascii="Times New Roman" w:hAnsi="Times New Roman" w:cs="Times New Roman" w:eastAsia="Times New Roman" w:hint="default"/>
        </w:rPr>
        <w:t>3.1.6 </w:t>
      </w:r>
      <w:r>
        <w:rPr>
          <w:spacing w:val="-1"/>
        </w:rPr>
        <w:t>条的规定，对深圳惠程上述违规行为负有</w:t>
      </w:r>
      <w:r>
        <w:rPr/>
        <w:t> 重要责任。鉴于公司及有关当事人的上述违规事实和情节，并考虑到公司主动报告上述违规</w:t>
      </w:r>
      <w:r>
        <w:rPr>
          <w:spacing w:val="-83"/>
        </w:rPr>
        <w:t> </w:t>
      </w:r>
      <w:r>
        <w:rPr>
          <w:spacing w:val="-83"/>
        </w:rPr>
      </w:r>
      <w:r>
        <w:rPr/>
        <w:t>行为，积极采取整改措施，立即收回上述募集资金存入专户，且更换了存放募集资金的相关</w:t>
      </w:r>
      <w:r>
        <w:rPr>
          <w:spacing w:val="-83"/>
        </w:rPr>
        <w:t> </w:t>
      </w:r>
      <w:r>
        <w:rPr>
          <w:spacing w:val="-83"/>
        </w:rPr>
      </w:r>
      <w:r>
        <w:rPr>
          <w:spacing w:val="-5"/>
        </w:rPr>
        <w:t>商业银行等因素，根据深交所《股票上市规则（</w:t>
      </w:r>
      <w:r>
        <w:rPr>
          <w:rFonts w:ascii="Times New Roman" w:hAnsi="Times New Roman" w:cs="Times New Roman" w:eastAsia="Times New Roman" w:hint="default"/>
          <w:spacing w:val="-5"/>
        </w:rPr>
        <w:t>2008</w:t>
      </w:r>
      <w:r>
        <w:rPr>
          <w:rFonts w:ascii="Times New Roman" w:hAnsi="Times New Roman" w:cs="Times New Roman" w:eastAsia="Times New Roman" w:hint="default"/>
          <w:spacing w:val="3"/>
        </w:rPr>
        <w:t> </w:t>
      </w:r>
      <w:r>
        <w:rPr>
          <w:spacing w:val="-26"/>
        </w:rPr>
        <w:t>年修订）》第</w:t>
      </w:r>
      <w:r>
        <w:rPr>
          <w:spacing w:val="-57"/>
        </w:rPr>
        <w:t> </w:t>
      </w:r>
      <w:r>
        <w:rPr>
          <w:rFonts w:ascii="Times New Roman" w:hAnsi="Times New Roman" w:cs="Times New Roman" w:eastAsia="Times New Roman" w:hint="default"/>
        </w:rPr>
        <w:t>17.2</w:t>
      </w:r>
      <w:r>
        <w:rPr>
          <w:rFonts w:ascii="Times New Roman" w:hAnsi="Times New Roman" w:cs="Times New Roman" w:eastAsia="Times New Roman" w:hint="default"/>
          <w:spacing w:val="3"/>
        </w:rPr>
        <w:t> </w:t>
      </w:r>
      <w:r>
        <w:rPr/>
        <w:t>条和第</w:t>
      </w:r>
      <w:r>
        <w:rPr>
          <w:spacing w:val="-57"/>
        </w:rPr>
        <w:t> </w:t>
      </w:r>
      <w:r>
        <w:rPr>
          <w:rFonts w:ascii="Times New Roman" w:hAnsi="Times New Roman" w:cs="Times New Roman" w:eastAsia="Times New Roman" w:hint="default"/>
        </w:rPr>
        <w:t>17.3</w:t>
      </w:r>
      <w:r>
        <w:rPr>
          <w:rFonts w:ascii="Times New Roman" w:hAnsi="Times New Roman" w:cs="Times New Roman" w:eastAsia="Times New Roman" w:hint="default"/>
          <w:spacing w:val="3"/>
        </w:rPr>
        <w:t> </w:t>
      </w:r>
      <w:r>
        <w:rPr/>
        <w:t>条的规定， 作出如下处分决定：</w:t>
      </w:r>
    </w:p>
    <w:p>
      <w:pPr>
        <w:pStyle w:val="BodyText"/>
        <w:spacing w:line="336" w:lineRule="auto" w:before="71"/>
        <w:ind w:left="734" w:right="131"/>
        <w:jc w:val="left"/>
      </w:pPr>
      <w:r>
        <w:rPr/>
        <w:t>一、对深圳惠程给予通报批评处分； 二、对深圳惠程董事长吕晓义、时任财务总监匡晓明和现任财务总监刘心给予通报批评</w:t>
      </w:r>
    </w:p>
    <w:p>
      <w:pPr>
        <w:pStyle w:val="BodyText"/>
        <w:spacing w:line="304" w:lineRule="exact"/>
        <w:ind w:left="254" w:right="131"/>
        <w:jc w:val="left"/>
      </w:pPr>
      <w:r>
        <w:rPr/>
        <w:t>处分。</w:t>
      </w:r>
    </w:p>
    <w:p>
      <w:pPr>
        <w:spacing w:before="126"/>
        <w:ind w:left="725" w:right="131" w:firstLine="0"/>
        <w:jc w:val="left"/>
        <w:rPr>
          <w:rFonts w:ascii="宋体" w:hAnsi="宋体" w:cs="宋体" w:eastAsia="宋体" w:hint="default"/>
          <w:sz w:val="24"/>
          <w:szCs w:val="24"/>
        </w:rPr>
      </w:pPr>
      <w:r>
        <w:rPr>
          <w:rFonts w:ascii="宋体" w:hAnsi="宋体" w:cs="宋体" w:eastAsia="宋体" w:hint="default"/>
          <w:b/>
          <w:bCs/>
          <w:sz w:val="24"/>
          <w:szCs w:val="24"/>
        </w:rPr>
        <w:t>十四、其他重大事项</w:t>
      </w:r>
      <w:r>
        <w:rPr>
          <w:rFonts w:ascii="宋体" w:hAnsi="宋体" w:cs="宋体" w:eastAsia="宋体" w:hint="default"/>
          <w:sz w:val="24"/>
          <w:szCs w:val="24"/>
        </w:rPr>
      </w:r>
    </w:p>
    <w:p>
      <w:pPr>
        <w:pStyle w:val="BodyText"/>
        <w:spacing w:line="240" w:lineRule="auto" w:before="125"/>
        <w:ind w:left="734" w:right="131"/>
        <w:jc w:val="left"/>
      </w:pPr>
      <w:r>
        <w:rPr/>
        <w:t>（一）报告期内，公司无参股商业银行、证券、保险、信托、期货等金融企业股权。</w:t>
      </w:r>
    </w:p>
    <w:p>
      <w:pPr>
        <w:spacing w:line="672" w:lineRule="auto" w:before="126"/>
        <w:ind w:left="725" w:right="3611" w:firstLine="8"/>
        <w:jc w:val="left"/>
        <w:rPr>
          <w:rFonts w:ascii="宋体" w:hAnsi="宋体" w:cs="宋体" w:eastAsia="宋体" w:hint="default"/>
          <w:sz w:val="24"/>
          <w:szCs w:val="24"/>
        </w:rPr>
      </w:pPr>
      <w:r>
        <w:rPr/>
        <w:pict>
          <v:shape style="position:absolute;margin-left:51.060001pt;margin-top:70.295898pt;width:493.45pt;height:352.75pt;mso-position-horizontal-relative:page;mso-position-vertical-relative:paragraph;z-index:22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02"/>
                    <w:gridCol w:w="1134"/>
                    <w:gridCol w:w="5527"/>
                    <w:gridCol w:w="2092"/>
                  </w:tblGrid>
                  <w:tr>
                    <w:trPr>
                      <w:trHeight w:val="362" w:hRule="exact"/>
                    </w:trPr>
                    <w:tc>
                      <w:tcPr>
                        <w:tcW w:w="1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公告编号</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43"/>
                          <w:jc w:val="right"/>
                          <w:rPr>
                            <w:rFonts w:ascii="宋体" w:hAnsi="宋体" w:cs="宋体" w:eastAsia="宋体" w:hint="default"/>
                            <w:sz w:val="21"/>
                            <w:szCs w:val="21"/>
                          </w:rPr>
                        </w:pPr>
                        <w:r>
                          <w:rPr>
                            <w:rFonts w:ascii="宋体" w:hAnsi="宋体" w:cs="宋体" w:eastAsia="宋体" w:hint="default"/>
                            <w:sz w:val="21"/>
                            <w:szCs w:val="21"/>
                          </w:rPr>
                          <w:t>披露日期</w:t>
                        </w:r>
                      </w:p>
                    </w:tc>
                    <w:tc>
                      <w:tcPr>
                        <w:tcW w:w="55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主要内容</w:t>
                        </w:r>
                      </w:p>
                    </w:tc>
                    <w:tc>
                      <w:tcPr>
                        <w:tcW w:w="20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620" w:right="0"/>
                          <w:jc w:val="left"/>
                          <w:rPr>
                            <w:rFonts w:ascii="宋体" w:hAnsi="宋体" w:cs="宋体" w:eastAsia="宋体" w:hint="default"/>
                            <w:sz w:val="21"/>
                            <w:szCs w:val="21"/>
                          </w:rPr>
                        </w:pPr>
                        <w:r>
                          <w:rPr>
                            <w:rFonts w:ascii="宋体" w:hAnsi="宋体" w:cs="宋体" w:eastAsia="宋体" w:hint="default"/>
                            <w:sz w:val="21"/>
                            <w:szCs w:val="21"/>
                          </w:rPr>
                          <w:t>披露媒体</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2011-001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45"/>
                          <w:jc w:val="right"/>
                          <w:rPr>
                            <w:rFonts w:ascii="Times New Roman" w:hAnsi="Times New Roman" w:cs="Times New Roman" w:eastAsia="Times New Roman" w:hint="default"/>
                            <w:sz w:val="18"/>
                            <w:szCs w:val="18"/>
                          </w:rPr>
                        </w:pPr>
                        <w:r>
                          <w:rPr>
                            <w:rFonts w:ascii="Times New Roman"/>
                            <w:spacing w:val="-1"/>
                            <w:w w:val="95"/>
                            <w:sz w:val="18"/>
                          </w:rPr>
                          <w:t>2011/1/6</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非公开发行股票发行情况报告书暨上市公告书摘要</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2011-002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45"/>
                          <w:jc w:val="right"/>
                          <w:rPr>
                            <w:rFonts w:ascii="Times New Roman" w:hAnsi="Times New Roman" w:cs="Times New Roman" w:eastAsia="Times New Roman" w:hint="default"/>
                            <w:sz w:val="18"/>
                            <w:szCs w:val="18"/>
                          </w:rPr>
                        </w:pPr>
                        <w:r>
                          <w:rPr>
                            <w:rFonts w:ascii="Times New Roman"/>
                            <w:spacing w:val="-1"/>
                            <w:w w:val="95"/>
                            <w:sz w:val="18"/>
                          </w:rPr>
                          <w:t>2011/1/8</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第三届董事会第二十二次会议决议公告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2011-003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45"/>
                          <w:jc w:val="right"/>
                          <w:rPr>
                            <w:rFonts w:ascii="Times New Roman" w:hAnsi="Times New Roman" w:cs="Times New Roman" w:eastAsia="Times New Roman" w:hint="default"/>
                            <w:sz w:val="18"/>
                            <w:szCs w:val="18"/>
                          </w:rPr>
                        </w:pPr>
                        <w:r>
                          <w:rPr>
                            <w:rFonts w:ascii="Times New Roman"/>
                            <w:spacing w:val="-1"/>
                            <w:w w:val="95"/>
                            <w:sz w:val="18"/>
                          </w:rPr>
                          <w:t>2011/1/8</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年第一次临时股东大会通知</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2011-004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45"/>
                          <w:jc w:val="right"/>
                          <w:rPr>
                            <w:rFonts w:ascii="Times New Roman" w:hAnsi="Times New Roman" w:cs="Times New Roman" w:eastAsia="Times New Roman" w:hint="default"/>
                            <w:sz w:val="18"/>
                            <w:szCs w:val="18"/>
                          </w:rPr>
                        </w:pPr>
                        <w:r>
                          <w:rPr>
                            <w:rFonts w:ascii="Times New Roman"/>
                            <w:spacing w:val="-1"/>
                            <w:w w:val="95"/>
                            <w:sz w:val="18"/>
                          </w:rPr>
                          <w:t>2011/1/8</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关于更换保荐代表人的公告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2011-005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45"/>
                          <w:jc w:val="right"/>
                          <w:rPr>
                            <w:rFonts w:ascii="Times New Roman" w:hAnsi="Times New Roman" w:cs="Times New Roman" w:eastAsia="Times New Roman" w:hint="default"/>
                            <w:sz w:val="18"/>
                            <w:szCs w:val="18"/>
                          </w:rPr>
                        </w:pPr>
                        <w:r>
                          <w:rPr>
                            <w:rFonts w:ascii="Times New Roman"/>
                            <w:spacing w:val="-1"/>
                            <w:w w:val="95"/>
                            <w:sz w:val="18"/>
                          </w:rPr>
                          <w:t>2011/1/8</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关于签订募集资金三方监管协议的公告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2011-006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9"/>
                          <w:jc w:val="right"/>
                          <w:rPr>
                            <w:rFonts w:ascii="Times New Roman" w:hAnsi="Times New Roman" w:cs="Times New Roman" w:eastAsia="Times New Roman" w:hint="default"/>
                            <w:sz w:val="18"/>
                            <w:szCs w:val="18"/>
                          </w:rPr>
                        </w:pPr>
                        <w:r>
                          <w:rPr>
                            <w:rFonts w:ascii="Times New Roman"/>
                            <w:spacing w:val="-1"/>
                            <w:sz w:val="18"/>
                          </w:rPr>
                          <w:t>2011/1/26</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第三届董事会第二十三次会议决议公告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2011-007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9"/>
                          <w:jc w:val="right"/>
                          <w:rPr>
                            <w:rFonts w:ascii="Times New Roman" w:hAnsi="Times New Roman" w:cs="Times New Roman" w:eastAsia="Times New Roman" w:hint="default"/>
                            <w:sz w:val="18"/>
                            <w:szCs w:val="18"/>
                          </w:rPr>
                        </w:pPr>
                        <w:r>
                          <w:rPr>
                            <w:rFonts w:ascii="Times New Roman"/>
                            <w:spacing w:val="-1"/>
                            <w:sz w:val="18"/>
                          </w:rPr>
                          <w:t>2011/1/26</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关于使用部分闲置集资金暂时补充流动资金的公告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2011-008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9"/>
                          <w:jc w:val="right"/>
                          <w:rPr>
                            <w:rFonts w:ascii="Times New Roman" w:hAnsi="Times New Roman" w:cs="Times New Roman" w:eastAsia="Times New Roman" w:hint="default"/>
                            <w:sz w:val="18"/>
                            <w:szCs w:val="18"/>
                          </w:rPr>
                        </w:pPr>
                        <w:r>
                          <w:rPr>
                            <w:rFonts w:ascii="Times New Roman"/>
                            <w:spacing w:val="-1"/>
                            <w:sz w:val="18"/>
                          </w:rPr>
                          <w:t>2011/1/26</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关于签订募集资金四方监管协议的公告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8"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2011-009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9"/>
                          <w:jc w:val="right"/>
                          <w:rPr>
                            <w:rFonts w:ascii="Times New Roman" w:hAnsi="Times New Roman" w:cs="Times New Roman" w:eastAsia="Times New Roman" w:hint="default"/>
                            <w:sz w:val="18"/>
                            <w:szCs w:val="18"/>
                          </w:rPr>
                        </w:pPr>
                        <w:r>
                          <w:rPr>
                            <w:rFonts w:ascii="Times New Roman"/>
                            <w:spacing w:val="-1"/>
                            <w:sz w:val="18"/>
                          </w:rPr>
                          <w:t>2011/1/26</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101"/>
                          <w:jc w:val="left"/>
                          <w:rPr>
                            <w:rFonts w:ascii="宋体" w:hAnsi="宋体" w:cs="宋体" w:eastAsia="宋体" w:hint="default"/>
                            <w:sz w:val="18"/>
                            <w:szCs w:val="18"/>
                          </w:rPr>
                        </w:pPr>
                        <w:r>
                          <w:rPr>
                            <w:rFonts w:ascii="宋体" w:hAnsi="宋体" w:cs="宋体" w:eastAsia="宋体" w:hint="default"/>
                            <w:spacing w:val="2"/>
                            <w:sz w:val="18"/>
                            <w:szCs w:val="18"/>
                          </w:rPr>
                          <w:t>公司向全资子公司增资进行新型动力及储能电池生产线建设项目公</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2011-010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99"/>
                          <w:jc w:val="right"/>
                          <w:rPr>
                            <w:rFonts w:ascii="Times New Roman" w:hAnsi="Times New Roman" w:cs="Times New Roman" w:eastAsia="Times New Roman" w:hint="default"/>
                            <w:sz w:val="18"/>
                            <w:szCs w:val="18"/>
                          </w:rPr>
                        </w:pPr>
                        <w:r>
                          <w:rPr>
                            <w:rFonts w:ascii="Times New Roman"/>
                            <w:spacing w:val="-1"/>
                            <w:sz w:val="18"/>
                          </w:rPr>
                          <w:t>2011/1/26</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第三届监事会第十二次会议决议公告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2011-011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99"/>
                          <w:jc w:val="right"/>
                          <w:rPr>
                            <w:rFonts w:ascii="Times New Roman" w:hAnsi="Times New Roman" w:cs="Times New Roman" w:eastAsia="Times New Roman" w:hint="default"/>
                            <w:sz w:val="18"/>
                            <w:szCs w:val="18"/>
                          </w:rPr>
                        </w:pPr>
                        <w:r>
                          <w:rPr>
                            <w:rFonts w:ascii="Times New Roman"/>
                            <w:spacing w:val="-1"/>
                            <w:sz w:val="18"/>
                          </w:rPr>
                          <w:t>2011/1/26</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年第一次临时股东大会决议公告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2011-012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99"/>
                          <w:jc w:val="right"/>
                          <w:rPr>
                            <w:rFonts w:ascii="Times New Roman" w:hAnsi="Times New Roman" w:cs="Times New Roman" w:eastAsia="Times New Roman" w:hint="default"/>
                            <w:sz w:val="18"/>
                            <w:szCs w:val="18"/>
                          </w:rPr>
                        </w:pPr>
                        <w:r>
                          <w:rPr>
                            <w:rFonts w:ascii="Times New Roman"/>
                            <w:spacing w:val="-1"/>
                            <w:sz w:val="18"/>
                          </w:rPr>
                          <w:t>2011/1/29</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宋体" w:hAnsi="宋体" w:cs="宋体" w:eastAsia="宋体" w:hint="default"/>
                            <w:sz w:val="18"/>
                            <w:szCs w:val="18"/>
                          </w:rPr>
                          <w:t>年业绩预告修正公告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bl>
                <w:p>
                  <w:pPr/>
                </w:p>
              </w:txbxContent>
            </v:textbox>
            <w10:wrap type="none"/>
          </v:shape>
        </w:pict>
      </w:r>
      <w:r>
        <w:rPr>
          <w:rFonts w:ascii="宋体" w:hAnsi="宋体" w:cs="宋体" w:eastAsia="宋体" w:hint="default"/>
          <w:sz w:val="24"/>
          <w:szCs w:val="24"/>
        </w:rPr>
        <w:t>（二）报告期内，公司无买卖其他上市公司股份的情况 </w:t>
      </w:r>
      <w:r>
        <w:rPr>
          <w:rFonts w:ascii="宋体" w:hAnsi="宋体" w:cs="宋体" w:eastAsia="宋体" w:hint="default"/>
          <w:b/>
          <w:bCs/>
          <w:sz w:val="24"/>
          <w:szCs w:val="24"/>
        </w:rPr>
        <w:t>十五、报告期内公司重要信息索引</w:t>
      </w:r>
      <w:r>
        <w:rPr>
          <w:rFonts w:ascii="宋体" w:hAnsi="宋体" w:cs="宋体" w:eastAsia="宋体" w:hint="default"/>
          <w:sz w:val="24"/>
          <w:szCs w:val="24"/>
        </w:rPr>
      </w:r>
    </w:p>
    <w:p>
      <w:pPr>
        <w:spacing w:after="0" w:line="672" w:lineRule="auto"/>
        <w:jc w:val="left"/>
        <w:rPr>
          <w:rFonts w:ascii="宋体" w:hAnsi="宋体" w:cs="宋体" w:eastAsia="宋体" w:hint="default"/>
          <w:sz w:val="24"/>
          <w:szCs w:val="24"/>
        </w:rPr>
        <w:sectPr>
          <w:pgSz w:w="11910" w:h="16840"/>
          <w:pgMar w:header="0" w:footer="711" w:top="1040" w:bottom="900" w:left="880" w:right="90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3"/>
          <w:szCs w:val="13"/>
        </w:rPr>
      </w:pPr>
    </w:p>
    <w:tbl>
      <w:tblPr>
        <w:tblW w:w="0" w:type="auto"/>
        <w:jc w:val="left"/>
        <w:tblInd w:w="141" w:type="dxa"/>
        <w:tblLayout w:type="fixed"/>
        <w:tblCellMar>
          <w:top w:w="0" w:type="dxa"/>
          <w:left w:w="0" w:type="dxa"/>
          <w:bottom w:w="0" w:type="dxa"/>
          <w:right w:w="0" w:type="dxa"/>
        </w:tblCellMar>
        <w:tblLook w:val="01E0"/>
      </w:tblPr>
      <w:tblGrid>
        <w:gridCol w:w="1102"/>
        <w:gridCol w:w="1134"/>
        <w:gridCol w:w="5527"/>
        <w:gridCol w:w="2092"/>
      </w:tblGrid>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3"/>
              <w:jc w:val="right"/>
              <w:rPr>
                <w:rFonts w:ascii="Times New Roman" w:hAnsi="Times New Roman" w:cs="Times New Roman" w:eastAsia="Times New Roman" w:hint="default"/>
                <w:sz w:val="18"/>
                <w:szCs w:val="18"/>
              </w:rPr>
            </w:pPr>
            <w:r>
              <w:rPr>
                <w:rFonts w:ascii="Times New Roman"/>
                <w:spacing w:val="-1"/>
                <w:w w:val="95"/>
                <w:sz w:val="18"/>
              </w:rPr>
              <w:t>2011-013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9"/>
              <w:jc w:val="right"/>
              <w:rPr>
                <w:rFonts w:ascii="Times New Roman" w:hAnsi="Times New Roman" w:cs="Times New Roman" w:eastAsia="Times New Roman" w:hint="default"/>
                <w:sz w:val="18"/>
                <w:szCs w:val="18"/>
              </w:rPr>
            </w:pPr>
            <w:r>
              <w:rPr>
                <w:rFonts w:ascii="Times New Roman"/>
                <w:spacing w:val="-1"/>
                <w:sz w:val="18"/>
              </w:rPr>
              <w:t>2011/2/16</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关于控股子公司完成增资工商变更登记的公告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3"/>
              <w:jc w:val="right"/>
              <w:rPr>
                <w:rFonts w:ascii="Times New Roman" w:hAnsi="Times New Roman" w:cs="Times New Roman" w:eastAsia="Times New Roman" w:hint="default"/>
                <w:sz w:val="18"/>
                <w:szCs w:val="18"/>
              </w:rPr>
            </w:pPr>
            <w:r>
              <w:rPr>
                <w:rFonts w:ascii="Times New Roman"/>
                <w:spacing w:val="-1"/>
                <w:w w:val="95"/>
                <w:sz w:val="18"/>
              </w:rPr>
              <w:t>2011-014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9"/>
              <w:jc w:val="right"/>
              <w:rPr>
                <w:rFonts w:ascii="Times New Roman" w:hAnsi="Times New Roman" w:cs="Times New Roman" w:eastAsia="Times New Roman" w:hint="default"/>
                <w:sz w:val="18"/>
                <w:szCs w:val="18"/>
              </w:rPr>
            </w:pPr>
            <w:r>
              <w:rPr>
                <w:rFonts w:ascii="Times New Roman"/>
                <w:spacing w:val="-1"/>
                <w:sz w:val="18"/>
              </w:rPr>
              <w:t>2011/2/25</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第三届董事会第二十四次会议决议公告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3"/>
              <w:jc w:val="right"/>
              <w:rPr>
                <w:rFonts w:ascii="Times New Roman" w:hAnsi="Times New Roman" w:cs="Times New Roman" w:eastAsia="Times New Roman" w:hint="default"/>
                <w:sz w:val="18"/>
                <w:szCs w:val="18"/>
              </w:rPr>
            </w:pPr>
            <w:r>
              <w:rPr>
                <w:rFonts w:ascii="Times New Roman"/>
                <w:spacing w:val="-1"/>
                <w:w w:val="95"/>
                <w:sz w:val="18"/>
              </w:rPr>
              <w:t>2011-015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9"/>
              <w:jc w:val="right"/>
              <w:rPr>
                <w:rFonts w:ascii="Times New Roman" w:hAnsi="Times New Roman" w:cs="Times New Roman" w:eastAsia="Times New Roman" w:hint="default"/>
                <w:sz w:val="18"/>
                <w:szCs w:val="18"/>
              </w:rPr>
            </w:pPr>
            <w:r>
              <w:rPr>
                <w:rFonts w:ascii="Times New Roman"/>
                <w:spacing w:val="-1"/>
                <w:sz w:val="18"/>
              </w:rPr>
              <w:t>2011/2/25</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宋体" w:hAnsi="宋体" w:cs="宋体" w:eastAsia="宋体" w:hint="default"/>
                <w:sz w:val="18"/>
                <w:szCs w:val="18"/>
              </w:rPr>
              <w:t>年年度报告摘要</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3"/>
              <w:jc w:val="right"/>
              <w:rPr>
                <w:rFonts w:ascii="Times New Roman" w:hAnsi="Times New Roman" w:cs="Times New Roman" w:eastAsia="Times New Roman" w:hint="default"/>
                <w:sz w:val="18"/>
                <w:szCs w:val="18"/>
              </w:rPr>
            </w:pPr>
            <w:r>
              <w:rPr>
                <w:rFonts w:ascii="Times New Roman"/>
                <w:spacing w:val="-1"/>
                <w:w w:val="95"/>
                <w:sz w:val="18"/>
              </w:rPr>
              <w:t>2011-016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9"/>
              <w:jc w:val="right"/>
              <w:rPr>
                <w:rFonts w:ascii="Times New Roman" w:hAnsi="Times New Roman" w:cs="Times New Roman" w:eastAsia="Times New Roman" w:hint="default"/>
                <w:sz w:val="18"/>
                <w:szCs w:val="18"/>
              </w:rPr>
            </w:pPr>
            <w:r>
              <w:rPr>
                <w:rFonts w:ascii="Times New Roman"/>
                <w:spacing w:val="-1"/>
                <w:sz w:val="18"/>
              </w:rPr>
              <w:t>2011/2/25</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关于公司部分会计政策变更的公告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3"/>
              <w:jc w:val="right"/>
              <w:rPr>
                <w:rFonts w:ascii="Times New Roman" w:hAnsi="Times New Roman" w:cs="Times New Roman" w:eastAsia="Times New Roman" w:hint="default"/>
                <w:sz w:val="18"/>
                <w:szCs w:val="18"/>
              </w:rPr>
            </w:pPr>
            <w:r>
              <w:rPr>
                <w:rFonts w:ascii="Times New Roman"/>
                <w:spacing w:val="-1"/>
                <w:w w:val="95"/>
                <w:sz w:val="18"/>
              </w:rPr>
              <w:t>2011-017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9"/>
              <w:jc w:val="right"/>
              <w:rPr>
                <w:rFonts w:ascii="Times New Roman" w:hAnsi="Times New Roman" w:cs="Times New Roman" w:eastAsia="Times New Roman" w:hint="default"/>
                <w:sz w:val="18"/>
                <w:szCs w:val="18"/>
              </w:rPr>
            </w:pPr>
            <w:r>
              <w:rPr>
                <w:rFonts w:ascii="Times New Roman"/>
                <w:spacing w:val="-1"/>
                <w:sz w:val="18"/>
              </w:rPr>
              <w:t>2011/2/25</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Times New Roman" w:hAnsi="Times New Roman" w:cs="Times New Roman" w:eastAsia="Times New Roman" w:hint="default"/>
                <w:sz w:val="18"/>
                <w:szCs w:val="18"/>
              </w:rPr>
              <w:t>2010</w:t>
            </w:r>
            <w:r>
              <w:rPr>
                <w:rFonts w:ascii="宋体" w:hAnsi="宋体" w:cs="宋体" w:eastAsia="宋体" w:hint="default"/>
                <w:sz w:val="18"/>
                <w:szCs w:val="18"/>
              </w:rPr>
              <w:t>年年度报告说明会的公告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3"/>
              <w:jc w:val="right"/>
              <w:rPr>
                <w:rFonts w:ascii="Times New Roman" w:hAnsi="Times New Roman" w:cs="Times New Roman" w:eastAsia="Times New Roman" w:hint="default"/>
                <w:sz w:val="18"/>
                <w:szCs w:val="18"/>
              </w:rPr>
            </w:pPr>
            <w:r>
              <w:rPr>
                <w:rFonts w:ascii="Times New Roman"/>
                <w:spacing w:val="-1"/>
                <w:w w:val="95"/>
                <w:sz w:val="18"/>
              </w:rPr>
              <w:t>2011-018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9"/>
              <w:jc w:val="right"/>
              <w:rPr>
                <w:rFonts w:ascii="Times New Roman" w:hAnsi="Times New Roman" w:cs="Times New Roman" w:eastAsia="Times New Roman" w:hint="default"/>
                <w:sz w:val="18"/>
                <w:szCs w:val="18"/>
              </w:rPr>
            </w:pPr>
            <w:r>
              <w:rPr>
                <w:rFonts w:ascii="Times New Roman"/>
                <w:spacing w:val="-1"/>
                <w:sz w:val="18"/>
              </w:rPr>
              <w:t>2011/2/25</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Times New Roman" w:hAnsi="Times New Roman" w:cs="Times New Roman" w:eastAsia="Times New Roman" w:hint="default"/>
                <w:sz w:val="18"/>
                <w:szCs w:val="18"/>
              </w:rPr>
              <w:t>2010</w:t>
            </w:r>
            <w:r>
              <w:rPr>
                <w:rFonts w:ascii="宋体" w:hAnsi="宋体" w:cs="宋体" w:eastAsia="宋体" w:hint="default"/>
                <w:sz w:val="18"/>
                <w:szCs w:val="18"/>
              </w:rPr>
              <w:t>年年度股东大会的公告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3"/>
              <w:jc w:val="right"/>
              <w:rPr>
                <w:rFonts w:ascii="Times New Roman" w:hAnsi="Times New Roman" w:cs="Times New Roman" w:eastAsia="Times New Roman" w:hint="default"/>
                <w:sz w:val="18"/>
                <w:szCs w:val="18"/>
              </w:rPr>
            </w:pPr>
            <w:r>
              <w:rPr>
                <w:rFonts w:ascii="Times New Roman"/>
                <w:spacing w:val="-1"/>
                <w:w w:val="95"/>
                <w:sz w:val="18"/>
              </w:rPr>
              <w:t>2011-019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2011/2/25</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第三届监事会第十三次会议决议公告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8"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2011-020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2011/3/19</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宋体" w:hAnsi="宋体" w:cs="宋体" w:eastAsia="宋体" w:hint="default"/>
                <w:sz w:val="18"/>
                <w:szCs w:val="18"/>
              </w:rPr>
              <w:t>年年度股东大会决议公告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2011-021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2011/3/22</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权益分派实施公告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2011-022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2011/3/29</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1" w:right="101"/>
              <w:jc w:val="left"/>
              <w:rPr>
                <w:rFonts w:ascii="宋体" w:hAnsi="宋体" w:cs="宋体" w:eastAsia="宋体" w:hint="default"/>
                <w:sz w:val="18"/>
                <w:szCs w:val="18"/>
              </w:rPr>
            </w:pPr>
            <w:r>
              <w:rPr>
                <w:rFonts w:ascii="宋体" w:hAnsi="宋体" w:cs="宋体" w:eastAsia="宋体" w:hint="default"/>
                <w:spacing w:val="2"/>
                <w:sz w:val="18"/>
                <w:szCs w:val="18"/>
              </w:rPr>
              <w:t>控股子公司长春高琦子公司江西先材纳米纤维科技有限公司投资年</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产</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亿平方米</w:t>
            </w:r>
            <w:r>
              <w:rPr>
                <w:rFonts w:ascii="Times New Roman" w:hAnsi="Times New Roman" w:cs="Times New Roman" w:eastAsia="Times New Roman" w:hint="default"/>
                <w:sz w:val="18"/>
                <w:szCs w:val="18"/>
              </w:rPr>
              <w:t>PI</w:t>
            </w:r>
            <w:r>
              <w:rPr>
                <w:rFonts w:ascii="宋体" w:hAnsi="宋体" w:cs="宋体" w:eastAsia="宋体" w:hint="default"/>
                <w:sz w:val="18"/>
                <w:szCs w:val="18"/>
              </w:rPr>
              <w:t>纳米纤维电池隔膜产品项目的公告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2011-023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2011/4/21</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三届董事会第二十五次会议决议公告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2011-024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2011/4/21</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年第一季度报告正文</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2011-025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2011/4/21</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第三届监事会第十四次会议决议公告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2011-026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2011/4/21</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关于募集资金置换已预先投入募集资金投资项目自筹资金的公告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2011-027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2011/4/22</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公司监事违规买卖公司股票的公告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2011-028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2011/5/5</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关于公司间接控股公司江西先材取得科学技术成果鉴定证书的公告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2011-029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2011/5/24</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第三届董事会第二十六次会议决议公告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w:t>
            </w:r>
            <w:r>
              <w:rPr>
                <w:rFonts w:ascii="Times New Roman" w:hAnsi="Times New Roman" w:cs="Times New Roman" w:eastAsia="Times New Roman" w:hint="default"/>
                <w:sz w:val="18"/>
                <w:szCs w:val="18"/>
              </w:rPr>
              <w:t>030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sz w:val="18"/>
              </w:rPr>
              <w:t>2011/5/24</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Times New Roman" w:hAnsi="Times New Roman" w:cs="Times New Roman" w:eastAsia="Times New Roman" w:hint="default"/>
                <w:sz w:val="18"/>
                <w:szCs w:val="18"/>
              </w:rPr>
              <w:t>2011</w:t>
            </w:r>
            <w:r>
              <w:rPr>
                <w:rFonts w:ascii="宋体" w:hAnsi="宋体" w:cs="宋体" w:eastAsia="宋体" w:hint="default"/>
                <w:sz w:val="18"/>
                <w:szCs w:val="18"/>
              </w:rPr>
              <w:t>年第二次临时股东大会的通知</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2011-031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2011/5/24</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公司高级管理人员辞职公告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2011-032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2011/5/24</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关于向间接控股公司江西先材增资的公告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2011-033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2011/6/11</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年第二次临时股东大会决议公告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2011-037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2011/6/16</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吉林高琦违规利用募集资金买入保本理财产品的公告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2011-035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2011/6/28</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101"/>
              <w:jc w:val="left"/>
              <w:rPr>
                <w:rFonts w:ascii="宋体" w:hAnsi="宋体" w:cs="宋体" w:eastAsia="宋体" w:hint="default"/>
                <w:sz w:val="18"/>
                <w:szCs w:val="18"/>
              </w:rPr>
            </w:pPr>
            <w:r>
              <w:rPr>
                <w:rFonts w:ascii="宋体" w:hAnsi="宋体" w:cs="宋体" w:eastAsia="宋体" w:hint="default"/>
                <w:spacing w:val="2"/>
                <w:sz w:val="18"/>
                <w:szCs w:val="18"/>
              </w:rPr>
              <w:t>控股子公司长春高琦子公司江西先材纳米纤维科技有限公司获土地</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使用权的公告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8"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2011-036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2011/7/27</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关于归还用于暂时补充流动资金的募集资金的公告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2011-037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2011/7/27</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关于重新签订募集资金四方监管协议的公告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bl>
    <w:p>
      <w:pPr>
        <w:spacing w:after="0" w:line="240" w:lineRule="auto"/>
        <w:jc w:val="left"/>
        <w:rPr>
          <w:rFonts w:ascii="宋体" w:hAnsi="宋体" w:cs="宋体" w:eastAsia="宋体" w:hint="default"/>
          <w:sz w:val="18"/>
          <w:szCs w:val="18"/>
        </w:rPr>
        <w:sectPr>
          <w:pgSz w:w="11910" w:h="16840"/>
          <w:pgMar w:header="0" w:footer="711" w:top="1040" w:bottom="900" w:left="880" w:right="90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3"/>
          <w:szCs w:val="13"/>
        </w:rPr>
      </w:pPr>
    </w:p>
    <w:tbl>
      <w:tblPr>
        <w:tblW w:w="0" w:type="auto"/>
        <w:jc w:val="left"/>
        <w:tblInd w:w="141" w:type="dxa"/>
        <w:tblLayout w:type="fixed"/>
        <w:tblCellMar>
          <w:top w:w="0" w:type="dxa"/>
          <w:left w:w="0" w:type="dxa"/>
          <w:bottom w:w="0" w:type="dxa"/>
          <w:right w:w="0" w:type="dxa"/>
        </w:tblCellMar>
        <w:tblLook w:val="01E0"/>
      </w:tblPr>
      <w:tblGrid>
        <w:gridCol w:w="1102"/>
        <w:gridCol w:w="1134"/>
        <w:gridCol w:w="5527"/>
        <w:gridCol w:w="2092"/>
      </w:tblGrid>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2011-038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2011/8/3</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关于间接控股子公司江西先材获中央预算内投资资金的公告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2011-039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2011/8/18</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股东股权质押公告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2011-040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2011/8/19</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第三届董事会第二十七次会议决议公告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2011-041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2011/8/19</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关于再次使用部分闲置募集资金暂时补充流动资金的公告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2011-042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2011/8/19</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三届十五次监事会会议决议公告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2011-043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2011/8/19</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年中期报告摘要</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2011-044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2011/9/23</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101"/>
              <w:jc w:val="left"/>
              <w:rPr>
                <w:rFonts w:ascii="宋体" w:hAnsi="宋体" w:cs="宋体" w:eastAsia="宋体" w:hint="default"/>
                <w:sz w:val="18"/>
                <w:szCs w:val="18"/>
              </w:rPr>
            </w:pPr>
            <w:r>
              <w:rPr>
                <w:rFonts w:ascii="宋体" w:hAnsi="宋体" w:cs="宋体" w:eastAsia="宋体" w:hint="default"/>
                <w:spacing w:val="2"/>
                <w:sz w:val="18"/>
                <w:szCs w:val="18"/>
              </w:rPr>
              <w:t>公司控股子公司长春高琦聚酰亚胺材料有限公司向其控股子公司增</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资的公告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8"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2011-045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2011/9/28</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第三届董事会第二十八次会议决议公告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2011-046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2011/9/28</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关于控股子公司长春高琦获中央预算内投资资金的公告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2011-047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2011/10/20</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第三届董事会第二十九次会议决议公告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2011-048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2011/10/20</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关于变更会计师事务所的公告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2011-049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2011/10/20</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年第三季度报告正文</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2011-050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2011/11/1</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1" w:right="101"/>
              <w:jc w:val="left"/>
              <w:rPr>
                <w:rFonts w:ascii="宋体" w:hAnsi="宋体" w:cs="宋体" w:eastAsia="宋体" w:hint="default"/>
                <w:sz w:val="18"/>
                <w:szCs w:val="18"/>
              </w:rPr>
            </w:pPr>
            <w:r>
              <w:rPr>
                <w:rFonts w:ascii="宋体" w:hAnsi="宋体" w:cs="宋体" w:eastAsia="宋体" w:hint="default"/>
                <w:spacing w:val="2"/>
                <w:sz w:val="18"/>
                <w:szCs w:val="18"/>
              </w:rPr>
              <w:t>控股子公司长春高琦全资子公司吉林高琦聚酰亚胺材料有限公司投</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资建设聚酰亚胺树脂项目的公告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2011-051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2011/11/1</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关于内控规则落实自查及完成整改的公告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2011-052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2011/11/5</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关于控股子公司长春高琦获战略性新兴产业投资资金的公告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2011-053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2011/12/9</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关于控股子公司长春高琦收到战略性新兴产业投资资金公告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2011-054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2011/12/15</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股东股权质押解除公告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2011-055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2011/12/27</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1" w:right="101"/>
              <w:jc w:val="left"/>
              <w:rPr>
                <w:rFonts w:ascii="宋体" w:hAnsi="宋体" w:cs="宋体" w:eastAsia="宋体" w:hint="default"/>
                <w:sz w:val="18"/>
                <w:szCs w:val="18"/>
              </w:rPr>
            </w:pPr>
            <w:r>
              <w:rPr>
                <w:rFonts w:ascii="宋体" w:hAnsi="宋体" w:cs="宋体" w:eastAsia="宋体" w:hint="default"/>
                <w:spacing w:val="2"/>
                <w:sz w:val="18"/>
                <w:szCs w:val="18"/>
              </w:rPr>
              <w:t>关于控股子公司长春高琦子公司江西先材收到战略性新兴产业投资</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资金公告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2011-056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2011/12/29</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对外投资后续进展公告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2011-057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2011/12/30</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关于公司收到财政补助的公告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r>
        <w:trPr>
          <w:trHeight w:val="558"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2011-058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2011/12/30</w:t>
            </w:r>
          </w:p>
        </w:tc>
        <w:tc>
          <w:tcPr>
            <w:tcW w:w="5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股东股权质押部分解除公告</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2"/>
              <w:jc w:val="left"/>
              <w:rPr>
                <w:rFonts w:ascii="宋体" w:hAnsi="宋体" w:cs="宋体" w:eastAsia="宋体" w:hint="default"/>
                <w:sz w:val="18"/>
                <w:szCs w:val="18"/>
              </w:rPr>
            </w:pPr>
            <w:r>
              <w:rPr>
                <w:rFonts w:ascii="宋体" w:hAnsi="宋体" w:cs="宋体" w:eastAsia="宋体" w:hint="default"/>
                <w:spacing w:val="-2"/>
                <w:sz w:val="18"/>
                <w:szCs w:val="18"/>
              </w:rPr>
              <w:t>巨潮资讯网、证券时报、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中国证券报</w:t>
            </w:r>
          </w:p>
        </w:tc>
      </w:tr>
    </w:tbl>
    <w:p>
      <w:pPr>
        <w:spacing w:after="0" w:line="232" w:lineRule="exact"/>
        <w:jc w:val="left"/>
        <w:rPr>
          <w:rFonts w:ascii="宋体" w:hAnsi="宋体" w:cs="宋体" w:eastAsia="宋体" w:hint="default"/>
          <w:sz w:val="18"/>
          <w:szCs w:val="18"/>
        </w:rPr>
        <w:sectPr>
          <w:pgSz w:w="11910" w:h="16840"/>
          <w:pgMar w:header="0" w:footer="711" w:top="1040" w:bottom="900" w:left="880" w:right="9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1"/>
        <w:tabs>
          <w:tab w:pos="1306" w:val="left" w:leader="none"/>
        </w:tabs>
        <w:spacing w:line="240" w:lineRule="auto" w:before="128"/>
        <w:ind w:left="21" w:right="0"/>
        <w:jc w:val="center"/>
        <w:rPr>
          <w:b w:val="0"/>
          <w:bCs w:val="0"/>
        </w:rPr>
      </w:pPr>
      <w:bookmarkStart w:name="_TOC_250001" w:id="14"/>
      <w:r>
        <w:rPr>
          <w:w w:val="95"/>
        </w:rPr>
        <w:t>第十节</w:t>
        <w:tab/>
      </w:r>
      <w:r>
        <w:rPr/>
        <w:t>财务报告</w:t>
      </w:r>
      <w:bookmarkEnd w:id="14"/>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1"/>
          <w:szCs w:val="21"/>
        </w:rPr>
      </w:pPr>
    </w:p>
    <w:p>
      <w:pPr>
        <w:spacing w:after="0" w:line="240" w:lineRule="auto"/>
        <w:rPr>
          <w:rFonts w:ascii="宋体" w:hAnsi="宋体" w:cs="宋体" w:eastAsia="宋体" w:hint="default"/>
          <w:sz w:val="21"/>
          <w:szCs w:val="21"/>
        </w:rPr>
        <w:sectPr>
          <w:pgSz w:w="11910" w:h="16840"/>
          <w:pgMar w:header="0" w:footer="711" w:top="1040" w:bottom="900" w:left="880" w:right="900"/>
        </w:sectPr>
      </w:pPr>
    </w:p>
    <w:p>
      <w:pPr>
        <w:spacing w:before="13"/>
        <w:ind w:left="0" w:right="0" w:firstLine="0"/>
        <w:jc w:val="right"/>
        <w:rPr>
          <w:rFonts w:ascii="宋体" w:hAnsi="宋体" w:cs="宋体" w:eastAsia="宋体" w:hint="default"/>
          <w:sz w:val="28"/>
          <w:szCs w:val="28"/>
        </w:rPr>
      </w:pPr>
      <w:r>
        <w:rPr>
          <w:rFonts w:ascii="宋体" w:hAnsi="宋体" w:cs="宋体" w:eastAsia="宋体" w:hint="default"/>
          <w:sz w:val="28"/>
          <w:szCs w:val="28"/>
        </w:rPr>
        <w:t>审 计 报</w:t>
      </w:r>
      <w:r>
        <w:rPr>
          <w:rFonts w:ascii="宋体" w:hAnsi="宋体" w:cs="宋体" w:eastAsia="宋体" w:hint="default"/>
          <w:spacing w:val="-3"/>
          <w:sz w:val="28"/>
          <w:szCs w:val="28"/>
        </w:rPr>
        <w:t> </w:t>
      </w:r>
      <w:r>
        <w:rPr>
          <w:rFonts w:ascii="宋体" w:hAnsi="宋体" w:cs="宋体" w:eastAsia="宋体" w:hint="default"/>
          <w:sz w:val="28"/>
          <w:szCs w:val="28"/>
        </w:rPr>
        <w:t>告</w:t>
      </w:r>
    </w:p>
    <w:p>
      <w:pPr>
        <w:spacing w:line="240" w:lineRule="auto" w:before="8"/>
        <w:rPr>
          <w:rFonts w:ascii="宋体" w:hAnsi="宋体" w:cs="宋体" w:eastAsia="宋体" w:hint="default"/>
          <w:sz w:val="32"/>
          <w:szCs w:val="32"/>
        </w:rPr>
      </w:pPr>
      <w:r>
        <w:rPr/>
        <w:br w:type="column"/>
      </w:r>
      <w:r>
        <w:rPr>
          <w:rFonts w:ascii="宋体"/>
          <w:sz w:val="32"/>
        </w:rPr>
      </w:r>
    </w:p>
    <w:p>
      <w:pPr>
        <w:spacing w:before="0"/>
        <w:ind w:left="672" w:right="0" w:firstLine="0"/>
        <w:jc w:val="left"/>
        <w:rPr>
          <w:rFonts w:ascii="宋体" w:hAnsi="宋体" w:cs="宋体" w:eastAsia="宋体" w:hint="default"/>
          <w:sz w:val="22"/>
          <w:szCs w:val="22"/>
        </w:rPr>
      </w:pPr>
      <w:r>
        <w:rPr>
          <w:rFonts w:ascii="宋体" w:hAnsi="宋体" w:cs="宋体" w:eastAsia="宋体" w:hint="default"/>
          <w:sz w:val="22"/>
          <w:szCs w:val="22"/>
        </w:rPr>
        <w:t>信会师报字[2012]第</w:t>
      </w:r>
      <w:r>
        <w:rPr>
          <w:rFonts w:ascii="宋体" w:hAnsi="宋体" w:cs="宋体" w:eastAsia="宋体" w:hint="default"/>
          <w:spacing w:val="-58"/>
          <w:sz w:val="22"/>
          <w:szCs w:val="22"/>
        </w:rPr>
        <w:t> </w:t>
      </w:r>
      <w:r>
        <w:rPr>
          <w:rFonts w:ascii="宋体" w:hAnsi="宋体" w:cs="宋体" w:eastAsia="宋体" w:hint="default"/>
          <w:sz w:val="22"/>
          <w:szCs w:val="22"/>
        </w:rPr>
        <w:t>310210</w:t>
      </w:r>
      <w:r>
        <w:rPr>
          <w:rFonts w:ascii="宋体" w:hAnsi="宋体" w:cs="宋体" w:eastAsia="宋体" w:hint="default"/>
          <w:spacing w:val="-58"/>
          <w:sz w:val="22"/>
          <w:szCs w:val="22"/>
        </w:rPr>
        <w:t> </w:t>
      </w:r>
      <w:r>
        <w:rPr>
          <w:rFonts w:ascii="宋体" w:hAnsi="宋体" w:cs="宋体" w:eastAsia="宋体" w:hint="default"/>
          <w:sz w:val="22"/>
          <w:szCs w:val="22"/>
        </w:rPr>
        <w:t>号</w:t>
      </w:r>
    </w:p>
    <w:p>
      <w:pPr>
        <w:spacing w:after="0"/>
        <w:jc w:val="left"/>
        <w:rPr>
          <w:rFonts w:ascii="宋体" w:hAnsi="宋体" w:cs="宋体" w:eastAsia="宋体" w:hint="default"/>
          <w:sz w:val="22"/>
          <w:szCs w:val="22"/>
        </w:rPr>
        <w:sectPr>
          <w:type w:val="continuous"/>
          <w:pgSz w:w="11910" w:h="16840"/>
          <w:pgMar w:top="900" w:bottom="1460" w:left="880" w:right="900"/>
          <w:cols w:num="2" w:equalWidth="0">
            <w:col w:w="5842" w:space="40"/>
            <w:col w:w="4248"/>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98"/>
        <w:ind w:left="734" w:right="131"/>
        <w:jc w:val="left"/>
      </w:pPr>
      <w:r>
        <w:rPr/>
        <w:t>深圳市惠程电气股份有限公司全体股东：</w:t>
      </w:r>
    </w:p>
    <w:p>
      <w:pPr>
        <w:spacing w:line="240" w:lineRule="auto" w:before="0"/>
        <w:rPr>
          <w:rFonts w:ascii="宋体" w:hAnsi="宋体" w:cs="宋体" w:eastAsia="宋体" w:hint="default"/>
          <w:sz w:val="24"/>
          <w:szCs w:val="24"/>
        </w:rPr>
      </w:pPr>
    </w:p>
    <w:p>
      <w:pPr>
        <w:pStyle w:val="BodyText"/>
        <w:spacing w:line="273" w:lineRule="auto" w:before="168"/>
        <w:ind w:left="254" w:right="231" w:firstLine="480"/>
        <w:jc w:val="both"/>
      </w:pPr>
      <w:r>
        <w:rPr>
          <w:spacing w:val="-5"/>
        </w:rPr>
        <w:t>我们审计了后附的深圳市惠程电气股份有限公司（以下简称贵公司）财务报表，包括2011</w:t>
      </w:r>
      <w:r>
        <w:rPr/>
        <w:t> 年12月31日的资产负债表和合并资产负债表、2011年度的利润表和合并利润表、2011年度的 现金流量表和合并现金流量表、2011年度的所有者权益变动表和合并所有者权益变动表以及 财务报表附注。</w:t>
      </w:r>
    </w:p>
    <w:p>
      <w:pPr>
        <w:spacing w:line="304" w:lineRule="auto" w:before="50"/>
        <w:ind w:left="734" w:right="131" w:firstLine="2"/>
        <w:jc w:val="left"/>
        <w:rPr>
          <w:rFonts w:ascii="宋体" w:hAnsi="宋体" w:cs="宋体" w:eastAsia="宋体" w:hint="default"/>
          <w:sz w:val="24"/>
          <w:szCs w:val="24"/>
        </w:rPr>
      </w:pPr>
      <w:r>
        <w:rPr>
          <w:rFonts w:ascii="宋体" w:hAnsi="宋体" w:cs="宋体" w:eastAsia="宋体" w:hint="default"/>
          <w:b/>
          <w:bCs/>
          <w:sz w:val="24"/>
          <w:szCs w:val="24"/>
        </w:rPr>
        <w:t>一、管理层对财务报表的责任</w:t>
      </w:r>
      <w:r>
        <w:rPr>
          <w:rFonts w:ascii="宋体" w:hAnsi="宋体" w:cs="宋体" w:eastAsia="宋体" w:hint="default"/>
          <w:b/>
          <w:bCs/>
          <w:w w:val="99"/>
          <w:sz w:val="24"/>
          <w:szCs w:val="24"/>
        </w:rPr>
        <w:t> </w:t>
      </w:r>
      <w:r>
        <w:rPr>
          <w:rFonts w:ascii="宋体" w:hAnsi="宋体" w:cs="宋体" w:eastAsia="宋体" w:hint="default"/>
          <w:spacing w:val="-3"/>
          <w:sz w:val="24"/>
          <w:szCs w:val="24"/>
        </w:rPr>
        <w:t>编制和公允列报财务报表是贵公司管理层的责任。这种责任包括：（1）按照企业会计准</w:t>
      </w:r>
    </w:p>
    <w:p>
      <w:pPr>
        <w:pStyle w:val="BodyText"/>
        <w:spacing w:line="293" w:lineRule="exact"/>
        <w:ind w:left="254" w:right="131"/>
        <w:jc w:val="left"/>
      </w:pPr>
      <w:r>
        <w:rPr>
          <w:spacing w:val="-3"/>
        </w:rPr>
        <w:t>则的规定编制财务报表，并使其实现公允反映；（2）设计、执行和维护必要的内部控制，以</w:t>
      </w:r>
    </w:p>
    <w:p>
      <w:pPr>
        <w:spacing w:line="304" w:lineRule="auto" w:before="43"/>
        <w:ind w:left="736" w:right="4331" w:hanging="483"/>
        <w:jc w:val="left"/>
        <w:rPr>
          <w:rFonts w:ascii="宋体" w:hAnsi="宋体" w:cs="宋体" w:eastAsia="宋体" w:hint="default"/>
          <w:sz w:val="24"/>
          <w:szCs w:val="24"/>
        </w:rPr>
      </w:pPr>
      <w:r>
        <w:rPr>
          <w:rFonts w:ascii="宋体" w:hAnsi="宋体" w:cs="宋体" w:eastAsia="宋体" w:hint="default"/>
          <w:sz w:val="24"/>
          <w:szCs w:val="24"/>
        </w:rPr>
        <w:t>使财务报表不存在由于舞弊或错误导致的重大错报。 </w:t>
      </w:r>
      <w:r>
        <w:rPr>
          <w:rFonts w:ascii="宋体" w:hAnsi="宋体" w:cs="宋体" w:eastAsia="宋体" w:hint="default"/>
          <w:b/>
          <w:bCs/>
          <w:sz w:val="24"/>
          <w:szCs w:val="24"/>
        </w:rPr>
        <w:t>二、注册会计师的责任</w:t>
      </w:r>
      <w:r>
        <w:rPr>
          <w:rFonts w:ascii="宋体" w:hAnsi="宋体" w:cs="宋体" w:eastAsia="宋体" w:hint="default"/>
          <w:sz w:val="24"/>
          <w:szCs w:val="24"/>
        </w:rPr>
      </w:r>
    </w:p>
    <w:p>
      <w:pPr>
        <w:pStyle w:val="BodyText"/>
        <w:spacing w:line="273" w:lineRule="auto" w:before="18"/>
        <w:ind w:left="254" w:right="268" w:firstLine="480"/>
        <w:jc w:val="both"/>
      </w:pPr>
      <w:r>
        <w:rPr/>
        <w:t>我们的责任是在执行审计工作的基础上对财务报表发表审计意见。我们按照中国注册会 计师审计准则的规定执行了审计工作。中国注册会计师审计准则要求我们遵守中国注册会计 师职业道德守则，计划和执行审计工作以对财务报表是否不存在重大错报获取合理保证。</w:t>
      </w:r>
    </w:p>
    <w:p>
      <w:pPr>
        <w:pStyle w:val="BodyText"/>
        <w:spacing w:line="273" w:lineRule="auto" w:before="50"/>
        <w:ind w:left="254" w:right="92" w:firstLine="480"/>
        <w:jc w:val="left"/>
      </w:pPr>
      <w:r>
        <w:rPr/>
        <w:t>审计工作涉及实施审计程序，以获取有关财务报表金额和披露的审计证据。选择的审计 </w:t>
      </w:r>
      <w:r>
        <w:rPr>
          <w:spacing w:val="-2"/>
        </w:rPr>
        <w:t>程序取决于注册会计师的判断，包括对由于舞弊或错误导致的财务报表重大错报风险的评估。</w:t>
      </w:r>
      <w:r>
        <w:rPr/>
        <w:t> 在进行风险评估时，注册会计师考虑与财务报表编制和公允列报相关的内部控制，以设计恰 当的审计程序，但目的并非对内部控制的有效性发表意见。审计工作还包括评价管理层选用 会计政策的恰当性和作出会计估计的合理性，以及评价财务报表的总体列报。</w:t>
      </w:r>
    </w:p>
    <w:p>
      <w:pPr>
        <w:pStyle w:val="BodyText"/>
        <w:spacing w:line="304" w:lineRule="auto" w:before="49"/>
        <w:ind w:left="734" w:right="250"/>
        <w:jc w:val="left"/>
      </w:pPr>
      <w:r>
        <w:rPr/>
        <w:t>我们相信，我们获取的审计证据是充分、适当的，为发表审计意见提供了基础。 </w:t>
      </w:r>
      <w:r>
        <w:rPr>
          <w:rFonts w:ascii="宋体" w:hAnsi="宋体" w:cs="宋体" w:eastAsia="宋体" w:hint="default"/>
          <w:b/>
          <w:bCs/>
        </w:rPr>
        <w:t>三、审计意见</w:t>
      </w:r>
      <w:r>
        <w:rPr>
          <w:rFonts w:ascii="宋体" w:hAnsi="宋体" w:cs="宋体" w:eastAsia="宋体" w:hint="default"/>
          <w:b/>
          <w:bCs/>
          <w:w w:val="99"/>
        </w:rPr>
        <w:t> </w:t>
      </w:r>
      <w:r>
        <w:rPr/>
        <w:t>我们认为，贵公司财务报表在所有重大方面按照企业会计准则的规定编制，公允反映了</w:t>
      </w:r>
    </w:p>
    <w:p>
      <w:pPr>
        <w:pStyle w:val="BodyText"/>
        <w:spacing w:line="293" w:lineRule="exact"/>
        <w:ind w:left="254" w:right="131"/>
        <w:jc w:val="left"/>
      </w:pPr>
      <w:r>
        <w:rPr/>
        <w:t>贵公司2011年12月31日的财务状况以及2011年度的经营成果和现金流量。</w:t>
      </w:r>
    </w:p>
    <w:p>
      <w:pPr>
        <w:spacing w:line="240" w:lineRule="auto" w:before="0"/>
        <w:rPr>
          <w:rFonts w:ascii="宋体" w:hAnsi="宋体" w:cs="宋体" w:eastAsia="宋体" w:hint="default"/>
          <w:sz w:val="24"/>
          <w:szCs w:val="24"/>
        </w:rPr>
      </w:pPr>
    </w:p>
    <w:p>
      <w:pPr>
        <w:pStyle w:val="BodyText"/>
        <w:tabs>
          <w:tab w:pos="5339" w:val="left" w:leader="none"/>
        </w:tabs>
        <w:spacing w:line="240" w:lineRule="auto" w:before="203"/>
        <w:ind w:left="0" w:right="273"/>
        <w:jc w:val="center"/>
        <w:rPr>
          <w:rFonts w:ascii="仿宋" w:hAnsi="仿宋" w:cs="仿宋" w:eastAsia="仿宋" w:hint="default"/>
        </w:rPr>
      </w:pPr>
      <w:r>
        <w:rPr>
          <w:rFonts w:ascii="仿宋" w:hAnsi="仿宋" w:cs="仿宋" w:eastAsia="仿宋" w:hint="default"/>
        </w:rPr>
        <w:t>立信会计师事务所（特殊普通合伙）</w:t>
        <w:tab/>
        <w:t>中国注册会计师： 康跃华</w:t>
      </w:r>
    </w:p>
    <w:p>
      <w:pPr>
        <w:spacing w:line="240" w:lineRule="auto" w:before="8"/>
        <w:rPr>
          <w:rFonts w:ascii="仿宋" w:hAnsi="仿宋" w:cs="仿宋" w:eastAsia="仿宋" w:hint="default"/>
          <w:sz w:val="24"/>
          <w:szCs w:val="24"/>
        </w:rPr>
      </w:pPr>
    </w:p>
    <w:p>
      <w:pPr>
        <w:pStyle w:val="BodyText"/>
        <w:spacing w:line="240" w:lineRule="auto"/>
        <w:ind w:left="6214" w:right="131"/>
        <w:jc w:val="left"/>
        <w:rPr>
          <w:rFonts w:ascii="仿宋" w:hAnsi="仿宋" w:cs="仿宋" w:eastAsia="仿宋" w:hint="default"/>
        </w:rPr>
      </w:pPr>
      <w:r>
        <w:rPr>
          <w:rFonts w:ascii="仿宋" w:hAnsi="仿宋" w:cs="仿宋" w:eastAsia="仿宋" w:hint="default"/>
        </w:rPr>
        <w:t>中国注册会计师： 邹军梅</w:t>
      </w:r>
    </w:p>
    <w:p>
      <w:pPr>
        <w:spacing w:line="240" w:lineRule="auto" w:before="8"/>
        <w:rPr>
          <w:rFonts w:ascii="仿宋" w:hAnsi="仿宋" w:cs="仿宋" w:eastAsia="仿宋" w:hint="default"/>
          <w:sz w:val="33"/>
          <w:szCs w:val="33"/>
        </w:rPr>
      </w:pPr>
    </w:p>
    <w:p>
      <w:pPr>
        <w:pStyle w:val="BodyText"/>
        <w:tabs>
          <w:tab w:pos="4829" w:val="left" w:leader="none"/>
        </w:tabs>
        <w:spacing w:line="240" w:lineRule="auto"/>
        <w:ind w:left="0" w:right="183"/>
        <w:jc w:val="center"/>
        <w:rPr>
          <w:rFonts w:ascii="仿宋" w:hAnsi="仿宋" w:cs="仿宋" w:eastAsia="仿宋" w:hint="default"/>
        </w:rPr>
      </w:pPr>
      <w:r>
        <w:rPr>
          <w:rFonts w:ascii="仿宋" w:hAnsi="仿宋" w:cs="仿宋" w:eastAsia="仿宋" w:hint="default"/>
        </w:rPr>
        <w:t>中国 </w:t>
      </w:r>
      <w:r>
        <w:rPr>
          <w:rFonts w:ascii="仿宋" w:hAnsi="仿宋" w:cs="仿宋" w:eastAsia="仿宋" w:hint="default"/>
          <w:sz w:val="15"/>
          <w:szCs w:val="15"/>
        </w:rPr>
        <w:t>●</w:t>
      </w:r>
      <w:r>
        <w:rPr>
          <w:rFonts w:ascii="仿宋" w:hAnsi="仿宋" w:cs="仿宋" w:eastAsia="仿宋" w:hint="default"/>
          <w:spacing w:val="44"/>
          <w:sz w:val="15"/>
          <w:szCs w:val="15"/>
        </w:rPr>
        <w:t> </w:t>
      </w:r>
      <w:r>
        <w:rPr>
          <w:rFonts w:ascii="仿宋" w:hAnsi="仿宋" w:cs="仿宋" w:eastAsia="仿宋" w:hint="default"/>
        </w:rPr>
        <w:t>上海</w:t>
        <w:tab/>
        <w:t>二</w:t>
      </w:r>
      <w:r>
        <w:rPr>
          <w:rFonts w:ascii="仿宋" w:hAnsi="仿宋" w:cs="仿宋" w:eastAsia="仿宋" w:hint="default"/>
          <w:spacing w:val="-60"/>
        </w:rPr>
        <w:t> </w:t>
      </w:r>
      <w:r>
        <w:rPr>
          <w:rFonts w:ascii="仿宋" w:hAnsi="仿宋" w:cs="仿宋" w:eastAsia="仿宋" w:hint="default"/>
        </w:rPr>
        <w:t>O</w:t>
      </w:r>
      <w:r>
        <w:rPr>
          <w:rFonts w:ascii="仿宋" w:hAnsi="仿宋" w:cs="仿宋" w:eastAsia="仿宋" w:hint="default"/>
          <w:spacing w:val="-60"/>
        </w:rPr>
        <w:t> </w:t>
      </w:r>
      <w:r>
        <w:rPr>
          <w:rFonts w:ascii="仿宋" w:hAnsi="仿宋" w:cs="仿宋" w:eastAsia="仿宋" w:hint="default"/>
        </w:rPr>
        <w:t>一二年四月十八日</w:t>
      </w:r>
    </w:p>
    <w:p>
      <w:pPr>
        <w:spacing w:after="0" w:line="240" w:lineRule="auto"/>
        <w:jc w:val="center"/>
        <w:rPr>
          <w:rFonts w:ascii="仿宋" w:hAnsi="仿宋" w:cs="仿宋" w:eastAsia="仿宋" w:hint="default"/>
        </w:rPr>
        <w:sectPr>
          <w:type w:val="continuous"/>
          <w:pgSz w:w="11910" w:h="16840"/>
          <w:pgMar w:top="900" w:bottom="1460" w:left="880" w:right="900"/>
        </w:sectPr>
      </w:pPr>
    </w:p>
    <w:p>
      <w:pPr>
        <w:spacing w:line="240" w:lineRule="auto" w:before="2"/>
        <w:rPr>
          <w:rFonts w:ascii="仿宋" w:hAnsi="仿宋" w:cs="仿宋" w:eastAsia="仿宋" w:hint="default"/>
          <w:sz w:val="24"/>
          <w:szCs w:val="24"/>
        </w:rPr>
      </w:pPr>
    </w:p>
    <w:p>
      <w:pPr>
        <w:spacing w:before="26"/>
        <w:ind w:left="363" w:right="55" w:firstLine="0"/>
        <w:jc w:val="center"/>
        <w:rPr>
          <w:rFonts w:ascii="宋体" w:hAnsi="宋体" w:cs="宋体" w:eastAsia="宋体" w:hint="default"/>
          <w:sz w:val="24"/>
          <w:szCs w:val="24"/>
        </w:rPr>
      </w:pPr>
      <w:r>
        <w:rPr>
          <w:rFonts w:ascii="宋体" w:hAnsi="宋体" w:cs="宋体" w:eastAsia="宋体" w:hint="default"/>
          <w:b/>
          <w:bCs/>
          <w:sz w:val="24"/>
          <w:szCs w:val="24"/>
        </w:rPr>
        <w:t>资产负债表</w:t>
      </w:r>
      <w:r>
        <w:rPr>
          <w:rFonts w:ascii="宋体" w:hAnsi="宋体" w:cs="宋体" w:eastAsia="宋体" w:hint="default"/>
          <w:sz w:val="24"/>
          <w:szCs w:val="24"/>
        </w:rPr>
      </w:r>
    </w:p>
    <w:p>
      <w:pPr>
        <w:tabs>
          <w:tab w:pos="5548" w:val="left" w:leader="none"/>
          <w:tab w:pos="9186" w:val="left" w:leader="none"/>
        </w:tabs>
        <w:spacing w:before="46"/>
        <w:ind w:left="253" w:right="0" w:firstLine="0"/>
        <w:jc w:val="left"/>
        <w:rPr>
          <w:rFonts w:ascii="宋体" w:hAnsi="宋体" w:cs="宋体" w:eastAsia="宋体" w:hint="default"/>
          <w:sz w:val="18"/>
          <w:szCs w:val="18"/>
        </w:rPr>
      </w:pPr>
      <w:r>
        <w:rPr>
          <w:rFonts w:ascii="宋体" w:hAnsi="宋体" w:cs="宋体" w:eastAsia="宋体" w:hint="default"/>
          <w:spacing w:val="-1"/>
          <w:sz w:val="18"/>
          <w:szCs w:val="18"/>
        </w:rPr>
        <w:t>编制单位：深圳市惠程电气股份有限公司</w:t>
        <w:tab/>
      </w:r>
      <w:r>
        <w:rPr>
          <w:rFonts w:ascii="Times New Roman" w:hAnsi="Times New Roman" w:cs="Times New Roman" w:eastAsia="Times New Roman" w:hint="default"/>
          <w:spacing w:val="-2"/>
          <w:sz w:val="18"/>
          <w:szCs w:val="18"/>
        </w:rPr>
        <w:t>2011</w:t>
      </w:r>
      <w:r>
        <w:rPr>
          <w:rFonts w:ascii="Times New Roman" w:hAnsi="Times New Roman" w:cs="Times New Roman" w:eastAsia="Times New Roman" w:hint="default"/>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tab/>
      </w:r>
      <w:r>
        <w:rPr>
          <w:rFonts w:ascii="宋体" w:hAnsi="宋体" w:cs="宋体" w:eastAsia="宋体" w:hint="default"/>
          <w:spacing w:val="-4"/>
          <w:sz w:val="18"/>
          <w:szCs w:val="18"/>
        </w:rPr>
        <w:t>单位：元</w:t>
      </w:r>
    </w:p>
    <w:p>
      <w:pPr>
        <w:spacing w:line="240" w:lineRule="auto" w:before="2"/>
        <w:rPr>
          <w:rFonts w:ascii="宋体" w:hAnsi="宋体" w:cs="宋体" w:eastAsia="宋体" w:hint="default"/>
          <w:sz w:val="4"/>
          <w:szCs w:val="4"/>
        </w:rPr>
      </w:pPr>
    </w:p>
    <w:tbl>
      <w:tblPr>
        <w:tblW w:w="0" w:type="auto"/>
        <w:jc w:val="left"/>
        <w:tblInd w:w="260" w:type="dxa"/>
        <w:tblLayout w:type="fixed"/>
        <w:tblCellMar>
          <w:top w:w="0" w:type="dxa"/>
          <w:left w:w="0" w:type="dxa"/>
          <w:bottom w:w="0" w:type="dxa"/>
          <w:right w:w="0" w:type="dxa"/>
        </w:tblCellMar>
        <w:tblLook w:val="01E0"/>
      </w:tblPr>
      <w:tblGrid>
        <w:gridCol w:w="2520"/>
        <w:gridCol w:w="1837"/>
        <w:gridCol w:w="1820"/>
        <w:gridCol w:w="1819"/>
        <w:gridCol w:w="1820"/>
      </w:tblGrid>
      <w:tr>
        <w:trPr>
          <w:trHeight w:val="166" w:hRule="exact"/>
        </w:trPr>
        <w:tc>
          <w:tcPr>
            <w:tcW w:w="2520" w:type="dxa"/>
            <w:tcBorders>
              <w:top w:val="single" w:sz="4" w:space="0" w:color="000000"/>
              <w:left w:val="single" w:sz="4" w:space="0" w:color="000000"/>
              <w:bottom w:val="nil" w:sz="6" w:space="0" w:color="auto"/>
              <w:right w:val="single" w:sz="4" w:space="0" w:color="000000"/>
            </w:tcBorders>
            <w:shd w:val="clear" w:color="auto" w:fill="DCDCDC"/>
          </w:tcPr>
          <w:p>
            <w:pPr/>
          </w:p>
        </w:tc>
        <w:tc>
          <w:tcPr>
            <w:tcW w:w="3657"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64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156" w:hRule="exact"/>
        </w:trPr>
        <w:tc>
          <w:tcPr>
            <w:tcW w:w="252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1"/>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57" w:type="dxa"/>
            <w:gridSpan w:val="2"/>
            <w:vMerge/>
            <w:tcBorders>
              <w:left w:val="single" w:sz="4" w:space="0" w:color="000000"/>
              <w:bottom w:val="single" w:sz="4" w:space="0" w:color="000000"/>
              <w:right w:val="single" w:sz="4" w:space="0" w:color="000000"/>
            </w:tcBorders>
            <w:shd w:val="clear" w:color="auto" w:fill="DCDCDC"/>
          </w:tcPr>
          <w:p>
            <w:pPr/>
          </w:p>
        </w:tc>
        <w:tc>
          <w:tcPr>
            <w:tcW w:w="3640" w:type="dxa"/>
            <w:gridSpan w:val="2"/>
            <w:vMerge/>
            <w:tcBorders>
              <w:left w:val="single" w:sz="4" w:space="0" w:color="000000"/>
              <w:bottom w:val="single" w:sz="4" w:space="0" w:color="000000"/>
              <w:right w:val="single" w:sz="4" w:space="0" w:color="000000"/>
            </w:tcBorders>
            <w:shd w:val="clear" w:color="auto" w:fill="DCDCDC"/>
          </w:tcPr>
          <w:p>
            <w:pPr/>
          </w:p>
        </w:tc>
      </w:tr>
      <w:tr>
        <w:trPr>
          <w:trHeight w:val="157" w:hRule="exact"/>
        </w:trPr>
        <w:tc>
          <w:tcPr>
            <w:tcW w:w="2520" w:type="dxa"/>
            <w:vMerge/>
            <w:tcBorders>
              <w:left w:val="single" w:sz="4" w:space="0" w:color="000000"/>
              <w:bottom w:val="nil" w:sz="6" w:space="0" w:color="auto"/>
              <w:right w:val="single" w:sz="4" w:space="0" w:color="000000"/>
            </w:tcBorders>
            <w:shd w:val="clear" w:color="auto" w:fill="DCDCDC"/>
          </w:tcPr>
          <w:p>
            <w:pPr/>
          </w:p>
        </w:tc>
        <w:tc>
          <w:tcPr>
            <w:tcW w:w="1837"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7"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81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173" w:hRule="exact"/>
        </w:trPr>
        <w:tc>
          <w:tcPr>
            <w:tcW w:w="2520" w:type="dxa"/>
            <w:tcBorders>
              <w:top w:val="nil" w:sz="6" w:space="0" w:color="auto"/>
              <w:left w:val="single" w:sz="4" w:space="0" w:color="000000"/>
              <w:bottom w:val="single" w:sz="4" w:space="0" w:color="000000"/>
              <w:right w:val="single" w:sz="4" w:space="0" w:color="000000"/>
            </w:tcBorders>
            <w:shd w:val="clear" w:color="auto" w:fill="DCDCDC"/>
          </w:tcPr>
          <w:p>
            <w:pPr/>
          </w:p>
        </w:tc>
        <w:tc>
          <w:tcPr>
            <w:tcW w:w="1837"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c>
          <w:tcPr>
            <w:tcW w:w="1819"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r>
      <w:tr>
        <w:trPr>
          <w:trHeight w:val="31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83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8"/>
              <w:ind w:left="19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837" w:type="dxa"/>
            <w:tcBorders>
              <w:top w:val="single" w:sz="9" w:space="0" w:color="DCDCDC"/>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489,144,502.08</w:t>
            </w: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219,277,960.87</w:t>
            </w:r>
          </w:p>
        </w:tc>
        <w:tc>
          <w:tcPr>
            <w:tcW w:w="1819"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634,070,522.56</w:t>
            </w: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601,379,685.03</w:t>
            </w: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5,467,752.49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5,277,752.49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10,178,660.00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10,178,660.00</w:t>
            </w: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174,847,378.38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173,890,220.83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185,658,248.30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185,600,156.75</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73,155,506.13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9,700,950.30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65,224,985.48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18,962,330.91</w:t>
            </w: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1,535,238.24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327,600.00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1,862,838.24</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15,936,694.87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15,083,877.91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11,806,465.36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11,642,715.92</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2"/>
                <w:sz w:val="18"/>
              </w:rPr>
              <w:t>114,511,623.24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97,996,434.52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78,119,299.79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73,557,996.40</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40,000,000.00</w:t>
            </w: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30,000,000.00</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31"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837" w:type="dxa"/>
            <w:tcBorders>
              <w:top w:val="single" w:sz="4" w:space="0" w:color="000000"/>
              <w:left w:val="single" w:sz="13" w:space="0" w:color="DCDCDC"/>
              <w:bottom w:val="single" w:sz="6" w:space="0" w:color="DCDCDC"/>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903,063,457.19</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562,762,435.16</w:t>
            </w:r>
          </w:p>
        </w:tc>
        <w:tc>
          <w:tcPr>
            <w:tcW w:w="1819"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985,385,781.49</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903,184,383.25</w:t>
            </w:r>
          </w:p>
        </w:tc>
      </w:tr>
      <w:tr>
        <w:trPr>
          <w:trHeight w:val="309"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83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1"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8"/>
              <w:ind w:left="191" w:right="0"/>
              <w:jc w:val="left"/>
              <w:rPr>
                <w:rFonts w:ascii="宋体" w:hAnsi="宋体" w:cs="宋体" w:eastAsia="宋体" w:hint="default"/>
                <w:sz w:val="18"/>
                <w:szCs w:val="18"/>
              </w:rPr>
            </w:pPr>
            <w:r>
              <w:rPr>
                <w:rFonts w:ascii="宋体" w:hAnsi="宋体" w:cs="宋体" w:eastAsia="宋体" w:hint="default"/>
                <w:sz w:val="18"/>
                <w:szCs w:val="18"/>
              </w:rPr>
              <w:t>发放委托贷款及垫款</w:t>
            </w:r>
          </w:p>
        </w:tc>
        <w:tc>
          <w:tcPr>
            <w:tcW w:w="1837" w:type="dxa"/>
            <w:tcBorders>
              <w:top w:val="single" w:sz="9" w:space="0" w:color="DCDCDC"/>
              <w:left w:val="single" w:sz="13" w:space="0" w:color="DCDCDC"/>
              <w:bottom w:val="single" w:sz="4" w:space="0" w:color="000000"/>
              <w:right w:val="single" w:sz="4" w:space="0" w:color="000000"/>
            </w:tcBorders>
          </w:tcPr>
          <w:p>
            <w:pPr/>
          </w:p>
        </w:tc>
        <w:tc>
          <w:tcPr>
            <w:tcW w:w="1820" w:type="dxa"/>
            <w:tcBorders>
              <w:top w:val="single" w:sz="9" w:space="0" w:color="DCDCDC"/>
              <w:left w:val="single" w:sz="4" w:space="0" w:color="000000"/>
              <w:bottom w:val="single" w:sz="4" w:space="0" w:color="000000"/>
              <w:right w:val="single" w:sz="4" w:space="0" w:color="000000"/>
            </w:tcBorders>
          </w:tcPr>
          <w:p>
            <w:pPr/>
          </w:p>
        </w:tc>
        <w:tc>
          <w:tcPr>
            <w:tcW w:w="1819" w:type="dxa"/>
            <w:tcBorders>
              <w:top w:val="single" w:sz="9" w:space="0" w:color="DCDCDC"/>
              <w:left w:val="single" w:sz="4" w:space="0" w:color="000000"/>
              <w:bottom w:val="single" w:sz="4" w:space="0" w:color="000000"/>
              <w:right w:val="single" w:sz="4" w:space="0" w:color="000000"/>
            </w:tcBorders>
          </w:tcPr>
          <w:p>
            <w:pPr/>
          </w:p>
        </w:tc>
        <w:tc>
          <w:tcPr>
            <w:tcW w:w="1820" w:type="dxa"/>
            <w:tcBorders>
              <w:top w:val="single" w:sz="9" w:space="0" w:color="DCDCDC"/>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457,489,525.00</w:t>
            </w: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68,609,525.00</w:t>
            </w: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7,720,727.05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7,720,727.05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8,221,192.45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8,221,192.45</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306,810,853.06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184,153,158.14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269,348,580.25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201,750,368.95</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79,752,727.01</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32,955,456.67</w:t>
            </w: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61,583,579.38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13,628,958.36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52,563,678.52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15,017,867.49</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14,553,814.25</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4,157,889.43</w:t>
            </w: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2,850,049.14</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2,850,049.14</w:t>
            </w: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1,682,211.98</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6,051,745.25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3,120,353.04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4,796,943.12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3,062,765.02</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40,000,000.00</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481,005,707.12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666,112,721.59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374,893,789.58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336,661,718.91</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711" w:top="1040" w:bottom="900" w:left="880" w:right="82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3"/>
          <w:szCs w:val="13"/>
        </w:rPr>
      </w:pPr>
    </w:p>
    <w:tbl>
      <w:tblPr>
        <w:tblW w:w="0" w:type="auto"/>
        <w:jc w:val="left"/>
        <w:tblInd w:w="260" w:type="dxa"/>
        <w:tblLayout w:type="fixed"/>
        <w:tblCellMar>
          <w:top w:w="0" w:type="dxa"/>
          <w:left w:w="0" w:type="dxa"/>
          <w:bottom w:w="0" w:type="dxa"/>
          <w:right w:w="0" w:type="dxa"/>
        </w:tblCellMar>
        <w:tblLook w:val="01E0"/>
      </w:tblPr>
      <w:tblGrid>
        <w:gridCol w:w="2525"/>
        <w:gridCol w:w="1832"/>
        <w:gridCol w:w="1820"/>
        <w:gridCol w:w="1819"/>
        <w:gridCol w:w="1820"/>
      </w:tblGrid>
      <w:tr>
        <w:trPr>
          <w:trHeight w:val="33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832" w:type="dxa"/>
            <w:tcBorders>
              <w:top w:val="single" w:sz="4" w:space="0" w:color="000000"/>
              <w:left w:val="single" w:sz="13" w:space="0" w:color="DCDCDC"/>
              <w:bottom w:val="single" w:sz="9" w:space="0" w:color="DCDCDC"/>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1,384,069,164.31</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1,228,875,156.75</w:t>
            </w:r>
          </w:p>
        </w:tc>
        <w:tc>
          <w:tcPr>
            <w:tcW w:w="1819"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1,360,279,571.07</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1,239,846,102.16</w:t>
            </w:r>
          </w:p>
        </w:tc>
      </w:tr>
      <w:tr>
        <w:trPr>
          <w:trHeight w:val="31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9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832" w:type="dxa"/>
            <w:tcBorders>
              <w:top w:val="single" w:sz="9" w:space="0" w:color="DCDCDC"/>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60,000,000.00</w:t>
            </w: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60,000,000.00</w:t>
            </w:r>
          </w:p>
        </w:tc>
        <w:tc>
          <w:tcPr>
            <w:tcW w:w="1819"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200,000,000.00</w:t>
            </w: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170,000,000.00</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62,461,282.00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54,370,237.63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40,681,486.78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34,171,465.64</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6,327,238.57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6,108,987.07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2,504,416.08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2,342,638.08</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4,776,295.23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4,078,425.23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4,108,925.61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3,775,791.46</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-1,874,728.69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12,549,291.49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8,095,267.88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14,034,390.39</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13,056,221.82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5,775,991.25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9,166,549.46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4,068,155.10</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3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832" w:type="dxa"/>
            <w:tcBorders>
              <w:top w:val="single" w:sz="4" w:space="0" w:color="000000"/>
              <w:left w:val="single" w:sz="13" w:space="0" w:color="DCDCDC"/>
              <w:bottom w:val="single" w:sz="6" w:space="0" w:color="DCDCDC"/>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144,746,308.93</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142,882,932.67</w:t>
            </w:r>
          </w:p>
        </w:tc>
        <w:tc>
          <w:tcPr>
            <w:tcW w:w="1819"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264,556,645.81</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228,392,440.67</w:t>
            </w:r>
          </w:p>
        </w:tc>
      </w:tr>
      <w:tr>
        <w:trPr>
          <w:trHeight w:val="30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8"/>
              <w:ind w:left="19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832" w:type="dxa"/>
            <w:tcBorders>
              <w:top w:val="single" w:sz="6" w:space="0" w:color="DCDCDC"/>
              <w:left w:val="single" w:sz="13" w:space="0" w:color="DCDCDC"/>
              <w:bottom w:val="single" w:sz="4" w:space="0" w:color="000000"/>
              <w:right w:val="single" w:sz="4" w:space="0" w:color="000000"/>
            </w:tcBorders>
          </w:tcPr>
          <w:p>
            <w:pPr/>
          </w:p>
        </w:tc>
        <w:tc>
          <w:tcPr>
            <w:tcW w:w="1820" w:type="dxa"/>
            <w:tcBorders>
              <w:top w:val="single" w:sz="6" w:space="0" w:color="DCDCDC"/>
              <w:left w:val="single" w:sz="4" w:space="0" w:color="000000"/>
              <w:bottom w:val="single" w:sz="4" w:space="0" w:color="000000"/>
              <w:right w:val="single" w:sz="4" w:space="0" w:color="000000"/>
            </w:tcBorders>
          </w:tcPr>
          <w:p>
            <w:pPr/>
          </w:p>
        </w:tc>
        <w:tc>
          <w:tcPr>
            <w:tcW w:w="1819" w:type="dxa"/>
            <w:tcBorders>
              <w:top w:val="single" w:sz="6" w:space="0" w:color="DCDCDC"/>
              <w:left w:val="single" w:sz="4" w:space="0" w:color="000000"/>
              <w:bottom w:val="single" w:sz="4" w:space="0" w:color="000000"/>
              <w:right w:val="single" w:sz="4" w:space="0" w:color="000000"/>
            </w:tcBorders>
          </w:tcPr>
          <w:p>
            <w:pPr/>
          </w:p>
        </w:tc>
        <w:tc>
          <w:tcPr>
            <w:tcW w:w="1820" w:type="dxa"/>
            <w:tcBorders>
              <w:top w:val="single" w:sz="6" w:space="0" w:color="DCDCDC"/>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69,915,907.92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1,200,000.00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40,407,435.90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1,200,000.00</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69,915,907.92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1,200,000.00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40,407,435.90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1,200,000.00</w:t>
            </w:r>
          </w:p>
        </w:tc>
      </w:tr>
      <w:tr>
        <w:trPr>
          <w:trHeight w:val="33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832" w:type="dxa"/>
            <w:tcBorders>
              <w:top w:val="single" w:sz="4" w:space="0" w:color="000000"/>
              <w:left w:val="single" w:sz="13" w:space="0" w:color="DCDCDC"/>
              <w:bottom w:val="single" w:sz="6" w:space="0" w:color="DCDCDC"/>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214,662,216.85</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144,082,932.67</w:t>
            </w:r>
          </w:p>
        </w:tc>
        <w:tc>
          <w:tcPr>
            <w:tcW w:w="1819"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304,964,081.71</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229,592,440.67</w:t>
            </w:r>
          </w:p>
        </w:tc>
      </w:tr>
      <w:tr>
        <w:trPr>
          <w:trHeight w:val="31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left="11"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2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91"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832" w:type="dxa"/>
            <w:tcBorders>
              <w:top w:val="single" w:sz="9" w:space="0" w:color="DCDCDC"/>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630,920,640.00</w:t>
            </w: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630,920,640.00</w:t>
            </w:r>
          </w:p>
        </w:tc>
        <w:tc>
          <w:tcPr>
            <w:tcW w:w="1819"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315,460,320.00</w:t>
            </w: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315,460,320.00</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109,293,438.95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116,130,579.39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431,371,475.79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431,590,899.39</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59,448,618.58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59,448,618.58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51,994,762.32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51,994,762.32</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268,119,341.32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278,292,386.11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204,982,380.11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211,207,679.78</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-45,827.53</w:t>
            </w:r>
            <w:r>
              <w:rPr>
                <w:rFonts w:ascii="Times New Roman"/>
                <w:sz w:val="18"/>
              </w:rPr>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-23,069.67</w:t>
            </w:r>
            <w:r>
              <w:rPr>
                <w:rFonts w:ascii="Times New Roman"/>
                <w:sz w:val="18"/>
              </w:rPr>
            </w:r>
          </w:p>
        </w:tc>
        <w:tc>
          <w:tcPr>
            <w:tcW w:w="182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711" w:top="1040" w:bottom="900" w:left="880" w:right="82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3"/>
          <w:szCs w:val="13"/>
        </w:rPr>
      </w:pPr>
    </w:p>
    <w:tbl>
      <w:tblPr>
        <w:tblW w:w="0" w:type="auto"/>
        <w:jc w:val="left"/>
        <w:tblInd w:w="249" w:type="dxa"/>
        <w:tblLayout w:type="fixed"/>
        <w:tblCellMar>
          <w:top w:w="0" w:type="dxa"/>
          <w:left w:w="0" w:type="dxa"/>
          <w:bottom w:w="0" w:type="dxa"/>
          <w:right w:w="0" w:type="dxa"/>
        </w:tblCellMar>
        <w:tblLook w:val="01E0"/>
      </w:tblPr>
      <w:tblGrid>
        <w:gridCol w:w="2536"/>
        <w:gridCol w:w="1832"/>
        <w:gridCol w:w="1820"/>
        <w:gridCol w:w="1819"/>
        <w:gridCol w:w="1820"/>
      </w:tblGrid>
      <w:tr>
        <w:trPr>
          <w:trHeight w:val="324" w:hRule="exact"/>
        </w:trPr>
        <w:tc>
          <w:tcPr>
            <w:tcW w:w="2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1,067,736,211.32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1,084,792,224.08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1,003,785,868.55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1,010,253,661.49</w:t>
            </w:r>
          </w:p>
        </w:tc>
      </w:tr>
      <w:tr>
        <w:trPr>
          <w:trHeight w:val="323" w:hRule="exact"/>
        </w:trPr>
        <w:tc>
          <w:tcPr>
            <w:tcW w:w="2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101,670,736.14</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51,529,620.81</w:t>
            </w: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1,169,406,947.46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1,084,792,224.08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1,055,315,489.36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1,010,253,661.49</w:t>
            </w:r>
          </w:p>
        </w:tc>
      </w:tr>
      <w:tr>
        <w:trPr>
          <w:trHeight w:val="323" w:hRule="exact"/>
        </w:trPr>
        <w:tc>
          <w:tcPr>
            <w:tcW w:w="2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1,384,069,164.31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1,228,875,156.75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1,360,279,571.07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1,239,846,102.16</w:t>
            </w:r>
          </w:p>
        </w:tc>
      </w:tr>
    </w:tbl>
    <w:p>
      <w:pPr>
        <w:spacing w:line="240" w:lineRule="auto" w:before="4"/>
        <w:rPr>
          <w:rFonts w:ascii="Times New Roman" w:hAnsi="Times New Roman" w:cs="Times New Roman" w:eastAsia="Times New Roman" w:hint="default"/>
          <w:sz w:val="25"/>
          <w:szCs w:val="25"/>
        </w:rPr>
      </w:pPr>
    </w:p>
    <w:p>
      <w:pPr>
        <w:spacing w:before="26"/>
        <w:ind w:left="1" w:right="55" w:firstLine="0"/>
        <w:jc w:val="center"/>
        <w:rPr>
          <w:rFonts w:ascii="宋体" w:hAnsi="宋体" w:cs="宋体" w:eastAsia="宋体" w:hint="default"/>
          <w:sz w:val="24"/>
          <w:szCs w:val="24"/>
        </w:rPr>
      </w:pPr>
      <w:r>
        <w:rPr>
          <w:rFonts w:ascii="宋体" w:hAnsi="宋体" w:cs="宋体" w:eastAsia="宋体" w:hint="default"/>
          <w:b/>
          <w:bCs/>
          <w:sz w:val="24"/>
          <w:szCs w:val="24"/>
        </w:rPr>
        <w:t>利润表</w:t>
      </w:r>
      <w:r>
        <w:rPr>
          <w:rFonts w:ascii="宋体" w:hAnsi="宋体" w:cs="宋体" w:eastAsia="宋体" w:hint="default"/>
          <w:sz w:val="24"/>
          <w:szCs w:val="24"/>
        </w:rPr>
      </w:r>
    </w:p>
    <w:p>
      <w:pPr>
        <w:tabs>
          <w:tab w:pos="5489" w:val="left" w:leader="none"/>
          <w:tab w:pos="8918" w:val="left" w:leader="none"/>
        </w:tabs>
        <w:spacing w:before="46"/>
        <w:ind w:left="0" w:right="55" w:firstLine="0"/>
        <w:jc w:val="center"/>
        <w:rPr>
          <w:rFonts w:ascii="宋体" w:hAnsi="宋体" w:cs="宋体" w:eastAsia="宋体" w:hint="default"/>
          <w:sz w:val="18"/>
          <w:szCs w:val="18"/>
        </w:rPr>
      </w:pPr>
      <w:r>
        <w:rPr>
          <w:rFonts w:ascii="宋体" w:hAnsi="宋体" w:cs="宋体" w:eastAsia="宋体" w:hint="default"/>
          <w:sz w:val="18"/>
          <w:szCs w:val="18"/>
        </w:rPr>
        <w:t>编制单位：深圳市惠程电气股份有限公司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tab/>
        <w:t>单位：元</w:t>
      </w:r>
    </w:p>
    <w:p>
      <w:pPr>
        <w:spacing w:line="240" w:lineRule="auto" w:before="2"/>
        <w:rPr>
          <w:rFonts w:ascii="宋体" w:hAnsi="宋体" w:cs="宋体" w:eastAsia="宋体" w:hint="default"/>
          <w:sz w:val="4"/>
          <w:szCs w:val="4"/>
        </w:rPr>
      </w:pPr>
    </w:p>
    <w:tbl>
      <w:tblPr>
        <w:tblW w:w="0" w:type="auto"/>
        <w:jc w:val="left"/>
        <w:tblInd w:w="260" w:type="dxa"/>
        <w:tblLayout w:type="fixed"/>
        <w:tblCellMar>
          <w:top w:w="0" w:type="dxa"/>
          <w:left w:w="0" w:type="dxa"/>
          <w:bottom w:w="0" w:type="dxa"/>
          <w:right w:w="0" w:type="dxa"/>
        </w:tblCellMar>
        <w:tblLook w:val="01E0"/>
      </w:tblPr>
      <w:tblGrid>
        <w:gridCol w:w="2525"/>
        <w:gridCol w:w="1832"/>
        <w:gridCol w:w="1820"/>
        <w:gridCol w:w="1819"/>
        <w:gridCol w:w="1820"/>
      </w:tblGrid>
      <w:tr>
        <w:trPr>
          <w:trHeight w:val="167" w:hRule="exact"/>
        </w:trPr>
        <w:tc>
          <w:tcPr>
            <w:tcW w:w="2525" w:type="dxa"/>
            <w:tcBorders>
              <w:top w:val="single" w:sz="4" w:space="0" w:color="000000"/>
              <w:left w:val="single" w:sz="4" w:space="0" w:color="000000"/>
              <w:bottom w:val="nil" w:sz="6" w:space="0" w:color="auto"/>
              <w:right w:val="single" w:sz="4" w:space="0" w:color="000000"/>
            </w:tcBorders>
            <w:shd w:val="clear" w:color="auto" w:fill="DCDCDC"/>
          </w:tcPr>
          <w:p>
            <w:pPr/>
          </w:p>
        </w:tc>
        <w:tc>
          <w:tcPr>
            <w:tcW w:w="3652"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1"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64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156" w:hRule="exact"/>
        </w:trPr>
        <w:tc>
          <w:tcPr>
            <w:tcW w:w="252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652" w:type="dxa"/>
            <w:gridSpan w:val="2"/>
            <w:vMerge/>
            <w:tcBorders>
              <w:left w:val="single" w:sz="4" w:space="0" w:color="000000"/>
              <w:bottom w:val="single" w:sz="4" w:space="0" w:color="000000"/>
              <w:right w:val="single" w:sz="4" w:space="0" w:color="000000"/>
            </w:tcBorders>
            <w:shd w:val="clear" w:color="auto" w:fill="DCDCDC"/>
          </w:tcPr>
          <w:p>
            <w:pPr/>
          </w:p>
        </w:tc>
        <w:tc>
          <w:tcPr>
            <w:tcW w:w="3640" w:type="dxa"/>
            <w:gridSpan w:val="2"/>
            <w:vMerge/>
            <w:tcBorders>
              <w:left w:val="single" w:sz="4" w:space="0" w:color="000000"/>
              <w:bottom w:val="single" w:sz="4" w:space="0" w:color="000000"/>
              <w:right w:val="single" w:sz="4" w:space="0" w:color="000000"/>
            </w:tcBorders>
            <w:shd w:val="clear" w:color="auto" w:fill="DCDCDC"/>
          </w:tcPr>
          <w:p>
            <w:pPr/>
          </w:p>
        </w:tc>
      </w:tr>
      <w:tr>
        <w:trPr>
          <w:trHeight w:val="157" w:hRule="exact"/>
        </w:trPr>
        <w:tc>
          <w:tcPr>
            <w:tcW w:w="2525" w:type="dxa"/>
            <w:vMerge/>
            <w:tcBorders>
              <w:left w:val="single" w:sz="4" w:space="0" w:color="000000"/>
              <w:bottom w:val="nil" w:sz="6" w:space="0" w:color="auto"/>
              <w:right w:val="single" w:sz="4" w:space="0" w:color="000000"/>
            </w:tcBorders>
            <w:shd w:val="clear" w:color="auto" w:fill="DCDCDC"/>
          </w:tcPr>
          <w:p>
            <w:pPr/>
          </w:p>
        </w:tc>
        <w:tc>
          <w:tcPr>
            <w:tcW w:w="183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1"/>
              <w:ind w:left="12"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81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167" w:hRule="exact"/>
        </w:trPr>
        <w:tc>
          <w:tcPr>
            <w:tcW w:w="2525" w:type="dxa"/>
            <w:tcBorders>
              <w:top w:val="nil" w:sz="6" w:space="0" w:color="auto"/>
              <w:left w:val="single" w:sz="4" w:space="0" w:color="000000"/>
              <w:bottom w:val="single" w:sz="4" w:space="0" w:color="000000"/>
              <w:right w:val="single" w:sz="4" w:space="0" w:color="000000"/>
            </w:tcBorders>
            <w:shd w:val="clear" w:color="auto" w:fill="DCDCDC"/>
          </w:tcPr>
          <w:p>
            <w:pPr/>
          </w:p>
        </w:tc>
        <w:tc>
          <w:tcPr>
            <w:tcW w:w="1832"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c>
          <w:tcPr>
            <w:tcW w:w="1819"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370,142,507.50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364,293,168.58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352,977,268.97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350,677,969.00</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370,142,507.50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364,293,168.58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352,977,268.97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350,677,969.00</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551"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316,917,893.21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291,171,489.65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269,685,196.98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257,986,791.46</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205,069,644.89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199,452,625.13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176,993,345.29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175,872,724.84</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551"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5" w:lineRule="exact" w:before="9"/>
              <w:ind w:left="551" w:right="0"/>
              <w:jc w:val="left"/>
              <w:rPr>
                <w:rFonts w:ascii="宋体" w:hAnsi="宋体" w:cs="宋体" w:eastAsia="宋体" w:hint="default"/>
                <w:sz w:val="18"/>
                <w:szCs w:val="18"/>
              </w:rPr>
            </w:pPr>
            <w:r>
              <w:rPr>
                <w:rFonts w:ascii="宋体" w:hAnsi="宋体" w:cs="宋体" w:eastAsia="宋体" w:hint="default"/>
                <w:sz w:val="18"/>
                <w:szCs w:val="18"/>
              </w:rPr>
              <w:t>提取保险合同准备金净</w:t>
            </w:r>
          </w:p>
          <w:p>
            <w:pPr>
              <w:pStyle w:val="TableParagraph"/>
              <w:spacing w:line="235" w:lineRule="exact"/>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551"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3,400,573.71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3,398,560.31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1,755,345.70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1,754,180.00</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55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47,523,744.14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46,147,174.47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32,694,245.27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32,127,934.83</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57,832,690.87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40,541,072.87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45,137,506.63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37,229,971.51</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55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2,318,705.99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967,690.67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8,284,698.83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6,185,582.09</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772,533.61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664,366.20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4,820,055.26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4,816,398.19</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10" w:firstLine="180"/>
              <w:jc w:val="left"/>
              <w:rPr>
                <w:rFonts w:ascii="宋体" w:hAnsi="宋体" w:cs="宋体" w:eastAsia="宋体" w:hint="default"/>
                <w:sz w:val="18"/>
                <w:szCs w:val="18"/>
              </w:rPr>
            </w:pPr>
            <w:r>
              <w:rPr>
                <w:rFonts w:ascii="宋体" w:hAnsi="宋体" w:cs="宋体" w:eastAsia="宋体" w:hint="default"/>
                <w:spacing w:val="-3"/>
                <w:sz w:val="18"/>
                <w:szCs w:val="18"/>
              </w:rPr>
              <w:t>加：公允价值变动收益（损失</w:t>
            </w:r>
            <w:r>
              <w:rPr>
                <w:rFonts w:ascii="宋体" w:hAnsi="宋体" w:cs="宋体" w:eastAsia="宋体" w:hint="default"/>
                <w:sz w:val="18"/>
                <w:szCs w:val="18"/>
              </w:rPr>
              <w:t> 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3"/>
              <w:ind w:left="11" w:right="38" w:firstLine="540"/>
              <w:jc w:val="left"/>
              <w:rPr>
                <w:rFonts w:ascii="宋体" w:hAnsi="宋体" w:cs="宋体" w:eastAsia="宋体" w:hint="default"/>
                <w:sz w:val="18"/>
                <w:szCs w:val="18"/>
              </w:rPr>
            </w:pPr>
            <w:r>
              <w:rPr>
                <w:rFonts w:ascii="宋体" w:hAnsi="宋体" w:cs="宋体" w:eastAsia="宋体" w:hint="default"/>
                <w:spacing w:val="-10"/>
                <w:sz w:val="18"/>
                <w:szCs w:val="18"/>
              </w:rPr>
              <w:t>投资收益（损失以“</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”号</w:t>
            </w:r>
            <w:r>
              <w:rPr>
                <w:rFonts w:ascii="宋体" w:hAnsi="宋体" w:cs="宋体" w:eastAsia="宋体" w:hint="default"/>
                <w:spacing w:val="-29"/>
                <w:sz w:val="18"/>
                <w:szCs w:val="18"/>
              </w:rPr>
              <w:t> </w:t>
            </w:r>
            <w:r>
              <w:rPr>
                <w:rFonts w:ascii="宋体" w:hAnsi="宋体" w:cs="宋体" w:eastAsia="宋体" w:hint="default"/>
                <w:sz w:val="18"/>
                <w:szCs w:val="18"/>
              </w:rPr>
              <w:t>填列）</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1,293,630.97</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-6,179,757.34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-6,179,757.34</w:t>
            </w:r>
          </w:p>
        </w:tc>
      </w:tr>
      <w:tr>
        <w:trPr>
          <w:trHeight w:val="558"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9" w:firstLine="720"/>
              <w:jc w:val="left"/>
              <w:rPr>
                <w:rFonts w:ascii="宋体" w:hAnsi="宋体" w:cs="宋体" w:eastAsia="宋体" w:hint="default"/>
                <w:sz w:val="18"/>
                <w:szCs w:val="18"/>
              </w:rPr>
            </w:pPr>
            <w:r>
              <w:rPr>
                <w:rFonts w:ascii="宋体" w:hAnsi="宋体" w:cs="宋体" w:eastAsia="宋体" w:hint="default"/>
                <w:spacing w:val="-3"/>
                <w:sz w:val="18"/>
                <w:szCs w:val="18"/>
              </w:rPr>
              <w:t>其中：对联营企业和合</w:t>
            </w:r>
            <w:r>
              <w:rPr>
                <w:rFonts w:ascii="宋体" w:hAnsi="宋体" w:cs="宋体" w:eastAsia="宋体" w:hint="default"/>
                <w:sz w:val="18"/>
                <w:szCs w:val="18"/>
              </w:rPr>
              <w:t> 营企业的投资收益</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11" w:right="9" w:firstLine="360"/>
              <w:jc w:val="left"/>
              <w:rPr>
                <w:rFonts w:ascii="宋体" w:hAnsi="宋体" w:cs="宋体" w:eastAsia="宋体" w:hint="default"/>
                <w:sz w:val="18"/>
                <w:szCs w:val="18"/>
              </w:rPr>
            </w:pPr>
            <w:r>
              <w:rPr>
                <w:rFonts w:ascii="宋体" w:hAnsi="宋体" w:cs="宋体" w:eastAsia="宋体" w:hint="default"/>
                <w:spacing w:val="-7"/>
                <w:sz w:val="18"/>
                <w:szCs w:val="18"/>
              </w:rPr>
              <w:t>汇兑收益（损失以“</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”号填</w:t>
            </w:r>
            <w:r>
              <w:rPr>
                <w:rFonts w:ascii="宋体" w:hAnsi="宋体" w:cs="宋体" w:eastAsia="宋体" w:hint="default"/>
                <w:sz w:val="18"/>
                <w:szCs w:val="18"/>
              </w:rPr>
              <w:t> 列）</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11" w:right="10"/>
              <w:jc w:val="left"/>
              <w:rPr>
                <w:rFonts w:ascii="宋体" w:hAnsi="宋体" w:cs="宋体" w:eastAsia="宋体" w:hint="default"/>
                <w:sz w:val="18"/>
                <w:szCs w:val="18"/>
              </w:rPr>
            </w:pPr>
            <w:r>
              <w:rPr>
                <w:rFonts w:ascii="宋体" w:hAnsi="宋体" w:cs="宋体" w:eastAsia="宋体" w:hint="default"/>
                <w:spacing w:val="-7"/>
                <w:sz w:val="18"/>
                <w:szCs w:val="18"/>
              </w:rPr>
              <w:t>三、营业利润（亏损以“</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”号填</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列）</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54,518,245.26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73,121,678.93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77,112,314.65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86,511,420.20</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91"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27,875,245.47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14,562,551.68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3,620,969.93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1,323,685.41</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489,622.42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139,575.48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65,829.93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pacing w:val="-3"/>
                <w:sz w:val="18"/>
                <w:szCs w:val="18"/>
              </w:rPr>
              <w:t>其中：非流动资产处置损失</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364,223.42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19,176.48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35,484.93</w:t>
            </w: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11" w:right="101"/>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 </w:t>
            </w:r>
            <w:r>
              <w:rPr>
                <w:rFonts w:ascii="宋体" w:hAnsi="宋体" w:cs="宋体" w:eastAsia="宋体" w:hint="default"/>
                <w:sz w:val="18"/>
                <w:szCs w:val="18"/>
              </w:rPr>
              <w:t>号填列）</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196" w:lineRule="exact" w:before="10"/>
              <w:ind w:left="-125"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67" w:lineRule="exact"/>
              <w:ind w:left="753" w:right="0"/>
              <w:jc w:val="left"/>
              <w:rPr>
                <w:rFonts w:ascii="Times New Roman" w:hAnsi="Times New Roman" w:cs="Times New Roman" w:eastAsia="Times New Roman" w:hint="default"/>
                <w:sz w:val="18"/>
                <w:szCs w:val="18"/>
              </w:rPr>
            </w:pPr>
            <w:r>
              <w:rPr>
                <w:rFonts w:ascii="Times New Roman"/>
                <w:sz w:val="18"/>
              </w:rPr>
              <w:t>81,903,868.31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87,544,655.13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80,667,454.65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87,835,105.61</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91"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11,984,652.35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13,006,092.54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12,296,351.74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13,092,522.16</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711" w:top="1040" w:bottom="900" w:left="880" w:right="820"/>
        </w:sectPr>
      </w:pPr>
    </w:p>
    <w:p>
      <w:pPr>
        <w:spacing w:line="240" w:lineRule="auto" w:before="2"/>
        <w:rPr>
          <w:rFonts w:ascii="宋体" w:hAnsi="宋体" w:cs="宋体" w:eastAsia="宋体" w:hint="default"/>
          <w:sz w:val="29"/>
          <w:szCs w:val="29"/>
        </w:rPr>
      </w:pPr>
    </w:p>
    <w:tbl>
      <w:tblPr>
        <w:tblW w:w="0" w:type="auto"/>
        <w:jc w:val="left"/>
        <w:tblInd w:w="260" w:type="dxa"/>
        <w:tblLayout w:type="fixed"/>
        <w:tblCellMar>
          <w:top w:w="0" w:type="dxa"/>
          <w:left w:w="0" w:type="dxa"/>
          <w:bottom w:w="0" w:type="dxa"/>
          <w:right w:w="0" w:type="dxa"/>
        </w:tblCellMar>
        <w:tblLook w:val="01E0"/>
      </w:tblPr>
      <w:tblGrid>
        <w:gridCol w:w="2525"/>
        <w:gridCol w:w="1832"/>
        <w:gridCol w:w="1820"/>
        <w:gridCol w:w="1819"/>
        <w:gridCol w:w="1820"/>
      </w:tblGrid>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11" w:right="10"/>
              <w:jc w:val="left"/>
              <w:rPr>
                <w:rFonts w:ascii="宋体" w:hAnsi="宋体" w:cs="宋体" w:eastAsia="宋体" w:hint="default"/>
                <w:sz w:val="18"/>
                <w:szCs w:val="18"/>
              </w:rPr>
            </w:pPr>
            <w:r>
              <w:rPr>
                <w:rFonts w:ascii="宋体" w:hAnsi="宋体" w:cs="宋体" w:eastAsia="宋体" w:hint="default"/>
                <w:spacing w:val="-7"/>
                <w:sz w:val="18"/>
                <w:szCs w:val="18"/>
              </w:rPr>
              <w:t>五、净利润（净亏损以“</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”号填</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列）</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69,919,215.96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74,538,562.59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68,371,102.91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74,742,583.45</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161" w:firstLine="360"/>
              <w:jc w:val="left"/>
              <w:rPr>
                <w:rFonts w:ascii="宋体" w:hAnsi="宋体" w:cs="宋体" w:eastAsia="宋体" w:hint="default"/>
                <w:sz w:val="18"/>
                <w:szCs w:val="18"/>
              </w:rPr>
            </w:pPr>
            <w:r>
              <w:rPr>
                <w:rFonts w:ascii="宋体" w:hAnsi="宋体" w:cs="宋体" w:eastAsia="宋体" w:hint="default"/>
                <w:sz w:val="18"/>
                <w:szCs w:val="18"/>
              </w:rPr>
              <w:t>归属于母公司所有者的净 利润</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70,590,817.47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74,538,562.59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70,257,925.69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74,742,583.45</w:t>
            </w:r>
          </w:p>
        </w:tc>
      </w:tr>
      <w:tr>
        <w:trPr>
          <w:trHeight w:val="33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832" w:type="dxa"/>
            <w:tcBorders>
              <w:top w:val="single" w:sz="4" w:space="0" w:color="000000"/>
              <w:left w:val="single" w:sz="13" w:space="0" w:color="DCDCDC"/>
              <w:bottom w:val="single" w:sz="9" w:space="0" w:color="DCDCDC"/>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-671,601.51</w:t>
            </w:r>
            <w:r>
              <w:rPr>
                <w:rFonts w:ascii="Times New Roman"/>
                <w:sz w:val="18"/>
              </w:rPr>
            </w:r>
          </w:p>
        </w:tc>
        <w:tc>
          <w:tcPr>
            <w:tcW w:w="1820" w:type="dxa"/>
            <w:tcBorders>
              <w:top w:val="single" w:sz="4" w:space="0" w:color="000000"/>
              <w:left w:val="single" w:sz="4" w:space="0" w:color="000000"/>
              <w:bottom w:val="single" w:sz="9" w:space="0" w:color="DCDCDC"/>
              <w:right w:val="single" w:sz="4" w:space="0" w:color="000000"/>
            </w:tcBorders>
          </w:tcPr>
          <w:p>
            <w:pPr/>
          </w:p>
        </w:tc>
        <w:tc>
          <w:tcPr>
            <w:tcW w:w="1819"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-1,886,822.78</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0.00</w:t>
            </w:r>
          </w:p>
        </w:tc>
      </w:tr>
      <w:tr>
        <w:trPr>
          <w:trHeight w:val="31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left="11"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8"/>
              <w:ind w:right="521"/>
              <w:jc w:val="right"/>
              <w:rPr>
                <w:rFonts w:ascii="宋体" w:hAnsi="宋体" w:cs="宋体" w:eastAsia="宋体" w:hint="default"/>
                <w:sz w:val="18"/>
                <w:szCs w:val="18"/>
              </w:rPr>
            </w:pPr>
            <w:r>
              <w:rPr>
                <w:rFonts w:ascii="宋体" w:hAnsi="宋体" w:cs="宋体" w:eastAsia="宋体" w:hint="default"/>
                <w:sz w:val="18"/>
                <w:szCs w:val="18"/>
              </w:rPr>
              <w:t>（一）基本每股收益</w:t>
            </w:r>
          </w:p>
        </w:tc>
        <w:tc>
          <w:tcPr>
            <w:tcW w:w="1832" w:type="dxa"/>
            <w:tcBorders>
              <w:top w:val="single" w:sz="9" w:space="0" w:color="DCDCDC"/>
              <w:left w:val="single" w:sz="13" w:space="0" w:color="DCDCDC"/>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3"/>
                <w:sz w:val="18"/>
              </w:rPr>
              <w:t>0.1119</w:t>
            </w: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2"/>
                <w:sz w:val="18"/>
              </w:rPr>
              <w:t>0.1181</w:t>
            </w:r>
          </w:p>
        </w:tc>
        <w:tc>
          <w:tcPr>
            <w:tcW w:w="1819"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3"/>
                <w:sz w:val="18"/>
              </w:rPr>
              <w:t>0.1114</w:t>
            </w: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2"/>
                <w:sz w:val="18"/>
              </w:rPr>
              <w:t>0.1185</w:t>
            </w: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521"/>
              <w:jc w:val="right"/>
              <w:rPr>
                <w:rFonts w:ascii="宋体" w:hAnsi="宋体" w:cs="宋体" w:eastAsia="宋体" w:hint="default"/>
                <w:sz w:val="18"/>
                <w:szCs w:val="18"/>
              </w:rPr>
            </w:pPr>
            <w:r>
              <w:rPr>
                <w:rFonts w:ascii="宋体" w:hAnsi="宋体" w:cs="宋体" w:eastAsia="宋体" w:hint="default"/>
                <w:sz w:val="18"/>
                <w:szCs w:val="18"/>
              </w:rPr>
              <w:t>（二）稀释每股收益</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3"/>
                <w:sz w:val="18"/>
              </w:rPr>
              <w:t>0.1119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2"/>
                <w:sz w:val="18"/>
              </w:rPr>
              <w:t>0.1181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3"/>
                <w:sz w:val="18"/>
              </w:rPr>
              <w:t>0.1114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2"/>
                <w:sz w:val="18"/>
              </w:rPr>
              <w:t>0.1185</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-22,757.86</w:t>
            </w:r>
            <w:r>
              <w:rPr>
                <w:rFonts w:ascii="Times New Roman"/>
                <w:sz w:val="18"/>
              </w:rPr>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-30,711.66</w:t>
            </w: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69,896,458.10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74,538,562.59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68,340,391.25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74,742,583.45</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161" w:firstLine="360"/>
              <w:jc w:val="left"/>
              <w:rPr>
                <w:rFonts w:ascii="宋体" w:hAnsi="宋体" w:cs="宋体" w:eastAsia="宋体" w:hint="default"/>
                <w:sz w:val="18"/>
                <w:szCs w:val="18"/>
              </w:rPr>
            </w:pPr>
            <w:r>
              <w:rPr>
                <w:rFonts w:ascii="宋体" w:hAnsi="宋体" w:cs="宋体" w:eastAsia="宋体" w:hint="default"/>
                <w:sz w:val="18"/>
                <w:szCs w:val="18"/>
              </w:rPr>
              <w:t>归属于母公司所有者的综 合收益总额</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70,568,059.61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74,538,562.59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70,227,214.03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74,742,583.45</w:t>
            </w:r>
          </w:p>
        </w:tc>
      </w:tr>
      <w:tr>
        <w:trPr>
          <w:trHeight w:val="558"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161" w:firstLine="360"/>
              <w:jc w:val="left"/>
              <w:rPr>
                <w:rFonts w:ascii="宋体" w:hAnsi="宋体" w:cs="宋体" w:eastAsia="宋体" w:hint="default"/>
                <w:sz w:val="18"/>
                <w:szCs w:val="18"/>
              </w:rPr>
            </w:pPr>
            <w:r>
              <w:rPr>
                <w:rFonts w:ascii="宋体" w:hAnsi="宋体" w:cs="宋体" w:eastAsia="宋体" w:hint="default"/>
                <w:sz w:val="18"/>
                <w:szCs w:val="18"/>
              </w:rPr>
              <w:t>归属于少数股东的综合收 益总额</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-671,601.51</w:t>
            </w:r>
            <w:r>
              <w:rPr>
                <w:rFonts w:ascii="Times New Roman"/>
                <w:sz w:val="18"/>
              </w:rPr>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-1,886,822.78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bl>
    <w:p>
      <w:pPr>
        <w:spacing w:before="10"/>
        <w:ind w:left="254" w:right="1043" w:firstLine="0"/>
        <w:jc w:val="left"/>
        <w:rPr>
          <w:rFonts w:ascii="宋体" w:hAnsi="宋体" w:cs="宋体" w:eastAsia="宋体" w:hint="default"/>
          <w:sz w:val="18"/>
          <w:szCs w:val="18"/>
        </w:rPr>
      </w:pPr>
      <w:r>
        <w:rPr>
          <w:rFonts w:ascii="宋体" w:hAnsi="宋体" w:cs="宋体" w:eastAsia="宋体" w:hint="default"/>
          <w:sz w:val="18"/>
          <w:szCs w:val="18"/>
        </w:rPr>
        <w:t>本期发生同一控制下企业合并的，被合并方在合并前实现的净利润为：</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6"/>
          <w:szCs w:val="26"/>
        </w:rPr>
      </w:pPr>
    </w:p>
    <w:p>
      <w:pPr>
        <w:spacing w:before="0"/>
        <w:ind w:left="1" w:right="55" w:firstLine="0"/>
        <w:jc w:val="center"/>
        <w:rPr>
          <w:rFonts w:ascii="宋体" w:hAnsi="宋体" w:cs="宋体" w:eastAsia="宋体" w:hint="default"/>
          <w:sz w:val="24"/>
          <w:szCs w:val="24"/>
        </w:rPr>
      </w:pPr>
      <w:r>
        <w:rPr>
          <w:rFonts w:ascii="宋体" w:hAnsi="宋体" w:cs="宋体" w:eastAsia="宋体" w:hint="default"/>
          <w:b/>
          <w:bCs/>
          <w:sz w:val="24"/>
          <w:szCs w:val="24"/>
        </w:rPr>
        <w:t>现金流量表</w:t>
      </w:r>
      <w:r>
        <w:rPr>
          <w:rFonts w:ascii="宋体" w:hAnsi="宋体" w:cs="宋体" w:eastAsia="宋体" w:hint="default"/>
          <w:sz w:val="24"/>
          <w:szCs w:val="24"/>
        </w:rPr>
      </w:r>
    </w:p>
    <w:p>
      <w:pPr>
        <w:tabs>
          <w:tab w:pos="5489" w:val="left" w:leader="none"/>
          <w:tab w:pos="8918" w:val="left" w:leader="none"/>
        </w:tabs>
        <w:spacing w:before="46"/>
        <w:ind w:left="0" w:right="55" w:firstLine="0"/>
        <w:jc w:val="center"/>
        <w:rPr>
          <w:rFonts w:ascii="宋体" w:hAnsi="宋体" w:cs="宋体" w:eastAsia="宋体" w:hint="default"/>
          <w:sz w:val="18"/>
          <w:szCs w:val="18"/>
        </w:rPr>
      </w:pPr>
      <w:r>
        <w:rPr>
          <w:rFonts w:ascii="宋体" w:hAnsi="宋体" w:cs="宋体" w:eastAsia="宋体" w:hint="default"/>
          <w:sz w:val="18"/>
          <w:szCs w:val="18"/>
        </w:rPr>
        <w:t>编制单位：深圳市惠程电气股份有限公司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tab/>
        <w:t>单位：元</w:t>
      </w:r>
    </w:p>
    <w:p>
      <w:pPr>
        <w:spacing w:line="240" w:lineRule="auto" w:before="2"/>
        <w:rPr>
          <w:rFonts w:ascii="宋体" w:hAnsi="宋体" w:cs="宋体" w:eastAsia="宋体" w:hint="default"/>
          <w:sz w:val="4"/>
          <w:szCs w:val="4"/>
        </w:rPr>
      </w:pPr>
    </w:p>
    <w:tbl>
      <w:tblPr>
        <w:tblW w:w="0" w:type="auto"/>
        <w:jc w:val="left"/>
        <w:tblInd w:w="260" w:type="dxa"/>
        <w:tblLayout w:type="fixed"/>
        <w:tblCellMar>
          <w:top w:w="0" w:type="dxa"/>
          <w:left w:w="0" w:type="dxa"/>
          <w:bottom w:w="0" w:type="dxa"/>
          <w:right w:w="0" w:type="dxa"/>
        </w:tblCellMar>
        <w:tblLook w:val="01E0"/>
      </w:tblPr>
      <w:tblGrid>
        <w:gridCol w:w="2525"/>
        <w:gridCol w:w="1832"/>
        <w:gridCol w:w="1820"/>
        <w:gridCol w:w="1819"/>
        <w:gridCol w:w="1820"/>
      </w:tblGrid>
      <w:tr>
        <w:trPr>
          <w:trHeight w:val="167" w:hRule="exact"/>
        </w:trPr>
        <w:tc>
          <w:tcPr>
            <w:tcW w:w="2525" w:type="dxa"/>
            <w:tcBorders>
              <w:top w:val="single" w:sz="4" w:space="0" w:color="000000"/>
              <w:left w:val="single" w:sz="4" w:space="0" w:color="000000"/>
              <w:bottom w:val="nil" w:sz="6" w:space="0" w:color="auto"/>
              <w:right w:val="single" w:sz="4" w:space="0" w:color="000000"/>
            </w:tcBorders>
            <w:shd w:val="clear" w:color="auto" w:fill="DCDCDC"/>
          </w:tcPr>
          <w:p>
            <w:pPr/>
          </w:p>
        </w:tc>
        <w:tc>
          <w:tcPr>
            <w:tcW w:w="3652"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1"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64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156" w:hRule="exact"/>
        </w:trPr>
        <w:tc>
          <w:tcPr>
            <w:tcW w:w="252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652" w:type="dxa"/>
            <w:gridSpan w:val="2"/>
            <w:vMerge/>
            <w:tcBorders>
              <w:left w:val="single" w:sz="4" w:space="0" w:color="000000"/>
              <w:bottom w:val="single" w:sz="4" w:space="0" w:color="000000"/>
              <w:right w:val="single" w:sz="4" w:space="0" w:color="000000"/>
            </w:tcBorders>
            <w:shd w:val="clear" w:color="auto" w:fill="DCDCDC"/>
          </w:tcPr>
          <w:p>
            <w:pPr/>
          </w:p>
        </w:tc>
        <w:tc>
          <w:tcPr>
            <w:tcW w:w="3640" w:type="dxa"/>
            <w:gridSpan w:val="2"/>
            <w:vMerge/>
            <w:tcBorders>
              <w:left w:val="single" w:sz="4" w:space="0" w:color="000000"/>
              <w:bottom w:val="single" w:sz="4" w:space="0" w:color="000000"/>
              <w:right w:val="single" w:sz="4" w:space="0" w:color="000000"/>
            </w:tcBorders>
            <w:shd w:val="clear" w:color="auto" w:fill="DCDCDC"/>
          </w:tcPr>
          <w:p>
            <w:pPr/>
          </w:p>
        </w:tc>
      </w:tr>
      <w:tr>
        <w:trPr>
          <w:trHeight w:val="157" w:hRule="exact"/>
        </w:trPr>
        <w:tc>
          <w:tcPr>
            <w:tcW w:w="2525" w:type="dxa"/>
            <w:vMerge/>
            <w:tcBorders>
              <w:left w:val="single" w:sz="4" w:space="0" w:color="000000"/>
              <w:bottom w:val="nil" w:sz="6" w:space="0" w:color="auto"/>
              <w:right w:val="single" w:sz="4" w:space="0" w:color="000000"/>
            </w:tcBorders>
            <w:shd w:val="clear" w:color="auto" w:fill="DCDCDC"/>
          </w:tcPr>
          <w:p>
            <w:pPr/>
          </w:p>
        </w:tc>
        <w:tc>
          <w:tcPr>
            <w:tcW w:w="183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1"/>
              <w:ind w:left="12"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81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174" w:hRule="exact"/>
        </w:trPr>
        <w:tc>
          <w:tcPr>
            <w:tcW w:w="2525" w:type="dxa"/>
            <w:tcBorders>
              <w:top w:val="nil" w:sz="6" w:space="0" w:color="auto"/>
              <w:left w:val="single" w:sz="4" w:space="0" w:color="000000"/>
              <w:bottom w:val="single" w:sz="4" w:space="0" w:color="000000"/>
              <w:right w:val="single" w:sz="4" w:space="0" w:color="000000"/>
            </w:tcBorders>
            <w:shd w:val="clear" w:color="auto" w:fill="DCDCDC"/>
          </w:tcPr>
          <w:p>
            <w:pPr/>
          </w:p>
        </w:tc>
        <w:tc>
          <w:tcPr>
            <w:tcW w:w="1832"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c>
          <w:tcPr>
            <w:tcW w:w="1819"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r>
      <w:tr>
        <w:trPr>
          <w:trHeight w:val="30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left="11" w:right="-17"/>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56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41"/>
              <w:ind w:left="11" w:right="9" w:firstLine="360"/>
              <w:jc w:val="left"/>
              <w:rPr>
                <w:rFonts w:ascii="宋体" w:hAnsi="宋体" w:cs="宋体" w:eastAsia="宋体" w:hint="default"/>
                <w:sz w:val="18"/>
                <w:szCs w:val="18"/>
              </w:rPr>
            </w:pPr>
            <w:r>
              <w:rPr>
                <w:rFonts w:ascii="宋体" w:hAnsi="宋体" w:cs="宋体" w:eastAsia="宋体" w:hint="default"/>
                <w:spacing w:val="-3"/>
                <w:sz w:val="18"/>
                <w:szCs w:val="18"/>
              </w:rPr>
              <w:t>销售商品、提供劳务收到的</w:t>
            </w:r>
            <w:r>
              <w:rPr>
                <w:rFonts w:ascii="宋体" w:hAnsi="宋体" w:cs="宋体" w:eastAsia="宋体" w:hint="default"/>
                <w:sz w:val="18"/>
                <w:szCs w:val="18"/>
              </w:rPr>
              <w:t> 现金</w:t>
            </w:r>
          </w:p>
        </w:tc>
        <w:tc>
          <w:tcPr>
            <w:tcW w:w="1832" w:type="dxa"/>
            <w:tcBorders>
              <w:top w:val="single" w:sz="6" w:space="0" w:color="DCDCDC"/>
              <w:left w:val="single" w:sz="13" w:space="0" w:color="DCDCDC"/>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442,542,930.70</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433,296,832.97</w:t>
            </w:r>
          </w:p>
        </w:tc>
        <w:tc>
          <w:tcPr>
            <w:tcW w:w="1819"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368,750,538.35</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365,681,462.97</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9" w:firstLine="360"/>
              <w:jc w:val="left"/>
              <w:rPr>
                <w:rFonts w:ascii="宋体" w:hAnsi="宋体" w:cs="宋体" w:eastAsia="宋体" w:hint="default"/>
                <w:sz w:val="18"/>
                <w:szCs w:val="18"/>
              </w:rPr>
            </w:pPr>
            <w:r>
              <w:rPr>
                <w:rFonts w:ascii="宋体" w:hAnsi="宋体" w:cs="宋体" w:eastAsia="宋体" w:hint="default"/>
                <w:spacing w:val="13"/>
                <w:sz w:val="18"/>
                <w:szCs w:val="18"/>
              </w:rPr>
              <w:t>客户存款和同业存放款项</w:t>
            </w:r>
            <w:r>
              <w:rPr>
                <w:rFonts w:ascii="宋体" w:hAnsi="宋体" w:cs="宋体" w:eastAsia="宋体" w:hint="default"/>
                <w:sz w:val="18"/>
                <w:szCs w:val="18"/>
              </w:rPr>
              <w:t> 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9" w:firstLine="360"/>
              <w:jc w:val="left"/>
              <w:rPr>
                <w:rFonts w:ascii="宋体" w:hAnsi="宋体" w:cs="宋体" w:eastAsia="宋体" w:hint="default"/>
                <w:sz w:val="18"/>
                <w:szCs w:val="18"/>
              </w:rPr>
            </w:pPr>
            <w:r>
              <w:rPr>
                <w:rFonts w:ascii="宋体" w:hAnsi="宋体" w:cs="宋体" w:eastAsia="宋体" w:hint="default"/>
                <w:spacing w:val="13"/>
                <w:sz w:val="18"/>
                <w:szCs w:val="18"/>
              </w:rPr>
              <w:t>向其他金融机构拆入资金</w:t>
            </w:r>
            <w:r>
              <w:rPr>
                <w:rFonts w:ascii="宋体" w:hAnsi="宋体" w:cs="宋体" w:eastAsia="宋体" w:hint="default"/>
                <w:sz w:val="18"/>
                <w:szCs w:val="18"/>
              </w:rPr>
              <w:t> 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9" w:firstLine="360"/>
              <w:jc w:val="left"/>
              <w:rPr>
                <w:rFonts w:ascii="宋体" w:hAnsi="宋体" w:cs="宋体" w:eastAsia="宋体" w:hint="default"/>
                <w:sz w:val="18"/>
                <w:szCs w:val="18"/>
              </w:rPr>
            </w:pPr>
            <w:r>
              <w:rPr>
                <w:rFonts w:ascii="宋体" w:hAnsi="宋体" w:cs="宋体" w:eastAsia="宋体" w:hint="default"/>
                <w:spacing w:val="13"/>
                <w:sz w:val="18"/>
                <w:szCs w:val="18"/>
              </w:rPr>
              <w:t>收到原保险合同保费取得</w:t>
            </w:r>
            <w:r>
              <w:rPr>
                <w:rFonts w:ascii="宋体" w:hAnsi="宋体" w:cs="宋体" w:eastAsia="宋体" w:hint="default"/>
                <w:sz w:val="18"/>
                <w:szCs w:val="18"/>
              </w:rPr>
              <w:t> 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5" w:lineRule="exact" w:before="9"/>
              <w:ind w:left="371" w:right="0"/>
              <w:jc w:val="left"/>
              <w:rPr>
                <w:rFonts w:ascii="宋体" w:hAnsi="宋体" w:cs="宋体" w:eastAsia="宋体" w:hint="default"/>
                <w:sz w:val="18"/>
                <w:szCs w:val="18"/>
              </w:rPr>
            </w:pPr>
            <w:r>
              <w:rPr>
                <w:rFonts w:ascii="宋体" w:hAnsi="宋体" w:cs="宋体" w:eastAsia="宋体" w:hint="default"/>
                <w:spacing w:val="13"/>
                <w:sz w:val="18"/>
                <w:szCs w:val="18"/>
              </w:rPr>
              <w:t>保户储金及投资款净增加</w:t>
            </w:r>
          </w:p>
          <w:p>
            <w:pPr>
              <w:pStyle w:val="TableParagraph"/>
              <w:spacing w:line="235" w:lineRule="exact"/>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9" w:firstLine="360"/>
              <w:jc w:val="left"/>
              <w:rPr>
                <w:rFonts w:ascii="宋体" w:hAnsi="宋体" w:cs="宋体" w:eastAsia="宋体" w:hint="default"/>
                <w:sz w:val="18"/>
                <w:szCs w:val="18"/>
              </w:rPr>
            </w:pPr>
            <w:r>
              <w:rPr>
                <w:rFonts w:ascii="宋体" w:hAnsi="宋体" w:cs="宋体" w:eastAsia="宋体" w:hint="default"/>
                <w:spacing w:val="13"/>
                <w:sz w:val="18"/>
                <w:szCs w:val="18"/>
              </w:rPr>
              <w:t>处置交易性金融资产净增</w:t>
            </w:r>
            <w:r>
              <w:rPr>
                <w:rFonts w:ascii="宋体" w:hAnsi="宋体" w:cs="宋体" w:eastAsia="宋体" w:hint="default"/>
                <w:sz w:val="18"/>
                <w:szCs w:val="18"/>
              </w:rPr>
              <w:t> 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9" w:firstLine="360"/>
              <w:jc w:val="left"/>
              <w:rPr>
                <w:rFonts w:ascii="宋体" w:hAnsi="宋体" w:cs="宋体" w:eastAsia="宋体" w:hint="default"/>
                <w:sz w:val="18"/>
                <w:szCs w:val="18"/>
              </w:rPr>
            </w:pPr>
            <w:r>
              <w:rPr>
                <w:rFonts w:ascii="宋体" w:hAnsi="宋体" w:cs="宋体" w:eastAsia="宋体" w:hint="default"/>
                <w:spacing w:val="-3"/>
                <w:sz w:val="18"/>
                <w:szCs w:val="18"/>
              </w:rPr>
              <w:t>收取利息、手续费及佣金的</w:t>
            </w:r>
            <w:r>
              <w:rPr>
                <w:rFonts w:ascii="宋体" w:hAnsi="宋体" w:cs="宋体" w:eastAsia="宋体" w:hint="default"/>
                <w:sz w:val="18"/>
                <w:szCs w:val="18"/>
              </w:rPr>
              <w:t> 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1,299,284.89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1,299,284.89</w:t>
            </w: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9" w:firstLine="360"/>
              <w:jc w:val="left"/>
              <w:rPr>
                <w:rFonts w:ascii="宋体" w:hAnsi="宋体" w:cs="宋体" w:eastAsia="宋体" w:hint="default"/>
                <w:sz w:val="18"/>
                <w:szCs w:val="18"/>
              </w:rPr>
            </w:pPr>
            <w:r>
              <w:rPr>
                <w:rFonts w:ascii="宋体" w:hAnsi="宋体" w:cs="宋体" w:eastAsia="宋体" w:hint="default"/>
                <w:spacing w:val="13"/>
                <w:sz w:val="18"/>
                <w:szCs w:val="18"/>
              </w:rPr>
              <w:t>收到其他与经营活动有关</w:t>
            </w:r>
            <w:r>
              <w:rPr>
                <w:rFonts w:ascii="宋体" w:hAnsi="宋体" w:cs="宋体" w:eastAsia="宋体" w:hint="default"/>
                <w:sz w:val="18"/>
                <w:szCs w:val="18"/>
              </w:rPr>
              <w:t> 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33,616,834.92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66,593,401.71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16,613,448.80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4,029,798.25</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55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477,459,050.51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501,189,519.57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385,363,987.15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369,711,261.22</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9" w:firstLine="360"/>
              <w:jc w:val="left"/>
              <w:rPr>
                <w:rFonts w:ascii="宋体" w:hAnsi="宋体" w:cs="宋体" w:eastAsia="宋体" w:hint="default"/>
                <w:sz w:val="18"/>
                <w:szCs w:val="18"/>
              </w:rPr>
            </w:pPr>
            <w:r>
              <w:rPr>
                <w:rFonts w:ascii="宋体" w:hAnsi="宋体" w:cs="宋体" w:eastAsia="宋体" w:hint="default"/>
                <w:spacing w:val="-3"/>
                <w:sz w:val="18"/>
                <w:szCs w:val="18"/>
              </w:rPr>
              <w:t>购买商品、接受劳务支付的</w:t>
            </w:r>
            <w:r>
              <w:rPr>
                <w:rFonts w:ascii="宋体" w:hAnsi="宋体" w:cs="宋体" w:eastAsia="宋体" w:hint="default"/>
                <w:sz w:val="18"/>
                <w:szCs w:val="18"/>
              </w:rPr>
              <w:t> 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208,974,515.42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189,016,369.50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196,889,637.74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193,481,843.46</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711" w:top="1040" w:bottom="900" w:left="880" w:right="82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3"/>
          <w:szCs w:val="13"/>
        </w:rPr>
      </w:pPr>
    </w:p>
    <w:tbl>
      <w:tblPr>
        <w:tblW w:w="0" w:type="auto"/>
        <w:jc w:val="left"/>
        <w:tblInd w:w="260" w:type="dxa"/>
        <w:tblLayout w:type="fixed"/>
        <w:tblCellMar>
          <w:top w:w="0" w:type="dxa"/>
          <w:left w:w="0" w:type="dxa"/>
          <w:bottom w:w="0" w:type="dxa"/>
          <w:right w:w="0" w:type="dxa"/>
        </w:tblCellMar>
        <w:tblLook w:val="01E0"/>
      </w:tblPr>
      <w:tblGrid>
        <w:gridCol w:w="2520"/>
        <w:gridCol w:w="1837"/>
        <w:gridCol w:w="1820"/>
        <w:gridCol w:w="1819"/>
        <w:gridCol w:w="1820"/>
      </w:tblGrid>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4" w:firstLine="360"/>
              <w:jc w:val="left"/>
              <w:rPr>
                <w:rFonts w:ascii="宋体" w:hAnsi="宋体" w:cs="宋体" w:eastAsia="宋体" w:hint="default"/>
                <w:sz w:val="18"/>
                <w:szCs w:val="18"/>
              </w:rPr>
            </w:pPr>
            <w:r>
              <w:rPr>
                <w:rFonts w:ascii="宋体" w:hAnsi="宋体" w:cs="宋体" w:eastAsia="宋体" w:hint="default"/>
                <w:spacing w:val="13"/>
                <w:sz w:val="18"/>
                <w:szCs w:val="18"/>
              </w:rPr>
              <w:t>存放中央银行和同业款项</w:t>
            </w:r>
            <w:r>
              <w:rPr>
                <w:rFonts w:ascii="宋体" w:hAnsi="宋体" w:cs="宋体" w:eastAsia="宋体" w:hint="default"/>
                <w:sz w:val="18"/>
                <w:szCs w:val="18"/>
              </w:rPr>
              <w:t> 净增加额</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4" w:firstLine="360"/>
              <w:jc w:val="left"/>
              <w:rPr>
                <w:rFonts w:ascii="宋体" w:hAnsi="宋体" w:cs="宋体" w:eastAsia="宋体" w:hint="default"/>
                <w:sz w:val="18"/>
                <w:szCs w:val="18"/>
              </w:rPr>
            </w:pPr>
            <w:r>
              <w:rPr>
                <w:rFonts w:ascii="宋体" w:hAnsi="宋体" w:cs="宋体" w:eastAsia="宋体" w:hint="default"/>
                <w:spacing w:val="13"/>
                <w:sz w:val="18"/>
                <w:szCs w:val="18"/>
              </w:rPr>
              <w:t>支付原保险合同赔付款项</w:t>
            </w:r>
            <w:r>
              <w:rPr>
                <w:rFonts w:ascii="宋体" w:hAnsi="宋体" w:cs="宋体" w:eastAsia="宋体" w:hint="default"/>
                <w:sz w:val="18"/>
                <w:szCs w:val="18"/>
              </w:rPr>
              <w:t> 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4" w:firstLine="360"/>
              <w:jc w:val="left"/>
              <w:rPr>
                <w:rFonts w:ascii="宋体" w:hAnsi="宋体" w:cs="宋体" w:eastAsia="宋体" w:hint="default"/>
                <w:sz w:val="18"/>
                <w:szCs w:val="18"/>
              </w:rPr>
            </w:pPr>
            <w:r>
              <w:rPr>
                <w:rFonts w:ascii="宋体" w:hAnsi="宋体" w:cs="宋体" w:eastAsia="宋体" w:hint="default"/>
                <w:spacing w:val="-3"/>
                <w:sz w:val="18"/>
                <w:szCs w:val="18"/>
              </w:rPr>
              <w:t>支付利息、手续费及佣金的</w:t>
            </w:r>
            <w:r>
              <w:rPr>
                <w:rFonts w:ascii="宋体" w:hAnsi="宋体" w:cs="宋体" w:eastAsia="宋体" w:hint="default"/>
                <w:sz w:val="18"/>
                <w:szCs w:val="18"/>
              </w:rPr>
              <w:t> 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4" w:firstLine="360"/>
              <w:jc w:val="left"/>
              <w:rPr>
                <w:rFonts w:ascii="宋体" w:hAnsi="宋体" w:cs="宋体" w:eastAsia="宋体" w:hint="default"/>
                <w:sz w:val="18"/>
                <w:szCs w:val="18"/>
              </w:rPr>
            </w:pPr>
            <w:r>
              <w:rPr>
                <w:rFonts w:ascii="宋体" w:hAnsi="宋体" w:cs="宋体" w:eastAsia="宋体" w:hint="default"/>
                <w:spacing w:val="13"/>
                <w:sz w:val="18"/>
                <w:szCs w:val="18"/>
              </w:rPr>
              <w:t>支付给职工以及为职工支</w:t>
            </w:r>
            <w:r>
              <w:rPr>
                <w:rFonts w:ascii="宋体" w:hAnsi="宋体" w:cs="宋体" w:eastAsia="宋体" w:hint="default"/>
                <w:sz w:val="18"/>
                <w:szCs w:val="18"/>
              </w:rPr>
              <w:t> 付的现金</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42,661,718.28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37,108,841.36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38,376,135.82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35,960,812.86</w:t>
            </w: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48,250,306.71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46,845,099.75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48,385,531.30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47,497,713.19</w:t>
            </w:r>
          </w:p>
        </w:tc>
      </w:tr>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4" w:firstLine="360"/>
              <w:jc w:val="left"/>
              <w:rPr>
                <w:rFonts w:ascii="宋体" w:hAnsi="宋体" w:cs="宋体" w:eastAsia="宋体" w:hint="default"/>
                <w:sz w:val="18"/>
                <w:szCs w:val="18"/>
              </w:rPr>
            </w:pPr>
            <w:r>
              <w:rPr>
                <w:rFonts w:ascii="宋体" w:hAnsi="宋体" w:cs="宋体" w:eastAsia="宋体" w:hint="default"/>
                <w:spacing w:val="13"/>
                <w:sz w:val="18"/>
                <w:szCs w:val="18"/>
              </w:rPr>
              <w:t>支付其他与经营活动有关</w:t>
            </w:r>
            <w:r>
              <w:rPr>
                <w:rFonts w:ascii="宋体" w:hAnsi="宋体" w:cs="宋体" w:eastAsia="宋体" w:hint="default"/>
                <w:sz w:val="18"/>
                <w:szCs w:val="18"/>
              </w:rPr>
              <w:t> 的现金</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69,763,838.67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103,987,146.49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50,741,993.74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47,225,910.56</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55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369,650,379.08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376,957,457.10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334,393,298.60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324,166,280.07</w:t>
            </w:r>
          </w:p>
        </w:tc>
      </w:tr>
      <w:tr>
        <w:trPr>
          <w:trHeight w:val="56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4" w:firstLine="720"/>
              <w:jc w:val="left"/>
              <w:rPr>
                <w:rFonts w:ascii="宋体" w:hAnsi="宋体" w:cs="宋体" w:eastAsia="宋体" w:hint="default"/>
                <w:sz w:val="18"/>
                <w:szCs w:val="18"/>
              </w:rPr>
            </w:pPr>
            <w:r>
              <w:rPr>
                <w:rFonts w:ascii="宋体" w:hAnsi="宋体" w:cs="宋体" w:eastAsia="宋体" w:hint="default"/>
                <w:spacing w:val="16"/>
                <w:sz w:val="18"/>
                <w:szCs w:val="18"/>
              </w:rPr>
              <w:t>经营活动产生的现金</w:t>
            </w:r>
            <w:r>
              <w:rPr>
                <w:rFonts w:ascii="宋体" w:hAnsi="宋体" w:cs="宋体" w:eastAsia="宋体" w:hint="default"/>
                <w:sz w:val="18"/>
                <w:szCs w:val="18"/>
              </w:rPr>
              <w:t> 流量净额</w:t>
            </w:r>
          </w:p>
        </w:tc>
        <w:tc>
          <w:tcPr>
            <w:tcW w:w="1837" w:type="dxa"/>
            <w:tcBorders>
              <w:top w:val="single" w:sz="4" w:space="0" w:color="000000"/>
              <w:left w:val="single" w:sz="13" w:space="0" w:color="DCDCDC"/>
              <w:bottom w:val="single" w:sz="9" w:space="0" w:color="DCDCDC"/>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107,808,671.43</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124,232,062.47</w:t>
            </w:r>
          </w:p>
        </w:tc>
        <w:tc>
          <w:tcPr>
            <w:tcW w:w="1819"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50,970,688.55</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45,544,981.15</w:t>
            </w:r>
          </w:p>
        </w:tc>
      </w:tr>
      <w:tr>
        <w:trPr>
          <w:trHeight w:val="311"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left="11" w:right="-21"/>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183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837" w:type="dxa"/>
            <w:tcBorders>
              <w:top w:val="single" w:sz="6" w:space="0" w:color="DCDCDC"/>
              <w:left w:val="single" w:sz="13" w:space="0" w:color="DCDCDC"/>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18"/>
                <w:szCs w:val="18"/>
              </w:rPr>
            </w:pPr>
            <w:r>
              <w:rPr>
                <w:rFonts w:ascii="Times New Roman"/>
                <w:spacing w:val="-1"/>
                <w:sz w:val="18"/>
              </w:rPr>
              <w:t>143,793,630.97</w:t>
            </w:r>
          </w:p>
        </w:tc>
        <w:tc>
          <w:tcPr>
            <w:tcW w:w="1820" w:type="dxa"/>
            <w:tcBorders>
              <w:top w:val="single" w:sz="6" w:space="0" w:color="DCDCDC"/>
              <w:left w:val="single" w:sz="4" w:space="0" w:color="000000"/>
              <w:bottom w:val="single" w:sz="4" w:space="0" w:color="000000"/>
              <w:right w:val="single" w:sz="4" w:space="0" w:color="000000"/>
            </w:tcBorders>
          </w:tcPr>
          <w:p>
            <w:pPr/>
          </w:p>
        </w:tc>
        <w:tc>
          <w:tcPr>
            <w:tcW w:w="1819"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18"/>
                <w:szCs w:val="18"/>
              </w:rPr>
            </w:pPr>
            <w:r>
              <w:rPr>
                <w:rFonts w:ascii="Times New Roman"/>
                <w:spacing w:val="-1"/>
                <w:sz w:val="18"/>
              </w:rPr>
              <w:t>38,701,164.70</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18"/>
                <w:szCs w:val="18"/>
              </w:rPr>
            </w:pPr>
            <w:r>
              <w:rPr>
                <w:rFonts w:ascii="Times New Roman"/>
                <w:spacing w:val="-1"/>
                <w:sz w:val="18"/>
              </w:rPr>
              <w:t>38,701,164.70</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4" w:firstLine="360"/>
              <w:jc w:val="left"/>
              <w:rPr>
                <w:rFonts w:ascii="宋体" w:hAnsi="宋体" w:cs="宋体" w:eastAsia="宋体" w:hint="default"/>
                <w:sz w:val="18"/>
                <w:szCs w:val="18"/>
              </w:rPr>
            </w:pPr>
            <w:r>
              <w:rPr>
                <w:rFonts w:ascii="宋体" w:hAnsi="宋体" w:cs="宋体" w:eastAsia="宋体" w:hint="default"/>
                <w:spacing w:val="-3"/>
                <w:sz w:val="18"/>
                <w:szCs w:val="18"/>
              </w:rPr>
              <w:t>处置固定资产、无形资产和</w:t>
            </w:r>
            <w:r>
              <w:rPr>
                <w:rFonts w:ascii="宋体" w:hAnsi="宋体" w:cs="宋体" w:eastAsia="宋体" w:hint="default"/>
                <w:sz w:val="18"/>
                <w:szCs w:val="18"/>
              </w:rPr>
              <w:t> 其他长期资产收回的现金净额</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490,214.77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84,615.38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1,522,231.45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1,267,139.55</w:t>
            </w:r>
          </w:p>
        </w:tc>
      </w:tr>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4" w:firstLine="360"/>
              <w:jc w:val="left"/>
              <w:rPr>
                <w:rFonts w:ascii="宋体" w:hAnsi="宋体" w:cs="宋体" w:eastAsia="宋体" w:hint="default"/>
                <w:sz w:val="18"/>
                <w:szCs w:val="18"/>
              </w:rPr>
            </w:pPr>
            <w:r>
              <w:rPr>
                <w:rFonts w:ascii="宋体" w:hAnsi="宋体" w:cs="宋体" w:eastAsia="宋体" w:hint="default"/>
                <w:spacing w:val="13"/>
                <w:sz w:val="18"/>
                <w:szCs w:val="18"/>
              </w:rPr>
              <w:t>处置子公司及其他营业单</w:t>
            </w:r>
            <w:r>
              <w:rPr>
                <w:rFonts w:ascii="宋体" w:hAnsi="宋体" w:cs="宋体" w:eastAsia="宋体" w:hint="default"/>
                <w:sz w:val="18"/>
                <w:szCs w:val="18"/>
              </w:rPr>
              <w:t> 位收到的现金净额</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4" w:firstLine="360"/>
              <w:jc w:val="left"/>
              <w:rPr>
                <w:rFonts w:ascii="宋体" w:hAnsi="宋体" w:cs="宋体" w:eastAsia="宋体" w:hint="default"/>
                <w:sz w:val="18"/>
                <w:szCs w:val="18"/>
              </w:rPr>
            </w:pPr>
            <w:r>
              <w:rPr>
                <w:rFonts w:ascii="宋体" w:hAnsi="宋体" w:cs="宋体" w:eastAsia="宋体" w:hint="default"/>
                <w:spacing w:val="13"/>
                <w:sz w:val="18"/>
                <w:szCs w:val="18"/>
              </w:rPr>
              <w:t>收到其他与投资活动有关</w:t>
            </w:r>
            <w:r>
              <w:rPr>
                <w:rFonts w:ascii="宋体" w:hAnsi="宋体" w:cs="宋体" w:eastAsia="宋体" w:hint="default"/>
                <w:sz w:val="18"/>
                <w:szCs w:val="18"/>
              </w:rPr>
              <w:t> 的现金</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28,057,600.00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3,270,071.64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29,982,596.75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2,285,091.51</w:t>
            </w: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172,341,445.74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3,354,687.02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70,205,992.90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42,253,395.76</w:t>
            </w:r>
          </w:p>
        </w:tc>
      </w:tr>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11" w:right="4" w:firstLine="360"/>
              <w:jc w:val="left"/>
              <w:rPr>
                <w:rFonts w:ascii="宋体" w:hAnsi="宋体" w:cs="宋体" w:eastAsia="宋体" w:hint="default"/>
                <w:sz w:val="18"/>
                <w:szCs w:val="18"/>
              </w:rPr>
            </w:pPr>
            <w:r>
              <w:rPr>
                <w:rFonts w:ascii="宋体" w:hAnsi="宋体" w:cs="宋体" w:eastAsia="宋体" w:hint="default"/>
                <w:spacing w:val="-3"/>
                <w:sz w:val="18"/>
                <w:szCs w:val="18"/>
              </w:rPr>
              <w:t>购建固定资产、无形资产和</w:t>
            </w:r>
            <w:r>
              <w:rPr>
                <w:rFonts w:ascii="宋体" w:hAnsi="宋体" w:cs="宋体" w:eastAsia="宋体" w:hint="default"/>
                <w:sz w:val="18"/>
                <w:szCs w:val="18"/>
              </w:rPr>
              <w:t> 其他长期资产支付的现金</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156,045,971.12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3,554,581.14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107,499,834.14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15,145,718.71</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173,000,000.00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388,880,000.00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44,880,922.04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44,880,922.04</w:t>
            </w: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4" w:firstLine="360"/>
              <w:jc w:val="left"/>
              <w:rPr>
                <w:rFonts w:ascii="宋体" w:hAnsi="宋体" w:cs="宋体" w:eastAsia="宋体" w:hint="default"/>
                <w:sz w:val="18"/>
                <w:szCs w:val="18"/>
              </w:rPr>
            </w:pPr>
            <w:r>
              <w:rPr>
                <w:rFonts w:ascii="宋体" w:hAnsi="宋体" w:cs="宋体" w:eastAsia="宋体" w:hint="default"/>
                <w:spacing w:val="13"/>
                <w:sz w:val="18"/>
                <w:szCs w:val="18"/>
              </w:rPr>
              <w:t>取得子公司及其他营业单</w:t>
            </w:r>
            <w:r>
              <w:rPr>
                <w:rFonts w:ascii="宋体" w:hAnsi="宋体" w:cs="宋体" w:eastAsia="宋体" w:hint="default"/>
                <w:sz w:val="18"/>
                <w:szCs w:val="18"/>
              </w:rPr>
              <w:t> 位支付的现金净额</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8"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4" w:firstLine="360"/>
              <w:jc w:val="left"/>
              <w:rPr>
                <w:rFonts w:ascii="宋体" w:hAnsi="宋体" w:cs="宋体" w:eastAsia="宋体" w:hint="default"/>
                <w:sz w:val="18"/>
                <w:szCs w:val="18"/>
              </w:rPr>
            </w:pPr>
            <w:r>
              <w:rPr>
                <w:rFonts w:ascii="宋体" w:hAnsi="宋体" w:cs="宋体" w:eastAsia="宋体" w:hint="default"/>
                <w:spacing w:val="13"/>
                <w:sz w:val="18"/>
                <w:szCs w:val="18"/>
              </w:rPr>
              <w:t>支付其他与投资活动有关</w:t>
            </w:r>
            <w:r>
              <w:rPr>
                <w:rFonts w:ascii="宋体" w:hAnsi="宋体" w:cs="宋体" w:eastAsia="宋体" w:hint="default"/>
                <w:sz w:val="18"/>
                <w:szCs w:val="18"/>
              </w:rPr>
              <w:t> 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40,000,000.00</w:t>
            </w: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329,045,971.12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392,434,581.14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152,380,756.18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100,026,640.75</w:t>
            </w:r>
          </w:p>
        </w:tc>
      </w:tr>
      <w:tr>
        <w:trPr>
          <w:trHeight w:val="62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4" w:firstLine="720"/>
              <w:jc w:val="left"/>
              <w:rPr>
                <w:rFonts w:ascii="宋体" w:hAnsi="宋体" w:cs="宋体" w:eastAsia="宋体" w:hint="default"/>
                <w:sz w:val="18"/>
                <w:szCs w:val="18"/>
              </w:rPr>
            </w:pPr>
            <w:r>
              <w:rPr>
                <w:rFonts w:ascii="宋体" w:hAnsi="宋体" w:cs="宋体" w:eastAsia="宋体" w:hint="default"/>
                <w:spacing w:val="16"/>
                <w:sz w:val="18"/>
                <w:szCs w:val="18"/>
              </w:rPr>
              <w:t>投资活动产生的现金</w:t>
            </w:r>
            <w:r>
              <w:rPr>
                <w:rFonts w:ascii="宋体" w:hAnsi="宋体" w:cs="宋体" w:eastAsia="宋体" w:hint="default"/>
                <w:sz w:val="18"/>
                <w:szCs w:val="18"/>
              </w:rPr>
              <w:t> 流量净额</w:t>
            </w:r>
          </w:p>
        </w:tc>
        <w:tc>
          <w:tcPr>
            <w:tcW w:w="1837" w:type="dxa"/>
            <w:tcBorders>
              <w:top w:val="single" w:sz="4" w:space="0" w:color="000000"/>
              <w:left w:val="single" w:sz="13" w:space="0" w:color="DCDCDC"/>
              <w:bottom w:val="single" w:sz="56" w:space="0" w:color="DCDCDC"/>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-156,704,525.38</w:t>
            </w:r>
          </w:p>
        </w:tc>
        <w:tc>
          <w:tcPr>
            <w:tcW w:w="1820" w:type="dxa"/>
            <w:tcBorders>
              <w:top w:val="single" w:sz="4" w:space="0" w:color="000000"/>
              <w:left w:val="single" w:sz="4" w:space="0" w:color="000000"/>
              <w:bottom w:val="single" w:sz="56" w:space="0" w:color="DCDCDC"/>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-389,079,894.12</w:t>
            </w:r>
          </w:p>
        </w:tc>
        <w:tc>
          <w:tcPr>
            <w:tcW w:w="1819" w:type="dxa"/>
            <w:tcBorders>
              <w:top w:val="single" w:sz="4" w:space="0" w:color="000000"/>
              <w:left w:val="single" w:sz="4" w:space="0" w:color="000000"/>
              <w:bottom w:val="single" w:sz="56" w:space="0" w:color="DCDCDC"/>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-82,174,763.28</w:t>
            </w:r>
          </w:p>
        </w:tc>
        <w:tc>
          <w:tcPr>
            <w:tcW w:w="1820" w:type="dxa"/>
            <w:tcBorders>
              <w:top w:val="single" w:sz="4" w:space="0" w:color="000000"/>
              <w:left w:val="single" w:sz="4" w:space="0" w:color="000000"/>
              <w:bottom w:val="single" w:sz="56" w:space="0" w:color="DCDCDC"/>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-57,773,244.99</w:t>
            </w:r>
          </w:p>
        </w:tc>
      </w:tr>
      <w:tr>
        <w:trPr>
          <w:trHeight w:val="426"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79" w:lineRule="exact"/>
              <w:ind w:left="191" w:right="0"/>
              <w:jc w:val="left"/>
              <w:rPr>
                <w:rFonts w:ascii="宋体" w:hAnsi="宋体" w:cs="宋体" w:eastAsia="宋体" w:hint="default"/>
                <w:sz w:val="18"/>
                <w:szCs w:val="18"/>
              </w:rPr>
            </w:pPr>
            <w:r>
              <w:rPr>
                <w:rFonts w:ascii="宋体" w:hAnsi="宋体" w:cs="宋体" w:eastAsia="宋体" w:hint="default"/>
                <w:spacing w:val="12"/>
                <w:sz w:val="18"/>
                <w:szCs w:val="18"/>
              </w:rPr>
              <w:t>三、筹资活动产生的现金流</w:t>
            </w:r>
          </w:p>
          <w:p>
            <w:pPr>
              <w:pStyle w:val="TableParagraph"/>
              <w:spacing w:line="235" w:lineRule="exact"/>
              <w:ind w:left="11" w:right="0"/>
              <w:jc w:val="left"/>
              <w:rPr>
                <w:rFonts w:ascii="宋体" w:hAnsi="宋体" w:cs="宋体" w:eastAsia="宋体" w:hint="default"/>
                <w:sz w:val="18"/>
                <w:szCs w:val="18"/>
              </w:rPr>
            </w:pPr>
            <w:r>
              <w:rPr>
                <w:rFonts w:ascii="宋体" w:hAnsi="宋体" w:cs="宋体" w:eastAsia="宋体" w:hint="default"/>
                <w:sz w:val="18"/>
                <w:szCs w:val="18"/>
              </w:rPr>
              <w:t>量：</w:t>
            </w:r>
          </w:p>
        </w:tc>
        <w:tc>
          <w:tcPr>
            <w:tcW w:w="183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89"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7"/>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837" w:type="dxa"/>
            <w:tcBorders>
              <w:top w:val="single" w:sz="56" w:space="0" w:color="DCDCDC"/>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51,865,000.00</w:t>
            </w:r>
          </w:p>
        </w:tc>
        <w:tc>
          <w:tcPr>
            <w:tcW w:w="1820" w:type="dxa"/>
            <w:tcBorders>
              <w:top w:val="single" w:sz="56" w:space="0" w:color="DCDCDC"/>
              <w:left w:val="single" w:sz="4" w:space="0" w:color="000000"/>
              <w:bottom w:val="single" w:sz="4" w:space="0" w:color="000000"/>
              <w:right w:val="single" w:sz="4" w:space="0" w:color="000000"/>
            </w:tcBorders>
          </w:tcPr>
          <w:p>
            <w:pPr/>
          </w:p>
        </w:tc>
        <w:tc>
          <w:tcPr>
            <w:tcW w:w="1819" w:type="dxa"/>
            <w:tcBorders>
              <w:top w:val="single" w:sz="56" w:space="0" w:color="DCDCDC"/>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454,725,376.00</w:t>
            </w:r>
          </w:p>
        </w:tc>
        <w:tc>
          <w:tcPr>
            <w:tcW w:w="1820" w:type="dxa"/>
            <w:tcBorders>
              <w:top w:val="single" w:sz="56" w:space="0" w:color="DCDCDC"/>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452,300,376.00</w:t>
            </w:r>
          </w:p>
        </w:tc>
      </w:tr>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4" w:firstLine="360"/>
              <w:jc w:val="left"/>
              <w:rPr>
                <w:rFonts w:ascii="宋体" w:hAnsi="宋体" w:cs="宋体" w:eastAsia="宋体" w:hint="default"/>
                <w:sz w:val="18"/>
                <w:szCs w:val="18"/>
              </w:rPr>
            </w:pPr>
            <w:r>
              <w:rPr>
                <w:rFonts w:ascii="宋体" w:hAnsi="宋体" w:cs="宋体" w:eastAsia="宋体" w:hint="default"/>
                <w:spacing w:val="-3"/>
                <w:sz w:val="18"/>
                <w:szCs w:val="18"/>
              </w:rPr>
              <w:t>其中：子公司吸收少数股东</w:t>
            </w:r>
            <w:r>
              <w:rPr>
                <w:rFonts w:ascii="宋体" w:hAnsi="宋体" w:cs="宋体" w:eastAsia="宋体" w:hint="default"/>
                <w:sz w:val="18"/>
                <w:szCs w:val="18"/>
              </w:rPr>
              <w:t> 投资收到的现金</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51,865,000.00</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2,425,000.00</w:t>
            </w: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95,000,000.00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85,000,000.00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330,000,000.00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300,000,000.00</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4" w:firstLine="360"/>
              <w:jc w:val="left"/>
              <w:rPr>
                <w:rFonts w:ascii="宋体" w:hAnsi="宋体" w:cs="宋体" w:eastAsia="宋体" w:hint="default"/>
                <w:sz w:val="18"/>
                <w:szCs w:val="18"/>
              </w:rPr>
            </w:pPr>
            <w:r>
              <w:rPr>
                <w:rFonts w:ascii="宋体" w:hAnsi="宋体" w:cs="宋体" w:eastAsia="宋体" w:hint="default"/>
                <w:spacing w:val="13"/>
                <w:sz w:val="18"/>
                <w:szCs w:val="18"/>
              </w:rPr>
              <w:t>收到其他与筹资活动有关</w:t>
            </w:r>
            <w:r>
              <w:rPr>
                <w:rFonts w:ascii="宋体" w:hAnsi="宋体" w:cs="宋体" w:eastAsia="宋体" w:hint="default"/>
                <w:sz w:val="18"/>
                <w:szCs w:val="18"/>
              </w:rPr>
              <w:t> 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5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146,865,000.00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85,000,000.00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784,725,376.00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752,300,376.00</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37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235,000,000.00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195,000,000.00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300,000,000.00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300,000,000.00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711" w:top="1040" w:bottom="900" w:left="880" w:right="82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3"/>
          <w:szCs w:val="13"/>
        </w:rPr>
      </w:pPr>
    </w:p>
    <w:tbl>
      <w:tblPr>
        <w:tblW w:w="0" w:type="auto"/>
        <w:jc w:val="left"/>
        <w:tblInd w:w="249" w:type="dxa"/>
        <w:tblLayout w:type="fixed"/>
        <w:tblCellMar>
          <w:top w:w="0" w:type="dxa"/>
          <w:left w:w="0" w:type="dxa"/>
          <w:bottom w:w="0" w:type="dxa"/>
          <w:right w:w="0" w:type="dxa"/>
        </w:tblCellMar>
        <w:tblLook w:val="01E0"/>
      </w:tblPr>
      <w:tblGrid>
        <w:gridCol w:w="2520"/>
        <w:gridCol w:w="1848"/>
        <w:gridCol w:w="1820"/>
        <w:gridCol w:w="1819"/>
        <w:gridCol w:w="1820"/>
      </w:tblGrid>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2" w:right="-5" w:firstLine="360"/>
              <w:jc w:val="left"/>
              <w:rPr>
                <w:rFonts w:ascii="宋体" w:hAnsi="宋体" w:cs="宋体" w:eastAsia="宋体" w:hint="default"/>
                <w:sz w:val="18"/>
                <w:szCs w:val="18"/>
              </w:rPr>
            </w:pPr>
            <w:r>
              <w:rPr>
                <w:rFonts w:ascii="宋体" w:hAnsi="宋体" w:cs="宋体" w:eastAsia="宋体" w:hint="default"/>
                <w:spacing w:val="-3"/>
                <w:sz w:val="18"/>
                <w:szCs w:val="18"/>
              </w:rPr>
              <w:t>分配股利、利润或偿付利息</w:t>
            </w:r>
            <w:r>
              <w:rPr>
                <w:rFonts w:ascii="宋体" w:hAnsi="宋体" w:cs="宋体" w:eastAsia="宋体" w:hint="default"/>
                <w:sz w:val="18"/>
                <w:szCs w:val="18"/>
              </w:rPr>
              <w:t> 支付的现金</w:t>
            </w:r>
          </w:p>
        </w:tc>
        <w:tc>
          <w:tcPr>
            <w:tcW w:w="184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5,972,408.67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5,353,892.51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49,718,971.24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49,130,136.00</w:t>
            </w:r>
          </w:p>
        </w:tc>
      </w:tr>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2" w:right="-5" w:firstLine="360"/>
              <w:jc w:val="left"/>
              <w:rPr>
                <w:rFonts w:ascii="宋体" w:hAnsi="宋体" w:cs="宋体" w:eastAsia="宋体" w:hint="default"/>
                <w:sz w:val="18"/>
                <w:szCs w:val="18"/>
              </w:rPr>
            </w:pPr>
            <w:r>
              <w:rPr>
                <w:rFonts w:ascii="宋体" w:hAnsi="宋体" w:cs="宋体" w:eastAsia="宋体" w:hint="default"/>
                <w:spacing w:val="-3"/>
                <w:sz w:val="18"/>
                <w:szCs w:val="18"/>
              </w:rPr>
              <w:t>其中：子公司支付给少数股</w:t>
            </w:r>
            <w:r>
              <w:rPr>
                <w:rFonts w:ascii="宋体" w:hAnsi="宋体" w:cs="宋体" w:eastAsia="宋体" w:hint="default"/>
                <w:sz w:val="18"/>
                <w:szCs w:val="18"/>
              </w:rPr>
              <w:t> 东的股利、利润</w:t>
            </w:r>
          </w:p>
        </w:tc>
        <w:tc>
          <w:tcPr>
            <w:tcW w:w="1848"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2" w:right="-5" w:firstLine="360"/>
              <w:jc w:val="left"/>
              <w:rPr>
                <w:rFonts w:ascii="宋体" w:hAnsi="宋体" w:cs="宋体" w:eastAsia="宋体" w:hint="default"/>
                <w:sz w:val="18"/>
                <w:szCs w:val="18"/>
              </w:rPr>
            </w:pPr>
            <w:r>
              <w:rPr>
                <w:rFonts w:ascii="宋体" w:hAnsi="宋体" w:cs="宋体" w:eastAsia="宋体" w:hint="default"/>
                <w:spacing w:val="13"/>
                <w:sz w:val="18"/>
                <w:szCs w:val="18"/>
              </w:rPr>
              <w:t>支付其他与筹资活动有关</w:t>
            </w:r>
            <w:r>
              <w:rPr>
                <w:rFonts w:ascii="宋体" w:hAnsi="宋体" w:cs="宋体" w:eastAsia="宋体" w:hint="default"/>
                <w:sz w:val="18"/>
                <w:szCs w:val="18"/>
              </w:rPr>
              <w:t> 的现金</w:t>
            </w:r>
          </w:p>
        </w:tc>
        <w:tc>
          <w:tcPr>
            <w:tcW w:w="184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2,785,904.32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2,785,904.32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13,542,009.65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13,542,009.65</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56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84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243,758,312.99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203,139,796.83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363,260,980.89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362,672,145.65</w:t>
            </w:r>
          </w:p>
        </w:tc>
      </w:tr>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2" w:right="-5" w:firstLine="720"/>
              <w:jc w:val="left"/>
              <w:rPr>
                <w:rFonts w:ascii="宋体" w:hAnsi="宋体" w:cs="宋体" w:eastAsia="宋体" w:hint="default"/>
                <w:sz w:val="18"/>
                <w:szCs w:val="18"/>
              </w:rPr>
            </w:pPr>
            <w:r>
              <w:rPr>
                <w:rFonts w:ascii="宋体" w:hAnsi="宋体" w:cs="宋体" w:eastAsia="宋体" w:hint="default"/>
                <w:spacing w:val="16"/>
                <w:sz w:val="18"/>
                <w:szCs w:val="18"/>
              </w:rPr>
              <w:t>筹资活动产生的现金</w:t>
            </w:r>
            <w:r>
              <w:rPr>
                <w:rFonts w:ascii="宋体" w:hAnsi="宋体" w:cs="宋体" w:eastAsia="宋体" w:hint="default"/>
                <w:sz w:val="18"/>
                <w:szCs w:val="18"/>
              </w:rPr>
              <w:t> 流量净额</w:t>
            </w:r>
          </w:p>
        </w:tc>
        <w:tc>
          <w:tcPr>
            <w:tcW w:w="184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-96,893,312.99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-118,139,796.83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421,464,395.11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389,628,230.35</w:t>
            </w:r>
          </w:p>
        </w:tc>
      </w:tr>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2" w:right="-5"/>
              <w:jc w:val="left"/>
              <w:rPr>
                <w:rFonts w:ascii="宋体" w:hAnsi="宋体" w:cs="宋体" w:eastAsia="宋体" w:hint="default"/>
                <w:sz w:val="18"/>
                <w:szCs w:val="18"/>
              </w:rPr>
            </w:pPr>
            <w:r>
              <w:rPr>
                <w:rFonts w:ascii="宋体" w:hAnsi="宋体" w:cs="宋体" w:eastAsia="宋体" w:hint="default"/>
                <w:spacing w:val="-2"/>
                <w:sz w:val="18"/>
                <w:szCs w:val="18"/>
              </w:rPr>
              <w:t>四、汇率变动对现金及现金等价</w:t>
            </w:r>
            <w:r>
              <w:rPr>
                <w:rFonts w:ascii="宋体" w:hAnsi="宋体" w:cs="宋体" w:eastAsia="宋体" w:hint="default"/>
                <w:sz w:val="18"/>
                <w:szCs w:val="18"/>
              </w:rPr>
              <w:t> 物的影响</w:t>
            </w:r>
          </w:p>
        </w:tc>
        <w:tc>
          <w:tcPr>
            <w:tcW w:w="184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-22,757.86</w:t>
            </w:r>
            <w:r>
              <w:rPr>
                <w:rFonts w:ascii="Times New Roman"/>
                <w:sz w:val="18"/>
              </w:rPr>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-31,007.16</w:t>
            </w:r>
            <w:r>
              <w:rPr>
                <w:rFonts w:ascii="Times New Roman"/>
                <w:sz w:val="18"/>
              </w:rPr>
            </w: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5"/>
              <w:jc w:val="right"/>
              <w:rPr>
                <w:rFonts w:ascii="宋体" w:hAnsi="宋体" w:cs="宋体" w:eastAsia="宋体" w:hint="default"/>
                <w:sz w:val="18"/>
                <w:szCs w:val="18"/>
              </w:rPr>
            </w:pPr>
            <w:r>
              <w:rPr>
                <w:rFonts w:ascii="宋体" w:hAnsi="宋体" w:cs="宋体" w:eastAsia="宋体" w:hint="default"/>
                <w:spacing w:val="-2"/>
                <w:w w:val="95"/>
                <w:sz w:val="18"/>
                <w:szCs w:val="18"/>
              </w:rPr>
              <w:t>五、现金及现金等价物净增加额</w:t>
            </w:r>
          </w:p>
        </w:tc>
        <w:tc>
          <w:tcPr>
            <w:tcW w:w="184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-145,811,924.80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-382,987,628.48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390,229,313.22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377,399,966.51</w:t>
            </w:r>
          </w:p>
        </w:tc>
      </w:tr>
      <w:tr>
        <w:trPr>
          <w:trHeight w:val="55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5" w:firstLine="360"/>
              <w:jc w:val="left"/>
              <w:rPr>
                <w:rFonts w:ascii="宋体" w:hAnsi="宋体" w:cs="宋体" w:eastAsia="宋体" w:hint="default"/>
                <w:sz w:val="18"/>
                <w:szCs w:val="18"/>
              </w:rPr>
            </w:pPr>
            <w:r>
              <w:rPr>
                <w:rFonts w:ascii="宋体" w:hAnsi="宋体" w:cs="宋体" w:eastAsia="宋体" w:hint="default"/>
                <w:spacing w:val="-3"/>
                <w:sz w:val="18"/>
                <w:szCs w:val="18"/>
              </w:rPr>
              <w:t>加：期初现金及现金等价物</w:t>
            </w:r>
            <w:r>
              <w:rPr>
                <w:rFonts w:ascii="宋体" w:hAnsi="宋体" w:cs="宋体" w:eastAsia="宋体" w:hint="default"/>
                <w:sz w:val="18"/>
                <w:szCs w:val="18"/>
              </w:rPr>
              <w:t> 余额</w:t>
            </w:r>
          </w:p>
        </w:tc>
        <w:tc>
          <w:tcPr>
            <w:tcW w:w="184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633,197,198.94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600,506,361.41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242,967,885.72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223,106,394.90</w:t>
            </w:r>
          </w:p>
        </w:tc>
      </w:tr>
      <w:tr>
        <w:trPr>
          <w:trHeight w:val="32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5"/>
              <w:jc w:val="right"/>
              <w:rPr>
                <w:rFonts w:ascii="宋体" w:hAnsi="宋体" w:cs="宋体" w:eastAsia="宋体" w:hint="default"/>
                <w:sz w:val="18"/>
                <w:szCs w:val="18"/>
              </w:rPr>
            </w:pPr>
            <w:r>
              <w:rPr>
                <w:rFonts w:ascii="宋体" w:hAnsi="宋体" w:cs="宋体" w:eastAsia="宋体" w:hint="default"/>
                <w:spacing w:val="-2"/>
                <w:w w:val="95"/>
                <w:sz w:val="18"/>
                <w:szCs w:val="18"/>
              </w:rPr>
              <w:t>六、期末现金及现金等价物余额</w:t>
            </w:r>
          </w:p>
        </w:tc>
        <w:tc>
          <w:tcPr>
            <w:tcW w:w="184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487,385,274.14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217,518,732.93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633,197,198.94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600,506,361.41</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711" w:top="1040" w:bottom="900" w:left="880" w:right="820"/>
        </w:sectPr>
      </w:pPr>
    </w:p>
    <w:p>
      <w:pPr>
        <w:spacing w:before="48"/>
        <w:ind w:left="5832" w:right="5733" w:firstLine="0"/>
        <w:jc w:val="center"/>
        <w:rPr>
          <w:rFonts w:ascii="宋体" w:hAnsi="宋体" w:cs="宋体" w:eastAsia="宋体" w:hint="default"/>
          <w:sz w:val="24"/>
          <w:szCs w:val="24"/>
        </w:rPr>
      </w:pPr>
      <w:r>
        <w:rPr>
          <w:rFonts w:ascii="宋体" w:hAnsi="宋体" w:cs="宋体" w:eastAsia="宋体" w:hint="default"/>
          <w:b/>
          <w:bCs/>
          <w:sz w:val="24"/>
          <w:szCs w:val="24"/>
        </w:rPr>
        <w:t>合并所有者权益变动表</w:t>
      </w:r>
      <w:r>
        <w:rPr>
          <w:rFonts w:ascii="宋体" w:hAnsi="宋体" w:cs="宋体" w:eastAsia="宋体" w:hint="default"/>
          <w:sz w:val="24"/>
          <w:szCs w:val="24"/>
        </w:rPr>
      </w:r>
    </w:p>
    <w:p>
      <w:pPr>
        <w:tabs>
          <w:tab w:pos="7903" w:val="left" w:leader="none"/>
          <w:tab w:pos="13072" w:val="left" w:leader="none"/>
        </w:tabs>
        <w:spacing w:before="88"/>
        <w:ind w:left="253" w:right="0" w:firstLine="0"/>
        <w:jc w:val="left"/>
        <w:rPr>
          <w:rFonts w:ascii="宋体" w:hAnsi="宋体" w:cs="宋体" w:eastAsia="宋体" w:hint="default"/>
          <w:sz w:val="18"/>
          <w:szCs w:val="18"/>
        </w:rPr>
      </w:pPr>
      <w:r>
        <w:rPr>
          <w:rFonts w:ascii="宋体" w:hAnsi="宋体" w:cs="宋体" w:eastAsia="宋体" w:hint="default"/>
          <w:sz w:val="18"/>
          <w:szCs w:val="18"/>
        </w:rPr>
        <w:t>编制单位：深圳市惠程电气股份有限公司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w:t>
        <w:tab/>
        <w:t>单位：元</w:t>
      </w:r>
    </w:p>
    <w:p>
      <w:pPr>
        <w:spacing w:line="240" w:lineRule="auto" w:before="12"/>
        <w:rPr>
          <w:rFonts w:ascii="宋体" w:hAnsi="宋体" w:cs="宋体" w:eastAsia="宋体" w:hint="default"/>
          <w:sz w:val="6"/>
          <w:szCs w:val="6"/>
        </w:rPr>
      </w:pPr>
    </w:p>
    <w:tbl>
      <w:tblPr>
        <w:tblW w:w="0" w:type="auto"/>
        <w:jc w:val="left"/>
        <w:tblInd w:w="260" w:type="dxa"/>
        <w:tblLayout w:type="fixed"/>
        <w:tblCellMar>
          <w:top w:w="0" w:type="dxa"/>
          <w:left w:w="0" w:type="dxa"/>
          <w:bottom w:w="0" w:type="dxa"/>
          <w:right w:w="0" w:type="dxa"/>
        </w:tblCellMar>
        <w:tblLook w:val="01E0"/>
      </w:tblPr>
      <w:tblGrid>
        <w:gridCol w:w="3334"/>
        <w:gridCol w:w="1182"/>
        <w:gridCol w:w="1241"/>
        <w:gridCol w:w="892"/>
        <w:gridCol w:w="712"/>
        <w:gridCol w:w="1092"/>
        <w:gridCol w:w="1028"/>
        <w:gridCol w:w="1175"/>
        <w:gridCol w:w="836"/>
        <w:gridCol w:w="1468"/>
        <w:gridCol w:w="1627"/>
      </w:tblGrid>
      <w:tr>
        <w:trPr>
          <w:trHeight w:val="402" w:hRule="exact"/>
        </w:trPr>
        <w:tc>
          <w:tcPr>
            <w:tcW w:w="3334" w:type="dxa"/>
            <w:vMerge w:val="restart"/>
            <w:tcBorders>
              <w:top w:val="single" w:sz="4" w:space="0" w:color="000000"/>
              <w:left w:val="single" w:sz="4" w:space="0" w:color="000000"/>
              <w:right w:val="single" w:sz="4" w:space="0" w:color="000000"/>
            </w:tcBorders>
            <w:shd w:val="clear" w:color="auto" w:fill="DCDCDC"/>
          </w:tcPr>
          <w:p>
            <w:pPr/>
          </w:p>
        </w:tc>
        <w:tc>
          <w:tcPr>
            <w:tcW w:w="11252" w:type="dxa"/>
            <w:gridSpan w:val="10"/>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本期金额</w:t>
            </w:r>
          </w:p>
        </w:tc>
      </w:tr>
      <w:tr>
        <w:trPr>
          <w:trHeight w:val="161" w:hRule="exact"/>
        </w:trPr>
        <w:tc>
          <w:tcPr>
            <w:tcW w:w="3334" w:type="dxa"/>
            <w:vMerge/>
            <w:tcBorders>
              <w:left w:val="single" w:sz="4" w:space="0" w:color="000000"/>
              <w:bottom w:val="nil" w:sz="6" w:space="0" w:color="auto"/>
              <w:right w:val="single" w:sz="4" w:space="0" w:color="000000"/>
            </w:tcBorders>
            <w:shd w:val="clear" w:color="auto" w:fill="DCDCDC"/>
          </w:tcPr>
          <w:p>
            <w:pPr/>
          </w:p>
        </w:tc>
        <w:tc>
          <w:tcPr>
            <w:tcW w:w="8158" w:type="dxa"/>
            <w:gridSpan w:val="8"/>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468" w:type="dxa"/>
            <w:vMerge w:val="restart"/>
            <w:tcBorders>
              <w:top w:val="single" w:sz="4" w:space="0" w:color="000000"/>
              <w:left w:val="single" w:sz="4" w:space="0" w:color="000000"/>
              <w:right w:val="single" w:sz="4" w:space="0" w:color="000000"/>
            </w:tcBorders>
            <w:shd w:val="clear" w:color="auto" w:fill="DCDCDC"/>
          </w:tcPr>
          <w:p>
            <w:pPr/>
          </w:p>
        </w:tc>
        <w:tc>
          <w:tcPr>
            <w:tcW w:w="1627" w:type="dxa"/>
            <w:vMerge w:val="restart"/>
            <w:tcBorders>
              <w:top w:val="single" w:sz="4" w:space="0" w:color="000000"/>
              <w:left w:val="single" w:sz="4" w:space="0" w:color="000000"/>
              <w:right w:val="single" w:sz="4" w:space="0" w:color="000000"/>
            </w:tcBorders>
            <w:shd w:val="clear" w:color="auto" w:fill="DCDCDC"/>
          </w:tcPr>
          <w:p>
            <w:pPr/>
          </w:p>
        </w:tc>
      </w:tr>
      <w:tr>
        <w:trPr>
          <w:trHeight w:val="241" w:hRule="exact"/>
        </w:trPr>
        <w:tc>
          <w:tcPr>
            <w:tcW w:w="3334"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right="9"/>
              <w:jc w:val="center"/>
              <w:rPr>
                <w:rFonts w:ascii="宋体" w:hAnsi="宋体" w:cs="宋体" w:eastAsia="宋体" w:hint="default"/>
                <w:sz w:val="18"/>
                <w:szCs w:val="18"/>
              </w:rPr>
            </w:pPr>
            <w:r>
              <w:rPr>
                <w:rFonts w:ascii="宋体" w:hAnsi="宋体" w:cs="宋体" w:eastAsia="宋体" w:hint="default"/>
                <w:sz w:val="18"/>
                <w:szCs w:val="18"/>
              </w:rPr>
              <w:t>项目</w:t>
            </w:r>
          </w:p>
        </w:tc>
        <w:tc>
          <w:tcPr>
            <w:tcW w:w="8158" w:type="dxa"/>
            <w:gridSpan w:val="8"/>
            <w:vMerge/>
            <w:tcBorders>
              <w:left w:val="single" w:sz="4" w:space="0" w:color="000000"/>
              <w:bottom w:val="single" w:sz="4" w:space="0" w:color="000000"/>
              <w:right w:val="single" w:sz="4" w:space="0" w:color="000000"/>
            </w:tcBorders>
            <w:shd w:val="clear" w:color="auto" w:fill="DCDCDC"/>
          </w:tcPr>
          <w:p>
            <w:pPr/>
          </w:p>
        </w:tc>
        <w:tc>
          <w:tcPr>
            <w:tcW w:w="1468" w:type="dxa"/>
            <w:vMerge/>
            <w:tcBorders>
              <w:left w:val="single" w:sz="4" w:space="0" w:color="000000"/>
              <w:bottom w:val="nil" w:sz="6" w:space="0" w:color="auto"/>
              <w:right w:val="single" w:sz="4" w:space="0" w:color="000000"/>
            </w:tcBorders>
            <w:shd w:val="clear" w:color="auto" w:fill="DCDCDC"/>
          </w:tcPr>
          <w:p>
            <w:pPr/>
          </w:p>
        </w:tc>
        <w:tc>
          <w:tcPr>
            <w:tcW w:w="1627" w:type="dxa"/>
            <w:vMerge/>
            <w:tcBorders>
              <w:left w:val="single" w:sz="4" w:space="0" w:color="000000"/>
              <w:bottom w:val="nil" w:sz="6" w:space="0" w:color="auto"/>
              <w:right w:val="single" w:sz="4" w:space="0" w:color="000000"/>
            </w:tcBorders>
            <w:shd w:val="clear" w:color="auto" w:fill="DCDCDC"/>
          </w:tcPr>
          <w:p>
            <w:pPr/>
          </w:p>
        </w:tc>
      </w:tr>
      <w:tr>
        <w:trPr>
          <w:trHeight w:val="156" w:hRule="exact"/>
        </w:trPr>
        <w:tc>
          <w:tcPr>
            <w:tcW w:w="3334" w:type="dxa"/>
            <w:vMerge/>
            <w:tcBorders>
              <w:left w:val="single" w:sz="4" w:space="0" w:color="000000"/>
              <w:bottom w:val="nil" w:sz="6" w:space="0" w:color="auto"/>
              <w:right w:val="single" w:sz="4" w:space="0" w:color="000000"/>
            </w:tcBorders>
            <w:shd w:val="clear" w:color="auto" w:fill="DCDCDC"/>
          </w:tcPr>
          <w:p>
            <w:pPr/>
          </w:p>
        </w:tc>
        <w:tc>
          <w:tcPr>
            <w:tcW w:w="1182" w:type="dxa"/>
            <w:tcBorders>
              <w:top w:val="single" w:sz="4" w:space="0" w:color="000000"/>
              <w:left w:val="single" w:sz="4" w:space="0" w:color="000000"/>
              <w:bottom w:val="nil" w:sz="6" w:space="0" w:color="auto"/>
              <w:right w:val="single" w:sz="4" w:space="0" w:color="000000"/>
            </w:tcBorders>
            <w:shd w:val="clear" w:color="auto" w:fill="DCDCDC"/>
          </w:tcPr>
          <w:p>
            <w:pPr/>
          </w:p>
        </w:tc>
        <w:tc>
          <w:tcPr>
            <w:tcW w:w="1241" w:type="dxa"/>
            <w:tcBorders>
              <w:top w:val="single" w:sz="4" w:space="0" w:color="000000"/>
              <w:left w:val="single" w:sz="4" w:space="0" w:color="000000"/>
              <w:bottom w:val="nil" w:sz="6" w:space="0" w:color="auto"/>
              <w:right w:val="single" w:sz="4" w:space="0" w:color="000000"/>
            </w:tcBorders>
            <w:shd w:val="clear" w:color="auto" w:fill="DCDCDC"/>
          </w:tcPr>
          <w:p>
            <w:pPr/>
          </w:p>
        </w:tc>
        <w:tc>
          <w:tcPr>
            <w:tcW w:w="892" w:type="dxa"/>
            <w:tcBorders>
              <w:top w:val="single" w:sz="4" w:space="0" w:color="000000"/>
              <w:left w:val="single" w:sz="4" w:space="0" w:color="000000"/>
              <w:bottom w:val="nil" w:sz="6" w:space="0" w:color="auto"/>
              <w:right w:val="single" w:sz="4" w:space="0" w:color="000000"/>
            </w:tcBorders>
            <w:shd w:val="clear" w:color="auto" w:fill="DCDCDC"/>
          </w:tcPr>
          <w:p>
            <w:pPr/>
          </w:p>
        </w:tc>
        <w:tc>
          <w:tcPr>
            <w:tcW w:w="712" w:type="dxa"/>
            <w:vMerge w:val="restart"/>
            <w:tcBorders>
              <w:top w:val="single" w:sz="4" w:space="0" w:color="000000"/>
              <w:left w:val="single" w:sz="4" w:space="0" w:color="000000"/>
              <w:right w:val="single" w:sz="4" w:space="0" w:color="000000"/>
            </w:tcBorders>
            <w:shd w:val="clear" w:color="auto" w:fill="DCDCDC"/>
          </w:tcPr>
          <w:p>
            <w:pPr>
              <w:pStyle w:val="TableParagraph"/>
              <w:spacing w:line="319" w:lineRule="auto" w:before="51"/>
              <w:ind w:left="260" w:right="79"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1092" w:type="dxa"/>
            <w:tcBorders>
              <w:top w:val="single" w:sz="4" w:space="0" w:color="000000"/>
              <w:left w:val="single" w:sz="4" w:space="0" w:color="000000"/>
              <w:bottom w:val="nil" w:sz="6" w:space="0" w:color="auto"/>
              <w:right w:val="single" w:sz="4" w:space="0" w:color="000000"/>
            </w:tcBorders>
            <w:shd w:val="clear" w:color="auto" w:fill="DCDCDC"/>
          </w:tcPr>
          <w:p>
            <w:pPr/>
          </w:p>
        </w:tc>
        <w:tc>
          <w:tcPr>
            <w:tcW w:w="1028" w:type="dxa"/>
            <w:vMerge w:val="restart"/>
            <w:tcBorders>
              <w:top w:val="single" w:sz="4" w:space="0" w:color="000000"/>
              <w:left w:val="single" w:sz="4" w:space="0" w:color="000000"/>
              <w:right w:val="single" w:sz="4" w:space="0" w:color="000000"/>
            </w:tcBorders>
            <w:shd w:val="clear" w:color="auto" w:fill="DCDCDC"/>
          </w:tcPr>
          <w:p>
            <w:pPr>
              <w:pStyle w:val="TableParagraph"/>
              <w:spacing w:line="319" w:lineRule="auto" w:before="51"/>
              <w:ind w:left="418" w:right="59" w:hanging="360"/>
              <w:jc w:val="left"/>
              <w:rPr>
                <w:rFonts w:ascii="宋体" w:hAnsi="宋体" w:cs="宋体" w:eastAsia="宋体" w:hint="default"/>
                <w:sz w:val="18"/>
                <w:szCs w:val="18"/>
              </w:rPr>
            </w:pPr>
            <w:r>
              <w:rPr>
                <w:rFonts w:ascii="宋体" w:hAnsi="宋体" w:cs="宋体" w:eastAsia="宋体" w:hint="default"/>
                <w:sz w:val="18"/>
                <w:szCs w:val="18"/>
              </w:rPr>
              <w:t>一般风险准 备</w:t>
            </w:r>
          </w:p>
        </w:tc>
        <w:tc>
          <w:tcPr>
            <w:tcW w:w="1175" w:type="dxa"/>
            <w:tcBorders>
              <w:top w:val="single" w:sz="4" w:space="0" w:color="000000"/>
              <w:left w:val="single" w:sz="4" w:space="0" w:color="000000"/>
              <w:bottom w:val="nil" w:sz="6" w:space="0" w:color="auto"/>
              <w:right w:val="single" w:sz="4" w:space="0" w:color="000000"/>
            </w:tcBorders>
            <w:shd w:val="clear" w:color="auto" w:fill="DCDCDC"/>
          </w:tcPr>
          <w:p>
            <w:pPr/>
          </w:p>
        </w:tc>
        <w:tc>
          <w:tcPr>
            <w:tcW w:w="836"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8"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1"/>
              <w:ind w:left="188"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627"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1"/>
              <w:ind w:left="177"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193" w:hRule="exact"/>
        </w:trPr>
        <w:tc>
          <w:tcPr>
            <w:tcW w:w="3334" w:type="dxa"/>
            <w:vMerge w:val="restart"/>
            <w:tcBorders>
              <w:top w:val="nil" w:sz="6" w:space="0" w:color="auto"/>
              <w:left w:val="single" w:sz="4" w:space="0" w:color="000000"/>
              <w:right w:val="single" w:sz="4" w:space="0" w:color="000000"/>
            </w:tcBorders>
            <w:shd w:val="clear" w:color="auto" w:fill="DCDCDC"/>
          </w:tcPr>
          <w:p>
            <w:pPr/>
          </w:p>
        </w:tc>
        <w:tc>
          <w:tcPr>
            <w:tcW w:w="118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6"/>
              <w:ind w:left="1"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241"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6"/>
              <w:ind w:left="25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89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pacing w:val="-13"/>
                <w:sz w:val="18"/>
                <w:szCs w:val="18"/>
              </w:rPr>
              <w:t>减：库存股</w:t>
            </w:r>
          </w:p>
        </w:tc>
        <w:tc>
          <w:tcPr>
            <w:tcW w:w="712" w:type="dxa"/>
            <w:vMerge/>
            <w:tcBorders>
              <w:left w:val="single" w:sz="4" w:space="0" w:color="000000"/>
              <w:right w:val="single" w:sz="4" w:space="0" w:color="000000"/>
            </w:tcBorders>
            <w:shd w:val="clear" w:color="auto" w:fill="DCDCDC"/>
          </w:tcPr>
          <w:p>
            <w:pPr/>
          </w:p>
        </w:tc>
        <w:tc>
          <w:tcPr>
            <w:tcW w:w="109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3"/>
              <w:ind w:left="18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028" w:type="dxa"/>
            <w:vMerge/>
            <w:tcBorders>
              <w:left w:val="single" w:sz="4" w:space="0" w:color="000000"/>
              <w:right w:val="single" w:sz="4" w:space="0" w:color="000000"/>
            </w:tcBorders>
            <w:shd w:val="clear" w:color="auto" w:fill="DCDCDC"/>
          </w:tcPr>
          <w:p>
            <w:pPr/>
          </w:p>
        </w:tc>
        <w:tc>
          <w:tcPr>
            <w:tcW w:w="117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3"/>
              <w:ind w:left="13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836"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3"/>
              <w:ind w:left="2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68" w:type="dxa"/>
            <w:vMerge/>
            <w:tcBorders>
              <w:left w:val="single" w:sz="4" w:space="0" w:color="000000"/>
              <w:bottom w:val="nil" w:sz="6" w:space="0" w:color="auto"/>
              <w:right w:val="single" w:sz="4" w:space="0" w:color="000000"/>
            </w:tcBorders>
            <w:shd w:val="clear" w:color="auto" w:fill="DCDCDC"/>
          </w:tcPr>
          <w:p>
            <w:pPr/>
          </w:p>
        </w:tc>
        <w:tc>
          <w:tcPr>
            <w:tcW w:w="1627" w:type="dxa"/>
            <w:vMerge/>
            <w:tcBorders>
              <w:left w:val="single" w:sz="4" w:space="0" w:color="000000"/>
              <w:bottom w:val="nil" w:sz="6" w:space="0" w:color="auto"/>
              <w:right w:val="single" w:sz="4" w:space="0" w:color="000000"/>
            </w:tcBorders>
            <w:shd w:val="clear" w:color="auto" w:fill="DCDCDC"/>
          </w:tcPr>
          <w:p>
            <w:pPr/>
          </w:p>
        </w:tc>
      </w:tr>
      <w:tr>
        <w:trPr>
          <w:trHeight w:val="202" w:hRule="exact"/>
        </w:trPr>
        <w:tc>
          <w:tcPr>
            <w:tcW w:w="3334" w:type="dxa"/>
            <w:vMerge/>
            <w:tcBorders>
              <w:left w:val="single" w:sz="4" w:space="0" w:color="000000"/>
              <w:right w:val="single" w:sz="4" w:space="0" w:color="000000"/>
            </w:tcBorders>
            <w:shd w:val="clear" w:color="auto" w:fill="DCDCDC"/>
          </w:tcPr>
          <w:p>
            <w:pPr/>
          </w:p>
        </w:tc>
        <w:tc>
          <w:tcPr>
            <w:tcW w:w="1182" w:type="dxa"/>
            <w:vMerge/>
            <w:tcBorders>
              <w:left w:val="single" w:sz="4" w:space="0" w:color="000000"/>
              <w:bottom w:val="nil" w:sz="6" w:space="0" w:color="auto"/>
              <w:right w:val="single" w:sz="4" w:space="0" w:color="000000"/>
            </w:tcBorders>
            <w:shd w:val="clear" w:color="auto" w:fill="DCDCDC"/>
          </w:tcPr>
          <w:p>
            <w:pPr/>
          </w:p>
        </w:tc>
        <w:tc>
          <w:tcPr>
            <w:tcW w:w="1241" w:type="dxa"/>
            <w:vMerge/>
            <w:tcBorders>
              <w:left w:val="single" w:sz="4" w:space="0" w:color="000000"/>
              <w:bottom w:val="nil" w:sz="6" w:space="0" w:color="auto"/>
              <w:right w:val="single" w:sz="4" w:space="0" w:color="000000"/>
            </w:tcBorders>
            <w:shd w:val="clear" w:color="auto" w:fill="DCDCDC"/>
          </w:tcPr>
          <w:p>
            <w:pPr/>
          </w:p>
        </w:tc>
        <w:tc>
          <w:tcPr>
            <w:tcW w:w="892" w:type="dxa"/>
            <w:vMerge/>
            <w:tcBorders>
              <w:left w:val="single" w:sz="4" w:space="0" w:color="000000"/>
              <w:bottom w:val="nil" w:sz="6" w:space="0" w:color="auto"/>
              <w:right w:val="single" w:sz="4" w:space="0" w:color="000000"/>
            </w:tcBorders>
            <w:shd w:val="clear" w:color="auto" w:fill="DCDCDC"/>
          </w:tcPr>
          <w:p>
            <w:pPr/>
          </w:p>
        </w:tc>
        <w:tc>
          <w:tcPr>
            <w:tcW w:w="712" w:type="dxa"/>
            <w:vMerge/>
            <w:tcBorders>
              <w:left w:val="single" w:sz="4" w:space="0" w:color="000000"/>
              <w:right w:val="single" w:sz="4" w:space="0" w:color="000000"/>
            </w:tcBorders>
            <w:shd w:val="clear" w:color="auto" w:fill="DCDCDC"/>
          </w:tcPr>
          <w:p>
            <w:pPr/>
          </w:p>
        </w:tc>
        <w:tc>
          <w:tcPr>
            <w:tcW w:w="1092" w:type="dxa"/>
            <w:vMerge/>
            <w:tcBorders>
              <w:left w:val="single" w:sz="4" w:space="0" w:color="000000"/>
              <w:bottom w:val="nil" w:sz="6" w:space="0" w:color="auto"/>
              <w:right w:val="single" w:sz="4" w:space="0" w:color="000000"/>
            </w:tcBorders>
            <w:shd w:val="clear" w:color="auto" w:fill="DCDCDC"/>
          </w:tcPr>
          <w:p>
            <w:pPr/>
          </w:p>
        </w:tc>
        <w:tc>
          <w:tcPr>
            <w:tcW w:w="1028" w:type="dxa"/>
            <w:vMerge/>
            <w:tcBorders>
              <w:left w:val="single" w:sz="4" w:space="0" w:color="000000"/>
              <w:right w:val="single" w:sz="4" w:space="0" w:color="000000"/>
            </w:tcBorders>
            <w:shd w:val="clear" w:color="auto" w:fill="DCDCDC"/>
          </w:tcPr>
          <w:p>
            <w:pPr/>
          </w:p>
        </w:tc>
        <w:tc>
          <w:tcPr>
            <w:tcW w:w="1175" w:type="dxa"/>
            <w:vMerge/>
            <w:tcBorders>
              <w:left w:val="single" w:sz="4" w:space="0" w:color="000000"/>
              <w:bottom w:val="nil" w:sz="6" w:space="0" w:color="auto"/>
              <w:right w:val="single" w:sz="4" w:space="0" w:color="000000"/>
            </w:tcBorders>
            <w:shd w:val="clear" w:color="auto" w:fill="DCDCDC"/>
          </w:tcPr>
          <w:p>
            <w:pPr/>
          </w:p>
        </w:tc>
        <w:tc>
          <w:tcPr>
            <w:tcW w:w="836" w:type="dxa"/>
            <w:vMerge/>
            <w:tcBorders>
              <w:left w:val="single" w:sz="4" w:space="0" w:color="000000"/>
              <w:bottom w:val="nil" w:sz="6" w:space="0" w:color="auto"/>
              <w:right w:val="single" w:sz="4" w:space="0" w:color="000000"/>
            </w:tcBorders>
            <w:shd w:val="clear" w:color="auto" w:fill="DCDCDC"/>
          </w:tcPr>
          <w:p>
            <w:pPr/>
          </w:p>
        </w:tc>
        <w:tc>
          <w:tcPr>
            <w:tcW w:w="1468" w:type="dxa"/>
            <w:vMerge w:val="restart"/>
            <w:tcBorders>
              <w:top w:val="nil" w:sz="6" w:space="0" w:color="auto"/>
              <w:left w:val="single" w:sz="4" w:space="0" w:color="000000"/>
              <w:right w:val="single" w:sz="4" w:space="0" w:color="000000"/>
            </w:tcBorders>
            <w:shd w:val="clear" w:color="auto" w:fill="DCDCDC"/>
          </w:tcPr>
          <w:p>
            <w:pPr/>
          </w:p>
        </w:tc>
        <w:tc>
          <w:tcPr>
            <w:tcW w:w="1627" w:type="dxa"/>
            <w:vMerge w:val="restart"/>
            <w:tcBorders>
              <w:top w:val="nil" w:sz="6" w:space="0" w:color="auto"/>
              <w:left w:val="single" w:sz="4" w:space="0" w:color="000000"/>
              <w:right w:val="single" w:sz="4" w:space="0" w:color="000000"/>
            </w:tcBorders>
            <w:shd w:val="clear" w:color="auto" w:fill="DCDCDC"/>
          </w:tcPr>
          <w:p>
            <w:pPr/>
          </w:p>
        </w:tc>
      </w:tr>
      <w:tr>
        <w:trPr>
          <w:trHeight w:val="161" w:hRule="exact"/>
        </w:trPr>
        <w:tc>
          <w:tcPr>
            <w:tcW w:w="3334" w:type="dxa"/>
            <w:vMerge/>
            <w:tcBorders>
              <w:left w:val="single" w:sz="4" w:space="0" w:color="000000"/>
              <w:bottom w:val="single" w:sz="4" w:space="0" w:color="000000"/>
              <w:right w:val="single" w:sz="4" w:space="0" w:color="000000"/>
            </w:tcBorders>
            <w:shd w:val="clear" w:color="auto" w:fill="DCDCDC"/>
          </w:tcPr>
          <w:p>
            <w:pPr/>
          </w:p>
        </w:tc>
        <w:tc>
          <w:tcPr>
            <w:tcW w:w="1182" w:type="dxa"/>
            <w:tcBorders>
              <w:top w:val="nil" w:sz="6" w:space="0" w:color="auto"/>
              <w:left w:val="single" w:sz="4" w:space="0" w:color="000000"/>
              <w:bottom w:val="single" w:sz="4" w:space="0" w:color="000000"/>
              <w:right w:val="single" w:sz="4" w:space="0" w:color="000000"/>
            </w:tcBorders>
            <w:shd w:val="clear" w:color="auto" w:fill="DCDCDC"/>
          </w:tcPr>
          <w:p>
            <w:pPr/>
          </w:p>
        </w:tc>
        <w:tc>
          <w:tcPr>
            <w:tcW w:w="1241" w:type="dxa"/>
            <w:tcBorders>
              <w:top w:val="nil" w:sz="6" w:space="0" w:color="auto"/>
              <w:left w:val="single" w:sz="4" w:space="0" w:color="000000"/>
              <w:bottom w:val="single" w:sz="4" w:space="0" w:color="000000"/>
              <w:right w:val="single" w:sz="4" w:space="0" w:color="000000"/>
            </w:tcBorders>
            <w:shd w:val="clear" w:color="auto" w:fill="DCDCDC"/>
          </w:tcPr>
          <w:p>
            <w:pPr/>
          </w:p>
        </w:tc>
        <w:tc>
          <w:tcPr>
            <w:tcW w:w="892" w:type="dxa"/>
            <w:tcBorders>
              <w:top w:val="nil" w:sz="6" w:space="0" w:color="auto"/>
              <w:left w:val="single" w:sz="4" w:space="0" w:color="000000"/>
              <w:bottom w:val="single" w:sz="4" w:space="0" w:color="000000"/>
              <w:right w:val="single" w:sz="4" w:space="0" w:color="000000"/>
            </w:tcBorders>
            <w:shd w:val="clear" w:color="auto" w:fill="DCDCDC"/>
          </w:tcPr>
          <w:p>
            <w:pPr/>
          </w:p>
        </w:tc>
        <w:tc>
          <w:tcPr>
            <w:tcW w:w="712" w:type="dxa"/>
            <w:vMerge/>
            <w:tcBorders>
              <w:left w:val="single" w:sz="4" w:space="0" w:color="000000"/>
              <w:bottom w:val="single" w:sz="4" w:space="0" w:color="000000"/>
              <w:right w:val="single" w:sz="4" w:space="0" w:color="000000"/>
            </w:tcBorders>
            <w:shd w:val="clear" w:color="auto" w:fill="DCDCDC"/>
          </w:tcPr>
          <w:p>
            <w:pPr/>
          </w:p>
        </w:tc>
        <w:tc>
          <w:tcPr>
            <w:tcW w:w="1092" w:type="dxa"/>
            <w:tcBorders>
              <w:top w:val="nil" w:sz="6" w:space="0" w:color="auto"/>
              <w:left w:val="single" w:sz="4" w:space="0" w:color="000000"/>
              <w:bottom w:val="single" w:sz="4" w:space="0" w:color="000000"/>
              <w:right w:val="single" w:sz="4" w:space="0" w:color="000000"/>
            </w:tcBorders>
            <w:shd w:val="clear" w:color="auto" w:fill="DCDCDC"/>
          </w:tcPr>
          <w:p>
            <w:pPr/>
          </w:p>
        </w:tc>
        <w:tc>
          <w:tcPr>
            <w:tcW w:w="1028" w:type="dxa"/>
            <w:vMerge/>
            <w:tcBorders>
              <w:left w:val="single" w:sz="4" w:space="0" w:color="000000"/>
              <w:bottom w:val="single" w:sz="4" w:space="0" w:color="000000"/>
              <w:right w:val="single" w:sz="4" w:space="0" w:color="000000"/>
            </w:tcBorders>
            <w:shd w:val="clear" w:color="auto" w:fill="DCDCDC"/>
          </w:tcPr>
          <w:p>
            <w:pPr/>
          </w:p>
        </w:tc>
        <w:tc>
          <w:tcPr>
            <w:tcW w:w="1175" w:type="dxa"/>
            <w:tcBorders>
              <w:top w:val="nil" w:sz="6" w:space="0" w:color="auto"/>
              <w:left w:val="single" w:sz="4" w:space="0" w:color="000000"/>
              <w:bottom w:val="single" w:sz="4" w:space="0" w:color="000000"/>
              <w:right w:val="single" w:sz="4" w:space="0" w:color="000000"/>
            </w:tcBorders>
            <w:shd w:val="clear" w:color="auto" w:fill="DCDCDC"/>
          </w:tcPr>
          <w:p>
            <w:pPr/>
          </w:p>
        </w:tc>
        <w:tc>
          <w:tcPr>
            <w:tcW w:w="836" w:type="dxa"/>
            <w:tcBorders>
              <w:top w:val="nil" w:sz="6" w:space="0" w:color="auto"/>
              <w:left w:val="single" w:sz="4" w:space="0" w:color="000000"/>
              <w:bottom w:val="single" w:sz="4" w:space="0" w:color="000000"/>
              <w:right w:val="single" w:sz="4" w:space="0" w:color="000000"/>
            </w:tcBorders>
            <w:shd w:val="clear" w:color="auto" w:fill="DCDCDC"/>
          </w:tcPr>
          <w:p>
            <w:pPr/>
          </w:p>
        </w:tc>
        <w:tc>
          <w:tcPr>
            <w:tcW w:w="1468" w:type="dxa"/>
            <w:vMerge/>
            <w:tcBorders>
              <w:left w:val="single" w:sz="4" w:space="0" w:color="000000"/>
              <w:bottom w:val="single" w:sz="4" w:space="0" w:color="000000"/>
              <w:right w:val="single" w:sz="4" w:space="0" w:color="000000"/>
            </w:tcBorders>
            <w:shd w:val="clear" w:color="auto" w:fill="DCDCDC"/>
          </w:tcPr>
          <w:p>
            <w:pPr/>
          </w:p>
        </w:tc>
        <w:tc>
          <w:tcPr>
            <w:tcW w:w="1627" w:type="dxa"/>
            <w:vMerge/>
            <w:tcBorders>
              <w:left w:val="single" w:sz="4" w:space="0" w:color="000000"/>
              <w:bottom w:val="single" w:sz="4" w:space="0" w:color="000000"/>
              <w:right w:val="single" w:sz="4" w:space="0" w:color="000000"/>
            </w:tcBorders>
            <w:shd w:val="clear" w:color="auto" w:fill="DCDCDC"/>
          </w:tcPr>
          <w:p>
            <w:pPr/>
          </w:p>
        </w:tc>
      </w:tr>
      <w:tr>
        <w:trPr>
          <w:trHeight w:val="402" w:hRule="exact"/>
        </w:trPr>
        <w:tc>
          <w:tcPr>
            <w:tcW w:w="33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18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1"/>
              <w:ind w:left="13" w:right="0"/>
              <w:jc w:val="left"/>
              <w:rPr>
                <w:rFonts w:ascii="Times New Roman" w:hAnsi="Times New Roman" w:cs="Times New Roman" w:eastAsia="Times New Roman" w:hint="default"/>
                <w:sz w:val="18"/>
                <w:szCs w:val="18"/>
              </w:rPr>
            </w:pPr>
            <w:r>
              <w:rPr>
                <w:rFonts w:ascii="Times New Roman"/>
                <w:sz w:val="18"/>
              </w:rPr>
              <w:t>315,460,320.00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3" w:right="0"/>
              <w:jc w:val="left"/>
              <w:rPr>
                <w:rFonts w:ascii="Times New Roman" w:hAnsi="Times New Roman" w:cs="Times New Roman" w:eastAsia="Times New Roman" w:hint="default"/>
                <w:sz w:val="18"/>
                <w:szCs w:val="18"/>
              </w:rPr>
            </w:pPr>
            <w:r>
              <w:rPr>
                <w:rFonts w:ascii="Times New Roman"/>
                <w:sz w:val="18"/>
              </w:rPr>
              <w:t>431,371,475.79</w:t>
            </w: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51,994,762.32</w:t>
            </w: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204,982,380.11</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-23,069.67</w:t>
            </w:r>
          </w:p>
        </w:tc>
        <w:tc>
          <w:tcPr>
            <w:tcW w:w="1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51,529,620.81</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1,055,315,489.36</w:t>
            </w:r>
          </w:p>
        </w:tc>
      </w:tr>
      <w:tr>
        <w:trPr>
          <w:trHeight w:val="402" w:hRule="exact"/>
        </w:trPr>
        <w:tc>
          <w:tcPr>
            <w:tcW w:w="33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182" w:type="dxa"/>
            <w:tcBorders>
              <w:top w:val="single" w:sz="4" w:space="0" w:color="000000"/>
              <w:left w:val="single" w:sz="13"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182" w:type="dxa"/>
            <w:tcBorders>
              <w:top w:val="single" w:sz="4" w:space="0" w:color="000000"/>
              <w:left w:val="single" w:sz="9"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82" w:type="dxa"/>
            <w:tcBorders>
              <w:top w:val="single" w:sz="4" w:space="0" w:color="000000"/>
              <w:left w:val="single" w:sz="9"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337" w:hRule="exact"/>
        </w:trPr>
        <w:tc>
          <w:tcPr>
            <w:tcW w:w="3334" w:type="dxa"/>
            <w:tcBorders>
              <w:top w:val="single" w:sz="4" w:space="0" w:color="000000"/>
              <w:left w:val="single" w:sz="4" w:space="0" w:color="000000"/>
              <w:bottom w:val="nil" w:sz="6" w:space="0" w:color="auto"/>
              <w:right w:val="single" w:sz="4" w:space="0" w:color="000000"/>
            </w:tcBorders>
            <w:shd w:val="clear" w:color="auto" w:fill="DCDCDC"/>
          </w:tcPr>
          <w:p>
            <w:pPr/>
          </w:p>
        </w:tc>
        <w:tc>
          <w:tcPr>
            <w:tcW w:w="1182" w:type="dxa"/>
            <w:vMerge w:val="restart"/>
            <w:tcBorders>
              <w:top w:val="single" w:sz="4" w:space="0" w:color="000000"/>
              <w:left w:val="single" w:sz="9" w:space="0" w:color="DCDCDC"/>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8" w:right="0"/>
              <w:jc w:val="left"/>
              <w:rPr>
                <w:rFonts w:ascii="Times New Roman" w:hAnsi="Times New Roman" w:cs="Times New Roman" w:eastAsia="Times New Roman" w:hint="default"/>
                <w:sz w:val="18"/>
                <w:szCs w:val="18"/>
              </w:rPr>
            </w:pPr>
            <w:r>
              <w:rPr>
                <w:rFonts w:ascii="Times New Roman"/>
                <w:sz w:val="18"/>
              </w:rPr>
              <w:t>315,460,320.00</w:t>
            </w:r>
          </w:p>
        </w:tc>
        <w:tc>
          <w:tcPr>
            <w:tcW w:w="124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431,371,475.79</w:t>
            </w:r>
          </w:p>
        </w:tc>
        <w:tc>
          <w:tcPr>
            <w:tcW w:w="892" w:type="dxa"/>
            <w:vMerge w:val="restart"/>
            <w:tcBorders>
              <w:top w:val="single" w:sz="4" w:space="0" w:color="000000"/>
              <w:left w:val="single" w:sz="4" w:space="0" w:color="000000"/>
              <w:right w:val="single" w:sz="4" w:space="0" w:color="000000"/>
            </w:tcBorders>
          </w:tcPr>
          <w:p>
            <w:pPr/>
          </w:p>
        </w:tc>
        <w:tc>
          <w:tcPr>
            <w:tcW w:w="712" w:type="dxa"/>
            <w:vMerge w:val="restart"/>
            <w:tcBorders>
              <w:top w:val="single" w:sz="4" w:space="0" w:color="000000"/>
              <w:left w:val="single" w:sz="4" w:space="0" w:color="000000"/>
              <w:right w:val="single" w:sz="4" w:space="0" w:color="000000"/>
            </w:tcBorders>
          </w:tcPr>
          <w:p>
            <w:pPr/>
          </w:p>
        </w:tc>
        <w:tc>
          <w:tcPr>
            <w:tcW w:w="109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51,994,762.32</w:t>
            </w:r>
          </w:p>
        </w:tc>
        <w:tc>
          <w:tcPr>
            <w:tcW w:w="1028" w:type="dxa"/>
            <w:vMerge w:val="restart"/>
            <w:tcBorders>
              <w:top w:val="single" w:sz="4" w:space="0" w:color="000000"/>
              <w:left w:val="single" w:sz="4" w:space="0" w:color="000000"/>
              <w:right w:val="single" w:sz="4" w:space="0" w:color="000000"/>
            </w:tcBorders>
          </w:tcPr>
          <w:p>
            <w:pPr/>
          </w:p>
        </w:tc>
        <w:tc>
          <w:tcPr>
            <w:tcW w:w="117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204,982,380.11</w:t>
            </w:r>
          </w:p>
        </w:tc>
        <w:tc>
          <w:tcPr>
            <w:tcW w:w="83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-23,069.67</w:t>
            </w:r>
          </w:p>
        </w:tc>
        <w:tc>
          <w:tcPr>
            <w:tcW w:w="14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571" w:right="0"/>
              <w:jc w:val="left"/>
              <w:rPr>
                <w:rFonts w:ascii="Times New Roman" w:hAnsi="Times New Roman" w:cs="Times New Roman" w:eastAsia="Times New Roman" w:hint="default"/>
                <w:sz w:val="15"/>
                <w:szCs w:val="15"/>
              </w:rPr>
            </w:pPr>
            <w:r>
              <w:rPr>
                <w:rFonts w:ascii="Times New Roman"/>
                <w:sz w:val="15"/>
              </w:rPr>
              <w:t>51,529,620.81</w:t>
            </w:r>
          </w:p>
        </w:tc>
        <w:tc>
          <w:tcPr>
            <w:tcW w:w="162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33" w:right="0"/>
              <w:jc w:val="left"/>
              <w:rPr>
                <w:rFonts w:ascii="Times New Roman" w:hAnsi="Times New Roman" w:cs="Times New Roman" w:eastAsia="Times New Roman" w:hint="default"/>
                <w:sz w:val="18"/>
                <w:szCs w:val="18"/>
              </w:rPr>
            </w:pPr>
            <w:r>
              <w:rPr>
                <w:rFonts w:ascii="Times New Roman"/>
                <w:sz w:val="18"/>
              </w:rPr>
              <w:t>1,055,315,489.36</w:t>
            </w:r>
          </w:p>
        </w:tc>
      </w:tr>
      <w:tr>
        <w:trPr>
          <w:trHeight w:val="392" w:hRule="exact"/>
        </w:trPr>
        <w:tc>
          <w:tcPr>
            <w:tcW w:w="333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182" w:type="dxa"/>
            <w:vMerge/>
            <w:tcBorders>
              <w:left w:val="single" w:sz="9" w:space="0" w:color="DCDCDC"/>
              <w:right w:val="single" w:sz="4" w:space="0" w:color="000000"/>
            </w:tcBorders>
          </w:tcPr>
          <w:p>
            <w:pPr/>
          </w:p>
        </w:tc>
        <w:tc>
          <w:tcPr>
            <w:tcW w:w="1241" w:type="dxa"/>
            <w:vMerge/>
            <w:tcBorders>
              <w:left w:val="single" w:sz="4" w:space="0" w:color="000000"/>
              <w:right w:val="single" w:sz="4" w:space="0" w:color="000000"/>
            </w:tcBorders>
          </w:tcPr>
          <w:p>
            <w:pPr/>
          </w:p>
        </w:tc>
        <w:tc>
          <w:tcPr>
            <w:tcW w:w="892" w:type="dxa"/>
            <w:vMerge/>
            <w:tcBorders>
              <w:left w:val="single" w:sz="4" w:space="0" w:color="000000"/>
              <w:right w:val="single" w:sz="4" w:space="0" w:color="000000"/>
            </w:tcBorders>
          </w:tcPr>
          <w:p>
            <w:pPr/>
          </w:p>
        </w:tc>
        <w:tc>
          <w:tcPr>
            <w:tcW w:w="712" w:type="dxa"/>
            <w:vMerge/>
            <w:tcBorders>
              <w:left w:val="single" w:sz="4" w:space="0" w:color="000000"/>
              <w:right w:val="single" w:sz="4" w:space="0" w:color="000000"/>
            </w:tcBorders>
          </w:tcPr>
          <w:p>
            <w:pPr/>
          </w:p>
        </w:tc>
        <w:tc>
          <w:tcPr>
            <w:tcW w:w="1092" w:type="dxa"/>
            <w:vMerge/>
            <w:tcBorders>
              <w:left w:val="single" w:sz="4" w:space="0" w:color="000000"/>
              <w:right w:val="single" w:sz="4" w:space="0" w:color="000000"/>
            </w:tcBorders>
          </w:tcPr>
          <w:p>
            <w:pPr/>
          </w:p>
        </w:tc>
        <w:tc>
          <w:tcPr>
            <w:tcW w:w="1028" w:type="dxa"/>
            <w:vMerge/>
            <w:tcBorders>
              <w:left w:val="single" w:sz="4" w:space="0" w:color="000000"/>
              <w:right w:val="single" w:sz="4" w:space="0" w:color="000000"/>
            </w:tcBorders>
          </w:tcPr>
          <w:p>
            <w:pPr/>
          </w:p>
        </w:tc>
        <w:tc>
          <w:tcPr>
            <w:tcW w:w="1175" w:type="dxa"/>
            <w:vMerge/>
            <w:tcBorders>
              <w:left w:val="single" w:sz="4" w:space="0" w:color="000000"/>
              <w:right w:val="single" w:sz="4" w:space="0" w:color="000000"/>
            </w:tcBorders>
          </w:tcPr>
          <w:p>
            <w:pPr/>
          </w:p>
        </w:tc>
        <w:tc>
          <w:tcPr>
            <w:tcW w:w="836" w:type="dxa"/>
            <w:vMerge/>
            <w:tcBorders>
              <w:left w:val="single" w:sz="4" w:space="0" w:color="000000"/>
              <w:right w:val="single" w:sz="4" w:space="0" w:color="000000"/>
            </w:tcBorders>
          </w:tcPr>
          <w:p>
            <w:pPr/>
          </w:p>
        </w:tc>
        <w:tc>
          <w:tcPr>
            <w:tcW w:w="1468" w:type="dxa"/>
            <w:vMerge/>
            <w:tcBorders>
              <w:left w:val="single" w:sz="4" w:space="0" w:color="000000"/>
              <w:right w:val="single" w:sz="4" w:space="0" w:color="000000"/>
            </w:tcBorders>
          </w:tcPr>
          <w:p>
            <w:pPr/>
          </w:p>
        </w:tc>
        <w:tc>
          <w:tcPr>
            <w:tcW w:w="1627" w:type="dxa"/>
            <w:vMerge/>
            <w:tcBorders>
              <w:left w:val="single" w:sz="4" w:space="0" w:color="000000"/>
              <w:right w:val="single" w:sz="4" w:space="0" w:color="000000"/>
            </w:tcBorders>
          </w:tcPr>
          <w:p>
            <w:pPr/>
          </w:p>
        </w:tc>
      </w:tr>
      <w:tr>
        <w:trPr>
          <w:trHeight w:val="336" w:hRule="exact"/>
        </w:trPr>
        <w:tc>
          <w:tcPr>
            <w:tcW w:w="3334" w:type="dxa"/>
            <w:tcBorders>
              <w:top w:val="nil" w:sz="6" w:space="0" w:color="auto"/>
              <w:left w:val="single" w:sz="4" w:space="0" w:color="000000"/>
              <w:bottom w:val="single" w:sz="4" w:space="0" w:color="000000"/>
              <w:right w:val="single" w:sz="4" w:space="0" w:color="000000"/>
            </w:tcBorders>
            <w:shd w:val="clear" w:color="auto" w:fill="DCDCDC"/>
          </w:tcPr>
          <w:p>
            <w:pPr/>
          </w:p>
        </w:tc>
        <w:tc>
          <w:tcPr>
            <w:tcW w:w="1182" w:type="dxa"/>
            <w:vMerge/>
            <w:tcBorders>
              <w:left w:val="single" w:sz="9" w:space="0" w:color="DCDCDC"/>
              <w:bottom w:val="single" w:sz="4" w:space="0" w:color="000000"/>
              <w:right w:val="single" w:sz="4" w:space="0" w:color="000000"/>
            </w:tcBorders>
          </w:tcPr>
          <w:p>
            <w:pPr/>
          </w:p>
        </w:tc>
        <w:tc>
          <w:tcPr>
            <w:tcW w:w="1241" w:type="dxa"/>
            <w:vMerge/>
            <w:tcBorders>
              <w:left w:val="single" w:sz="4" w:space="0" w:color="000000"/>
              <w:bottom w:val="single" w:sz="4" w:space="0" w:color="000000"/>
              <w:right w:val="single" w:sz="4" w:space="0" w:color="000000"/>
            </w:tcBorders>
          </w:tcPr>
          <w:p>
            <w:pPr/>
          </w:p>
        </w:tc>
        <w:tc>
          <w:tcPr>
            <w:tcW w:w="892" w:type="dxa"/>
            <w:vMerge/>
            <w:tcBorders>
              <w:left w:val="single" w:sz="4" w:space="0" w:color="000000"/>
              <w:bottom w:val="single" w:sz="4" w:space="0" w:color="000000"/>
              <w:right w:val="single" w:sz="4" w:space="0" w:color="000000"/>
            </w:tcBorders>
          </w:tcPr>
          <w:p>
            <w:pPr/>
          </w:p>
        </w:tc>
        <w:tc>
          <w:tcPr>
            <w:tcW w:w="712" w:type="dxa"/>
            <w:vMerge/>
            <w:tcBorders>
              <w:left w:val="single" w:sz="4" w:space="0" w:color="000000"/>
              <w:bottom w:val="single" w:sz="4" w:space="0" w:color="000000"/>
              <w:right w:val="single" w:sz="4" w:space="0" w:color="000000"/>
            </w:tcBorders>
          </w:tcPr>
          <w:p>
            <w:pPr/>
          </w:p>
        </w:tc>
        <w:tc>
          <w:tcPr>
            <w:tcW w:w="1092" w:type="dxa"/>
            <w:vMerge/>
            <w:tcBorders>
              <w:left w:val="single" w:sz="4" w:space="0" w:color="000000"/>
              <w:bottom w:val="single" w:sz="4" w:space="0" w:color="000000"/>
              <w:right w:val="single" w:sz="4" w:space="0" w:color="000000"/>
            </w:tcBorders>
          </w:tcPr>
          <w:p>
            <w:pPr/>
          </w:p>
        </w:tc>
        <w:tc>
          <w:tcPr>
            <w:tcW w:w="1028" w:type="dxa"/>
            <w:vMerge/>
            <w:tcBorders>
              <w:left w:val="single" w:sz="4" w:space="0" w:color="000000"/>
              <w:bottom w:val="single" w:sz="4" w:space="0" w:color="000000"/>
              <w:right w:val="single" w:sz="4" w:space="0" w:color="000000"/>
            </w:tcBorders>
          </w:tcPr>
          <w:p>
            <w:pPr/>
          </w:p>
        </w:tc>
        <w:tc>
          <w:tcPr>
            <w:tcW w:w="1175" w:type="dxa"/>
            <w:vMerge/>
            <w:tcBorders>
              <w:left w:val="single" w:sz="4" w:space="0" w:color="000000"/>
              <w:bottom w:val="single" w:sz="4" w:space="0" w:color="000000"/>
              <w:right w:val="single" w:sz="4" w:space="0" w:color="000000"/>
            </w:tcBorders>
          </w:tcPr>
          <w:p>
            <w:pPr/>
          </w:p>
        </w:tc>
        <w:tc>
          <w:tcPr>
            <w:tcW w:w="836" w:type="dxa"/>
            <w:vMerge/>
            <w:tcBorders>
              <w:left w:val="single" w:sz="4" w:space="0" w:color="000000"/>
              <w:bottom w:val="single" w:sz="4" w:space="0" w:color="000000"/>
              <w:right w:val="single" w:sz="4" w:space="0" w:color="000000"/>
            </w:tcBorders>
          </w:tcPr>
          <w:p>
            <w:pPr/>
          </w:p>
        </w:tc>
        <w:tc>
          <w:tcPr>
            <w:tcW w:w="1468" w:type="dxa"/>
            <w:vMerge/>
            <w:tcBorders>
              <w:left w:val="single" w:sz="4" w:space="0" w:color="000000"/>
              <w:bottom w:val="single" w:sz="4" w:space="0" w:color="000000"/>
              <w:right w:val="single" w:sz="4" w:space="0" w:color="000000"/>
            </w:tcBorders>
          </w:tcPr>
          <w:p>
            <w:pPr/>
          </w:p>
        </w:tc>
        <w:tc>
          <w:tcPr>
            <w:tcW w:w="1627" w:type="dxa"/>
            <w:vMerge/>
            <w:tcBorders>
              <w:left w:val="single" w:sz="4" w:space="0" w:color="000000"/>
              <w:bottom w:val="single" w:sz="4" w:space="0" w:color="000000"/>
              <w:right w:val="single" w:sz="4" w:space="0" w:color="000000"/>
            </w:tcBorders>
          </w:tcPr>
          <w:p>
            <w:pPr/>
          </w:p>
        </w:tc>
      </w:tr>
      <w:tr>
        <w:trPr>
          <w:trHeight w:val="181" w:hRule="exact"/>
        </w:trPr>
        <w:tc>
          <w:tcPr>
            <w:tcW w:w="3334" w:type="dxa"/>
            <w:tcBorders>
              <w:top w:val="single" w:sz="4" w:space="0" w:color="000000"/>
              <w:left w:val="single" w:sz="4" w:space="0" w:color="000000"/>
              <w:bottom w:val="nil" w:sz="6" w:space="0" w:color="auto"/>
              <w:right w:val="single" w:sz="4" w:space="0" w:color="000000"/>
            </w:tcBorders>
            <w:shd w:val="clear" w:color="auto" w:fill="DCDCDC"/>
          </w:tcPr>
          <w:p>
            <w:pPr/>
          </w:p>
        </w:tc>
        <w:tc>
          <w:tcPr>
            <w:tcW w:w="1182" w:type="dxa"/>
            <w:vMerge w:val="restart"/>
            <w:tcBorders>
              <w:top w:val="single" w:sz="4" w:space="0" w:color="000000"/>
              <w:left w:val="single" w:sz="9" w:space="0" w:color="DCDCDC"/>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8" w:right="0"/>
              <w:jc w:val="left"/>
              <w:rPr>
                <w:rFonts w:ascii="Times New Roman" w:hAnsi="Times New Roman" w:cs="Times New Roman" w:eastAsia="Times New Roman" w:hint="default"/>
                <w:sz w:val="18"/>
                <w:szCs w:val="18"/>
              </w:rPr>
            </w:pPr>
            <w:r>
              <w:rPr>
                <w:rFonts w:ascii="Times New Roman"/>
                <w:sz w:val="18"/>
              </w:rPr>
              <w:t>315,460,320.00</w:t>
            </w:r>
          </w:p>
        </w:tc>
        <w:tc>
          <w:tcPr>
            <w:tcW w:w="124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-322,228,895.23</w:t>
            </w:r>
          </w:p>
        </w:tc>
        <w:tc>
          <w:tcPr>
            <w:tcW w:w="892" w:type="dxa"/>
            <w:vMerge w:val="restart"/>
            <w:tcBorders>
              <w:top w:val="single" w:sz="4" w:space="0" w:color="000000"/>
              <w:left w:val="single" w:sz="4" w:space="0" w:color="000000"/>
              <w:right w:val="single" w:sz="4" w:space="0" w:color="000000"/>
            </w:tcBorders>
          </w:tcPr>
          <w:p>
            <w:pPr/>
          </w:p>
        </w:tc>
        <w:tc>
          <w:tcPr>
            <w:tcW w:w="712" w:type="dxa"/>
            <w:vMerge w:val="restart"/>
            <w:tcBorders>
              <w:top w:val="single" w:sz="4" w:space="0" w:color="000000"/>
              <w:left w:val="single" w:sz="4" w:space="0" w:color="000000"/>
              <w:right w:val="single" w:sz="4" w:space="0" w:color="000000"/>
            </w:tcBorders>
          </w:tcPr>
          <w:p>
            <w:pPr/>
          </w:p>
        </w:tc>
        <w:tc>
          <w:tcPr>
            <w:tcW w:w="109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14" w:right="0"/>
              <w:jc w:val="left"/>
              <w:rPr>
                <w:rFonts w:ascii="Times New Roman" w:hAnsi="Times New Roman" w:cs="Times New Roman" w:eastAsia="Times New Roman" w:hint="default"/>
                <w:sz w:val="18"/>
                <w:szCs w:val="18"/>
              </w:rPr>
            </w:pPr>
            <w:r>
              <w:rPr>
                <w:rFonts w:ascii="Times New Roman"/>
                <w:sz w:val="18"/>
              </w:rPr>
              <w:t>7,453,856.26</w:t>
            </w:r>
          </w:p>
        </w:tc>
        <w:tc>
          <w:tcPr>
            <w:tcW w:w="1028" w:type="dxa"/>
            <w:vMerge w:val="restart"/>
            <w:tcBorders>
              <w:top w:val="single" w:sz="4" w:space="0" w:color="000000"/>
              <w:left w:val="single" w:sz="4" w:space="0" w:color="000000"/>
              <w:right w:val="single" w:sz="4" w:space="0" w:color="000000"/>
            </w:tcBorders>
          </w:tcPr>
          <w:p>
            <w:pPr/>
          </w:p>
        </w:tc>
        <w:tc>
          <w:tcPr>
            <w:tcW w:w="117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6" w:right="0"/>
              <w:jc w:val="left"/>
              <w:rPr>
                <w:rFonts w:ascii="Times New Roman" w:hAnsi="Times New Roman" w:cs="Times New Roman" w:eastAsia="Times New Roman" w:hint="default"/>
                <w:sz w:val="18"/>
                <w:szCs w:val="18"/>
              </w:rPr>
            </w:pPr>
            <w:r>
              <w:rPr>
                <w:rFonts w:ascii="Times New Roman"/>
                <w:sz w:val="18"/>
              </w:rPr>
              <w:t>63,136,961.21</w:t>
            </w:r>
          </w:p>
        </w:tc>
        <w:tc>
          <w:tcPr>
            <w:tcW w:w="83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-22,757.86</w:t>
            </w:r>
          </w:p>
        </w:tc>
        <w:tc>
          <w:tcPr>
            <w:tcW w:w="14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577" w:right="0"/>
              <w:jc w:val="left"/>
              <w:rPr>
                <w:rFonts w:ascii="Times New Roman" w:hAnsi="Times New Roman" w:cs="Times New Roman" w:eastAsia="Times New Roman" w:hint="default"/>
                <w:sz w:val="15"/>
                <w:szCs w:val="15"/>
              </w:rPr>
            </w:pPr>
            <w:r>
              <w:rPr>
                <w:rFonts w:ascii="Times New Roman"/>
                <w:sz w:val="15"/>
              </w:rPr>
              <w:t>50,141,115.33</w:t>
            </w:r>
          </w:p>
        </w:tc>
        <w:tc>
          <w:tcPr>
            <w:tcW w:w="162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660" w:right="0"/>
              <w:jc w:val="left"/>
              <w:rPr>
                <w:rFonts w:ascii="Times New Roman" w:hAnsi="Times New Roman" w:cs="Times New Roman" w:eastAsia="Times New Roman" w:hint="default"/>
                <w:sz w:val="15"/>
                <w:szCs w:val="15"/>
              </w:rPr>
            </w:pPr>
            <w:r>
              <w:rPr>
                <w:rFonts w:ascii="Times New Roman"/>
                <w:sz w:val="15"/>
              </w:rPr>
              <w:t>114,091,458.10</w:t>
            </w:r>
          </w:p>
        </w:tc>
      </w:tr>
      <w:tr>
        <w:trPr>
          <w:trHeight w:val="704" w:hRule="exact"/>
        </w:trPr>
        <w:tc>
          <w:tcPr>
            <w:tcW w:w="333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02" w:lineRule="auto" w:before="51"/>
              <w:ind w:left="11" w:right="20"/>
              <w:jc w:val="left"/>
              <w:rPr>
                <w:rFonts w:ascii="宋体" w:hAnsi="宋体" w:cs="宋体" w:eastAsia="宋体" w:hint="default"/>
                <w:sz w:val="18"/>
                <w:szCs w:val="18"/>
              </w:rPr>
            </w:pPr>
            <w:r>
              <w:rPr>
                <w:rFonts w:ascii="宋体" w:hAnsi="宋体" w:cs="宋体" w:eastAsia="宋体" w:hint="default"/>
                <w:spacing w:val="-1"/>
                <w:sz w:val="18"/>
                <w:szCs w:val="18"/>
              </w:rPr>
              <w:t>三、本年增减变动金额（减少以“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列）</w:t>
            </w:r>
          </w:p>
        </w:tc>
        <w:tc>
          <w:tcPr>
            <w:tcW w:w="1182" w:type="dxa"/>
            <w:vMerge/>
            <w:tcBorders>
              <w:left w:val="single" w:sz="9" w:space="0" w:color="DCDCDC"/>
              <w:right w:val="single" w:sz="4" w:space="0" w:color="000000"/>
            </w:tcBorders>
          </w:tcPr>
          <w:p>
            <w:pPr/>
          </w:p>
        </w:tc>
        <w:tc>
          <w:tcPr>
            <w:tcW w:w="1241" w:type="dxa"/>
            <w:vMerge/>
            <w:tcBorders>
              <w:left w:val="single" w:sz="4" w:space="0" w:color="000000"/>
              <w:right w:val="single" w:sz="4" w:space="0" w:color="000000"/>
            </w:tcBorders>
          </w:tcPr>
          <w:p>
            <w:pPr/>
          </w:p>
        </w:tc>
        <w:tc>
          <w:tcPr>
            <w:tcW w:w="892" w:type="dxa"/>
            <w:vMerge/>
            <w:tcBorders>
              <w:left w:val="single" w:sz="4" w:space="0" w:color="000000"/>
              <w:right w:val="single" w:sz="4" w:space="0" w:color="000000"/>
            </w:tcBorders>
          </w:tcPr>
          <w:p>
            <w:pPr/>
          </w:p>
        </w:tc>
        <w:tc>
          <w:tcPr>
            <w:tcW w:w="712" w:type="dxa"/>
            <w:vMerge/>
            <w:tcBorders>
              <w:left w:val="single" w:sz="4" w:space="0" w:color="000000"/>
              <w:right w:val="single" w:sz="4" w:space="0" w:color="000000"/>
            </w:tcBorders>
          </w:tcPr>
          <w:p>
            <w:pPr/>
          </w:p>
        </w:tc>
        <w:tc>
          <w:tcPr>
            <w:tcW w:w="1092" w:type="dxa"/>
            <w:vMerge/>
            <w:tcBorders>
              <w:left w:val="single" w:sz="4" w:space="0" w:color="000000"/>
              <w:right w:val="single" w:sz="4" w:space="0" w:color="000000"/>
            </w:tcBorders>
          </w:tcPr>
          <w:p>
            <w:pPr/>
          </w:p>
        </w:tc>
        <w:tc>
          <w:tcPr>
            <w:tcW w:w="1028" w:type="dxa"/>
            <w:vMerge/>
            <w:tcBorders>
              <w:left w:val="single" w:sz="4" w:space="0" w:color="000000"/>
              <w:right w:val="single" w:sz="4" w:space="0" w:color="000000"/>
            </w:tcBorders>
          </w:tcPr>
          <w:p>
            <w:pPr/>
          </w:p>
        </w:tc>
        <w:tc>
          <w:tcPr>
            <w:tcW w:w="1175" w:type="dxa"/>
            <w:vMerge/>
            <w:tcBorders>
              <w:left w:val="single" w:sz="4" w:space="0" w:color="000000"/>
              <w:right w:val="single" w:sz="4" w:space="0" w:color="000000"/>
            </w:tcBorders>
          </w:tcPr>
          <w:p>
            <w:pPr/>
          </w:p>
        </w:tc>
        <w:tc>
          <w:tcPr>
            <w:tcW w:w="836" w:type="dxa"/>
            <w:vMerge/>
            <w:tcBorders>
              <w:left w:val="single" w:sz="4" w:space="0" w:color="000000"/>
              <w:right w:val="single" w:sz="4" w:space="0" w:color="000000"/>
            </w:tcBorders>
          </w:tcPr>
          <w:p>
            <w:pPr/>
          </w:p>
        </w:tc>
        <w:tc>
          <w:tcPr>
            <w:tcW w:w="1468" w:type="dxa"/>
            <w:vMerge/>
            <w:tcBorders>
              <w:left w:val="single" w:sz="4" w:space="0" w:color="000000"/>
              <w:right w:val="single" w:sz="4" w:space="0" w:color="000000"/>
            </w:tcBorders>
          </w:tcPr>
          <w:p>
            <w:pPr/>
          </w:p>
        </w:tc>
        <w:tc>
          <w:tcPr>
            <w:tcW w:w="1627" w:type="dxa"/>
            <w:vMerge/>
            <w:tcBorders>
              <w:left w:val="single" w:sz="4" w:space="0" w:color="000000"/>
              <w:right w:val="single" w:sz="4" w:space="0" w:color="000000"/>
            </w:tcBorders>
          </w:tcPr>
          <w:p>
            <w:pPr/>
          </w:p>
        </w:tc>
      </w:tr>
      <w:tr>
        <w:trPr>
          <w:trHeight w:val="181" w:hRule="exact"/>
        </w:trPr>
        <w:tc>
          <w:tcPr>
            <w:tcW w:w="3334" w:type="dxa"/>
            <w:tcBorders>
              <w:top w:val="nil" w:sz="6" w:space="0" w:color="auto"/>
              <w:left w:val="single" w:sz="4" w:space="0" w:color="000000"/>
              <w:bottom w:val="single" w:sz="4" w:space="0" w:color="000000"/>
              <w:right w:val="single" w:sz="4" w:space="0" w:color="000000"/>
            </w:tcBorders>
            <w:shd w:val="clear" w:color="auto" w:fill="DCDCDC"/>
          </w:tcPr>
          <w:p>
            <w:pPr/>
          </w:p>
        </w:tc>
        <w:tc>
          <w:tcPr>
            <w:tcW w:w="1182" w:type="dxa"/>
            <w:vMerge/>
            <w:tcBorders>
              <w:left w:val="single" w:sz="9" w:space="0" w:color="DCDCDC"/>
              <w:bottom w:val="single" w:sz="4" w:space="0" w:color="000000"/>
              <w:right w:val="single" w:sz="4" w:space="0" w:color="000000"/>
            </w:tcBorders>
          </w:tcPr>
          <w:p>
            <w:pPr/>
          </w:p>
        </w:tc>
        <w:tc>
          <w:tcPr>
            <w:tcW w:w="1241" w:type="dxa"/>
            <w:vMerge/>
            <w:tcBorders>
              <w:left w:val="single" w:sz="4" w:space="0" w:color="000000"/>
              <w:bottom w:val="single" w:sz="4" w:space="0" w:color="000000"/>
              <w:right w:val="single" w:sz="4" w:space="0" w:color="000000"/>
            </w:tcBorders>
          </w:tcPr>
          <w:p>
            <w:pPr/>
          </w:p>
        </w:tc>
        <w:tc>
          <w:tcPr>
            <w:tcW w:w="892" w:type="dxa"/>
            <w:vMerge/>
            <w:tcBorders>
              <w:left w:val="single" w:sz="4" w:space="0" w:color="000000"/>
              <w:bottom w:val="single" w:sz="4" w:space="0" w:color="000000"/>
              <w:right w:val="single" w:sz="4" w:space="0" w:color="000000"/>
            </w:tcBorders>
          </w:tcPr>
          <w:p>
            <w:pPr/>
          </w:p>
        </w:tc>
        <w:tc>
          <w:tcPr>
            <w:tcW w:w="712" w:type="dxa"/>
            <w:vMerge/>
            <w:tcBorders>
              <w:left w:val="single" w:sz="4" w:space="0" w:color="000000"/>
              <w:bottom w:val="single" w:sz="4" w:space="0" w:color="000000"/>
              <w:right w:val="single" w:sz="4" w:space="0" w:color="000000"/>
            </w:tcBorders>
          </w:tcPr>
          <w:p>
            <w:pPr/>
          </w:p>
        </w:tc>
        <w:tc>
          <w:tcPr>
            <w:tcW w:w="1092" w:type="dxa"/>
            <w:vMerge/>
            <w:tcBorders>
              <w:left w:val="single" w:sz="4" w:space="0" w:color="000000"/>
              <w:bottom w:val="single" w:sz="4" w:space="0" w:color="000000"/>
              <w:right w:val="single" w:sz="4" w:space="0" w:color="000000"/>
            </w:tcBorders>
          </w:tcPr>
          <w:p>
            <w:pPr/>
          </w:p>
        </w:tc>
        <w:tc>
          <w:tcPr>
            <w:tcW w:w="1028" w:type="dxa"/>
            <w:vMerge/>
            <w:tcBorders>
              <w:left w:val="single" w:sz="4" w:space="0" w:color="000000"/>
              <w:bottom w:val="single" w:sz="4" w:space="0" w:color="000000"/>
              <w:right w:val="single" w:sz="4" w:space="0" w:color="000000"/>
            </w:tcBorders>
          </w:tcPr>
          <w:p>
            <w:pPr/>
          </w:p>
        </w:tc>
        <w:tc>
          <w:tcPr>
            <w:tcW w:w="1175" w:type="dxa"/>
            <w:vMerge/>
            <w:tcBorders>
              <w:left w:val="single" w:sz="4" w:space="0" w:color="000000"/>
              <w:bottom w:val="single" w:sz="4" w:space="0" w:color="000000"/>
              <w:right w:val="single" w:sz="4" w:space="0" w:color="000000"/>
            </w:tcBorders>
          </w:tcPr>
          <w:p>
            <w:pPr/>
          </w:p>
        </w:tc>
        <w:tc>
          <w:tcPr>
            <w:tcW w:w="836" w:type="dxa"/>
            <w:vMerge/>
            <w:tcBorders>
              <w:left w:val="single" w:sz="4" w:space="0" w:color="000000"/>
              <w:bottom w:val="single" w:sz="4" w:space="0" w:color="000000"/>
              <w:right w:val="single" w:sz="4" w:space="0" w:color="000000"/>
            </w:tcBorders>
          </w:tcPr>
          <w:p>
            <w:pPr/>
          </w:p>
        </w:tc>
        <w:tc>
          <w:tcPr>
            <w:tcW w:w="1468" w:type="dxa"/>
            <w:vMerge/>
            <w:tcBorders>
              <w:left w:val="single" w:sz="4" w:space="0" w:color="000000"/>
              <w:bottom w:val="single" w:sz="4" w:space="0" w:color="000000"/>
              <w:right w:val="single" w:sz="4" w:space="0" w:color="000000"/>
            </w:tcBorders>
          </w:tcPr>
          <w:p>
            <w:pPr/>
          </w:p>
        </w:tc>
        <w:tc>
          <w:tcPr>
            <w:tcW w:w="1627" w:type="dxa"/>
            <w:vMerge/>
            <w:tcBorders>
              <w:left w:val="single" w:sz="4" w:space="0" w:color="000000"/>
              <w:bottom w:val="single" w:sz="4" w:space="0" w:color="000000"/>
              <w:right w:val="single" w:sz="4" w:space="0" w:color="000000"/>
            </w:tcBorders>
          </w:tcPr>
          <w:p>
            <w:pPr/>
          </w:p>
        </w:tc>
      </w:tr>
      <w:tr>
        <w:trPr>
          <w:trHeight w:val="402" w:hRule="exact"/>
        </w:trPr>
        <w:tc>
          <w:tcPr>
            <w:tcW w:w="33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182" w:type="dxa"/>
            <w:tcBorders>
              <w:top w:val="single" w:sz="4" w:space="0" w:color="000000"/>
              <w:left w:val="single" w:sz="9"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70,590,817.47</w:t>
            </w: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-671,601.51</w:t>
            </w:r>
            <w:r>
              <w:rPr>
                <w:rFonts w:ascii="Times New Roman"/>
                <w:sz w:val="18"/>
              </w:rPr>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69,919,215.96</w:t>
            </w:r>
          </w:p>
        </w:tc>
      </w:tr>
      <w:tr>
        <w:trPr>
          <w:trHeight w:val="402" w:hRule="exact"/>
        </w:trPr>
        <w:tc>
          <w:tcPr>
            <w:tcW w:w="33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182" w:type="dxa"/>
            <w:tcBorders>
              <w:top w:val="single" w:sz="4" w:space="0" w:color="000000"/>
              <w:left w:val="single" w:sz="13"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-22,757.86</w:t>
            </w: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-22,757.86</w:t>
            </w:r>
            <w:r>
              <w:rPr>
                <w:rFonts w:ascii="Times New Roman"/>
                <w:sz w:val="18"/>
              </w:rPr>
            </w:r>
          </w:p>
        </w:tc>
      </w:tr>
      <w:tr>
        <w:trPr>
          <w:trHeight w:val="402" w:hRule="exact"/>
        </w:trPr>
        <w:tc>
          <w:tcPr>
            <w:tcW w:w="33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182" w:type="dxa"/>
            <w:tcBorders>
              <w:top w:val="single" w:sz="4" w:space="0" w:color="000000"/>
              <w:left w:val="single" w:sz="13"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70,590,817.47</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-22,757.86</w:t>
            </w:r>
          </w:p>
        </w:tc>
        <w:tc>
          <w:tcPr>
            <w:tcW w:w="1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-671,601.51</w:t>
            </w:r>
            <w:r>
              <w:rPr>
                <w:rFonts w:ascii="Times New Roman"/>
                <w:sz w:val="18"/>
              </w:rPr>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69,896,458.10</w:t>
            </w:r>
          </w:p>
        </w:tc>
      </w:tr>
      <w:tr>
        <w:trPr>
          <w:trHeight w:val="337" w:hRule="exact"/>
        </w:trPr>
        <w:tc>
          <w:tcPr>
            <w:tcW w:w="3334" w:type="dxa"/>
            <w:tcBorders>
              <w:top w:val="single" w:sz="4" w:space="0" w:color="000000"/>
              <w:left w:val="single" w:sz="4" w:space="0" w:color="000000"/>
              <w:bottom w:val="nil" w:sz="6" w:space="0" w:color="auto"/>
              <w:right w:val="single" w:sz="4" w:space="0" w:color="000000"/>
            </w:tcBorders>
            <w:shd w:val="clear" w:color="auto" w:fill="DCDCDC"/>
          </w:tcPr>
          <w:p>
            <w:pPr/>
          </w:p>
        </w:tc>
        <w:tc>
          <w:tcPr>
            <w:tcW w:w="1182" w:type="dxa"/>
            <w:vMerge w:val="restart"/>
            <w:tcBorders>
              <w:top w:val="single" w:sz="4" w:space="0" w:color="000000"/>
              <w:left w:val="single" w:sz="9" w:space="0" w:color="DCDCDC"/>
              <w:right w:val="single" w:sz="4" w:space="0" w:color="000000"/>
            </w:tcBorders>
          </w:tcPr>
          <w:p>
            <w:pPr/>
          </w:p>
        </w:tc>
        <w:tc>
          <w:tcPr>
            <w:tcW w:w="124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03" w:right="0"/>
              <w:jc w:val="left"/>
              <w:rPr>
                <w:rFonts w:ascii="Times New Roman" w:hAnsi="Times New Roman" w:cs="Times New Roman" w:eastAsia="Times New Roman" w:hint="default"/>
                <w:sz w:val="18"/>
                <w:szCs w:val="18"/>
              </w:rPr>
            </w:pPr>
            <w:r>
              <w:rPr>
                <w:rFonts w:ascii="Times New Roman"/>
                <w:sz w:val="18"/>
              </w:rPr>
              <w:t>-6,768,575.23</w:t>
            </w:r>
          </w:p>
        </w:tc>
        <w:tc>
          <w:tcPr>
            <w:tcW w:w="892" w:type="dxa"/>
            <w:vMerge w:val="restart"/>
            <w:tcBorders>
              <w:top w:val="single" w:sz="4" w:space="0" w:color="000000"/>
              <w:left w:val="single" w:sz="4" w:space="0" w:color="000000"/>
              <w:right w:val="single" w:sz="4" w:space="0" w:color="000000"/>
            </w:tcBorders>
          </w:tcPr>
          <w:p>
            <w:pPr/>
          </w:p>
        </w:tc>
        <w:tc>
          <w:tcPr>
            <w:tcW w:w="712" w:type="dxa"/>
            <w:vMerge w:val="restart"/>
            <w:tcBorders>
              <w:top w:val="single" w:sz="4" w:space="0" w:color="000000"/>
              <w:left w:val="single" w:sz="4" w:space="0" w:color="000000"/>
              <w:right w:val="single" w:sz="4" w:space="0" w:color="000000"/>
            </w:tcBorders>
          </w:tcPr>
          <w:p>
            <w:pPr/>
          </w:p>
        </w:tc>
        <w:tc>
          <w:tcPr>
            <w:tcW w:w="1092" w:type="dxa"/>
            <w:vMerge w:val="restart"/>
            <w:tcBorders>
              <w:top w:val="single" w:sz="4" w:space="0" w:color="000000"/>
              <w:left w:val="single" w:sz="4" w:space="0" w:color="000000"/>
              <w:right w:val="single" w:sz="4" w:space="0" w:color="000000"/>
            </w:tcBorders>
          </w:tcPr>
          <w:p>
            <w:pPr/>
          </w:p>
        </w:tc>
        <w:tc>
          <w:tcPr>
            <w:tcW w:w="1028" w:type="dxa"/>
            <w:vMerge w:val="restart"/>
            <w:tcBorders>
              <w:top w:val="single" w:sz="4" w:space="0" w:color="000000"/>
              <w:left w:val="single" w:sz="4" w:space="0" w:color="000000"/>
              <w:right w:val="single" w:sz="4" w:space="0" w:color="000000"/>
            </w:tcBorders>
          </w:tcPr>
          <w:p>
            <w:pPr/>
          </w:p>
        </w:tc>
        <w:tc>
          <w:tcPr>
            <w:tcW w:w="1175" w:type="dxa"/>
            <w:vMerge w:val="restart"/>
            <w:tcBorders>
              <w:top w:val="single" w:sz="4" w:space="0" w:color="000000"/>
              <w:left w:val="single" w:sz="4" w:space="0" w:color="000000"/>
              <w:right w:val="single" w:sz="4" w:space="0" w:color="000000"/>
            </w:tcBorders>
          </w:tcPr>
          <w:p>
            <w:pPr/>
          </w:p>
        </w:tc>
        <w:tc>
          <w:tcPr>
            <w:tcW w:w="836" w:type="dxa"/>
            <w:vMerge w:val="restart"/>
            <w:tcBorders>
              <w:top w:val="single" w:sz="4" w:space="0" w:color="000000"/>
              <w:left w:val="single" w:sz="4" w:space="0" w:color="000000"/>
              <w:right w:val="single" w:sz="4" w:space="0" w:color="000000"/>
            </w:tcBorders>
          </w:tcPr>
          <w:p>
            <w:pPr/>
          </w:p>
        </w:tc>
        <w:tc>
          <w:tcPr>
            <w:tcW w:w="14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71" w:right="0"/>
              <w:jc w:val="left"/>
              <w:rPr>
                <w:rFonts w:ascii="Times New Roman" w:hAnsi="Times New Roman" w:cs="Times New Roman" w:eastAsia="Times New Roman" w:hint="default"/>
                <w:sz w:val="15"/>
                <w:szCs w:val="15"/>
              </w:rPr>
            </w:pPr>
            <w:r>
              <w:rPr>
                <w:rFonts w:ascii="Times New Roman"/>
                <w:sz w:val="15"/>
              </w:rPr>
              <w:t>50,812,716.84</w:t>
            </w:r>
          </w:p>
        </w:tc>
        <w:tc>
          <w:tcPr>
            <w:tcW w:w="162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729" w:right="0"/>
              <w:jc w:val="left"/>
              <w:rPr>
                <w:rFonts w:ascii="Times New Roman" w:hAnsi="Times New Roman" w:cs="Times New Roman" w:eastAsia="Times New Roman" w:hint="default"/>
                <w:sz w:val="15"/>
                <w:szCs w:val="15"/>
              </w:rPr>
            </w:pPr>
            <w:r>
              <w:rPr>
                <w:rFonts w:ascii="Times New Roman"/>
                <w:sz w:val="15"/>
              </w:rPr>
              <w:t>44,195,000.00</w:t>
            </w:r>
          </w:p>
        </w:tc>
      </w:tr>
      <w:tr>
        <w:trPr>
          <w:trHeight w:val="391" w:hRule="exact"/>
        </w:trPr>
        <w:tc>
          <w:tcPr>
            <w:tcW w:w="333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182" w:type="dxa"/>
            <w:vMerge/>
            <w:tcBorders>
              <w:left w:val="single" w:sz="9" w:space="0" w:color="DCDCDC"/>
              <w:right w:val="single" w:sz="4" w:space="0" w:color="000000"/>
            </w:tcBorders>
          </w:tcPr>
          <w:p>
            <w:pPr/>
          </w:p>
        </w:tc>
        <w:tc>
          <w:tcPr>
            <w:tcW w:w="1241" w:type="dxa"/>
            <w:vMerge/>
            <w:tcBorders>
              <w:left w:val="single" w:sz="4" w:space="0" w:color="000000"/>
              <w:right w:val="single" w:sz="4" w:space="0" w:color="000000"/>
            </w:tcBorders>
          </w:tcPr>
          <w:p>
            <w:pPr/>
          </w:p>
        </w:tc>
        <w:tc>
          <w:tcPr>
            <w:tcW w:w="892" w:type="dxa"/>
            <w:vMerge/>
            <w:tcBorders>
              <w:left w:val="single" w:sz="4" w:space="0" w:color="000000"/>
              <w:right w:val="single" w:sz="4" w:space="0" w:color="000000"/>
            </w:tcBorders>
          </w:tcPr>
          <w:p>
            <w:pPr/>
          </w:p>
        </w:tc>
        <w:tc>
          <w:tcPr>
            <w:tcW w:w="712" w:type="dxa"/>
            <w:vMerge/>
            <w:tcBorders>
              <w:left w:val="single" w:sz="4" w:space="0" w:color="000000"/>
              <w:right w:val="single" w:sz="4" w:space="0" w:color="000000"/>
            </w:tcBorders>
          </w:tcPr>
          <w:p>
            <w:pPr/>
          </w:p>
        </w:tc>
        <w:tc>
          <w:tcPr>
            <w:tcW w:w="1092" w:type="dxa"/>
            <w:vMerge/>
            <w:tcBorders>
              <w:left w:val="single" w:sz="4" w:space="0" w:color="000000"/>
              <w:right w:val="single" w:sz="4" w:space="0" w:color="000000"/>
            </w:tcBorders>
          </w:tcPr>
          <w:p>
            <w:pPr/>
          </w:p>
        </w:tc>
        <w:tc>
          <w:tcPr>
            <w:tcW w:w="1028" w:type="dxa"/>
            <w:vMerge/>
            <w:tcBorders>
              <w:left w:val="single" w:sz="4" w:space="0" w:color="000000"/>
              <w:right w:val="single" w:sz="4" w:space="0" w:color="000000"/>
            </w:tcBorders>
          </w:tcPr>
          <w:p>
            <w:pPr/>
          </w:p>
        </w:tc>
        <w:tc>
          <w:tcPr>
            <w:tcW w:w="1175" w:type="dxa"/>
            <w:vMerge/>
            <w:tcBorders>
              <w:left w:val="single" w:sz="4" w:space="0" w:color="000000"/>
              <w:right w:val="single" w:sz="4" w:space="0" w:color="000000"/>
            </w:tcBorders>
          </w:tcPr>
          <w:p>
            <w:pPr/>
          </w:p>
        </w:tc>
        <w:tc>
          <w:tcPr>
            <w:tcW w:w="836" w:type="dxa"/>
            <w:vMerge/>
            <w:tcBorders>
              <w:left w:val="single" w:sz="4" w:space="0" w:color="000000"/>
              <w:right w:val="single" w:sz="4" w:space="0" w:color="000000"/>
            </w:tcBorders>
          </w:tcPr>
          <w:p>
            <w:pPr/>
          </w:p>
        </w:tc>
        <w:tc>
          <w:tcPr>
            <w:tcW w:w="1468" w:type="dxa"/>
            <w:vMerge/>
            <w:tcBorders>
              <w:left w:val="single" w:sz="4" w:space="0" w:color="000000"/>
              <w:right w:val="single" w:sz="4" w:space="0" w:color="000000"/>
            </w:tcBorders>
          </w:tcPr>
          <w:p>
            <w:pPr/>
          </w:p>
        </w:tc>
        <w:tc>
          <w:tcPr>
            <w:tcW w:w="1627" w:type="dxa"/>
            <w:vMerge/>
            <w:tcBorders>
              <w:left w:val="single" w:sz="4" w:space="0" w:color="000000"/>
              <w:right w:val="single" w:sz="4" w:space="0" w:color="000000"/>
            </w:tcBorders>
          </w:tcPr>
          <w:p>
            <w:pPr/>
          </w:p>
        </w:tc>
      </w:tr>
      <w:tr>
        <w:trPr>
          <w:trHeight w:val="337" w:hRule="exact"/>
        </w:trPr>
        <w:tc>
          <w:tcPr>
            <w:tcW w:w="3334" w:type="dxa"/>
            <w:tcBorders>
              <w:top w:val="nil" w:sz="6" w:space="0" w:color="auto"/>
              <w:left w:val="single" w:sz="4" w:space="0" w:color="000000"/>
              <w:bottom w:val="single" w:sz="4" w:space="0" w:color="000000"/>
              <w:right w:val="single" w:sz="4" w:space="0" w:color="000000"/>
            </w:tcBorders>
            <w:shd w:val="clear" w:color="auto" w:fill="DCDCDC"/>
          </w:tcPr>
          <w:p>
            <w:pPr/>
          </w:p>
        </w:tc>
        <w:tc>
          <w:tcPr>
            <w:tcW w:w="1182" w:type="dxa"/>
            <w:vMerge/>
            <w:tcBorders>
              <w:left w:val="single" w:sz="9" w:space="0" w:color="DCDCDC"/>
              <w:bottom w:val="single" w:sz="4" w:space="0" w:color="000000"/>
              <w:right w:val="single" w:sz="4" w:space="0" w:color="000000"/>
            </w:tcBorders>
          </w:tcPr>
          <w:p>
            <w:pPr/>
          </w:p>
        </w:tc>
        <w:tc>
          <w:tcPr>
            <w:tcW w:w="1241" w:type="dxa"/>
            <w:vMerge/>
            <w:tcBorders>
              <w:left w:val="single" w:sz="4" w:space="0" w:color="000000"/>
              <w:bottom w:val="single" w:sz="4" w:space="0" w:color="000000"/>
              <w:right w:val="single" w:sz="4" w:space="0" w:color="000000"/>
            </w:tcBorders>
          </w:tcPr>
          <w:p>
            <w:pPr/>
          </w:p>
        </w:tc>
        <w:tc>
          <w:tcPr>
            <w:tcW w:w="892" w:type="dxa"/>
            <w:vMerge/>
            <w:tcBorders>
              <w:left w:val="single" w:sz="4" w:space="0" w:color="000000"/>
              <w:bottom w:val="single" w:sz="4" w:space="0" w:color="000000"/>
              <w:right w:val="single" w:sz="4" w:space="0" w:color="000000"/>
            </w:tcBorders>
          </w:tcPr>
          <w:p>
            <w:pPr/>
          </w:p>
        </w:tc>
        <w:tc>
          <w:tcPr>
            <w:tcW w:w="712" w:type="dxa"/>
            <w:vMerge/>
            <w:tcBorders>
              <w:left w:val="single" w:sz="4" w:space="0" w:color="000000"/>
              <w:bottom w:val="single" w:sz="4" w:space="0" w:color="000000"/>
              <w:right w:val="single" w:sz="4" w:space="0" w:color="000000"/>
            </w:tcBorders>
          </w:tcPr>
          <w:p>
            <w:pPr/>
          </w:p>
        </w:tc>
        <w:tc>
          <w:tcPr>
            <w:tcW w:w="1092" w:type="dxa"/>
            <w:vMerge/>
            <w:tcBorders>
              <w:left w:val="single" w:sz="4" w:space="0" w:color="000000"/>
              <w:bottom w:val="single" w:sz="4" w:space="0" w:color="000000"/>
              <w:right w:val="single" w:sz="4" w:space="0" w:color="000000"/>
            </w:tcBorders>
          </w:tcPr>
          <w:p>
            <w:pPr/>
          </w:p>
        </w:tc>
        <w:tc>
          <w:tcPr>
            <w:tcW w:w="1028" w:type="dxa"/>
            <w:vMerge/>
            <w:tcBorders>
              <w:left w:val="single" w:sz="4" w:space="0" w:color="000000"/>
              <w:bottom w:val="single" w:sz="4" w:space="0" w:color="000000"/>
              <w:right w:val="single" w:sz="4" w:space="0" w:color="000000"/>
            </w:tcBorders>
          </w:tcPr>
          <w:p>
            <w:pPr/>
          </w:p>
        </w:tc>
        <w:tc>
          <w:tcPr>
            <w:tcW w:w="1175" w:type="dxa"/>
            <w:vMerge/>
            <w:tcBorders>
              <w:left w:val="single" w:sz="4" w:space="0" w:color="000000"/>
              <w:bottom w:val="single" w:sz="4" w:space="0" w:color="000000"/>
              <w:right w:val="single" w:sz="4" w:space="0" w:color="000000"/>
            </w:tcBorders>
          </w:tcPr>
          <w:p>
            <w:pPr/>
          </w:p>
        </w:tc>
        <w:tc>
          <w:tcPr>
            <w:tcW w:w="836" w:type="dxa"/>
            <w:vMerge/>
            <w:tcBorders>
              <w:left w:val="single" w:sz="4" w:space="0" w:color="000000"/>
              <w:bottom w:val="single" w:sz="4" w:space="0" w:color="000000"/>
              <w:right w:val="single" w:sz="4" w:space="0" w:color="000000"/>
            </w:tcBorders>
          </w:tcPr>
          <w:p>
            <w:pPr/>
          </w:p>
        </w:tc>
        <w:tc>
          <w:tcPr>
            <w:tcW w:w="1468" w:type="dxa"/>
            <w:vMerge/>
            <w:tcBorders>
              <w:left w:val="single" w:sz="4" w:space="0" w:color="000000"/>
              <w:bottom w:val="single" w:sz="4" w:space="0" w:color="000000"/>
              <w:right w:val="single" w:sz="4" w:space="0" w:color="000000"/>
            </w:tcBorders>
          </w:tcPr>
          <w:p>
            <w:pPr/>
          </w:p>
        </w:tc>
        <w:tc>
          <w:tcPr>
            <w:tcW w:w="1627" w:type="dxa"/>
            <w:vMerge/>
            <w:tcBorders>
              <w:left w:val="single" w:sz="4" w:space="0" w:color="000000"/>
              <w:bottom w:val="single" w:sz="4" w:space="0" w:color="000000"/>
              <w:right w:val="single" w:sz="4" w:space="0" w:color="000000"/>
            </w:tcBorders>
          </w:tcPr>
          <w:p>
            <w:pPr/>
          </w:p>
        </w:tc>
      </w:tr>
      <w:tr>
        <w:trPr>
          <w:trHeight w:val="402" w:hRule="exact"/>
        </w:trPr>
        <w:tc>
          <w:tcPr>
            <w:tcW w:w="33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1182" w:type="dxa"/>
            <w:tcBorders>
              <w:top w:val="single" w:sz="4" w:space="0" w:color="000000"/>
              <w:left w:val="single" w:sz="13"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51,865,000.00</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51,865,000.00</w:t>
            </w:r>
          </w:p>
        </w:tc>
      </w:tr>
      <w:tr>
        <w:trPr>
          <w:trHeight w:val="402" w:hRule="exact"/>
        </w:trPr>
        <w:tc>
          <w:tcPr>
            <w:tcW w:w="33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182" w:type="dxa"/>
            <w:tcBorders>
              <w:top w:val="single" w:sz="4" w:space="0" w:color="000000"/>
              <w:left w:val="single" w:sz="13"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bl>
    <w:p>
      <w:pPr>
        <w:spacing w:after="0"/>
        <w:sectPr>
          <w:headerReference w:type="default" r:id="rId46"/>
          <w:footerReference w:type="default" r:id="rId47"/>
          <w:pgSz w:w="16840" w:h="11910" w:orient="landscape"/>
          <w:pgMar w:header="755" w:footer="978" w:top="1180" w:bottom="1160" w:left="880" w:right="980"/>
          <w:pgNumType w:start="92"/>
        </w:sectPr>
      </w:pPr>
    </w:p>
    <w:tbl>
      <w:tblPr>
        <w:tblW w:w="0" w:type="auto"/>
        <w:jc w:val="left"/>
        <w:tblInd w:w="249" w:type="dxa"/>
        <w:tblLayout w:type="fixed"/>
        <w:tblCellMar>
          <w:top w:w="0" w:type="dxa"/>
          <w:left w:w="0" w:type="dxa"/>
          <w:bottom w:w="0" w:type="dxa"/>
          <w:right w:w="0" w:type="dxa"/>
        </w:tblCellMar>
        <w:tblLook w:val="01E0"/>
      </w:tblPr>
      <w:tblGrid>
        <w:gridCol w:w="3346"/>
        <w:gridCol w:w="1182"/>
        <w:gridCol w:w="1241"/>
        <w:gridCol w:w="892"/>
        <w:gridCol w:w="712"/>
        <w:gridCol w:w="1092"/>
        <w:gridCol w:w="1028"/>
        <w:gridCol w:w="1175"/>
        <w:gridCol w:w="836"/>
        <w:gridCol w:w="1468"/>
        <w:gridCol w:w="1627"/>
      </w:tblGrid>
      <w:tr>
        <w:trPr>
          <w:trHeight w:val="1067" w:hRule="exact"/>
        </w:trPr>
        <w:tc>
          <w:tcPr>
            <w:tcW w:w="3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182"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-6,768,575.23</w:t>
            </w: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spacing w:val="-1"/>
                <w:sz w:val="15"/>
              </w:rPr>
              <w:t>-1,052,283.16</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-7,670,000.00</w:t>
            </w:r>
          </w:p>
        </w:tc>
      </w:tr>
      <w:tr>
        <w:trPr>
          <w:trHeight w:val="402" w:hRule="exact"/>
        </w:trPr>
        <w:tc>
          <w:tcPr>
            <w:tcW w:w="3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182"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7,453,856.26</w:t>
            </w: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-7,453,856.26</w:t>
            </w: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182"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7,453,856.26</w:t>
            </w: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-7,453,856.26</w:t>
            </w: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182"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．对所有者（或股东）的分配</w:t>
            </w:r>
          </w:p>
        </w:tc>
        <w:tc>
          <w:tcPr>
            <w:tcW w:w="1182"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82"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left"/>
              <w:rPr>
                <w:rFonts w:ascii="Times New Roman" w:hAnsi="Times New Roman" w:cs="Times New Roman" w:eastAsia="Times New Roman" w:hint="default"/>
                <w:sz w:val="18"/>
                <w:szCs w:val="18"/>
              </w:rPr>
            </w:pPr>
            <w:r>
              <w:rPr>
                <w:rFonts w:ascii="Times New Roman"/>
                <w:sz w:val="18"/>
              </w:rPr>
              <w:t>315,460,320.00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-315,460,320.00</w:t>
            </w: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341"/>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left"/>
              <w:rPr>
                <w:rFonts w:ascii="Times New Roman" w:hAnsi="Times New Roman" w:cs="Times New Roman" w:eastAsia="Times New Roman" w:hint="default"/>
                <w:sz w:val="18"/>
                <w:szCs w:val="18"/>
              </w:rPr>
            </w:pPr>
            <w:r>
              <w:rPr>
                <w:rFonts w:ascii="Times New Roman"/>
                <w:sz w:val="18"/>
              </w:rPr>
              <w:t>315,460,320.00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-315,460,320.00</w:t>
            </w: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341"/>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1182"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182"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82"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182"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182"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182"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182"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r>
      <w:tr>
        <w:trPr>
          <w:trHeight w:val="1066" w:hRule="exact"/>
        </w:trPr>
        <w:tc>
          <w:tcPr>
            <w:tcW w:w="3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5" w:right="0"/>
              <w:jc w:val="left"/>
              <w:rPr>
                <w:rFonts w:ascii="Times New Roman" w:hAnsi="Times New Roman" w:cs="Times New Roman" w:eastAsia="Times New Roman" w:hint="default"/>
                <w:sz w:val="18"/>
                <w:szCs w:val="18"/>
              </w:rPr>
            </w:pPr>
            <w:r>
              <w:rPr>
                <w:rFonts w:ascii="Times New Roman"/>
                <w:sz w:val="18"/>
              </w:rPr>
              <w:t>630,920,640.00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109,142,580.56</w:t>
            </w:r>
          </w:p>
        </w:tc>
        <w:tc>
          <w:tcPr>
            <w:tcW w:w="892" w:type="dxa"/>
            <w:tcBorders>
              <w:top w:val="single" w:sz="4" w:space="0" w:color="000000"/>
              <w:left w:val="single" w:sz="4" w:space="0" w:color="000000"/>
              <w:bottom w:val="single" w:sz="4" w:space="0" w:color="000000"/>
              <w:right w:val="single" w:sz="4" w:space="0" w:color="000000"/>
            </w:tcBorders>
          </w:tcPr>
          <w:p>
            <w:pPr/>
          </w:p>
        </w:tc>
        <w:tc>
          <w:tcPr>
            <w:tcW w:w="712"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59,448,618.58</w:t>
            </w:r>
          </w:p>
        </w:tc>
        <w:tc>
          <w:tcPr>
            <w:tcW w:w="1028"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268,119,341.32</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-45,827.53</w:t>
            </w:r>
          </w:p>
        </w:tc>
        <w:tc>
          <w:tcPr>
            <w:tcW w:w="1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101,670,736.14</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spacing w:val="-1"/>
                <w:sz w:val="15"/>
              </w:rPr>
              <w:t>1,169,406,947.46</w:t>
            </w:r>
          </w:p>
        </w:tc>
      </w:tr>
    </w:tbl>
    <w:p>
      <w:pPr>
        <w:spacing w:before="1"/>
        <w:ind w:left="5832" w:right="5734" w:firstLine="0"/>
        <w:jc w:val="center"/>
        <w:rPr>
          <w:rFonts w:ascii="Times New Roman" w:hAnsi="Times New Roman" w:cs="Times New Roman" w:eastAsia="Times New Roman" w:hint="default"/>
          <w:sz w:val="24"/>
          <w:szCs w:val="24"/>
        </w:rPr>
      </w:pPr>
      <w:r>
        <w:rPr>
          <w:rFonts w:ascii="宋体" w:hAnsi="宋体" w:cs="宋体" w:eastAsia="宋体" w:hint="default"/>
          <w:b/>
          <w:bCs/>
          <w:sz w:val="24"/>
          <w:szCs w:val="24"/>
        </w:rPr>
        <w:t>合并所有者权益变动表</w:t>
      </w: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续</w:t>
      </w:r>
      <w:r>
        <w:rPr>
          <w:rFonts w:ascii="Times New Roman" w:hAnsi="Times New Roman" w:cs="Times New Roman" w:eastAsia="Times New Roman" w:hint="default"/>
          <w:b/>
          <w:bCs/>
          <w:sz w:val="24"/>
          <w:szCs w:val="24"/>
        </w:rPr>
        <w:t>)</w:t>
      </w:r>
      <w:r>
        <w:rPr>
          <w:rFonts w:ascii="Times New Roman" w:hAnsi="Times New Roman" w:cs="Times New Roman" w:eastAsia="Times New Roman" w:hint="default"/>
          <w:sz w:val="24"/>
          <w:szCs w:val="24"/>
        </w:rPr>
      </w:r>
    </w:p>
    <w:p>
      <w:pPr>
        <w:tabs>
          <w:tab w:pos="7903" w:val="left" w:leader="none"/>
          <w:tab w:pos="13072" w:val="left" w:leader="none"/>
        </w:tabs>
        <w:spacing w:before="70"/>
        <w:ind w:left="253" w:right="0" w:firstLine="0"/>
        <w:jc w:val="left"/>
        <w:rPr>
          <w:rFonts w:ascii="宋体" w:hAnsi="宋体" w:cs="宋体" w:eastAsia="宋体" w:hint="default"/>
          <w:sz w:val="18"/>
          <w:szCs w:val="18"/>
        </w:rPr>
      </w:pPr>
      <w:r>
        <w:rPr>
          <w:rFonts w:ascii="宋体" w:hAnsi="宋体" w:cs="宋体" w:eastAsia="宋体" w:hint="default"/>
          <w:sz w:val="18"/>
          <w:szCs w:val="18"/>
        </w:rPr>
        <w:t>编制单位：深圳市惠程电气股份有限公司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w:t>
        <w:tab/>
        <w:t>单位：元</w:t>
      </w:r>
    </w:p>
    <w:p>
      <w:pPr>
        <w:spacing w:line="240" w:lineRule="auto" w:before="13"/>
        <w:rPr>
          <w:rFonts w:ascii="宋体" w:hAnsi="宋体" w:cs="宋体" w:eastAsia="宋体" w:hint="default"/>
          <w:sz w:val="6"/>
          <w:szCs w:val="6"/>
        </w:rPr>
      </w:pPr>
    </w:p>
    <w:tbl>
      <w:tblPr>
        <w:tblW w:w="0" w:type="auto"/>
        <w:jc w:val="left"/>
        <w:tblInd w:w="249" w:type="dxa"/>
        <w:tblLayout w:type="fixed"/>
        <w:tblCellMar>
          <w:top w:w="0" w:type="dxa"/>
          <w:left w:w="0" w:type="dxa"/>
          <w:bottom w:w="0" w:type="dxa"/>
          <w:right w:w="0" w:type="dxa"/>
        </w:tblCellMar>
        <w:tblLook w:val="01E0"/>
      </w:tblPr>
      <w:tblGrid>
        <w:gridCol w:w="3716"/>
        <w:gridCol w:w="8338"/>
        <w:gridCol w:w="1136"/>
        <w:gridCol w:w="1315"/>
      </w:tblGrid>
      <w:tr>
        <w:trPr>
          <w:trHeight w:val="402" w:hRule="exact"/>
        </w:trPr>
        <w:tc>
          <w:tcPr>
            <w:tcW w:w="371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078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402" w:hRule="exact"/>
        </w:trPr>
        <w:tc>
          <w:tcPr>
            <w:tcW w:w="3716" w:type="dxa"/>
            <w:vMerge/>
            <w:tcBorders>
              <w:left w:val="single" w:sz="4" w:space="0" w:color="000000"/>
              <w:bottom w:val="single" w:sz="4" w:space="0" w:color="000000"/>
              <w:right w:val="single" w:sz="4" w:space="0" w:color="000000"/>
            </w:tcBorders>
            <w:shd w:val="clear" w:color="auto" w:fill="DCDCDC"/>
          </w:tcPr>
          <w:p>
            <w:pPr/>
          </w:p>
        </w:tc>
        <w:tc>
          <w:tcPr>
            <w:tcW w:w="83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1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3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bl>
    <w:p>
      <w:pPr>
        <w:spacing w:after="0" w:line="240" w:lineRule="auto"/>
        <w:jc w:val="left"/>
        <w:rPr>
          <w:rFonts w:ascii="宋体" w:hAnsi="宋体" w:cs="宋体" w:eastAsia="宋体" w:hint="default"/>
          <w:sz w:val="18"/>
          <w:szCs w:val="18"/>
        </w:rPr>
        <w:sectPr>
          <w:pgSz w:w="16840" w:h="11910" w:orient="landscape"/>
          <w:pgMar w:header="755" w:footer="978" w:top="1260" w:bottom="1160" w:left="880" w:right="980"/>
        </w:sectPr>
      </w:pPr>
    </w:p>
    <w:tbl>
      <w:tblPr>
        <w:tblW w:w="0" w:type="auto"/>
        <w:jc w:val="left"/>
        <w:tblInd w:w="260" w:type="dxa"/>
        <w:tblLayout w:type="fixed"/>
        <w:tblCellMar>
          <w:top w:w="0" w:type="dxa"/>
          <w:left w:w="0" w:type="dxa"/>
          <w:bottom w:w="0" w:type="dxa"/>
          <w:right w:w="0" w:type="dxa"/>
        </w:tblCellMar>
        <w:tblLook w:val="01E0"/>
      </w:tblPr>
      <w:tblGrid>
        <w:gridCol w:w="3693"/>
        <w:gridCol w:w="1193"/>
        <w:gridCol w:w="1181"/>
        <w:gridCol w:w="956"/>
        <w:gridCol w:w="775"/>
        <w:gridCol w:w="1092"/>
        <w:gridCol w:w="1135"/>
        <w:gridCol w:w="1181"/>
        <w:gridCol w:w="836"/>
        <w:gridCol w:w="1136"/>
        <w:gridCol w:w="1315"/>
      </w:tblGrid>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1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1"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1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22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5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2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7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2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0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8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13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2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1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3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23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3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315"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1"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193"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200,292,480.00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0"/>
              <w:jc w:val="right"/>
              <w:rPr>
                <w:rFonts w:ascii="Times New Roman" w:hAnsi="Times New Roman" w:cs="Times New Roman" w:eastAsia="Times New Roman" w:hint="default"/>
                <w:sz w:val="18"/>
                <w:szCs w:val="18"/>
              </w:rPr>
            </w:pPr>
            <w:r>
              <w:rPr>
                <w:rFonts w:ascii="Times New Roman"/>
                <w:spacing w:val="-1"/>
                <w:sz w:val="18"/>
              </w:rPr>
              <w:t>69,520,689.05</w:t>
            </w: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0"/>
              <w:jc w:val="right"/>
              <w:rPr>
                <w:rFonts w:ascii="Times New Roman" w:hAnsi="Times New Roman" w:cs="Times New Roman" w:eastAsia="Times New Roman" w:hint="default"/>
                <w:sz w:val="18"/>
                <w:szCs w:val="18"/>
              </w:rPr>
            </w:pPr>
            <w:r>
              <w:rPr>
                <w:rFonts w:ascii="Times New Roman"/>
                <w:spacing w:val="-1"/>
                <w:sz w:val="18"/>
              </w:rPr>
              <w:t>44,471,216.42</w:t>
            </w: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221,872,116.83</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z w:val="18"/>
              </w:rPr>
              <w:t>7,641.99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1"/>
              <w:jc w:val="right"/>
              <w:rPr>
                <w:rFonts w:ascii="Times New Roman" w:hAnsi="Times New Roman" w:cs="Times New Roman" w:eastAsia="Times New Roman" w:hint="default"/>
                <w:sz w:val="18"/>
                <w:szCs w:val="18"/>
              </w:rPr>
            </w:pPr>
            <w:r>
              <w:rPr>
                <w:rFonts w:ascii="Times New Roman"/>
                <w:spacing w:val="-1"/>
                <w:sz w:val="18"/>
              </w:rPr>
              <w:t>52,766,198.33</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588,930,342.62</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91"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193" w:type="dxa"/>
            <w:tcBorders>
              <w:top w:val="single" w:sz="4" w:space="0" w:color="000000"/>
              <w:left w:val="single" w:sz="10"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z w:val="18"/>
              </w:rPr>
              <w:t>49,287.55</w:t>
            </w: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z w:val="18"/>
              </w:rPr>
              <w:t>443,587.94</w:t>
            </w: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z w:val="18"/>
              </w:rPr>
              <w:t>492,875.49</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91"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193" w:type="dxa"/>
            <w:tcBorders>
              <w:top w:val="single" w:sz="4" w:space="0" w:color="000000"/>
              <w:left w:val="single" w:sz="10"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9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93" w:type="dxa"/>
            <w:tcBorders>
              <w:top w:val="single" w:sz="4" w:space="0" w:color="000000"/>
              <w:left w:val="single" w:sz="10"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1"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193"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200,292,480.00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0"/>
              <w:jc w:val="right"/>
              <w:rPr>
                <w:rFonts w:ascii="Times New Roman" w:hAnsi="Times New Roman" w:cs="Times New Roman" w:eastAsia="Times New Roman" w:hint="default"/>
                <w:sz w:val="18"/>
                <w:szCs w:val="18"/>
              </w:rPr>
            </w:pPr>
            <w:r>
              <w:rPr>
                <w:rFonts w:ascii="Times New Roman"/>
                <w:spacing w:val="-1"/>
                <w:sz w:val="18"/>
              </w:rPr>
              <w:t>69,520,689.05</w:t>
            </w: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0"/>
              <w:jc w:val="right"/>
              <w:rPr>
                <w:rFonts w:ascii="Times New Roman" w:hAnsi="Times New Roman" w:cs="Times New Roman" w:eastAsia="Times New Roman" w:hint="default"/>
                <w:sz w:val="18"/>
                <w:szCs w:val="18"/>
              </w:rPr>
            </w:pPr>
            <w:r>
              <w:rPr>
                <w:rFonts w:ascii="Times New Roman"/>
                <w:spacing w:val="-1"/>
                <w:sz w:val="18"/>
              </w:rPr>
              <w:t>44,520,503.97</w:t>
            </w: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222,315,704.77</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z w:val="18"/>
              </w:rPr>
              <w:t>7,641.99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1"/>
              <w:jc w:val="right"/>
              <w:rPr>
                <w:rFonts w:ascii="Times New Roman" w:hAnsi="Times New Roman" w:cs="Times New Roman" w:eastAsia="Times New Roman" w:hint="default"/>
                <w:sz w:val="18"/>
                <w:szCs w:val="18"/>
              </w:rPr>
            </w:pPr>
            <w:r>
              <w:rPr>
                <w:rFonts w:ascii="Times New Roman"/>
                <w:spacing w:val="-1"/>
                <w:sz w:val="18"/>
              </w:rPr>
              <w:t>52,766,198.33</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1"/>
              <w:jc w:val="right"/>
              <w:rPr>
                <w:rFonts w:ascii="Times New Roman" w:hAnsi="Times New Roman" w:cs="Times New Roman" w:eastAsia="Times New Roman" w:hint="default"/>
                <w:sz w:val="18"/>
                <w:szCs w:val="18"/>
              </w:rPr>
            </w:pPr>
            <w:r>
              <w:rPr>
                <w:rFonts w:ascii="Times New Roman"/>
                <w:spacing w:val="-1"/>
                <w:sz w:val="18"/>
              </w:rPr>
              <w:t>589,423,218.11</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1" w:right="0"/>
              <w:jc w:val="left"/>
              <w:rPr>
                <w:rFonts w:ascii="宋体" w:hAnsi="宋体" w:cs="宋体" w:eastAsia="宋体" w:hint="default"/>
                <w:sz w:val="18"/>
                <w:szCs w:val="18"/>
              </w:rPr>
            </w:pPr>
            <w:r>
              <w:rPr>
                <w:rFonts w:ascii="宋体" w:hAnsi="宋体" w:cs="宋体" w:eastAsia="宋体" w:hint="default"/>
                <w:sz w:val="18"/>
                <w:szCs w:val="18"/>
              </w:rPr>
              <w:t>三、本年增减变动金额（减少以“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193"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115,167,840.00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0"/>
              <w:jc w:val="right"/>
              <w:rPr>
                <w:rFonts w:ascii="Times New Roman" w:hAnsi="Times New Roman" w:cs="Times New Roman" w:eastAsia="Times New Roman" w:hint="default"/>
                <w:sz w:val="18"/>
                <w:szCs w:val="18"/>
              </w:rPr>
            </w:pPr>
            <w:r>
              <w:rPr>
                <w:rFonts w:ascii="Times New Roman"/>
                <w:spacing w:val="-1"/>
                <w:sz w:val="18"/>
              </w:rPr>
              <w:t>361,850,786.74</w:t>
            </w: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7,474,258.35</w:t>
            </w: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-17,333,324.66</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-30,711.66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1"/>
              <w:jc w:val="right"/>
              <w:rPr>
                <w:rFonts w:ascii="Times New Roman" w:hAnsi="Times New Roman" w:cs="Times New Roman" w:eastAsia="Times New Roman" w:hint="default"/>
                <w:sz w:val="18"/>
                <w:szCs w:val="18"/>
              </w:rPr>
            </w:pPr>
            <w:r>
              <w:rPr>
                <w:rFonts w:ascii="Times New Roman"/>
                <w:spacing w:val="-1"/>
                <w:sz w:val="18"/>
              </w:rPr>
              <w:t>-1,236,577.52</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0"/>
              <w:jc w:val="right"/>
              <w:rPr>
                <w:rFonts w:ascii="Times New Roman" w:hAnsi="Times New Roman" w:cs="Times New Roman" w:eastAsia="Times New Roman" w:hint="default"/>
                <w:sz w:val="18"/>
                <w:szCs w:val="18"/>
              </w:rPr>
            </w:pPr>
            <w:r>
              <w:rPr>
                <w:rFonts w:ascii="Times New Roman"/>
                <w:spacing w:val="-1"/>
                <w:sz w:val="18"/>
              </w:rPr>
              <w:t>465,892,271.25</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91"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193" w:type="dxa"/>
            <w:tcBorders>
              <w:top w:val="single" w:sz="4" w:space="0" w:color="000000"/>
              <w:left w:val="single" w:sz="10"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70,257,925.69</w:t>
            </w: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1"/>
              <w:jc w:val="right"/>
              <w:rPr>
                <w:rFonts w:ascii="Times New Roman" w:hAnsi="Times New Roman" w:cs="Times New Roman" w:eastAsia="Times New Roman" w:hint="default"/>
                <w:sz w:val="18"/>
                <w:szCs w:val="18"/>
              </w:rPr>
            </w:pPr>
            <w:r>
              <w:rPr>
                <w:rFonts w:ascii="Times New Roman"/>
                <w:spacing w:val="-1"/>
                <w:sz w:val="18"/>
              </w:rPr>
              <w:t>-1,886,822.78</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0"/>
              <w:jc w:val="right"/>
              <w:rPr>
                <w:rFonts w:ascii="Times New Roman" w:hAnsi="Times New Roman" w:cs="Times New Roman" w:eastAsia="Times New Roman" w:hint="default"/>
                <w:sz w:val="18"/>
                <w:szCs w:val="18"/>
              </w:rPr>
            </w:pPr>
            <w:r>
              <w:rPr>
                <w:rFonts w:ascii="Times New Roman"/>
                <w:spacing w:val="-1"/>
                <w:sz w:val="18"/>
              </w:rPr>
              <w:t>68,371,102.91</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91"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193" w:type="dxa"/>
            <w:tcBorders>
              <w:top w:val="single" w:sz="4" w:space="0" w:color="000000"/>
              <w:left w:val="single" w:sz="10"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-30,711.66</w:t>
            </w: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-30,711.66</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91"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193" w:type="dxa"/>
            <w:tcBorders>
              <w:top w:val="single" w:sz="4" w:space="0" w:color="000000"/>
              <w:left w:val="single" w:sz="10"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70,257,925.69</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-30,711.66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1"/>
              <w:jc w:val="right"/>
              <w:rPr>
                <w:rFonts w:ascii="Times New Roman" w:hAnsi="Times New Roman" w:cs="Times New Roman" w:eastAsia="Times New Roman" w:hint="default"/>
                <w:sz w:val="18"/>
                <w:szCs w:val="18"/>
              </w:rPr>
            </w:pPr>
            <w:r>
              <w:rPr>
                <w:rFonts w:ascii="Times New Roman"/>
                <w:spacing w:val="-1"/>
                <w:sz w:val="18"/>
              </w:rPr>
              <w:t>-1,886,822.78</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0"/>
              <w:jc w:val="right"/>
              <w:rPr>
                <w:rFonts w:ascii="Times New Roman" w:hAnsi="Times New Roman" w:cs="Times New Roman" w:eastAsia="Times New Roman" w:hint="default"/>
                <w:sz w:val="18"/>
                <w:szCs w:val="18"/>
              </w:rPr>
            </w:pPr>
            <w:r>
              <w:rPr>
                <w:rFonts w:ascii="Times New Roman"/>
                <w:spacing w:val="-1"/>
                <w:sz w:val="18"/>
              </w:rPr>
              <w:t>68,340,391.25</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91"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193"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15,021,600.00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421,938,530.74</w:t>
            </w: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0"/>
              <w:jc w:val="right"/>
              <w:rPr>
                <w:rFonts w:ascii="Times New Roman" w:hAnsi="Times New Roman" w:cs="Times New Roman" w:eastAsia="Times New Roman" w:hint="default"/>
                <w:sz w:val="18"/>
                <w:szCs w:val="18"/>
              </w:rPr>
            </w:pPr>
            <w:r>
              <w:rPr>
                <w:rFonts w:ascii="Times New Roman"/>
                <w:sz w:val="18"/>
              </w:rPr>
              <w:t>650,245.26</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437,610,376.00</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1193"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15,021,600.00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421,963,776.00</w:t>
            </w: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1"/>
              <w:jc w:val="right"/>
              <w:rPr>
                <w:rFonts w:ascii="Times New Roman" w:hAnsi="Times New Roman" w:cs="Times New Roman" w:eastAsia="Times New Roman" w:hint="default"/>
                <w:sz w:val="18"/>
                <w:szCs w:val="18"/>
              </w:rPr>
            </w:pPr>
            <w:r>
              <w:rPr>
                <w:rFonts w:ascii="Times New Roman"/>
                <w:spacing w:val="-1"/>
                <w:sz w:val="18"/>
              </w:rPr>
              <w:t>2,425,000.00</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439,410,376.00</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193" w:type="dxa"/>
            <w:tcBorders>
              <w:top w:val="single" w:sz="4" w:space="0" w:color="000000"/>
              <w:left w:val="single" w:sz="10"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193" w:type="dxa"/>
            <w:tcBorders>
              <w:top w:val="single" w:sz="4" w:space="0" w:color="000000"/>
              <w:left w:val="single" w:sz="10"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w w:val="95"/>
                <w:sz w:val="18"/>
              </w:rPr>
              <w:t>-25,245.26</w:t>
            </w:r>
            <w:r>
              <w:rPr>
                <w:rFonts w:ascii="Times New Roman"/>
                <w:sz w:val="18"/>
              </w:rPr>
            </w: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0"/>
              <w:jc w:val="right"/>
              <w:rPr>
                <w:rFonts w:ascii="Times New Roman" w:hAnsi="Times New Roman" w:cs="Times New Roman" w:eastAsia="Times New Roman" w:hint="default"/>
                <w:sz w:val="18"/>
                <w:szCs w:val="18"/>
              </w:rPr>
            </w:pPr>
            <w:r>
              <w:rPr>
                <w:rFonts w:ascii="Times New Roman"/>
                <w:spacing w:val="-1"/>
                <w:sz w:val="18"/>
              </w:rPr>
              <w:t>-1,774,754.74</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-1,800,000.00</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91"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193"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40,058,496.00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7,474,258.35</w:t>
            </w: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-87,591,250.35</w:t>
            </w: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-40,058,496.00</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193" w:type="dxa"/>
            <w:tcBorders>
              <w:top w:val="single" w:sz="4" w:space="0" w:color="000000"/>
              <w:left w:val="single" w:sz="13"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7,474,258.35</w:t>
            </w: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-7,474,258.35</w:t>
            </w: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193" w:type="dxa"/>
            <w:tcBorders>
              <w:top w:val="single" w:sz="4" w:space="0" w:color="000000"/>
              <w:left w:val="single" w:sz="13"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．对所有者（或股东）的分配</w:t>
            </w:r>
          </w:p>
        </w:tc>
        <w:tc>
          <w:tcPr>
            <w:tcW w:w="1193" w:type="dxa"/>
            <w:tcBorders>
              <w:top w:val="single" w:sz="4" w:space="0" w:color="000000"/>
              <w:left w:val="single" w:sz="13"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-40,058,496.00</w:t>
            </w: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-40,058,496.00</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9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40,058,496.00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-40,058,496.00</w:t>
            </w: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91"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19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60,087,744.00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-60,087,744.00</w:t>
            </w: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119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60,087,744.00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-60,087,744.00</w:t>
            </w: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1193" w:type="dxa"/>
            <w:tcBorders>
              <w:top w:val="single" w:sz="4" w:space="0" w:color="000000"/>
              <w:left w:val="single" w:sz="13"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193" w:type="dxa"/>
            <w:tcBorders>
              <w:top w:val="single" w:sz="4" w:space="0" w:color="000000"/>
              <w:left w:val="single" w:sz="13"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755" w:footer="978" w:top="1280" w:bottom="1160" w:left="880" w:right="980"/>
        </w:sectPr>
      </w:pPr>
    </w:p>
    <w:p>
      <w:pPr>
        <w:spacing w:line="240" w:lineRule="auto" w:before="6"/>
        <w:rPr>
          <w:rFonts w:ascii="Times New Roman" w:hAnsi="Times New Roman" w:cs="Times New Roman" w:eastAsia="Times New Roman" w:hint="default"/>
          <w:sz w:val="7"/>
          <w:szCs w:val="7"/>
        </w:rPr>
      </w:pPr>
    </w:p>
    <w:tbl>
      <w:tblPr>
        <w:tblW w:w="0" w:type="auto"/>
        <w:jc w:val="left"/>
        <w:tblInd w:w="249" w:type="dxa"/>
        <w:tblLayout w:type="fixed"/>
        <w:tblCellMar>
          <w:top w:w="0" w:type="dxa"/>
          <w:left w:w="0" w:type="dxa"/>
          <w:bottom w:w="0" w:type="dxa"/>
          <w:right w:w="0" w:type="dxa"/>
        </w:tblCellMar>
        <w:tblLook w:val="01E0"/>
      </w:tblPr>
      <w:tblGrid>
        <w:gridCol w:w="3716"/>
        <w:gridCol w:w="1181"/>
        <w:gridCol w:w="1181"/>
        <w:gridCol w:w="956"/>
        <w:gridCol w:w="775"/>
        <w:gridCol w:w="1092"/>
        <w:gridCol w:w="1135"/>
        <w:gridCol w:w="1181"/>
        <w:gridCol w:w="836"/>
        <w:gridCol w:w="1136"/>
        <w:gridCol w:w="1315"/>
      </w:tblGrid>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8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right="2242"/>
              <w:jc w:val="right"/>
              <w:rPr>
                <w:rFonts w:ascii="宋体" w:hAnsi="宋体" w:cs="宋体" w:eastAsia="宋体" w:hint="default"/>
                <w:sz w:val="18"/>
                <w:szCs w:val="18"/>
              </w:rPr>
            </w:pPr>
            <w:r>
              <w:rPr>
                <w:rFonts w:ascii="宋体" w:hAnsi="宋体" w:cs="宋体" w:eastAsia="宋体" w:hint="default"/>
                <w:sz w:val="18"/>
                <w:szCs w:val="18"/>
              </w:rPr>
              <w:t>（六）专项储备</w:t>
            </w:r>
          </w:p>
        </w:tc>
        <w:tc>
          <w:tcPr>
            <w:tcW w:w="118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18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18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202"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18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83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right="2242"/>
              <w:jc w:val="right"/>
              <w:rPr>
                <w:rFonts w:ascii="宋体" w:hAnsi="宋体" w:cs="宋体" w:eastAsia="宋体" w:hint="default"/>
                <w:sz w:val="18"/>
                <w:szCs w:val="18"/>
              </w:rPr>
            </w:pPr>
            <w:r>
              <w:rPr>
                <w:rFonts w:ascii="宋体" w:hAnsi="宋体" w:cs="宋体" w:eastAsia="宋体" w:hint="default"/>
                <w:sz w:val="18"/>
                <w:szCs w:val="18"/>
              </w:rPr>
              <w:t>四、本期期末余额</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r>
              <w:rPr>
                <w:rFonts w:ascii="Times New Roman"/>
                <w:sz w:val="18"/>
              </w:rPr>
              <w:t>315,460,320.00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r>
              <w:rPr>
                <w:rFonts w:ascii="Times New Roman"/>
                <w:sz w:val="18"/>
              </w:rPr>
              <w:t>431,371,475.79</w:t>
            </w:r>
          </w:p>
        </w:tc>
        <w:tc>
          <w:tcPr>
            <w:tcW w:w="956"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left"/>
              <w:rPr>
                <w:rFonts w:ascii="Times New Roman" w:hAnsi="Times New Roman" w:cs="Times New Roman" w:eastAsia="Times New Roman" w:hint="default"/>
                <w:sz w:val="18"/>
                <w:szCs w:val="18"/>
              </w:rPr>
            </w:pPr>
            <w:r>
              <w:rPr>
                <w:rFonts w:ascii="Times New Roman"/>
                <w:sz w:val="18"/>
              </w:rPr>
              <w:t>51,994,762.32</w:t>
            </w:r>
          </w:p>
        </w:tc>
        <w:tc>
          <w:tcPr>
            <w:tcW w:w="113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9" w:right="0"/>
              <w:jc w:val="left"/>
              <w:rPr>
                <w:rFonts w:ascii="Times New Roman" w:hAnsi="Times New Roman" w:cs="Times New Roman" w:eastAsia="Times New Roman" w:hint="default"/>
                <w:sz w:val="18"/>
                <w:szCs w:val="18"/>
              </w:rPr>
            </w:pPr>
            <w:r>
              <w:rPr>
                <w:rFonts w:ascii="Times New Roman"/>
                <w:sz w:val="18"/>
              </w:rPr>
              <w:t>204,982,380.11</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r>
              <w:rPr>
                <w:rFonts w:ascii="Times New Roman"/>
                <w:sz w:val="18"/>
              </w:rPr>
              <w:t>-23,069.67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8" w:right="0"/>
              <w:jc w:val="left"/>
              <w:rPr>
                <w:rFonts w:ascii="Times New Roman" w:hAnsi="Times New Roman" w:cs="Times New Roman" w:eastAsia="Times New Roman" w:hint="default"/>
                <w:sz w:val="18"/>
                <w:szCs w:val="18"/>
              </w:rPr>
            </w:pPr>
            <w:r>
              <w:rPr>
                <w:rFonts w:ascii="Times New Roman"/>
                <w:sz w:val="18"/>
              </w:rPr>
              <w:t>51,529,620.81</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1,055,315,489.36</w:t>
            </w:r>
          </w:p>
        </w:tc>
      </w:tr>
    </w:tbl>
    <w:p>
      <w:pPr>
        <w:spacing w:after="0" w:line="240" w:lineRule="auto"/>
        <w:jc w:val="left"/>
        <w:rPr>
          <w:rFonts w:ascii="Times New Roman" w:hAnsi="Times New Roman" w:cs="Times New Roman" w:eastAsia="Times New Roman" w:hint="default"/>
          <w:sz w:val="18"/>
          <w:szCs w:val="18"/>
        </w:rPr>
        <w:sectPr>
          <w:pgSz w:w="16840" w:h="11910" w:orient="landscape"/>
          <w:pgMar w:header="755" w:footer="978" w:top="1180" w:bottom="1160" w:left="880" w:right="980"/>
        </w:sectPr>
      </w:pPr>
    </w:p>
    <w:p>
      <w:pPr>
        <w:spacing w:before="88"/>
        <w:ind w:left="5830" w:right="5734" w:firstLine="0"/>
        <w:jc w:val="center"/>
        <w:rPr>
          <w:rFonts w:ascii="宋体" w:hAnsi="宋体" w:cs="宋体" w:eastAsia="宋体" w:hint="default"/>
          <w:sz w:val="24"/>
          <w:szCs w:val="24"/>
        </w:rPr>
      </w:pPr>
      <w:r>
        <w:rPr>
          <w:rFonts w:ascii="宋体" w:hAnsi="宋体" w:cs="宋体" w:eastAsia="宋体" w:hint="default"/>
          <w:b/>
          <w:bCs/>
          <w:sz w:val="24"/>
          <w:szCs w:val="24"/>
        </w:rPr>
        <w:t>母公司所有者权益变动表</w:t>
      </w:r>
      <w:r>
        <w:rPr>
          <w:rFonts w:ascii="宋体" w:hAnsi="宋体" w:cs="宋体" w:eastAsia="宋体" w:hint="default"/>
          <w:sz w:val="24"/>
          <w:szCs w:val="24"/>
        </w:rPr>
      </w:r>
    </w:p>
    <w:p>
      <w:pPr>
        <w:tabs>
          <w:tab w:pos="7903" w:val="left" w:leader="none"/>
          <w:tab w:pos="13072" w:val="left" w:leader="none"/>
        </w:tabs>
        <w:spacing w:before="88"/>
        <w:ind w:left="253" w:right="0" w:firstLine="0"/>
        <w:jc w:val="left"/>
        <w:rPr>
          <w:rFonts w:ascii="宋体" w:hAnsi="宋体" w:cs="宋体" w:eastAsia="宋体" w:hint="default"/>
          <w:sz w:val="18"/>
          <w:szCs w:val="18"/>
        </w:rPr>
      </w:pPr>
      <w:r>
        <w:rPr>
          <w:rFonts w:ascii="宋体" w:hAnsi="宋体" w:cs="宋体" w:eastAsia="宋体" w:hint="default"/>
          <w:sz w:val="18"/>
          <w:szCs w:val="18"/>
        </w:rPr>
        <w:t>编制单位：深圳市惠程电气股份有限公司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w:t>
        <w:tab/>
        <w:t>单位：元</w:t>
      </w:r>
    </w:p>
    <w:p>
      <w:pPr>
        <w:spacing w:line="240" w:lineRule="auto" w:before="13"/>
        <w:rPr>
          <w:rFonts w:ascii="宋体" w:hAnsi="宋体" w:cs="宋体" w:eastAsia="宋体" w:hint="default"/>
          <w:sz w:val="6"/>
          <w:szCs w:val="6"/>
        </w:rPr>
      </w:pPr>
    </w:p>
    <w:tbl>
      <w:tblPr>
        <w:tblW w:w="0" w:type="auto"/>
        <w:jc w:val="left"/>
        <w:tblInd w:w="232" w:type="dxa"/>
        <w:tblLayout w:type="fixed"/>
        <w:tblCellMar>
          <w:top w:w="0" w:type="dxa"/>
          <w:left w:w="0" w:type="dxa"/>
          <w:bottom w:w="0" w:type="dxa"/>
          <w:right w:w="0" w:type="dxa"/>
        </w:tblCellMar>
        <w:tblLook w:val="01E0"/>
      </w:tblPr>
      <w:tblGrid>
        <w:gridCol w:w="3692"/>
        <w:gridCol w:w="1688"/>
        <w:gridCol w:w="1241"/>
        <w:gridCol w:w="956"/>
        <w:gridCol w:w="776"/>
        <w:gridCol w:w="1091"/>
        <w:gridCol w:w="1135"/>
        <w:gridCol w:w="1176"/>
        <w:gridCol w:w="1315"/>
      </w:tblGrid>
      <w:tr>
        <w:trPr>
          <w:trHeight w:val="206" w:hRule="exact"/>
        </w:trPr>
        <w:tc>
          <w:tcPr>
            <w:tcW w:w="3692" w:type="dxa"/>
            <w:tcBorders>
              <w:top w:val="single" w:sz="4" w:space="0" w:color="000000"/>
              <w:left w:val="single" w:sz="4" w:space="0" w:color="000000"/>
              <w:bottom w:val="nil" w:sz="6" w:space="0" w:color="auto"/>
              <w:right w:val="single" w:sz="4" w:space="0" w:color="000000"/>
            </w:tcBorders>
            <w:shd w:val="clear" w:color="auto" w:fill="DCDCDC"/>
          </w:tcPr>
          <w:p>
            <w:pPr/>
          </w:p>
        </w:tc>
        <w:tc>
          <w:tcPr>
            <w:tcW w:w="9379" w:type="dxa"/>
            <w:gridSpan w:val="8"/>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本期金额</w:t>
            </w:r>
          </w:p>
        </w:tc>
      </w:tr>
      <w:tr>
        <w:trPr>
          <w:trHeight w:val="191" w:hRule="exact"/>
        </w:trPr>
        <w:tc>
          <w:tcPr>
            <w:tcW w:w="369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9379" w:type="dxa"/>
            <w:gridSpan w:val="8"/>
            <w:vMerge/>
            <w:tcBorders>
              <w:left w:val="single" w:sz="4" w:space="0" w:color="000000"/>
              <w:bottom w:val="single" w:sz="4" w:space="0" w:color="000000"/>
              <w:right w:val="single" w:sz="4" w:space="0" w:color="000000"/>
            </w:tcBorders>
            <w:shd w:val="clear" w:color="auto" w:fill="DCDCDC"/>
          </w:tcPr>
          <w:p>
            <w:pPr/>
          </w:p>
        </w:tc>
      </w:tr>
      <w:tr>
        <w:trPr>
          <w:trHeight w:val="202" w:hRule="exact"/>
        </w:trPr>
        <w:tc>
          <w:tcPr>
            <w:tcW w:w="3692" w:type="dxa"/>
            <w:vMerge/>
            <w:tcBorders>
              <w:left w:val="single" w:sz="4" w:space="0" w:color="000000"/>
              <w:bottom w:val="nil" w:sz="6" w:space="0" w:color="auto"/>
              <w:right w:val="single" w:sz="4" w:space="0" w:color="000000"/>
            </w:tcBorders>
            <w:shd w:val="clear" w:color="auto" w:fill="DCDCDC"/>
          </w:tcPr>
          <w:p>
            <w:pPr/>
          </w:p>
        </w:tc>
        <w:tc>
          <w:tcPr>
            <w:tcW w:w="168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7"/>
              <w:ind w:left="35"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24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7"/>
              <w:ind w:left="25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5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77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09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7"/>
              <w:ind w:left="179"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135"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17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7"/>
              <w:ind w:left="13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315"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205" w:hRule="exact"/>
        </w:trPr>
        <w:tc>
          <w:tcPr>
            <w:tcW w:w="3692" w:type="dxa"/>
            <w:tcBorders>
              <w:top w:val="nil" w:sz="6" w:space="0" w:color="auto"/>
              <w:left w:val="single" w:sz="4" w:space="0" w:color="000000"/>
              <w:bottom w:val="single" w:sz="4" w:space="0" w:color="000000"/>
              <w:right w:val="single" w:sz="4" w:space="0" w:color="000000"/>
            </w:tcBorders>
            <w:shd w:val="clear" w:color="auto" w:fill="DCDCDC"/>
          </w:tcPr>
          <w:p>
            <w:pPr/>
          </w:p>
        </w:tc>
        <w:tc>
          <w:tcPr>
            <w:tcW w:w="1688" w:type="dxa"/>
            <w:vMerge/>
            <w:tcBorders>
              <w:left w:val="single" w:sz="4" w:space="0" w:color="000000"/>
              <w:bottom w:val="single" w:sz="4" w:space="0" w:color="000000"/>
              <w:right w:val="single" w:sz="4" w:space="0" w:color="000000"/>
            </w:tcBorders>
            <w:shd w:val="clear" w:color="auto" w:fill="DCDCDC"/>
          </w:tcPr>
          <w:p>
            <w:pPr/>
          </w:p>
        </w:tc>
        <w:tc>
          <w:tcPr>
            <w:tcW w:w="1241" w:type="dxa"/>
            <w:vMerge/>
            <w:tcBorders>
              <w:left w:val="single" w:sz="4" w:space="0" w:color="000000"/>
              <w:bottom w:val="single" w:sz="4" w:space="0" w:color="000000"/>
              <w:right w:val="single" w:sz="4" w:space="0" w:color="000000"/>
            </w:tcBorders>
            <w:shd w:val="clear" w:color="auto" w:fill="DCDCDC"/>
          </w:tcPr>
          <w:p>
            <w:pPr/>
          </w:p>
        </w:tc>
        <w:tc>
          <w:tcPr>
            <w:tcW w:w="956" w:type="dxa"/>
            <w:vMerge/>
            <w:tcBorders>
              <w:left w:val="single" w:sz="4" w:space="0" w:color="000000"/>
              <w:bottom w:val="single" w:sz="4" w:space="0" w:color="000000"/>
              <w:right w:val="single" w:sz="4" w:space="0" w:color="000000"/>
            </w:tcBorders>
            <w:shd w:val="clear" w:color="auto" w:fill="DCDCDC"/>
          </w:tcPr>
          <w:p>
            <w:pPr/>
          </w:p>
        </w:tc>
        <w:tc>
          <w:tcPr>
            <w:tcW w:w="776" w:type="dxa"/>
            <w:vMerge/>
            <w:tcBorders>
              <w:left w:val="single" w:sz="4" w:space="0" w:color="000000"/>
              <w:bottom w:val="single" w:sz="4" w:space="0" w:color="000000"/>
              <w:right w:val="single" w:sz="4" w:space="0" w:color="000000"/>
            </w:tcBorders>
            <w:shd w:val="clear" w:color="auto" w:fill="DCDCDC"/>
          </w:tcPr>
          <w:p>
            <w:pPr/>
          </w:p>
        </w:tc>
        <w:tc>
          <w:tcPr>
            <w:tcW w:w="1091" w:type="dxa"/>
            <w:vMerge/>
            <w:tcBorders>
              <w:left w:val="single" w:sz="4" w:space="0" w:color="000000"/>
              <w:bottom w:val="single" w:sz="4" w:space="0" w:color="000000"/>
              <w:right w:val="single" w:sz="4" w:space="0" w:color="000000"/>
            </w:tcBorders>
            <w:shd w:val="clear" w:color="auto" w:fill="DCDCDC"/>
          </w:tcPr>
          <w:p>
            <w:pPr/>
          </w:p>
        </w:tc>
        <w:tc>
          <w:tcPr>
            <w:tcW w:w="1135" w:type="dxa"/>
            <w:vMerge/>
            <w:tcBorders>
              <w:left w:val="single" w:sz="4" w:space="0" w:color="000000"/>
              <w:bottom w:val="single" w:sz="4" w:space="0" w:color="000000"/>
              <w:right w:val="single" w:sz="4" w:space="0" w:color="000000"/>
            </w:tcBorders>
            <w:shd w:val="clear" w:color="auto" w:fill="DCDCDC"/>
          </w:tcPr>
          <w:p>
            <w:pPr/>
          </w:p>
        </w:tc>
        <w:tc>
          <w:tcPr>
            <w:tcW w:w="1176" w:type="dxa"/>
            <w:vMerge/>
            <w:tcBorders>
              <w:left w:val="single" w:sz="4" w:space="0" w:color="000000"/>
              <w:bottom w:val="single" w:sz="4" w:space="0" w:color="000000"/>
              <w:right w:val="single" w:sz="4" w:space="0" w:color="000000"/>
            </w:tcBorders>
            <w:shd w:val="clear" w:color="auto" w:fill="DCDCDC"/>
          </w:tcPr>
          <w:p>
            <w:pPr/>
          </w:p>
        </w:tc>
        <w:tc>
          <w:tcPr>
            <w:tcW w:w="1315" w:type="dxa"/>
            <w:vMerge/>
            <w:tcBorders>
              <w:left w:val="single" w:sz="4" w:space="0" w:color="000000"/>
              <w:bottom w:val="single" w:sz="4" w:space="0" w:color="000000"/>
              <w:right w:val="single" w:sz="4" w:space="0" w:color="000000"/>
            </w:tcBorders>
            <w:shd w:val="clear" w:color="auto" w:fill="DCDCDC"/>
          </w:tcPr>
          <w:p>
            <w:pP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688"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315,460,320.00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1" w:right="0"/>
              <w:jc w:val="center"/>
              <w:rPr>
                <w:rFonts w:ascii="Times New Roman" w:hAnsi="Times New Roman" w:cs="Times New Roman" w:eastAsia="Times New Roman" w:hint="default"/>
                <w:sz w:val="18"/>
                <w:szCs w:val="18"/>
              </w:rPr>
            </w:pPr>
            <w:r>
              <w:rPr>
                <w:rFonts w:ascii="Times New Roman"/>
                <w:sz w:val="18"/>
              </w:rPr>
              <w:t>431,590,899.39</w:t>
            </w: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51,994,762.32</w:t>
            </w: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211,207,679.78</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1,010,253,661.49</w:t>
            </w: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688" w:type="dxa"/>
            <w:tcBorders>
              <w:top w:val="single" w:sz="4" w:space="0" w:color="000000"/>
              <w:left w:val="single" w:sz="9"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688" w:type="dxa"/>
            <w:tcBorders>
              <w:top w:val="single" w:sz="4" w:space="0" w:color="000000"/>
              <w:left w:val="single" w:sz="9"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88" w:type="dxa"/>
            <w:tcBorders>
              <w:top w:val="single" w:sz="4" w:space="0" w:color="000000"/>
              <w:left w:val="single" w:sz="9"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688"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315,460,320.00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1" w:right="0"/>
              <w:jc w:val="center"/>
              <w:rPr>
                <w:rFonts w:ascii="Times New Roman" w:hAnsi="Times New Roman" w:cs="Times New Roman" w:eastAsia="Times New Roman" w:hint="default"/>
                <w:sz w:val="18"/>
                <w:szCs w:val="18"/>
              </w:rPr>
            </w:pPr>
            <w:r>
              <w:rPr>
                <w:rFonts w:ascii="Times New Roman"/>
                <w:sz w:val="18"/>
              </w:rPr>
              <w:t>431,590,899.39</w:t>
            </w: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51,994,762.32</w:t>
            </w: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211,207,679.78</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1,010,253,661.49</w:t>
            </w: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三、本年增减变动金额（减少以“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88"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315,460,320.00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sz w:val="18"/>
              </w:rPr>
              <w:t>-315,460,320.00</w:t>
            </w: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7,453,856.26</w:t>
            </w: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67,084,706.33</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74,538,562.59</w:t>
            </w: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688" w:type="dxa"/>
            <w:tcBorders>
              <w:top w:val="single" w:sz="4" w:space="0" w:color="000000"/>
              <w:left w:val="single" w:sz="9"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74,538,562.59</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74,538,562.59</w:t>
            </w: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688" w:type="dxa"/>
            <w:tcBorders>
              <w:top w:val="single" w:sz="4" w:space="0" w:color="000000"/>
              <w:left w:val="single" w:sz="9"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688" w:type="dxa"/>
            <w:tcBorders>
              <w:top w:val="single" w:sz="4" w:space="0" w:color="000000"/>
              <w:left w:val="single" w:sz="9"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74,538,562.59</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74,538,562.59</w:t>
            </w: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688" w:type="dxa"/>
            <w:tcBorders>
              <w:top w:val="single" w:sz="4" w:space="0" w:color="000000"/>
              <w:left w:val="single" w:sz="9"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1688" w:type="dxa"/>
            <w:tcBorders>
              <w:top w:val="single" w:sz="4" w:space="0" w:color="000000"/>
              <w:left w:val="single" w:sz="9"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688" w:type="dxa"/>
            <w:tcBorders>
              <w:top w:val="single" w:sz="4" w:space="0" w:color="000000"/>
              <w:left w:val="single" w:sz="13"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688" w:type="dxa"/>
            <w:tcBorders>
              <w:top w:val="single" w:sz="4" w:space="0" w:color="000000"/>
              <w:left w:val="single" w:sz="13"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688" w:type="dxa"/>
            <w:tcBorders>
              <w:top w:val="single" w:sz="4" w:space="0" w:color="000000"/>
              <w:left w:val="single" w:sz="13"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7,453,856.26</w:t>
            </w: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-7,453,856.26</w:t>
            </w: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688" w:type="dxa"/>
            <w:tcBorders>
              <w:top w:val="single" w:sz="4" w:space="0" w:color="000000"/>
              <w:left w:val="single" w:sz="13"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7,453,856.26</w:t>
            </w: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-7,453,856.26</w:t>
            </w: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688" w:type="dxa"/>
            <w:tcBorders>
              <w:top w:val="single" w:sz="4" w:space="0" w:color="000000"/>
              <w:left w:val="single" w:sz="13"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．对所有者（或股东）的分配</w:t>
            </w:r>
          </w:p>
        </w:tc>
        <w:tc>
          <w:tcPr>
            <w:tcW w:w="1688" w:type="dxa"/>
            <w:tcBorders>
              <w:top w:val="single" w:sz="4" w:space="0" w:color="000000"/>
              <w:left w:val="single" w:sz="13"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688" w:type="dxa"/>
            <w:tcBorders>
              <w:top w:val="single" w:sz="4" w:space="0" w:color="000000"/>
              <w:left w:val="single" w:sz="13" w:space="0" w:color="DCDCDC"/>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68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315,460,320.00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sz w:val="18"/>
              </w:rPr>
              <w:t>-315,460,320.00</w:t>
            </w: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755" w:footer="978" w:top="1180" w:bottom="1160" w:left="880" w:right="980"/>
        </w:sectPr>
      </w:pPr>
    </w:p>
    <w:p>
      <w:pPr>
        <w:spacing w:line="240" w:lineRule="auto" w:before="8"/>
        <w:rPr>
          <w:rFonts w:ascii="宋体" w:hAnsi="宋体" w:cs="宋体" w:eastAsia="宋体" w:hint="default"/>
          <w:sz w:val="6"/>
          <w:szCs w:val="6"/>
        </w:rPr>
      </w:pPr>
    </w:p>
    <w:tbl>
      <w:tblPr>
        <w:tblW w:w="0" w:type="auto"/>
        <w:jc w:val="left"/>
        <w:tblInd w:w="221" w:type="dxa"/>
        <w:tblLayout w:type="fixed"/>
        <w:tblCellMar>
          <w:top w:w="0" w:type="dxa"/>
          <w:left w:w="0" w:type="dxa"/>
          <w:bottom w:w="0" w:type="dxa"/>
          <w:right w:w="0" w:type="dxa"/>
        </w:tblCellMar>
        <w:tblLook w:val="01E0"/>
      </w:tblPr>
      <w:tblGrid>
        <w:gridCol w:w="3715"/>
        <w:gridCol w:w="1676"/>
        <w:gridCol w:w="1241"/>
        <w:gridCol w:w="956"/>
        <w:gridCol w:w="776"/>
        <w:gridCol w:w="1091"/>
        <w:gridCol w:w="1135"/>
        <w:gridCol w:w="1176"/>
        <w:gridCol w:w="1315"/>
      </w:tblGrid>
      <w:tr>
        <w:trPr>
          <w:trHeight w:val="402" w:hRule="exact"/>
        </w:trPr>
        <w:tc>
          <w:tcPr>
            <w:tcW w:w="3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right="710"/>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315,460,320.00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sz w:val="18"/>
              </w:rPr>
              <w:t>-315,460,320.00</w:t>
            </w: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right="710"/>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1676"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676"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676"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202"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676"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676"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676"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202"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676"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630,920,640.00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7" w:right="0"/>
              <w:jc w:val="center"/>
              <w:rPr>
                <w:rFonts w:ascii="Times New Roman" w:hAnsi="Times New Roman" w:cs="Times New Roman" w:eastAsia="Times New Roman" w:hint="default"/>
                <w:sz w:val="18"/>
                <w:szCs w:val="18"/>
              </w:rPr>
            </w:pPr>
            <w:r>
              <w:rPr>
                <w:rFonts w:ascii="Times New Roman"/>
                <w:sz w:val="18"/>
              </w:rPr>
              <w:t>116,130,579.39</w:t>
            </w:r>
          </w:p>
        </w:tc>
        <w:tc>
          <w:tcPr>
            <w:tcW w:w="956"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r>
              <w:rPr>
                <w:rFonts w:ascii="Times New Roman"/>
                <w:sz w:val="18"/>
              </w:rPr>
              <w:t>59,448,618.58</w:t>
            </w:r>
          </w:p>
        </w:tc>
        <w:tc>
          <w:tcPr>
            <w:tcW w:w="1135"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r>
              <w:rPr>
                <w:rFonts w:ascii="Times New Roman"/>
                <w:sz w:val="18"/>
              </w:rPr>
              <w:t>278,292,386.11</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1,084,792,224.08</w:t>
            </w:r>
          </w:p>
        </w:tc>
      </w:tr>
    </w:tbl>
    <w:p>
      <w:pPr>
        <w:spacing w:line="240" w:lineRule="auto" w:before="0"/>
        <w:rPr>
          <w:rFonts w:ascii="宋体" w:hAnsi="宋体" w:cs="宋体" w:eastAsia="宋体" w:hint="default"/>
          <w:sz w:val="25"/>
          <w:szCs w:val="25"/>
        </w:rPr>
      </w:pPr>
    </w:p>
    <w:p>
      <w:pPr>
        <w:spacing w:before="26"/>
        <w:ind w:left="5832" w:right="5734" w:firstLine="0"/>
        <w:jc w:val="center"/>
        <w:rPr>
          <w:rFonts w:ascii="宋体" w:hAnsi="宋体" w:cs="宋体" w:eastAsia="宋体" w:hint="default"/>
          <w:sz w:val="24"/>
          <w:szCs w:val="24"/>
        </w:rPr>
      </w:pPr>
      <w:r>
        <w:rPr>
          <w:rFonts w:ascii="宋体" w:hAnsi="宋体" w:cs="宋体" w:eastAsia="宋体" w:hint="default"/>
          <w:b/>
          <w:bCs/>
          <w:sz w:val="24"/>
          <w:szCs w:val="24"/>
        </w:rPr>
        <w:t>母公司所有者权益变动表（续）</w:t>
      </w:r>
      <w:r>
        <w:rPr>
          <w:rFonts w:ascii="宋体" w:hAnsi="宋体" w:cs="宋体" w:eastAsia="宋体" w:hint="default"/>
          <w:sz w:val="24"/>
          <w:szCs w:val="24"/>
        </w:rPr>
      </w:r>
    </w:p>
    <w:p>
      <w:pPr>
        <w:tabs>
          <w:tab w:pos="7903" w:val="left" w:leader="none"/>
          <w:tab w:pos="13072" w:val="left" w:leader="none"/>
        </w:tabs>
        <w:spacing w:before="88"/>
        <w:ind w:left="253" w:right="0" w:firstLine="0"/>
        <w:jc w:val="left"/>
        <w:rPr>
          <w:rFonts w:ascii="宋体" w:hAnsi="宋体" w:cs="宋体" w:eastAsia="宋体" w:hint="default"/>
          <w:sz w:val="18"/>
          <w:szCs w:val="18"/>
        </w:rPr>
      </w:pPr>
      <w:r>
        <w:rPr>
          <w:rFonts w:ascii="宋体" w:hAnsi="宋体" w:cs="宋体" w:eastAsia="宋体" w:hint="default"/>
          <w:sz w:val="18"/>
          <w:szCs w:val="18"/>
        </w:rPr>
        <w:t>编制单位：深圳市惠程电气股份有限公司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w:t>
        <w:tab/>
        <w:t>单位：元</w:t>
      </w:r>
    </w:p>
    <w:p>
      <w:pPr>
        <w:spacing w:line="240" w:lineRule="auto" w:before="12"/>
        <w:rPr>
          <w:rFonts w:ascii="宋体" w:hAnsi="宋体" w:cs="宋体" w:eastAsia="宋体" w:hint="default"/>
          <w:sz w:val="6"/>
          <w:szCs w:val="6"/>
        </w:rPr>
      </w:pPr>
    </w:p>
    <w:tbl>
      <w:tblPr>
        <w:tblW w:w="0" w:type="auto"/>
        <w:jc w:val="left"/>
        <w:tblInd w:w="260" w:type="dxa"/>
        <w:tblLayout w:type="fixed"/>
        <w:tblCellMar>
          <w:top w:w="0" w:type="dxa"/>
          <w:left w:w="0" w:type="dxa"/>
          <w:bottom w:w="0" w:type="dxa"/>
          <w:right w:w="0" w:type="dxa"/>
        </w:tblCellMar>
        <w:tblLook w:val="01E0"/>
      </w:tblPr>
      <w:tblGrid>
        <w:gridCol w:w="3693"/>
        <w:gridCol w:w="1687"/>
        <w:gridCol w:w="1182"/>
        <w:gridCol w:w="955"/>
        <w:gridCol w:w="776"/>
        <w:gridCol w:w="1091"/>
        <w:gridCol w:w="1136"/>
        <w:gridCol w:w="1181"/>
        <w:gridCol w:w="1316"/>
      </w:tblGrid>
      <w:tr>
        <w:trPr>
          <w:trHeight w:val="206" w:hRule="exact"/>
        </w:trPr>
        <w:tc>
          <w:tcPr>
            <w:tcW w:w="3693" w:type="dxa"/>
            <w:tcBorders>
              <w:top w:val="single" w:sz="4" w:space="0" w:color="000000"/>
              <w:left w:val="single" w:sz="4" w:space="0" w:color="000000"/>
              <w:bottom w:val="nil" w:sz="6" w:space="0" w:color="auto"/>
              <w:right w:val="single" w:sz="4" w:space="0" w:color="000000"/>
            </w:tcBorders>
            <w:shd w:val="clear" w:color="auto" w:fill="DCDCDC"/>
          </w:tcPr>
          <w:p>
            <w:pPr/>
          </w:p>
        </w:tc>
        <w:tc>
          <w:tcPr>
            <w:tcW w:w="9325" w:type="dxa"/>
            <w:gridSpan w:val="8"/>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196" w:hRule="exact"/>
        </w:trPr>
        <w:tc>
          <w:tcPr>
            <w:tcW w:w="3693"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9325" w:type="dxa"/>
            <w:gridSpan w:val="8"/>
            <w:vMerge/>
            <w:tcBorders>
              <w:left w:val="single" w:sz="4" w:space="0" w:color="000000"/>
              <w:bottom w:val="single" w:sz="4" w:space="0" w:color="000000"/>
              <w:right w:val="single" w:sz="4" w:space="0" w:color="000000"/>
            </w:tcBorders>
            <w:shd w:val="clear" w:color="auto" w:fill="DCDCDC"/>
          </w:tcPr>
          <w:p>
            <w:pPr/>
          </w:p>
        </w:tc>
      </w:tr>
      <w:tr>
        <w:trPr>
          <w:trHeight w:val="196" w:hRule="exact"/>
        </w:trPr>
        <w:tc>
          <w:tcPr>
            <w:tcW w:w="3693" w:type="dxa"/>
            <w:vMerge/>
            <w:tcBorders>
              <w:left w:val="single" w:sz="4" w:space="0" w:color="000000"/>
              <w:bottom w:val="nil" w:sz="6" w:space="0" w:color="auto"/>
              <w:right w:val="single" w:sz="4" w:space="0" w:color="000000"/>
            </w:tcBorders>
            <w:shd w:val="clear" w:color="auto" w:fill="DCDCDC"/>
          </w:tcPr>
          <w:p>
            <w:pPr/>
          </w:p>
        </w:tc>
        <w:tc>
          <w:tcPr>
            <w:tcW w:w="1687"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34"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18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226"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55"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77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09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179"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13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18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13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31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206" w:hRule="exact"/>
        </w:trPr>
        <w:tc>
          <w:tcPr>
            <w:tcW w:w="3693" w:type="dxa"/>
            <w:tcBorders>
              <w:top w:val="nil" w:sz="6" w:space="0" w:color="auto"/>
              <w:left w:val="single" w:sz="4" w:space="0" w:color="000000"/>
              <w:bottom w:val="single" w:sz="4" w:space="0" w:color="000000"/>
              <w:right w:val="single" w:sz="4" w:space="0" w:color="000000"/>
            </w:tcBorders>
            <w:shd w:val="clear" w:color="auto" w:fill="DCDCDC"/>
          </w:tcPr>
          <w:p>
            <w:pPr/>
          </w:p>
        </w:tc>
        <w:tc>
          <w:tcPr>
            <w:tcW w:w="1687" w:type="dxa"/>
            <w:vMerge/>
            <w:tcBorders>
              <w:left w:val="single" w:sz="4" w:space="0" w:color="000000"/>
              <w:bottom w:val="single" w:sz="4" w:space="0" w:color="000000"/>
              <w:right w:val="single" w:sz="4" w:space="0" w:color="000000"/>
            </w:tcBorders>
            <w:shd w:val="clear" w:color="auto" w:fill="DCDCDC"/>
          </w:tcPr>
          <w:p>
            <w:pPr/>
          </w:p>
        </w:tc>
        <w:tc>
          <w:tcPr>
            <w:tcW w:w="1182" w:type="dxa"/>
            <w:vMerge/>
            <w:tcBorders>
              <w:left w:val="single" w:sz="4" w:space="0" w:color="000000"/>
              <w:bottom w:val="single" w:sz="4" w:space="0" w:color="000000"/>
              <w:right w:val="single" w:sz="4" w:space="0" w:color="000000"/>
            </w:tcBorders>
            <w:shd w:val="clear" w:color="auto" w:fill="DCDCDC"/>
          </w:tcPr>
          <w:p>
            <w:pPr/>
          </w:p>
        </w:tc>
        <w:tc>
          <w:tcPr>
            <w:tcW w:w="955" w:type="dxa"/>
            <w:vMerge/>
            <w:tcBorders>
              <w:left w:val="single" w:sz="4" w:space="0" w:color="000000"/>
              <w:bottom w:val="single" w:sz="4" w:space="0" w:color="000000"/>
              <w:right w:val="single" w:sz="4" w:space="0" w:color="000000"/>
            </w:tcBorders>
            <w:shd w:val="clear" w:color="auto" w:fill="DCDCDC"/>
          </w:tcPr>
          <w:p>
            <w:pPr/>
          </w:p>
        </w:tc>
        <w:tc>
          <w:tcPr>
            <w:tcW w:w="776" w:type="dxa"/>
            <w:vMerge/>
            <w:tcBorders>
              <w:left w:val="single" w:sz="4" w:space="0" w:color="000000"/>
              <w:bottom w:val="single" w:sz="4" w:space="0" w:color="000000"/>
              <w:right w:val="single" w:sz="4" w:space="0" w:color="000000"/>
            </w:tcBorders>
            <w:shd w:val="clear" w:color="auto" w:fill="DCDCDC"/>
          </w:tcPr>
          <w:p>
            <w:pPr/>
          </w:p>
        </w:tc>
        <w:tc>
          <w:tcPr>
            <w:tcW w:w="1091" w:type="dxa"/>
            <w:vMerge/>
            <w:tcBorders>
              <w:left w:val="single" w:sz="4" w:space="0" w:color="000000"/>
              <w:bottom w:val="single" w:sz="4" w:space="0" w:color="000000"/>
              <w:right w:val="single" w:sz="4" w:space="0" w:color="000000"/>
            </w:tcBorders>
            <w:shd w:val="clear" w:color="auto" w:fill="DCDCDC"/>
          </w:tcPr>
          <w:p>
            <w:pPr/>
          </w:p>
        </w:tc>
        <w:tc>
          <w:tcPr>
            <w:tcW w:w="1136" w:type="dxa"/>
            <w:vMerge/>
            <w:tcBorders>
              <w:left w:val="single" w:sz="4" w:space="0" w:color="000000"/>
              <w:bottom w:val="single" w:sz="4" w:space="0" w:color="000000"/>
              <w:right w:val="single" w:sz="4" w:space="0" w:color="000000"/>
            </w:tcBorders>
            <w:shd w:val="clear" w:color="auto" w:fill="DCDCDC"/>
          </w:tcPr>
          <w:p>
            <w:pPr/>
          </w:p>
        </w:tc>
        <w:tc>
          <w:tcPr>
            <w:tcW w:w="1181" w:type="dxa"/>
            <w:vMerge/>
            <w:tcBorders>
              <w:left w:val="single" w:sz="4" w:space="0" w:color="000000"/>
              <w:bottom w:val="single" w:sz="4" w:space="0" w:color="000000"/>
              <w:right w:val="single" w:sz="4" w:space="0" w:color="000000"/>
            </w:tcBorders>
            <w:shd w:val="clear" w:color="auto" w:fill="DCDCDC"/>
          </w:tcPr>
          <w:p>
            <w:pPr/>
          </w:p>
        </w:tc>
        <w:tc>
          <w:tcPr>
            <w:tcW w:w="1316" w:type="dxa"/>
            <w:vMerge/>
            <w:tcBorders>
              <w:left w:val="single" w:sz="4" w:space="0" w:color="000000"/>
              <w:bottom w:val="single" w:sz="4" w:space="0" w:color="000000"/>
              <w:right w:val="single" w:sz="4" w:space="0" w:color="000000"/>
            </w:tcBorders>
            <w:shd w:val="clear" w:color="auto" w:fill="DCDCDC"/>
          </w:tcPr>
          <w:p>
            <w:pP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687"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200,292,480.00</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69,714,867.39</w:t>
            </w: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44,471,216.42</w:t>
            </w: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223,612,758.74</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538,091,322.55</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687" w:type="dxa"/>
            <w:tcBorders>
              <w:top w:val="single" w:sz="4" w:space="0" w:color="000000"/>
              <w:left w:val="single" w:sz="10" w:space="0" w:color="DCDCDC"/>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49,287.55</w:t>
            </w: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443,587.94</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492,875.49</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687" w:type="dxa"/>
            <w:tcBorders>
              <w:top w:val="single" w:sz="4" w:space="0" w:color="000000"/>
              <w:left w:val="single" w:sz="13" w:space="0" w:color="DCDCDC"/>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87" w:type="dxa"/>
            <w:tcBorders>
              <w:top w:val="single" w:sz="4" w:space="0" w:color="000000"/>
              <w:left w:val="single" w:sz="13" w:space="0" w:color="DCDCDC"/>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68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200,292,480.00</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69,714,867.39</w:t>
            </w: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44,520,503.97</w:t>
            </w: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224,056,346.68</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538,584,198.04</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三、本年增减变动金额（减少以“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8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115,167,840.00</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361,876,032.00</w:t>
            </w: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7,474,258.35</w:t>
            </w: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-12,848,666.90</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471,669,463.45</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687" w:type="dxa"/>
            <w:tcBorders>
              <w:top w:val="single" w:sz="4" w:space="0" w:color="000000"/>
              <w:left w:val="single" w:sz="13" w:space="0" w:color="DCDCDC"/>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74,742,583.45</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74,742,583.45</w:t>
            </w: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687" w:type="dxa"/>
            <w:tcBorders>
              <w:top w:val="single" w:sz="4" w:space="0" w:color="000000"/>
              <w:left w:val="single" w:sz="13" w:space="0" w:color="DCDCDC"/>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687" w:type="dxa"/>
            <w:tcBorders>
              <w:top w:val="single" w:sz="4" w:space="0" w:color="000000"/>
              <w:left w:val="single" w:sz="13" w:space="0" w:color="DCDCDC"/>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74,742,583.45</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74,742,583.45</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755" w:footer="978" w:top="1180" w:bottom="1160" w:left="880" w:right="980"/>
        </w:sectPr>
      </w:pPr>
    </w:p>
    <w:tbl>
      <w:tblPr>
        <w:tblW w:w="0" w:type="auto"/>
        <w:jc w:val="left"/>
        <w:tblInd w:w="249" w:type="dxa"/>
        <w:tblLayout w:type="fixed"/>
        <w:tblCellMar>
          <w:top w:w="0" w:type="dxa"/>
          <w:left w:w="0" w:type="dxa"/>
          <w:bottom w:w="0" w:type="dxa"/>
          <w:right w:w="0" w:type="dxa"/>
        </w:tblCellMar>
        <w:tblLook w:val="01E0"/>
      </w:tblPr>
      <w:tblGrid>
        <w:gridCol w:w="3716"/>
        <w:gridCol w:w="1675"/>
        <w:gridCol w:w="1182"/>
        <w:gridCol w:w="955"/>
        <w:gridCol w:w="776"/>
        <w:gridCol w:w="1091"/>
        <w:gridCol w:w="1136"/>
        <w:gridCol w:w="1181"/>
        <w:gridCol w:w="1316"/>
      </w:tblGrid>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202"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15,021,600.00</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 w:right="0"/>
              <w:jc w:val="center"/>
              <w:rPr>
                <w:rFonts w:ascii="Times New Roman" w:hAnsi="Times New Roman" w:cs="Times New Roman" w:eastAsia="Times New Roman" w:hint="default"/>
                <w:sz w:val="18"/>
                <w:szCs w:val="18"/>
              </w:rPr>
            </w:pPr>
            <w:r>
              <w:rPr>
                <w:rFonts w:ascii="Times New Roman"/>
                <w:sz w:val="18"/>
              </w:rPr>
              <w:t>421,963,776.00</w:t>
            </w: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436,985,376.00</w:t>
            </w: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15,021,600.00</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 w:right="0"/>
              <w:jc w:val="center"/>
              <w:rPr>
                <w:rFonts w:ascii="Times New Roman" w:hAnsi="Times New Roman" w:cs="Times New Roman" w:eastAsia="Times New Roman" w:hint="default"/>
                <w:sz w:val="18"/>
                <w:szCs w:val="18"/>
              </w:rPr>
            </w:pPr>
            <w:r>
              <w:rPr>
                <w:rFonts w:ascii="Times New Roman"/>
                <w:sz w:val="18"/>
              </w:rPr>
              <w:t>421,963,776.00</w:t>
            </w: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436,985,376.00</w:t>
            </w: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675"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675"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202"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40,058,496.00</w:t>
            </w: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7,474,258.35</w:t>
            </w: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-87,591,250.35</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-40,058,496.00</w:t>
            </w: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675"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7,474,258.35</w:t>
            </w: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-7,474,258.35</w:t>
            </w: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675"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．对所有者（或股东）的分配</w:t>
            </w:r>
          </w:p>
        </w:tc>
        <w:tc>
          <w:tcPr>
            <w:tcW w:w="1675"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-40,058,496.00</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-40,058,496.00</w:t>
            </w: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40,058,496.00</w:t>
            </w: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-40,058,496.00</w:t>
            </w: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202"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60,087,744.00</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3" w:right="0"/>
              <w:jc w:val="center"/>
              <w:rPr>
                <w:rFonts w:ascii="Times New Roman" w:hAnsi="Times New Roman" w:cs="Times New Roman" w:eastAsia="Times New Roman" w:hint="default"/>
                <w:sz w:val="18"/>
                <w:szCs w:val="18"/>
              </w:rPr>
            </w:pPr>
            <w:r>
              <w:rPr>
                <w:rFonts w:ascii="Times New Roman"/>
                <w:sz w:val="18"/>
              </w:rPr>
              <w:t>-60,087,744.00</w:t>
            </w: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60,087,744.00</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3" w:right="0"/>
              <w:jc w:val="center"/>
              <w:rPr>
                <w:rFonts w:ascii="Times New Roman" w:hAnsi="Times New Roman" w:cs="Times New Roman" w:eastAsia="Times New Roman" w:hint="default"/>
                <w:sz w:val="18"/>
                <w:szCs w:val="18"/>
              </w:rPr>
            </w:pPr>
            <w:r>
              <w:rPr>
                <w:rFonts w:ascii="Times New Roman"/>
                <w:sz w:val="18"/>
              </w:rPr>
              <w:t>-60,087,744.00</w:t>
            </w: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1675"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675"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675"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202"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675"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675"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675"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202"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675"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315,460,320.00</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sz w:val="18"/>
              </w:rPr>
              <w:t>431,590,899.39</w:t>
            </w:r>
          </w:p>
        </w:tc>
        <w:tc>
          <w:tcPr>
            <w:tcW w:w="955"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51,994,762.32</w:t>
            </w:r>
          </w:p>
        </w:tc>
        <w:tc>
          <w:tcPr>
            <w:tcW w:w="113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211,207,679.78</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1,010,253,661.49</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755" w:footer="978" w:top="1260" w:bottom="1160" w:left="8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357" w:lineRule="auto" w:before="167"/>
        <w:ind w:left="2672" w:right="2206" w:hanging="321"/>
        <w:jc w:val="left"/>
        <w:rPr>
          <w:rFonts w:ascii="黑体" w:hAnsi="黑体" w:cs="黑体" w:eastAsia="黑体" w:hint="default"/>
          <w:sz w:val="32"/>
          <w:szCs w:val="32"/>
        </w:rPr>
      </w:pPr>
      <w:r>
        <w:rPr>
          <w:rFonts w:ascii="黑体" w:hAnsi="黑体" w:cs="黑体" w:eastAsia="黑体" w:hint="default"/>
          <w:spacing w:val="-1"/>
          <w:sz w:val="32"/>
          <w:szCs w:val="32"/>
        </w:rPr>
        <w:t>深圳市惠程电气股份有限公司</w:t>
      </w:r>
      <w:r>
        <w:rPr>
          <w:rFonts w:ascii="黑体" w:hAnsi="黑体" w:cs="黑体" w:eastAsia="黑体" w:hint="default"/>
          <w:spacing w:val="-155"/>
          <w:sz w:val="32"/>
          <w:szCs w:val="32"/>
        </w:rPr>
        <w:t> </w:t>
      </w:r>
      <w:r>
        <w:rPr>
          <w:rFonts w:ascii="黑体" w:hAnsi="黑体" w:cs="黑体" w:eastAsia="黑体" w:hint="default"/>
          <w:sz w:val="32"/>
          <w:szCs w:val="32"/>
        </w:rPr>
        <w:t>二〇一一年财务报表附注</w:t>
      </w:r>
    </w:p>
    <w:p>
      <w:pPr>
        <w:spacing w:line="240" w:lineRule="auto" w:before="0"/>
        <w:rPr>
          <w:rFonts w:ascii="黑体" w:hAnsi="黑体" w:cs="黑体" w:eastAsia="黑体" w:hint="default"/>
          <w:sz w:val="32"/>
          <w:szCs w:val="32"/>
        </w:rPr>
      </w:pPr>
    </w:p>
    <w:p>
      <w:pPr>
        <w:spacing w:line="240" w:lineRule="auto" w:before="7"/>
        <w:rPr>
          <w:rFonts w:ascii="黑体" w:hAnsi="黑体" w:cs="黑体" w:eastAsia="黑体" w:hint="default"/>
          <w:sz w:val="22"/>
          <w:szCs w:val="22"/>
        </w:rPr>
      </w:pPr>
    </w:p>
    <w:p>
      <w:pPr>
        <w:spacing w:before="0"/>
        <w:ind w:left="269" w:right="2206" w:firstLine="0"/>
        <w:jc w:val="left"/>
        <w:rPr>
          <w:rFonts w:ascii="宋体" w:hAnsi="宋体" w:cs="宋体" w:eastAsia="宋体" w:hint="default"/>
          <w:sz w:val="21"/>
          <w:szCs w:val="21"/>
        </w:rPr>
      </w:pPr>
      <w:r>
        <w:rPr>
          <w:rFonts w:ascii="宋体" w:hAnsi="宋体" w:cs="宋体" w:eastAsia="宋体" w:hint="default"/>
          <w:b/>
          <w:bCs/>
          <w:sz w:val="21"/>
          <w:szCs w:val="21"/>
        </w:rPr>
        <w:t>公司基本情况</w:t>
      </w:r>
      <w:r>
        <w:rPr>
          <w:rFonts w:ascii="宋体" w:hAnsi="宋体" w:cs="宋体" w:eastAsia="宋体" w:hint="default"/>
          <w:sz w:val="21"/>
          <w:szCs w:val="21"/>
        </w:rPr>
      </w:r>
    </w:p>
    <w:p>
      <w:pPr>
        <w:spacing w:line="331" w:lineRule="auto" w:before="125"/>
        <w:ind w:left="895" w:right="136" w:firstLine="0"/>
        <w:jc w:val="both"/>
        <w:rPr>
          <w:rFonts w:ascii="宋体" w:hAnsi="宋体" w:cs="宋体" w:eastAsia="宋体" w:hint="default"/>
          <w:sz w:val="21"/>
          <w:szCs w:val="21"/>
        </w:rPr>
      </w:pPr>
      <w:r>
        <w:rPr>
          <w:rFonts w:ascii="宋体" w:hAnsi="宋体" w:cs="宋体" w:eastAsia="宋体" w:hint="default"/>
          <w:sz w:val="21"/>
          <w:szCs w:val="21"/>
        </w:rPr>
        <w:t>本公司前身为深圳市惠程电气有限责任公司，经深圳市工商局核准于</w:t>
      </w:r>
      <w:r>
        <w:rPr>
          <w:rFonts w:ascii="宋体" w:hAnsi="宋体" w:cs="宋体" w:eastAsia="宋体" w:hint="default"/>
          <w:spacing w:val="-38"/>
          <w:sz w:val="21"/>
          <w:szCs w:val="21"/>
        </w:rPr>
        <w:t> </w:t>
      </w:r>
      <w:r>
        <w:rPr>
          <w:rFonts w:ascii="Times New Roman" w:hAnsi="Times New Roman" w:cs="Times New Roman" w:eastAsia="Times New Roman" w:hint="default"/>
          <w:sz w:val="21"/>
          <w:szCs w:val="21"/>
        </w:rPr>
        <w:t>1999</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月</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2 </w:t>
      </w:r>
      <w:r>
        <w:rPr>
          <w:rFonts w:ascii="宋体" w:hAnsi="宋体" w:cs="宋体" w:eastAsia="宋体" w:hint="default"/>
          <w:spacing w:val="-3"/>
          <w:sz w:val="21"/>
          <w:szCs w:val="21"/>
        </w:rPr>
        <w:t>日正式成立，领取深司字</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S52826</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号企业法人营业执照，注册资本为</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1"/>
          <w:sz w:val="21"/>
          <w:szCs w:val="21"/>
        </w:rPr>
        <w:t> </w:t>
      </w:r>
      <w:r>
        <w:rPr>
          <w:rFonts w:ascii="宋体" w:hAnsi="宋体" w:cs="宋体" w:eastAsia="宋体" w:hint="default"/>
          <w:spacing w:val="-5"/>
          <w:sz w:val="21"/>
          <w:szCs w:val="21"/>
        </w:rPr>
        <w:t>万元，其中吕</w:t>
      </w:r>
      <w:r>
        <w:rPr>
          <w:rFonts w:ascii="宋体" w:hAnsi="宋体" w:cs="宋体" w:eastAsia="宋体" w:hint="default"/>
          <w:sz w:val="21"/>
          <w:szCs w:val="21"/>
        </w:rPr>
        <w:t> 晓义出资人民币</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万元，邓树坚出资人民币</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w:t>
      </w:r>
    </w:p>
    <w:p>
      <w:pPr>
        <w:spacing w:line="331" w:lineRule="auto" w:before="20"/>
        <w:ind w:left="895" w:right="136"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2002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1"/>
          <w:sz w:val="21"/>
          <w:szCs w:val="21"/>
        </w:rPr>
        <w:t> </w:t>
      </w:r>
      <w:r>
        <w:rPr>
          <w:rFonts w:ascii="宋体" w:hAnsi="宋体" w:cs="宋体" w:eastAsia="宋体" w:hint="default"/>
          <w:spacing w:val="-4"/>
          <w:sz w:val="21"/>
          <w:szCs w:val="21"/>
        </w:rPr>
        <w:t>日，经深圳市人民政府深府股【</w:t>
      </w:r>
      <w:r>
        <w:rPr>
          <w:rFonts w:ascii="Times New Roman" w:hAnsi="Times New Roman" w:cs="Times New Roman" w:eastAsia="Times New Roman" w:hint="default"/>
          <w:spacing w:val="-4"/>
          <w:sz w:val="21"/>
          <w:szCs w:val="21"/>
        </w:rPr>
        <w:t>2002</w:t>
      </w:r>
      <w:r>
        <w:rPr>
          <w:rFonts w:ascii="宋体" w:hAnsi="宋体" w:cs="宋体" w:eastAsia="宋体" w:hint="default"/>
          <w:spacing w:val="-4"/>
          <w:sz w:val="21"/>
          <w:szCs w:val="21"/>
        </w:rPr>
        <w:t>】</w:t>
      </w:r>
      <w:r>
        <w:rPr>
          <w:rFonts w:ascii="Times New Roman" w:hAnsi="Times New Roman" w:cs="Times New Roman" w:eastAsia="Times New Roman" w:hint="default"/>
          <w:spacing w:val="-4"/>
          <w:sz w:val="21"/>
          <w:szCs w:val="21"/>
        </w:rPr>
        <w:t>44</w:t>
      </w:r>
      <w:r>
        <w:rPr>
          <w:rFonts w:ascii="Times New Roman" w:hAnsi="Times New Roman" w:cs="Times New Roman" w:eastAsia="Times New Roman" w:hint="default"/>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r>
        <w:rPr>
          <w:rFonts w:ascii="宋体" w:hAnsi="宋体" w:cs="宋体" w:eastAsia="宋体" w:hint="default"/>
          <w:sz w:val="21"/>
          <w:szCs w:val="21"/>
        </w:rPr>
        <w:t>关于以发起方式改组设 立深圳市惠程电气股份有限公司的批复</w:t>
      </w:r>
      <w:r>
        <w:rPr>
          <w:rFonts w:ascii="Times New Roman" w:hAnsi="Times New Roman" w:cs="Times New Roman" w:eastAsia="Times New Roman" w:hint="default"/>
          <w:sz w:val="21"/>
          <w:szCs w:val="21"/>
        </w:rPr>
        <w:t>”</w:t>
      </w:r>
      <w:r>
        <w:rPr>
          <w:rFonts w:ascii="宋体" w:hAnsi="宋体" w:cs="宋体" w:eastAsia="宋体" w:hint="default"/>
          <w:sz w:val="21"/>
          <w:szCs w:val="21"/>
        </w:rPr>
        <w:t>文件批准，并经本公司股东会决议，整体变</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4"/>
          <w:sz w:val="21"/>
          <w:szCs w:val="21"/>
        </w:rPr>
        <w:t>更为股份有限公司。截止</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日净资产为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37,073,120.51 </w:t>
      </w:r>
      <w:r>
        <w:rPr>
          <w:rFonts w:ascii="宋体" w:hAnsi="宋体" w:cs="宋体" w:eastAsia="宋体" w:hint="default"/>
          <w:spacing w:val="-10"/>
          <w:sz w:val="21"/>
          <w:szCs w:val="21"/>
        </w:rPr>
        <w:t>元，其中</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0.51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p>
    <w:p>
      <w:pPr>
        <w:spacing w:before="20"/>
        <w:ind w:left="895" w:right="0" w:firstLine="0"/>
        <w:jc w:val="left"/>
        <w:rPr>
          <w:rFonts w:ascii="宋体" w:hAnsi="宋体" w:cs="宋体" w:eastAsia="宋体" w:hint="default"/>
          <w:sz w:val="21"/>
          <w:szCs w:val="21"/>
        </w:rPr>
      </w:pPr>
      <w:r>
        <w:rPr>
          <w:rFonts w:ascii="宋体" w:hAnsi="宋体" w:cs="宋体" w:eastAsia="宋体" w:hint="default"/>
          <w:spacing w:val="-3"/>
          <w:sz w:val="21"/>
          <w:szCs w:val="21"/>
        </w:rPr>
        <w:t>转入资本公积，其余按</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的比例折为股份，总股本为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37,073,120.00 </w:t>
      </w:r>
      <w:r>
        <w:rPr>
          <w:rFonts w:ascii="宋体" w:hAnsi="宋体" w:cs="宋体" w:eastAsia="宋体" w:hint="default"/>
          <w:spacing w:val="-5"/>
          <w:sz w:val="21"/>
          <w:szCs w:val="21"/>
        </w:rPr>
        <w:t>元，股权结构保</w:t>
      </w:r>
    </w:p>
    <w:p>
      <w:pPr>
        <w:spacing w:before="110"/>
        <w:ind w:left="895" w:right="0" w:firstLine="0"/>
        <w:jc w:val="left"/>
        <w:rPr>
          <w:rFonts w:ascii="宋体" w:hAnsi="宋体" w:cs="宋体" w:eastAsia="宋体" w:hint="default"/>
          <w:sz w:val="21"/>
          <w:szCs w:val="21"/>
        </w:rPr>
      </w:pPr>
      <w:r>
        <w:rPr>
          <w:rFonts w:ascii="宋体" w:hAnsi="宋体" w:cs="宋体" w:eastAsia="宋体" w:hint="default"/>
          <w:sz w:val="21"/>
          <w:szCs w:val="21"/>
        </w:rPr>
        <w:t>持不变。并于</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2003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日完成工商变更登记，领取了深司字</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N85588</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号企业法</w:t>
      </w:r>
    </w:p>
    <w:p>
      <w:pPr>
        <w:spacing w:line="331" w:lineRule="auto" w:before="109"/>
        <w:ind w:left="895" w:right="118"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人营业执照，注册号为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4403012026376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 经中国证券监督管理委员会证监发行字［</w:t>
      </w:r>
      <w:r>
        <w:rPr>
          <w:rFonts w:ascii="Times New Roman" w:hAnsi="Times New Roman" w:cs="Times New Roman" w:eastAsia="Times New Roman" w:hint="default"/>
          <w:sz w:val="21"/>
          <w:szCs w:val="21"/>
        </w:rPr>
        <w:t>2007</w:t>
      </w:r>
      <w:r>
        <w:rPr>
          <w:rFonts w:ascii="宋体" w:hAnsi="宋体" w:cs="宋体" w:eastAsia="宋体" w:hint="default"/>
          <w:sz w:val="21"/>
          <w:szCs w:val="21"/>
        </w:rPr>
        <w:t>］</w:t>
      </w:r>
      <w:r>
        <w:rPr>
          <w:rFonts w:ascii="Times New Roman" w:hAnsi="Times New Roman" w:cs="Times New Roman" w:eastAsia="Times New Roman" w:hint="default"/>
          <w:sz w:val="21"/>
          <w:szCs w:val="21"/>
        </w:rPr>
        <w:t>254</w:t>
      </w:r>
      <w:r>
        <w:rPr>
          <w:rFonts w:ascii="Times New Roman" w:hAnsi="Times New Roman" w:cs="Times New Roman" w:eastAsia="Times New Roman" w:hint="default"/>
          <w:spacing w:val="-27"/>
          <w:sz w:val="21"/>
          <w:szCs w:val="21"/>
        </w:rPr>
        <w:t> </w:t>
      </w:r>
      <w:r>
        <w:rPr>
          <w:rFonts w:ascii="宋体" w:hAnsi="宋体" w:cs="宋体" w:eastAsia="宋体" w:hint="default"/>
          <w:sz w:val="21"/>
          <w:szCs w:val="21"/>
        </w:rPr>
        <w:t>号文《关于核准深圳市惠程电气 股份有限公司首次公开发行股票的通知》核准，</w:t>
      </w:r>
      <w:r>
        <w:rPr>
          <w:rFonts w:ascii="Times New Roman" w:hAnsi="Times New Roman" w:cs="Times New Roman" w:eastAsia="Times New Roman" w:hint="default"/>
          <w:sz w:val="21"/>
          <w:szCs w:val="21"/>
        </w:rPr>
        <w:t>2007 </w:t>
      </w:r>
      <w:r>
        <w:rPr>
          <w:rFonts w:ascii="宋体" w:hAnsi="宋体" w:cs="宋体" w:eastAsia="宋体" w:hint="default"/>
          <w:sz w:val="21"/>
          <w:szCs w:val="21"/>
        </w:rPr>
        <w:t>年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月，公司向社会公开发行 </w:t>
      </w:r>
      <w:r>
        <w:rPr>
          <w:rFonts w:ascii="宋体" w:hAnsi="宋体" w:cs="宋体" w:eastAsia="宋体" w:hint="default"/>
          <w:spacing w:val="-14"/>
          <w:w w:val="99"/>
          <w:sz w:val="21"/>
          <w:szCs w:val="21"/>
        </w:rPr>
        <w:t>人民币普通股（</w:t>
      </w:r>
      <w:r>
        <w:rPr>
          <w:rFonts w:ascii="Times New Roman" w:hAnsi="Times New Roman" w:cs="Times New Roman" w:eastAsia="Times New Roman" w:hint="default"/>
          <w:spacing w:val="-14"/>
          <w:w w:val="99"/>
          <w:sz w:val="21"/>
          <w:szCs w:val="21"/>
        </w:rPr>
        <w:t>A</w:t>
      </w:r>
      <w:r>
        <w:rPr>
          <w:rFonts w:ascii="Times New Roman" w:hAnsi="Times New Roman" w:cs="Times New Roman" w:eastAsia="Times New Roman" w:hint="default"/>
          <w:spacing w:val="-21"/>
          <w:w w:val="99"/>
          <w:sz w:val="21"/>
          <w:szCs w:val="21"/>
        </w:rPr>
        <w:t> </w:t>
      </w:r>
      <w:r>
        <w:rPr>
          <w:rFonts w:ascii="宋体" w:hAnsi="宋体" w:cs="宋体" w:eastAsia="宋体" w:hint="default"/>
          <w:spacing w:val="-8"/>
          <w:sz w:val="21"/>
          <w:szCs w:val="21"/>
        </w:rPr>
        <w:t>股）</w:t>
      </w:r>
      <w:r>
        <w:rPr>
          <w:rFonts w:ascii="Times New Roman" w:hAnsi="Times New Roman" w:cs="Times New Roman" w:eastAsia="Times New Roman" w:hint="default"/>
          <w:spacing w:val="-8"/>
          <w:sz w:val="21"/>
          <w:szCs w:val="21"/>
        </w:rPr>
        <w:t>13,000,000.00</w:t>
      </w:r>
      <w:r>
        <w:rPr>
          <w:rFonts w:ascii="Times New Roman" w:hAnsi="Times New Roman" w:cs="Times New Roman" w:eastAsia="Times New Roman" w:hint="default"/>
          <w:spacing w:val="-20"/>
          <w:sz w:val="21"/>
          <w:szCs w:val="21"/>
        </w:rPr>
        <w:t> </w:t>
      </w:r>
      <w:r>
        <w:rPr>
          <w:rFonts w:ascii="宋体" w:hAnsi="宋体" w:cs="宋体" w:eastAsia="宋体" w:hint="default"/>
          <w:spacing w:val="-12"/>
          <w:sz w:val="21"/>
          <w:szCs w:val="21"/>
        </w:rPr>
        <w:t>股，每股面值人民币</w:t>
      </w:r>
      <w:r>
        <w:rPr>
          <w:rFonts w:ascii="宋体" w:hAnsi="宋体" w:cs="宋体" w:eastAsia="宋体" w:hint="default"/>
          <w:spacing w:val="-73"/>
          <w:sz w:val="21"/>
          <w:szCs w:val="21"/>
        </w:rPr>
        <w:t> </w:t>
      </w:r>
      <w:r>
        <w:rPr>
          <w:rFonts w:ascii="Times New Roman" w:hAnsi="Times New Roman" w:cs="Times New Roman" w:eastAsia="Times New Roman" w:hint="default"/>
          <w:spacing w:val="-1"/>
          <w:sz w:val="21"/>
          <w:szCs w:val="21"/>
        </w:rPr>
        <w:t>1.00</w:t>
      </w:r>
      <w:r>
        <w:rPr>
          <w:rFonts w:ascii="Times New Roman" w:hAnsi="Times New Roman" w:cs="Times New Roman" w:eastAsia="Times New Roman" w:hint="default"/>
          <w:spacing w:val="-21"/>
          <w:sz w:val="21"/>
          <w:szCs w:val="21"/>
        </w:rPr>
        <w:t> </w:t>
      </w:r>
      <w:r>
        <w:rPr>
          <w:rFonts w:ascii="宋体" w:hAnsi="宋体" w:cs="宋体" w:eastAsia="宋体" w:hint="default"/>
          <w:spacing w:val="-18"/>
          <w:sz w:val="21"/>
          <w:szCs w:val="21"/>
        </w:rPr>
        <w:t>元，计人民币</w:t>
      </w:r>
      <w:r>
        <w:rPr>
          <w:rFonts w:ascii="宋体" w:hAnsi="宋体" w:cs="宋体" w:eastAsia="宋体" w:hint="default"/>
          <w:spacing w:val="-73"/>
          <w:sz w:val="21"/>
          <w:szCs w:val="21"/>
        </w:rPr>
        <w:t> </w:t>
      </w:r>
      <w:r>
        <w:rPr>
          <w:rFonts w:ascii="Times New Roman" w:hAnsi="Times New Roman" w:cs="Times New Roman" w:eastAsia="Times New Roman" w:hint="default"/>
          <w:spacing w:val="-1"/>
          <w:sz w:val="21"/>
          <w:szCs w:val="21"/>
        </w:rPr>
        <w:t>13,000,000.00</w:t>
      </w:r>
    </w:p>
    <w:p>
      <w:pPr>
        <w:spacing w:line="331" w:lineRule="auto" w:before="20"/>
        <w:ind w:left="895" w:right="131" w:hanging="1"/>
        <w:jc w:val="left"/>
        <w:rPr>
          <w:rFonts w:ascii="宋体" w:hAnsi="宋体" w:cs="宋体" w:eastAsia="宋体" w:hint="default"/>
          <w:sz w:val="21"/>
          <w:szCs w:val="21"/>
        </w:rPr>
      </w:pP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变更后的注册资本为人民币</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50,073,120.00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元。本公司于</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日在深圳 证券交易所挂牌上市。</w:t>
      </w:r>
    </w:p>
    <w:p>
      <w:pPr>
        <w:spacing w:before="45"/>
        <w:ind w:left="89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日，公司以</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年末总股本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50,073,120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股为基数</w:t>
      </w:r>
      <w:r>
        <w:rPr>
          <w:rFonts w:ascii="Times New Roman" w:hAnsi="Times New Roman" w:cs="Times New Roman" w:eastAsia="Times New Roman" w:hint="default"/>
          <w:sz w:val="21"/>
          <w:szCs w:val="21"/>
        </w:rPr>
        <w:t>,</w:t>
      </w:r>
      <w:r>
        <w:rPr>
          <w:rFonts w:ascii="宋体" w:hAnsi="宋体" w:cs="宋体" w:eastAsia="宋体" w:hint="default"/>
          <w:sz w:val="21"/>
          <w:szCs w:val="21"/>
        </w:rPr>
        <w:t>以资本公积转增股</w:t>
      </w:r>
    </w:p>
    <w:p>
      <w:pPr>
        <w:spacing w:before="108"/>
        <w:ind w:left="895" w:right="0" w:firstLine="0"/>
        <w:jc w:val="left"/>
        <w:rPr>
          <w:rFonts w:ascii="宋体" w:hAnsi="宋体" w:cs="宋体" w:eastAsia="宋体" w:hint="default"/>
          <w:sz w:val="21"/>
          <w:szCs w:val="21"/>
        </w:rPr>
      </w:pPr>
      <w:r>
        <w:rPr>
          <w:rFonts w:ascii="宋体" w:hAnsi="宋体" w:cs="宋体" w:eastAsia="宋体" w:hint="default"/>
          <w:sz w:val="21"/>
          <w:szCs w:val="21"/>
        </w:rPr>
        <w:t>本，每</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股转增</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股。转增后的注册资本为人民币</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100,146,240.00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before="110"/>
        <w:ind w:left="89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
          <w:sz w:val="21"/>
          <w:szCs w:val="21"/>
        </w:rPr>
        <w:t> </w:t>
      </w:r>
      <w:r>
        <w:rPr>
          <w:rFonts w:ascii="宋体" w:hAnsi="宋体" w:cs="宋体" w:eastAsia="宋体" w:hint="default"/>
          <w:spacing w:val="-17"/>
          <w:sz w:val="21"/>
          <w:szCs w:val="21"/>
        </w:rPr>
        <w:t>日，公司以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年末总股本</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100,146,240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股为基数</w:t>
      </w:r>
      <w:r>
        <w:rPr>
          <w:rFonts w:ascii="Times New Roman" w:hAnsi="Times New Roman" w:cs="Times New Roman" w:eastAsia="Times New Roman" w:hint="default"/>
          <w:sz w:val="21"/>
          <w:szCs w:val="21"/>
        </w:rPr>
        <w:t>,</w:t>
      </w:r>
      <w:r>
        <w:rPr>
          <w:rFonts w:ascii="宋体" w:hAnsi="宋体" w:cs="宋体" w:eastAsia="宋体" w:hint="default"/>
          <w:sz w:val="21"/>
          <w:szCs w:val="21"/>
        </w:rPr>
        <w:t>以资本公积转增股</w:t>
      </w:r>
    </w:p>
    <w:p>
      <w:pPr>
        <w:spacing w:before="109"/>
        <w:ind w:left="895" w:right="0" w:firstLine="0"/>
        <w:jc w:val="left"/>
        <w:rPr>
          <w:rFonts w:ascii="宋体" w:hAnsi="宋体" w:cs="宋体" w:eastAsia="宋体" w:hint="default"/>
          <w:sz w:val="21"/>
          <w:szCs w:val="21"/>
        </w:rPr>
      </w:pPr>
      <w:r>
        <w:rPr>
          <w:rFonts w:ascii="宋体" w:hAnsi="宋体" w:cs="宋体" w:eastAsia="宋体" w:hint="default"/>
          <w:sz w:val="21"/>
          <w:szCs w:val="21"/>
        </w:rPr>
        <w:t>本，每</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股转增</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股。转增后的注册资本为人民币</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200,292,480.00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before="109"/>
        <w:ind w:left="895" w:right="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
          <w:sz w:val="21"/>
          <w:szCs w:val="21"/>
        </w:rPr>
        <w:t> </w:t>
      </w:r>
      <w:r>
        <w:rPr>
          <w:rFonts w:ascii="宋体" w:hAnsi="宋体" w:cs="宋体" w:eastAsia="宋体" w:hint="default"/>
          <w:spacing w:val="-9"/>
          <w:sz w:val="21"/>
          <w:szCs w:val="21"/>
        </w:rPr>
        <w:t>日，公司以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年末总股本</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200,292,480</w:t>
      </w:r>
      <w:r>
        <w:rPr>
          <w:rFonts w:ascii="Times New Roman" w:hAnsi="Times New Roman" w:cs="Times New Roman" w:eastAsia="Times New Roman" w:hint="default"/>
          <w:spacing w:val="-1"/>
          <w:sz w:val="21"/>
          <w:szCs w:val="21"/>
        </w:rPr>
        <w:t> </w:t>
      </w:r>
      <w:r>
        <w:rPr>
          <w:rFonts w:ascii="宋体" w:hAnsi="宋体" w:cs="宋体" w:eastAsia="宋体" w:hint="default"/>
          <w:spacing w:val="-4"/>
          <w:sz w:val="21"/>
          <w:szCs w:val="21"/>
        </w:rPr>
        <w:t>股为基数，向全体股东每</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p>
    <w:p>
      <w:pPr>
        <w:spacing w:before="110"/>
        <w:ind w:left="895" w:right="0" w:firstLine="0"/>
        <w:jc w:val="left"/>
        <w:rPr>
          <w:rFonts w:ascii="宋体" w:hAnsi="宋体" w:cs="宋体" w:eastAsia="宋体" w:hint="default"/>
          <w:sz w:val="21"/>
          <w:szCs w:val="21"/>
        </w:rPr>
      </w:pPr>
      <w:r>
        <w:rPr>
          <w:rFonts w:ascii="宋体" w:hAnsi="宋体" w:cs="宋体" w:eastAsia="宋体" w:hint="default"/>
          <w:sz w:val="21"/>
          <w:szCs w:val="21"/>
        </w:rPr>
        <w:t>股派发现金红利</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pacing w:val="-6"/>
          <w:sz w:val="21"/>
          <w:szCs w:val="21"/>
        </w:rPr>
        <w:t>元（含税）送红股</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股，共计分配现金</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40,058,496</w:t>
      </w:r>
      <w:r>
        <w:rPr>
          <w:rFonts w:ascii="Times New Roman" w:hAnsi="Times New Roman" w:cs="Times New Roman" w:eastAsia="Times New Roman" w:hint="default"/>
          <w:spacing w:val="1"/>
          <w:sz w:val="21"/>
          <w:szCs w:val="21"/>
        </w:rPr>
        <w:t> </w:t>
      </w:r>
      <w:r>
        <w:rPr>
          <w:rFonts w:ascii="宋体" w:hAnsi="宋体" w:cs="宋体" w:eastAsia="宋体" w:hint="default"/>
          <w:spacing w:val="-4"/>
          <w:sz w:val="21"/>
          <w:szCs w:val="21"/>
        </w:rPr>
        <w:t>元，送红股共计</w:t>
      </w:r>
    </w:p>
    <w:p>
      <w:pPr>
        <w:spacing w:before="109"/>
        <w:ind w:left="895" w:right="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40,058,496 </w:t>
      </w:r>
      <w:r>
        <w:rPr>
          <w:rFonts w:ascii="宋体" w:hAnsi="宋体" w:cs="宋体" w:eastAsia="宋体" w:hint="default"/>
          <w:spacing w:val="-4"/>
          <w:sz w:val="21"/>
          <w:szCs w:val="21"/>
        </w:rPr>
        <w:t>股，同时以资本公积金转增股本，每</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 </w:t>
      </w:r>
      <w:r>
        <w:rPr>
          <w:rFonts w:ascii="宋体" w:hAnsi="宋体" w:cs="宋体" w:eastAsia="宋体" w:hint="default"/>
          <w:sz w:val="21"/>
          <w:szCs w:val="21"/>
        </w:rPr>
        <w:t>股转增</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 </w:t>
      </w:r>
      <w:r>
        <w:rPr>
          <w:rFonts w:ascii="宋体" w:hAnsi="宋体" w:cs="宋体" w:eastAsia="宋体" w:hint="default"/>
          <w:spacing w:val="-5"/>
          <w:sz w:val="21"/>
          <w:szCs w:val="21"/>
        </w:rPr>
        <w:t>股，共计转增</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60,087,744</w:t>
      </w:r>
    </w:p>
    <w:p>
      <w:pPr>
        <w:spacing w:line="331" w:lineRule="auto" w:before="109"/>
        <w:ind w:left="895" w:right="127" w:firstLine="0"/>
        <w:jc w:val="left"/>
        <w:rPr>
          <w:rFonts w:ascii="宋体" w:hAnsi="宋体" w:cs="宋体" w:eastAsia="宋体" w:hint="default"/>
          <w:sz w:val="21"/>
          <w:szCs w:val="21"/>
        </w:rPr>
      </w:pPr>
      <w:r>
        <w:rPr>
          <w:rFonts w:ascii="宋体" w:hAnsi="宋体" w:cs="宋体" w:eastAsia="宋体" w:hint="default"/>
          <w:sz w:val="21"/>
          <w:szCs w:val="21"/>
        </w:rPr>
        <w:t>股。转增后的注册资本为人民币为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300,438,720.00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 经中国证券监督管理委员会证监许可</w:t>
      </w:r>
      <w:r>
        <w:rPr>
          <w:rFonts w:ascii="Times New Roman" w:hAnsi="Times New Roman" w:cs="Times New Roman" w:eastAsia="Times New Roman" w:hint="default"/>
          <w:sz w:val="21"/>
          <w:szCs w:val="21"/>
        </w:rPr>
        <w:t>[2010]1771</w:t>
      </w:r>
      <w:r>
        <w:rPr>
          <w:rFonts w:ascii="Times New Roman" w:hAnsi="Times New Roman" w:cs="Times New Roman" w:eastAsia="Times New Roman" w:hint="default"/>
          <w:spacing w:val="8"/>
          <w:sz w:val="21"/>
          <w:szCs w:val="21"/>
        </w:rPr>
        <w:t> </w:t>
      </w:r>
      <w:r>
        <w:rPr>
          <w:rFonts w:ascii="宋体" w:hAnsi="宋体" w:cs="宋体" w:eastAsia="宋体" w:hint="default"/>
          <w:spacing w:val="-5"/>
          <w:sz w:val="21"/>
          <w:szCs w:val="21"/>
        </w:rPr>
        <w:t>号文《关于核准深圳市惠程电气股份</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有限公司非公开发行股票的批复》的核准，同意惠程电气于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日非公 </w:t>
      </w:r>
      <w:r>
        <w:rPr>
          <w:rFonts w:ascii="宋体" w:hAnsi="宋体" w:cs="宋体" w:eastAsia="宋体" w:hint="default"/>
          <w:spacing w:val="3"/>
          <w:sz w:val="21"/>
          <w:szCs w:val="21"/>
        </w:rPr>
        <w:t>开发行人民币普通股（</w:t>
      </w:r>
      <w:r>
        <w:rPr>
          <w:rFonts w:ascii="Times New Roman" w:hAnsi="Times New Roman" w:cs="Times New Roman" w:eastAsia="Times New Roman" w:hint="default"/>
          <w:spacing w:val="3"/>
          <w:sz w:val="21"/>
          <w:szCs w:val="21"/>
        </w:rPr>
        <w:t>A </w:t>
      </w:r>
      <w:r>
        <w:rPr>
          <w:rFonts w:ascii="宋体" w:hAnsi="宋体" w:cs="宋体" w:eastAsia="宋体" w:hint="default"/>
          <w:sz w:val="21"/>
          <w:szCs w:val="21"/>
        </w:rPr>
        <w:t>股）</w:t>
      </w:r>
      <w:r>
        <w:rPr>
          <w:rFonts w:ascii="Times New Roman" w:hAnsi="Times New Roman" w:cs="Times New Roman" w:eastAsia="Times New Roman" w:hint="default"/>
          <w:sz w:val="21"/>
          <w:szCs w:val="21"/>
        </w:rPr>
        <w:t>15,021,600 </w:t>
      </w:r>
      <w:r>
        <w:rPr>
          <w:rFonts w:ascii="宋体" w:hAnsi="宋体" w:cs="宋体" w:eastAsia="宋体" w:hint="default"/>
          <w:spacing w:val="3"/>
          <w:sz w:val="21"/>
          <w:szCs w:val="21"/>
        </w:rPr>
        <w:t>股，每股面值人民币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20"/>
          <w:sz w:val="21"/>
          <w:szCs w:val="21"/>
        </w:rPr>
        <w:t> </w:t>
      </w:r>
      <w:r>
        <w:rPr>
          <w:rFonts w:ascii="宋体" w:hAnsi="宋体" w:cs="宋体" w:eastAsia="宋体" w:hint="default"/>
          <w:spacing w:val="3"/>
          <w:sz w:val="21"/>
          <w:szCs w:val="21"/>
        </w:rPr>
        <w:t>元，计人民币</w:t>
      </w:r>
      <w:r>
        <w:rPr>
          <w:rFonts w:ascii="宋体" w:hAnsi="宋体" w:cs="宋体" w:eastAsia="宋体" w:hint="default"/>
          <w:sz w:val="21"/>
          <w:szCs w:val="21"/>
        </w:rPr>
        <w:t> </w:t>
      </w:r>
      <w:r>
        <w:rPr>
          <w:rFonts w:ascii="Times New Roman" w:hAnsi="Times New Roman" w:cs="Times New Roman" w:eastAsia="Times New Roman" w:hint="default"/>
          <w:sz w:val="21"/>
          <w:szCs w:val="21"/>
        </w:rPr>
        <w:t>15,021,600.00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元。非公开发行股票后的注册资本为人民币为</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315,460,320.00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w:t>
      </w:r>
    </w:p>
    <w:p>
      <w:pPr>
        <w:spacing w:before="20"/>
        <w:ind w:left="895" w:right="0"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日，公司以</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年末总股本</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315,460,320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股为基数，以资本公积金转</w:t>
      </w:r>
    </w:p>
    <w:p>
      <w:pPr>
        <w:spacing w:after="0"/>
        <w:jc w:val="left"/>
        <w:rPr>
          <w:rFonts w:ascii="宋体" w:hAnsi="宋体" w:cs="宋体" w:eastAsia="宋体" w:hint="default"/>
          <w:sz w:val="21"/>
          <w:szCs w:val="21"/>
        </w:rPr>
        <w:sectPr>
          <w:headerReference w:type="default" r:id="rId48"/>
          <w:footerReference w:type="default" r:id="rId49"/>
          <w:pgSz w:w="11910" w:h="16840"/>
          <w:pgMar w:header="686" w:footer="1270" w:top="1360" w:bottom="1460" w:left="1520" w:right="1660"/>
          <w:pgNumType w:start="99"/>
        </w:sectPr>
      </w:pPr>
    </w:p>
    <w:p>
      <w:pPr>
        <w:spacing w:line="240" w:lineRule="auto" w:before="4"/>
        <w:rPr>
          <w:rFonts w:ascii="宋体" w:hAnsi="宋体" w:cs="宋体" w:eastAsia="宋体" w:hint="default"/>
          <w:sz w:val="26"/>
          <w:szCs w:val="26"/>
        </w:rPr>
      </w:pPr>
    </w:p>
    <w:p>
      <w:pPr>
        <w:spacing w:before="35"/>
        <w:ind w:left="895" w:right="99" w:firstLine="0"/>
        <w:jc w:val="left"/>
        <w:rPr>
          <w:rFonts w:ascii="宋体" w:hAnsi="宋体" w:cs="宋体" w:eastAsia="宋体" w:hint="default"/>
          <w:sz w:val="21"/>
          <w:szCs w:val="21"/>
        </w:rPr>
      </w:pPr>
      <w:r>
        <w:rPr>
          <w:rFonts w:ascii="宋体" w:hAnsi="宋体" w:cs="宋体" w:eastAsia="宋体" w:hint="default"/>
          <w:sz w:val="21"/>
          <w:szCs w:val="21"/>
        </w:rPr>
        <w:t>增股本，每</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股转增</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股，共计转增</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315,460,320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股。转增后的注册资本为人民币</w:t>
      </w:r>
    </w:p>
    <w:p>
      <w:pPr>
        <w:spacing w:before="109"/>
        <w:ind w:left="895" w:right="99" w:firstLine="0"/>
        <w:jc w:val="left"/>
        <w:rPr>
          <w:rFonts w:ascii="宋体" w:hAnsi="宋体" w:cs="宋体" w:eastAsia="宋体" w:hint="default"/>
          <w:sz w:val="21"/>
          <w:szCs w:val="21"/>
        </w:rPr>
      </w:pPr>
      <w:r>
        <w:rPr>
          <w:rFonts w:ascii="宋体" w:hAnsi="宋体" w:cs="宋体" w:eastAsia="宋体" w:hint="default"/>
          <w:sz w:val="21"/>
          <w:szCs w:val="21"/>
        </w:rPr>
        <w:t>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630,920,640.00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343" w:lineRule="auto" w:before="110"/>
        <w:ind w:left="895" w:right="99" w:firstLine="0"/>
        <w:jc w:val="left"/>
        <w:rPr>
          <w:rFonts w:ascii="宋体" w:hAnsi="宋体" w:cs="宋体" w:eastAsia="宋体" w:hint="default"/>
          <w:sz w:val="21"/>
          <w:szCs w:val="21"/>
        </w:rPr>
      </w:pPr>
      <w:r>
        <w:rPr>
          <w:rFonts w:ascii="宋体" w:hAnsi="宋体" w:cs="宋体" w:eastAsia="宋体" w:hint="default"/>
          <w:spacing w:val="-3"/>
          <w:sz w:val="21"/>
          <w:szCs w:val="21"/>
        </w:rPr>
        <w:t>本公司经营范围为：电缆分支箱、环网柜等相关电力配网设备、电力电缆附件等高分</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5"/>
          <w:sz w:val="21"/>
          <w:szCs w:val="21"/>
        </w:rPr>
        <w:t>子绝缘材料及相关制品的生产；高分子绝缘材料，电工器材的购销（不含专营、专控、</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1"/>
          <w:sz w:val="21"/>
          <w:szCs w:val="21"/>
        </w:rPr>
        <w:t>专卖商品及限制项目）；经营进出口业务（具体按深贸管准证字第</w:t>
      </w:r>
      <w:r>
        <w:rPr>
          <w:rFonts w:ascii="宋体" w:hAnsi="宋体" w:cs="宋体" w:eastAsia="宋体" w:hint="default"/>
          <w:spacing w:val="-72"/>
          <w:sz w:val="21"/>
          <w:szCs w:val="21"/>
        </w:rPr>
        <w:t> </w:t>
      </w:r>
      <w:r>
        <w:rPr>
          <w:rFonts w:ascii="Times New Roman" w:hAnsi="Times New Roman" w:cs="Times New Roman" w:eastAsia="Times New Roman" w:hint="default"/>
          <w:spacing w:val="-1"/>
          <w:sz w:val="21"/>
          <w:szCs w:val="21"/>
        </w:rPr>
        <w:t>2003-525</w:t>
      </w:r>
      <w:r>
        <w:rPr>
          <w:rFonts w:ascii="Times New Roman" w:hAnsi="Times New Roman" w:cs="Times New Roman" w:eastAsia="Times New Roman" w:hint="default"/>
          <w:spacing w:val="-20"/>
          <w:sz w:val="21"/>
          <w:szCs w:val="21"/>
        </w:rPr>
        <w:t> </w:t>
      </w:r>
      <w:r>
        <w:rPr>
          <w:rFonts w:ascii="宋体" w:hAnsi="宋体" w:cs="宋体" w:eastAsia="宋体" w:hint="default"/>
          <w:spacing w:val="-18"/>
          <w:sz w:val="21"/>
          <w:szCs w:val="21"/>
        </w:rPr>
        <w:t>号文执行）；</w:t>
      </w:r>
      <w:r>
        <w:rPr>
          <w:rFonts w:ascii="宋体" w:hAnsi="宋体" w:cs="宋体" w:eastAsia="宋体" w:hint="default"/>
          <w:sz w:val="21"/>
          <w:szCs w:val="21"/>
        </w:rPr>
        <w:t> 自有产品的售后服务。</w:t>
      </w:r>
    </w:p>
    <w:p>
      <w:pPr>
        <w:spacing w:line="240" w:lineRule="auto" w:before="0"/>
        <w:rPr>
          <w:rFonts w:ascii="宋体" w:hAnsi="宋体" w:cs="宋体" w:eastAsia="宋体" w:hint="default"/>
          <w:sz w:val="20"/>
          <w:szCs w:val="20"/>
        </w:rPr>
      </w:pPr>
    </w:p>
    <w:p>
      <w:pPr>
        <w:tabs>
          <w:tab w:pos="993" w:val="left" w:leader="none"/>
        </w:tabs>
        <w:spacing w:before="153"/>
        <w:ind w:left="265" w:right="99" w:firstLine="0"/>
        <w:jc w:val="left"/>
        <w:rPr>
          <w:rFonts w:ascii="宋体" w:hAnsi="宋体" w:cs="宋体" w:eastAsia="宋体" w:hint="default"/>
          <w:sz w:val="21"/>
          <w:szCs w:val="21"/>
        </w:rPr>
      </w:pPr>
      <w:r>
        <w:rPr>
          <w:rFonts w:ascii="宋体" w:hAnsi="宋体" w:cs="宋体" w:eastAsia="宋体" w:hint="default"/>
          <w:b/>
          <w:bCs/>
          <w:w w:val="95"/>
          <w:sz w:val="21"/>
          <w:szCs w:val="21"/>
        </w:rPr>
        <w:t>二、</w:t>
        <w:tab/>
      </w:r>
      <w:r>
        <w:rPr>
          <w:rFonts w:ascii="宋体" w:hAnsi="宋体" w:cs="宋体" w:eastAsia="宋体" w:hint="default"/>
          <w:b/>
          <w:bCs/>
          <w:sz w:val="21"/>
          <w:szCs w:val="21"/>
        </w:rPr>
        <w:t>主要会计政策、会计估计和前期差错</w:t>
      </w:r>
      <w:r>
        <w:rPr>
          <w:rFonts w:ascii="宋体" w:hAnsi="宋体" w:cs="宋体" w:eastAsia="宋体" w:hint="default"/>
          <w:sz w:val="21"/>
          <w:szCs w:val="21"/>
        </w:rPr>
      </w:r>
    </w:p>
    <w:p>
      <w:pPr>
        <w:tabs>
          <w:tab w:pos="993" w:val="left" w:leader="none"/>
        </w:tabs>
        <w:spacing w:line="328" w:lineRule="auto" w:before="125"/>
        <w:ind w:left="895" w:right="217" w:hanging="63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财务报表的编制基础</w:t>
      </w:r>
      <w:r>
        <w:rPr>
          <w:rFonts w:ascii="宋体" w:hAnsi="宋体" w:cs="宋体" w:eastAsia="宋体" w:hint="default"/>
          <w:b/>
          <w:bCs/>
          <w:spacing w:val="1"/>
          <w:w w:val="99"/>
          <w:sz w:val="21"/>
          <w:szCs w:val="21"/>
        </w:rPr>
        <w:t> </w:t>
      </w:r>
      <w:r>
        <w:rPr>
          <w:rFonts w:ascii="宋体" w:hAnsi="宋体" w:cs="宋体" w:eastAsia="宋体" w:hint="default"/>
          <w:sz w:val="21"/>
          <w:szCs w:val="21"/>
        </w:rPr>
        <w:t>公司以持续经营为基础，根据实际发生的交易和事项，按照财政部于</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15</w:t>
      </w:r>
    </w:p>
    <w:p>
      <w:pPr>
        <w:spacing w:line="331" w:lineRule="auto" w:before="24"/>
        <w:ind w:left="895" w:right="217" w:firstLine="0"/>
        <w:jc w:val="both"/>
        <w:rPr>
          <w:rFonts w:ascii="宋体" w:hAnsi="宋体" w:cs="宋体" w:eastAsia="宋体" w:hint="default"/>
          <w:sz w:val="21"/>
          <w:szCs w:val="21"/>
        </w:rPr>
      </w:pPr>
      <w:r>
        <w:rPr>
          <w:rFonts w:ascii="宋体" w:hAnsi="宋体" w:cs="宋体" w:eastAsia="宋体" w:hint="default"/>
          <w:sz w:val="21"/>
          <w:szCs w:val="21"/>
        </w:rPr>
        <w:t>日颁布的《企业会计准则</w:t>
      </w:r>
      <w:r>
        <w:rPr>
          <w:rFonts w:ascii="Times New Roman" w:hAnsi="Times New Roman" w:cs="Times New Roman" w:eastAsia="Times New Roman" w:hint="default"/>
          <w:sz w:val="21"/>
          <w:szCs w:val="21"/>
        </w:rPr>
        <w:t>——</w:t>
      </w:r>
      <w:r>
        <w:rPr>
          <w:rFonts w:ascii="宋体" w:hAnsi="宋体" w:cs="宋体" w:eastAsia="宋体" w:hint="default"/>
          <w:sz w:val="21"/>
          <w:szCs w:val="21"/>
        </w:rPr>
        <w:t>基本准则》和 </w:t>
      </w:r>
      <w:r>
        <w:rPr>
          <w:rFonts w:ascii="Times New Roman" w:hAnsi="Times New Roman" w:cs="Times New Roman" w:eastAsia="Times New Roman" w:hint="default"/>
          <w:sz w:val="21"/>
          <w:szCs w:val="21"/>
        </w:rPr>
        <w:t>38</w:t>
      </w:r>
      <w:r>
        <w:rPr>
          <w:rFonts w:ascii="Times New Roman" w:hAnsi="Times New Roman" w:cs="Times New Roman" w:eastAsia="Times New Roman" w:hint="default"/>
          <w:spacing w:val="-30"/>
          <w:sz w:val="21"/>
          <w:szCs w:val="21"/>
        </w:rPr>
        <w:t> </w:t>
      </w:r>
      <w:r>
        <w:rPr>
          <w:rFonts w:ascii="宋体" w:hAnsi="宋体" w:cs="宋体" w:eastAsia="宋体" w:hint="default"/>
          <w:sz w:val="21"/>
          <w:szCs w:val="21"/>
        </w:rPr>
        <w:t>项具体会计准则、其后颁布的企业会 计准则应用指南、企业会计准则解释及其他相关规定</w:t>
      </w:r>
      <w:r>
        <w:rPr>
          <w:rFonts w:ascii="Times New Roman" w:hAnsi="Times New Roman" w:cs="Times New Roman" w:eastAsia="Times New Roman" w:hint="default"/>
          <w:sz w:val="21"/>
          <w:szCs w:val="21"/>
        </w:rPr>
        <w:t>(</w:t>
      </w:r>
      <w:r>
        <w:rPr>
          <w:rFonts w:ascii="宋体" w:hAnsi="宋体" w:cs="宋体" w:eastAsia="宋体" w:hint="default"/>
          <w:sz w:val="21"/>
          <w:szCs w:val="21"/>
        </w:rPr>
        <w:t>以下合称</w:t>
      </w:r>
      <w:r>
        <w:rPr>
          <w:rFonts w:ascii="Times New Roman" w:hAnsi="Times New Roman" w:cs="Times New Roman" w:eastAsia="Times New Roman" w:hint="default"/>
          <w:sz w:val="21"/>
          <w:szCs w:val="21"/>
        </w:rPr>
        <w:t>“</w:t>
      </w:r>
      <w:r>
        <w:rPr>
          <w:rFonts w:ascii="宋体" w:hAnsi="宋体" w:cs="宋体" w:eastAsia="宋体" w:hint="default"/>
          <w:sz w:val="21"/>
          <w:szCs w:val="21"/>
        </w:rPr>
        <w:t>企业会计准则</w:t>
      </w:r>
      <w:r>
        <w:rPr>
          <w:rFonts w:ascii="Times New Roman" w:hAnsi="Times New Roman" w:cs="Times New Roman" w:eastAsia="Times New Roman" w:hint="default"/>
          <w:sz w:val="21"/>
          <w:szCs w:val="21"/>
        </w:rPr>
        <w:t>”)</w:t>
      </w:r>
      <w:r>
        <w:rPr>
          <w:rFonts w:ascii="宋体" w:hAnsi="宋体" w:cs="宋体" w:eastAsia="宋体" w:hint="default"/>
          <w:sz w:val="21"/>
          <w:szCs w:val="21"/>
        </w:rPr>
        <w:t>、以</w:t>
      </w:r>
      <w:r>
        <w:rPr>
          <w:rFonts w:ascii="宋体" w:hAnsi="宋体" w:cs="宋体" w:eastAsia="宋体" w:hint="default"/>
          <w:spacing w:val="-97"/>
          <w:sz w:val="21"/>
          <w:szCs w:val="21"/>
        </w:rPr>
        <w:t> </w:t>
      </w:r>
      <w:r>
        <w:rPr>
          <w:rFonts w:ascii="宋体" w:hAnsi="宋体" w:cs="宋体" w:eastAsia="宋体" w:hint="default"/>
          <w:sz w:val="21"/>
          <w:szCs w:val="21"/>
        </w:rPr>
        <w:t>及中国证券监督管理委员会《公开发行证券的公司信息披露编报规则第</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33"/>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r>
        <w:rPr>
          <w:rFonts w:ascii="宋体" w:hAnsi="宋体" w:cs="宋体" w:eastAsia="宋体" w:hint="default"/>
          <w:sz w:val="21"/>
          <w:szCs w:val="21"/>
        </w:rPr>
        <w:t>财 务报告的一般规定》</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年修订</w:t>
      </w:r>
      <w:r>
        <w:rPr>
          <w:rFonts w:ascii="Times New Roman" w:hAnsi="Times New Roman" w:cs="Times New Roman" w:eastAsia="Times New Roman" w:hint="default"/>
          <w:sz w:val="21"/>
          <w:szCs w:val="21"/>
        </w:rPr>
        <w:t>)</w:t>
      </w:r>
      <w:r>
        <w:rPr>
          <w:rFonts w:ascii="宋体" w:hAnsi="宋体" w:cs="宋体" w:eastAsia="宋体" w:hint="default"/>
          <w:sz w:val="21"/>
          <w:szCs w:val="21"/>
        </w:rPr>
        <w:t>的披露规定编制财务报表。</w:t>
      </w:r>
    </w:p>
    <w:p>
      <w:pPr>
        <w:spacing w:line="240" w:lineRule="auto" w:before="1"/>
        <w:rPr>
          <w:rFonts w:ascii="宋体" w:hAnsi="宋体" w:cs="宋体" w:eastAsia="宋体" w:hint="default"/>
          <w:sz w:val="32"/>
          <w:szCs w:val="32"/>
        </w:rPr>
      </w:pPr>
    </w:p>
    <w:p>
      <w:pPr>
        <w:tabs>
          <w:tab w:pos="993" w:val="left" w:leader="none"/>
        </w:tabs>
        <w:spacing w:line="340" w:lineRule="auto" w:before="0"/>
        <w:ind w:left="895" w:right="217"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遵循企业会计准则的声明</w:t>
      </w:r>
      <w:r>
        <w:rPr>
          <w:rFonts w:ascii="宋体" w:hAnsi="宋体" w:cs="宋体" w:eastAsia="宋体" w:hint="default"/>
          <w:b/>
          <w:bCs/>
          <w:w w:val="99"/>
          <w:sz w:val="21"/>
          <w:szCs w:val="21"/>
        </w:rPr>
        <w:t> </w:t>
      </w:r>
      <w:r>
        <w:rPr>
          <w:rFonts w:ascii="宋体" w:hAnsi="宋体" w:cs="宋体" w:eastAsia="宋体" w:hint="default"/>
          <w:spacing w:val="-3"/>
          <w:sz w:val="21"/>
          <w:szCs w:val="21"/>
        </w:rPr>
        <w:t>公司所编制的财务报表符合企业会计准则的要求，真实、完整地反映了报告期公司的</w:t>
      </w:r>
      <w:r>
        <w:rPr>
          <w:rFonts w:ascii="宋体" w:hAnsi="宋体" w:cs="宋体" w:eastAsia="宋体" w:hint="default"/>
          <w:sz w:val="21"/>
          <w:szCs w:val="21"/>
        </w:rPr>
        <w:t> 财务状况、经营成果、现金流量等有关信息。</w:t>
      </w:r>
    </w:p>
    <w:p>
      <w:pPr>
        <w:spacing w:line="240" w:lineRule="auto" w:before="0"/>
        <w:rPr>
          <w:rFonts w:ascii="宋体" w:hAnsi="宋体" w:cs="宋体" w:eastAsia="宋体" w:hint="default"/>
          <w:sz w:val="20"/>
          <w:szCs w:val="20"/>
        </w:rPr>
      </w:pPr>
    </w:p>
    <w:p>
      <w:pPr>
        <w:tabs>
          <w:tab w:pos="993" w:val="left" w:leader="none"/>
        </w:tabs>
        <w:spacing w:before="175"/>
        <w:ind w:left="265" w:right="9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会计期间</w:t>
      </w:r>
      <w:r>
        <w:rPr>
          <w:rFonts w:ascii="宋体" w:hAnsi="宋体" w:cs="宋体" w:eastAsia="宋体" w:hint="default"/>
          <w:sz w:val="21"/>
          <w:szCs w:val="21"/>
        </w:rPr>
      </w:r>
    </w:p>
    <w:p>
      <w:pPr>
        <w:spacing w:before="109"/>
        <w:ind w:left="895" w:right="99" w:firstLine="0"/>
        <w:jc w:val="left"/>
        <w:rPr>
          <w:rFonts w:ascii="宋体" w:hAnsi="宋体" w:cs="宋体" w:eastAsia="宋体" w:hint="default"/>
          <w:sz w:val="21"/>
          <w:szCs w:val="21"/>
        </w:rPr>
      </w:pPr>
      <w:r>
        <w:rPr>
          <w:rFonts w:ascii="宋体" w:hAnsi="宋体" w:cs="宋体" w:eastAsia="宋体" w:hint="default"/>
          <w:sz w:val="21"/>
          <w:szCs w:val="21"/>
        </w:rPr>
        <w:t>自公历</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日至</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日止为一个会计年度。</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993" w:val="left" w:leader="none"/>
        </w:tabs>
        <w:spacing w:line="328" w:lineRule="auto" w:before="0"/>
        <w:ind w:left="895" w:right="5386"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记账本位币</w:t>
      </w:r>
      <w:r>
        <w:rPr>
          <w:rFonts w:ascii="宋体" w:hAnsi="宋体" w:cs="宋体" w:eastAsia="宋体" w:hint="default"/>
          <w:b/>
          <w:bCs/>
          <w:w w:val="99"/>
          <w:sz w:val="21"/>
          <w:szCs w:val="21"/>
        </w:rPr>
        <w:t> </w:t>
      </w:r>
      <w:r>
        <w:rPr>
          <w:rFonts w:ascii="宋体" w:hAnsi="宋体" w:cs="宋体" w:eastAsia="宋体" w:hint="default"/>
          <w:sz w:val="21"/>
          <w:szCs w:val="21"/>
        </w:rPr>
        <w:t>采用人民币为记账本位币。</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993" w:val="left" w:leader="none"/>
        </w:tabs>
        <w:spacing w:before="0"/>
        <w:ind w:left="265" w:right="9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五</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同一控制下和非同一控制下企业合并的会计处理方法</w:t>
      </w:r>
      <w:r>
        <w:rPr>
          <w:rFonts w:ascii="宋体" w:hAnsi="宋体" w:cs="宋体" w:eastAsia="宋体" w:hint="default"/>
          <w:sz w:val="21"/>
          <w:szCs w:val="21"/>
        </w:rPr>
      </w:r>
    </w:p>
    <w:p>
      <w:pPr>
        <w:tabs>
          <w:tab w:pos="1434" w:val="left" w:leader="none"/>
        </w:tabs>
        <w:spacing w:line="345" w:lineRule="auto" w:before="109"/>
        <w:ind w:left="1359" w:right="21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同一控制下企业合并</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本公司在企业合并中取得的资产和负债，按照合并日在被合并方的账面价值计 量。被合并各方采用的会计政策与本公司不一致的，本公司在合并日按照本公 </w:t>
      </w:r>
      <w:r>
        <w:rPr>
          <w:rFonts w:ascii="宋体" w:hAnsi="宋体" w:cs="宋体" w:eastAsia="宋体" w:hint="default"/>
          <w:sz w:val="21"/>
          <w:szCs w:val="21"/>
        </w:rPr>
        <w:t>司会计政策进行调整，在此基础上按照调整后的账面价值确认。</w:t>
      </w:r>
      <w:r>
        <w:rPr>
          <w:rFonts w:ascii="宋体" w:hAnsi="宋体" w:cs="宋体" w:eastAsia="宋体" w:hint="default"/>
          <w:sz w:val="21"/>
          <w:szCs w:val="21"/>
        </w:rPr>
        <w:t> </w:t>
      </w:r>
      <w:r>
        <w:rPr>
          <w:rFonts w:ascii="宋体" w:hAnsi="宋体" w:cs="宋体" w:eastAsia="宋体" w:hint="default"/>
          <w:spacing w:val="2"/>
          <w:sz w:val="21"/>
          <w:szCs w:val="21"/>
        </w:rPr>
        <w:t>在合并中取得的净资产账面价值与支付的合并对价账面价值（或发行股份面值</w:t>
      </w:r>
      <w:r>
        <w:rPr>
          <w:rFonts w:ascii="宋体" w:hAnsi="宋体" w:cs="宋体" w:eastAsia="宋体" w:hint="default"/>
          <w:spacing w:val="2"/>
          <w:sz w:val="21"/>
          <w:szCs w:val="21"/>
        </w:rPr>
        <w:t> 总额）的差额，调整资本公积中的股本溢价，资本公积中的股本溢价不足冲减 </w:t>
      </w:r>
      <w:r>
        <w:rPr>
          <w:rFonts w:ascii="宋体" w:hAnsi="宋体" w:cs="宋体" w:eastAsia="宋体" w:hint="default"/>
          <w:sz w:val="21"/>
          <w:szCs w:val="21"/>
        </w:rPr>
        <w:t>的，调整留存收益。</w:t>
      </w:r>
      <w:r>
        <w:rPr>
          <w:rFonts w:ascii="宋体" w:hAnsi="宋体" w:cs="宋体" w:eastAsia="宋体" w:hint="default"/>
          <w:sz w:val="21"/>
          <w:szCs w:val="21"/>
        </w:rPr>
        <w:t> </w:t>
      </w:r>
      <w:r>
        <w:rPr>
          <w:rFonts w:ascii="宋体" w:hAnsi="宋体" w:cs="宋体" w:eastAsia="宋体" w:hint="default"/>
          <w:spacing w:val="2"/>
          <w:sz w:val="21"/>
          <w:szCs w:val="21"/>
        </w:rPr>
        <w:t>本公司为进行企业合并而发生的各项直接相关费用，包括为进行企业合并而支</w:t>
      </w:r>
      <w:r>
        <w:rPr>
          <w:rFonts w:ascii="宋体" w:hAnsi="宋体" w:cs="宋体" w:eastAsia="宋体" w:hint="default"/>
          <w:sz w:val="21"/>
          <w:szCs w:val="21"/>
        </w:rPr>
      </w:r>
    </w:p>
    <w:p>
      <w:pPr>
        <w:spacing w:after="0" w:line="345" w:lineRule="auto"/>
        <w:jc w:val="left"/>
        <w:rPr>
          <w:rFonts w:ascii="宋体" w:hAnsi="宋体" w:cs="宋体" w:eastAsia="宋体" w:hint="default"/>
          <w:sz w:val="21"/>
          <w:szCs w:val="21"/>
        </w:rPr>
        <w:sectPr>
          <w:footerReference w:type="default" r:id="rId50"/>
          <w:pgSz w:w="11910" w:h="16840"/>
          <w:pgMar w:footer="1270" w:header="686" w:top="1360" w:bottom="1460" w:left="1520" w:right="1580"/>
          <w:pgNumType w:start="100"/>
        </w:sectPr>
      </w:pPr>
    </w:p>
    <w:p>
      <w:pPr>
        <w:spacing w:line="240" w:lineRule="auto" w:before="4"/>
        <w:rPr>
          <w:rFonts w:ascii="宋体" w:hAnsi="宋体" w:cs="宋体" w:eastAsia="宋体" w:hint="default"/>
          <w:sz w:val="26"/>
          <w:szCs w:val="26"/>
        </w:rPr>
      </w:pPr>
    </w:p>
    <w:p>
      <w:pPr>
        <w:spacing w:line="350" w:lineRule="auto" w:before="35"/>
        <w:ind w:left="1360" w:right="109" w:firstLine="0"/>
        <w:jc w:val="left"/>
        <w:rPr>
          <w:rFonts w:ascii="宋体" w:hAnsi="宋体" w:cs="宋体" w:eastAsia="宋体" w:hint="default"/>
          <w:sz w:val="21"/>
          <w:szCs w:val="21"/>
        </w:rPr>
      </w:pPr>
      <w:r>
        <w:rPr>
          <w:rFonts w:ascii="宋体" w:hAnsi="宋体" w:cs="宋体" w:eastAsia="宋体" w:hint="default"/>
          <w:sz w:val="21"/>
          <w:szCs w:val="21"/>
        </w:rPr>
        <w:t>付的审计费用、评估费用、法律服务费等，于发生时计入当期损益。 </w:t>
      </w:r>
      <w:r>
        <w:rPr>
          <w:rFonts w:ascii="宋体" w:hAnsi="宋体" w:cs="宋体" w:eastAsia="宋体" w:hint="default"/>
          <w:spacing w:val="-1"/>
          <w:sz w:val="21"/>
          <w:szCs w:val="21"/>
        </w:rPr>
        <w:t>企业合并中发行权益性证券发生的手续费、佣金等，抵减权益性证券溢价收入，</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溢价收入不足冲减的，冲减留存收益。</w:t>
      </w:r>
    </w:p>
    <w:p>
      <w:pPr>
        <w:tabs>
          <w:tab w:pos="1434" w:val="left" w:leader="none"/>
        </w:tabs>
        <w:spacing w:line="345" w:lineRule="auto" w:before="18"/>
        <w:ind w:left="1360" w:right="111"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非同一控制下的企业合并</w:t>
      </w:r>
      <w:r>
        <w:rPr>
          <w:rFonts w:ascii="宋体" w:hAnsi="宋体" w:cs="宋体" w:eastAsia="宋体" w:hint="default"/>
          <w:b/>
          <w:bCs/>
          <w:w w:val="99"/>
          <w:sz w:val="21"/>
          <w:szCs w:val="21"/>
        </w:rPr>
        <w:t> </w:t>
      </w:r>
      <w:r>
        <w:rPr>
          <w:rFonts w:ascii="宋体" w:hAnsi="宋体" w:cs="宋体" w:eastAsia="宋体" w:hint="default"/>
          <w:spacing w:val="2"/>
          <w:sz w:val="21"/>
          <w:szCs w:val="21"/>
        </w:rPr>
        <w:t>本公司在购买日对作为企业合并对价付出的资产、发生或承担的负债按照公允 </w:t>
      </w:r>
      <w:r>
        <w:rPr>
          <w:rFonts w:ascii="宋体" w:hAnsi="宋体" w:cs="宋体" w:eastAsia="宋体" w:hint="default"/>
          <w:sz w:val="21"/>
          <w:szCs w:val="21"/>
        </w:rPr>
        <w:t>价值计量。公允价值与其账面价值的差额，计入当期损益。</w:t>
      </w:r>
      <w:r>
        <w:rPr>
          <w:rFonts w:ascii="宋体" w:hAnsi="宋体" w:cs="宋体" w:eastAsia="宋体" w:hint="default"/>
          <w:sz w:val="21"/>
          <w:szCs w:val="21"/>
        </w:rPr>
        <w:t> </w:t>
      </w:r>
      <w:r>
        <w:rPr>
          <w:rFonts w:ascii="宋体" w:hAnsi="宋体" w:cs="宋体" w:eastAsia="宋体" w:hint="default"/>
          <w:spacing w:val="-1"/>
          <w:sz w:val="21"/>
          <w:szCs w:val="21"/>
        </w:rPr>
        <w:t>本公司在购买日对合并成本进行分配，确认所取得的被购买方各项可辨认资产、</w:t>
      </w:r>
      <w:r>
        <w:rPr>
          <w:rFonts w:ascii="宋体" w:hAnsi="宋体" w:cs="宋体" w:eastAsia="宋体" w:hint="default"/>
          <w:sz w:val="21"/>
          <w:szCs w:val="21"/>
        </w:rPr>
        <w:t> 负债及或有负债的公允价值。 </w:t>
      </w:r>
      <w:r>
        <w:rPr>
          <w:rFonts w:ascii="宋体" w:hAnsi="宋体" w:cs="宋体" w:eastAsia="宋体" w:hint="default"/>
          <w:spacing w:val="2"/>
          <w:sz w:val="21"/>
          <w:szCs w:val="21"/>
        </w:rPr>
        <w:t>本公司对合并成本大于合并中取得的被购买方可辨认净资产公允价值份额的差</w:t>
      </w:r>
      <w:r>
        <w:rPr>
          <w:rFonts w:ascii="宋体" w:hAnsi="宋体" w:cs="宋体" w:eastAsia="宋体" w:hint="default"/>
          <w:spacing w:val="2"/>
          <w:sz w:val="21"/>
          <w:szCs w:val="21"/>
        </w:rPr>
        <w:t> 额，确认为商誉；合并成本小于合并中取得的被购买方可辨认净资产公允价值 </w:t>
      </w:r>
      <w:r>
        <w:rPr>
          <w:rFonts w:ascii="宋体" w:hAnsi="宋体" w:cs="宋体" w:eastAsia="宋体" w:hint="default"/>
          <w:sz w:val="21"/>
          <w:szCs w:val="21"/>
        </w:rPr>
        <w:t>份额的差额，经复核后，计入当期损益。</w:t>
      </w:r>
      <w:r>
        <w:rPr>
          <w:rFonts w:ascii="宋体" w:hAnsi="宋体" w:cs="宋体" w:eastAsia="宋体" w:hint="default"/>
          <w:sz w:val="21"/>
          <w:szCs w:val="21"/>
        </w:rPr>
        <w:t> </w:t>
      </w:r>
      <w:r>
        <w:rPr>
          <w:rFonts w:ascii="宋体" w:hAnsi="宋体" w:cs="宋体" w:eastAsia="宋体" w:hint="default"/>
          <w:spacing w:val="2"/>
          <w:sz w:val="21"/>
          <w:szCs w:val="21"/>
        </w:rPr>
        <w:t>企业合并中取得的被购买方除无形资产外的其他各项资产（不仅限于被购买方</w:t>
      </w:r>
      <w:r>
        <w:rPr>
          <w:rFonts w:ascii="宋体" w:hAnsi="宋体" w:cs="宋体" w:eastAsia="宋体" w:hint="default"/>
          <w:spacing w:val="2"/>
          <w:sz w:val="21"/>
          <w:szCs w:val="21"/>
        </w:rPr>
        <w:t> </w:t>
      </w:r>
      <w:r>
        <w:rPr>
          <w:rFonts w:ascii="宋体" w:hAnsi="宋体" w:cs="宋体" w:eastAsia="宋体" w:hint="default"/>
          <w:spacing w:val="-4"/>
          <w:sz w:val="21"/>
          <w:szCs w:val="21"/>
        </w:rPr>
        <w:t>原已确认的资产），其所带来的经济利益很可能流入本公司且公允价值能够可靠</w:t>
      </w:r>
      <w:r>
        <w:rPr>
          <w:rFonts w:ascii="宋体" w:hAnsi="宋体" w:cs="宋体" w:eastAsia="宋体" w:hint="default"/>
          <w:sz w:val="21"/>
          <w:szCs w:val="21"/>
        </w:rPr>
        <w:t> </w:t>
      </w:r>
      <w:r>
        <w:rPr>
          <w:rFonts w:ascii="宋体" w:hAnsi="宋体" w:cs="宋体" w:eastAsia="宋体" w:hint="default"/>
          <w:spacing w:val="2"/>
          <w:sz w:val="21"/>
          <w:szCs w:val="21"/>
        </w:rPr>
        <w:t>计量的，单独确认并按公允价值计量；公允价值能够可靠计量的无形资产，单</w:t>
      </w:r>
      <w:r>
        <w:rPr>
          <w:rFonts w:ascii="宋体" w:hAnsi="宋体" w:cs="宋体" w:eastAsia="宋体" w:hint="default"/>
          <w:sz w:val="21"/>
          <w:szCs w:val="21"/>
        </w:rPr>
      </w:r>
    </w:p>
    <w:p>
      <w:pPr>
        <w:spacing w:line="348" w:lineRule="auto" w:before="33"/>
        <w:ind w:left="1360" w:right="199" w:firstLine="0"/>
        <w:jc w:val="left"/>
        <w:rPr>
          <w:rFonts w:ascii="宋体" w:hAnsi="宋体" w:cs="宋体" w:eastAsia="宋体" w:hint="default"/>
          <w:sz w:val="21"/>
          <w:szCs w:val="21"/>
        </w:rPr>
      </w:pPr>
      <w:r>
        <w:rPr>
          <w:rFonts w:ascii="宋体" w:hAnsi="宋体" w:cs="宋体" w:eastAsia="宋体" w:hint="default"/>
          <w:spacing w:val="2"/>
          <w:sz w:val="21"/>
          <w:szCs w:val="21"/>
        </w:rPr>
        <w:t>独确认为无形资产并按公允价值计量；取得的被购买方除或有负债以外的其他</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各项负债，履行有关义务很可能导致经济利益流出本公司且公允价值能够可靠</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计量的，单独确认并按照公允价值计量；取得的被购买方或有负债，其公允价</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值能可靠计量的，单独确认为负债并按照公允价值计量。</w:t>
      </w:r>
      <w:r>
        <w:rPr>
          <w:rFonts w:ascii="宋体" w:hAnsi="宋体" w:cs="宋体" w:eastAsia="宋体" w:hint="default"/>
          <w:sz w:val="21"/>
          <w:szCs w:val="21"/>
        </w:rPr>
        <w:t> </w:t>
      </w:r>
      <w:r>
        <w:rPr>
          <w:rFonts w:ascii="宋体" w:hAnsi="宋体" w:cs="宋体" w:eastAsia="宋体" w:hint="default"/>
          <w:spacing w:val="2"/>
          <w:sz w:val="21"/>
          <w:szCs w:val="21"/>
        </w:rPr>
        <w:t>本公司在企业合并中取得的被购买方的可抵扣暂时性差异，在购买日不符合递</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延所得税资产确认条件的，不予以确认。购买日后</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个月内，如取得新的或进 </w:t>
      </w:r>
      <w:r>
        <w:rPr>
          <w:rFonts w:ascii="宋体" w:hAnsi="宋体" w:cs="宋体" w:eastAsia="宋体" w:hint="default"/>
          <w:spacing w:val="2"/>
          <w:sz w:val="21"/>
          <w:szCs w:val="21"/>
        </w:rPr>
        <w:t>一步的信息表明购买日的相关情况已经存在，预期被购买方在购买日可抵扣暂</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时性差异带来的经济利益能够实现的，确认相关的递延所得税资产，同时减少</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商誉，商誉不足冲减的，差额部分确认为当期损益；除上述情况以外，确认与</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企业合并相关的递延所得税资产，计入当期损益。</w:t>
      </w:r>
      <w:r>
        <w:rPr>
          <w:rFonts w:ascii="宋体" w:hAnsi="宋体" w:cs="宋体" w:eastAsia="宋体" w:hint="default"/>
          <w:sz w:val="21"/>
          <w:szCs w:val="21"/>
        </w:rPr>
        <w:t> </w:t>
      </w:r>
      <w:r>
        <w:rPr>
          <w:rFonts w:ascii="宋体" w:hAnsi="宋体" w:cs="宋体" w:eastAsia="宋体" w:hint="default"/>
          <w:spacing w:val="2"/>
          <w:sz w:val="21"/>
          <w:szCs w:val="21"/>
        </w:rPr>
        <w:t>非同一控制下企业合并，购买方为企业合并发生的审计、法律服务、评估咨询</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等中介费用以及其他相关管理费用，应当于发生时计入当期损益；购买方作为</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合并对价发行的权益性证券或债务性证券的交易费用，应当计入权益性证券或</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债务性证券的初始确认金额。</w:t>
      </w:r>
    </w:p>
    <w:p>
      <w:pPr>
        <w:spacing w:line="240" w:lineRule="auto" w:before="0"/>
        <w:rPr>
          <w:rFonts w:ascii="宋体" w:hAnsi="宋体" w:cs="宋体" w:eastAsia="宋体" w:hint="default"/>
          <w:sz w:val="20"/>
          <w:szCs w:val="20"/>
        </w:rPr>
      </w:pPr>
    </w:p>
    <w:p>
      <w:pPr>
        <w:tabs>
          <w:tab w:pos="993" w:val="left" w:leader="none"/>
        </w:tabs>
        <w:spacing w:line="336" w:lineRule="auto" w:before="149"/>
        <w:ind w:left="895" w:right="110"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六</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合并财务报表的编制方法</w:t>
      </w:r>
      <w:r>
        <w:rPr>
          <w:rFonts w:ascii="宋体" w:hAnsi="宋体" w:cs="宋体" w:eastAsia="宋体" w:hint="default"/>
          <w:b/>
          <w:bCs/>
          <w:w w:val="99"/>
          <w:sz w:val="21"/>
          <w:szCs w:val="21"/>
        </w:rPr>
        <w:t> </w:t>
      </w:r>
      <w:r>
        <w:rPr>
          <w:rFonts w:ascii="宋体" w:hAnsi="宋体" w:cs="宋体" w:eastAsia="宋体" w:hint="default"/>
          <w:spacing w:val="3"/>
          <w:sz w:val="21"/>
          <w:szCs w:val="21"/>
        </w:rPr>
        <w:t>本公司合并财务报表的合并范围以控制为基础确定，所有子公司均纳入合并财务报</w:t>
      </w:r>
      <w:r>
        <w:rPr>
          <w:rFonts w:ascii="宋体" w:hAnsi="宋体" w:cs="宋体" w:eastAsia="宋体" w:hint="default"/>
          <w:spacing w:val="4"/>
          <w:sz w:val="21"/>
          <w:szCs w:val="21"/>
        </w:rPr>
        <w:t> </w:t>
      </w:r>
      <w:r>
        <w:rPr>
          <w:rFonts w:ascii="宋体" w:hAnsi="宋体" w:cs="宋体" w:eastAsia="宋体" w:hint="default"/>
          <w:sz w:val="21"/>
          <w:szCs w:val="21"/>
        </w:rPr>
        <w:t>表。</w:t>
      </w:r>
      <w:r>
        <w:rPr>
          <w:rFonts w:ascii="宋体" w:hAnsi="宋体" w:cs="宋体" w:eastAsia="宋体" w:hint="default"/>
          <w:sz w:val="21"/>
          <w:szCs w:val="21"/>
        </w:rPr>
        <w:t> </w:t>
      </w:r>
      <w:r>
        <w:rPr>
          <w:rFonts w:ascii="宋体" w:hAnsi="宋体" w:cs="宋体" w:eastAsia="宋体" w:hint="default"/>
          <w:spacing w:val="3"/>
          <w:sz w:val="21"/>
          <w:szCs w:val="21"/>
        </w:rPr>
        <w:t>所有纳入合并财务报表合并范围的子公司所采用的会计政策、会计期间与本公司一</w:t>
      </w:r>
      <w:r>
        <w:rPr>
          <w:rFonts w:ascii="宋体" w:hAnsi="宋体" w:cs="宋体" w:eastAsia="宋体" w:hint="default"/>
          <w:spacing w:val="4"/>
          <w:sz w:val="21"/>
          <w:szCs w:val="21"/>
        </w:rPr>
        <w:t> </w:t>
      </w:r>
      <w:r>
        <w:rPr>
          <w:rFonts w:ascii="宋体" w:hAnsi="宋体" w:cs="宋体" w:eastAsia="宋体" w:hint="default"/>
          <w:spacing w:val="-5"/>
          <w:sz w:val="21"/>
          <w:szCs w:val="21"/>
        </w:rPr>
        <w:t>致，如子公司采用的会计政策、会计期间与本公司不一致的，在编制合并财务报表时，</w:t>
      </w:r>
    </w:p>
    <w:p>
      <w:pPr>
        <w:spacing w:after="0" w:line="336" w:lineRule="auto"/>
        <w:jc w:val="left"/>
        <w:rPr>
          <w:rFonts w:ascii="宋体" w:hAnsi="宋体" w:cs="宋体" w:eastAsia="宋体" w:hint="default"/>
          <w:sz w:val="21"/>
          <w:szCs w:val="21"/>
        </w:rPr>
        <w:sectPr>
          <w:pgSz w:w="11910" w:h="16840"/>
          <w:pgMar w:header="686" w:footer="1270" w:top="1360" w:bottom="1460" w:left="1520" w:right="1580"/>
        </w:sectPr>
      </w:pPr>
    </w:p>
    <w:p>
      <w:pPr>
        <w:spacing w:line="240" w:lineRule="auto" w:before="8"/>
        <w:rPr>
          <w:rFonts w:ascii="宋体" w:hAnsi="宋体" w:cs="宋体" w:eastAsia="宋体" w:hint="default"/>
          <w:sz w:val="25"/>
          <w:szCs w:val="25"/>
        </w:rPr>
      </w:pPr>
    </w:p>
    <w:p>
      <w:pPr>
        <w:spacing w:line="340" w:lineRule="auto" w:before="35"/>
        <w:ind w:left="895" w:right="0" w:firstLine="0"/>
        <w:jc w:val="left"/>
        <w:rPr>
          <w:rFonts w:ascii="宋体" w:hAnsi="宋体" w:cs="宋体" w:eastAsia="宋体" w:hint="default"/>
          <w:sz w:val="21"/>
          <w:szCs w:val="21"/>
        </w:rPr>
      </w:pPr>
      <w:r>
        <w:rPr>
          <w:rFonts w:ascii="宋体" w:hAnsi="宋体" w:cs="宋体" w:eastAsia="宋体" w:hint="default"/>
          <w:spacing w:val="-3"/>
          <w:sz w:val="21"/>
          <w:szCs w:val="21"/>
        </w:rPr>
        <w:t>按本公司的会计政策、会计期间进行必要的调整。对于非同一控制下企业合并取得的</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子公司，以购买日可辨认净资产公允价值为基础对其财务报表进行调整。合并财务报</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表以本公司及子公司的财务报表为基础，根据其他有关资料，按照权益法调整对子公</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司的长期股权投资后，由本公司编制。 </w:t>
      </w:r>
      <w:r>
        <w:rPr>
          <w:rFonts w:ascii="宋体" w:hAnsi="宋体" w:cs="宋体" w:eastAsia="宋体" w:hint="default"/>
          <w:spacing w:val="-3"/>
          <w:sz w:val="21"/>
          <w:szCs w:val="21"/>
        </w:rPr>
        <w:t>合并财务报表时抵销本公司与各子公司、各子公司相互之间发生的内部交易对合并资</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产负债表、合并利润表、合并现金流量表、合并所有者权益变动表的影响。 </w:t>
      </w:r>
      <w:r>
        <w:rPr>
          <w:rFonts w:ascii="宋体" w:hAnsi="宋体" w:cs="宋体" w:eastAsia="宋体" w:hint="default"/>
          <w:spacing w:val="3"/>
          <w:sz w:val="21"/>
          <w:szCs w:val="21"/>
        </w:rPr>
        <w:t>子公司少数股东应占的权益和损益分别在合并资产负债表中所有者权益项目下和合</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3"/>
          <w:sz w:val="21"/>
          <w:szCs w:val="21"/>
        </w:rPr>
        <w:t>并利润表中净利润项目下单独列示。子公司少数股东分担的当期亏损超过了少数股东</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在该子公司期初所有者权益中所享有份额而形成的余额，冲减少数股东权益。 </w:t>
      </w:r>
      <w:r>
        <w:rPr>
          <w:rFonts w:ascii="宋体" w:hAnsi="宋体" w:cs="宋体" w:eastAsia="宋体" w:hint="default"/>
          <w:spacing w:val="-3"/>
          <w:sz w:val="21"/>
          <w:szCs w:val="21"/>
        </w:rPr>
        <w:t>在报告期内，若因同一控制下企业合并增加子公司的，则调整合并资产负债表的期初</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数；将子公司合并当期期初至报告期末的收入、费用、利润纳入合并利润表；将子公</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pacing w:val="-3"/>
          <w:sz w:val="21"/>
          <w:szCs w:val="21"/>
        </w:rPr>
        <w:t>司合并当期期初至报告期末的现金流量纳入合并现金流量表，同时对比较报表的相关</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项目进行调整，视同合并后的报告主体在以前期间一直存在。 </w:t>
      </w:r>
      <w:r>
        <w:rPr>
          <w:rFonts w:ascii="宋体" w:hAnsi="宋体" w:cs="宋体" w:eastAsia="宋体" w:hint="default"/>
          <w:spacing w:val="-3"/>
          <w:sz w:val="21"/>
          <w:szCs w:val="21"/>
        </w:rPr>
        <w:t>在报告期内，若因非同一控制下企业合并增加子公司的，则不调整合并资产负债表期</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初数；将子公司自购买日至报告期末的收入、费用、利润纳入合并利润表；该子公司</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pacing w:val="-3"/>
          <w:sz w:val="21"/>
          <w:szCs w:val="21"/>
        </w:rPr>
        <w:t>自购买日至报告期末的现金流量纳入合并现金流量表。通过多次交易分步实现非同一</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3"/>
          <w:sz w:val="21"/>
          <w:szCs w:val="21"/>
        </w:rPr>
        <w:t>控制下企业合并时，对于购买日之前持有的被购买方的股权，本公司按照该股权在购</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买日的公允价值进行重新计量，公允价值与其账面价值的差额计入当期投资收益。购</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买日之前持有的被购买方的股权涉及其他综合收益的，与其相关的其他综合收益转为</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购买日所属当期投资收益。 </w:t>
      </w:r>
      <w:r>
        <w:rPr>
          <w:rFonts w:ascii="宋体" w:hAnsi="宋体" w:cs="宋体" w:eastAsia="宋体" w:hint="default"/>
          <w:spacing w:val="-3"/>
          <w:sz w:val="21"/>
          <w:szCs w:val="21"/>
        </w:rPr>
        <w:t>在报告期内，本公司处置子公司，则该子公司期初至处置日的收入、费用、利润纳入</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pacing w:val="-3"/>
          <w:sz w:val="21"/>
          <w:szCs w:val="21"/>
        </w:rPr>
        <w:t>合并利润表；该子公司期初至处置日的现金流量纳入合并现金流量表。因处置部分股</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权投资或其他原因丧失了对原有子公司控制权时，对于处置后的剩余股权投资，本公</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司按照其在丧失控制权日的公允价值进行重新计量。处置股权取得的对价与剩余股权</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3"/>
          <w:sz w:val="21"/>
          <w:szCs w:val="21"/>
        </w:rPr>
        <w:t>公允价值之和，减去按原持股比例计算应享有原有子公司自购买日开始持续计算的净</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3"/>
          <w:sz w:val="21"/>
          <w:szCs w:val="21"/>
        </w:rPr>
        <w:t>资产的份额之间的差额，计入丧失控制权当期的投资收益。与原有子公司股权投资相</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关的其他综合收益，在丧失控制权时转为当期投资收益。 </w:t>
      </w:r>
      <w:r>
        <w:rPr>
          <w:rFonts w:ascii="宋体" w:hAnsi="宋体" w:cs="宋体" w:eastAsia="宋体" w:hint="default"/>
          <w:spacing w:val="3"/>
          <w:sz w:val="21"/>
          <w:szCs w:val="21"/>
        </w:rPr>
        <w:t>本公司因购买少数股权新取得的长期股权投资与按照新增持股比例计算应享有子公</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3"/>
          <w:sz w:val="21"/>
          <w:szCs w:val="21"/>
        </w:rPr>
        <w:t>司的可辨认净资产份额之间的差额，以及在不丧失控制权的情况下因部分处置对子公</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3"/>
          <w:sz w:val="21"/>
          <w:szCs w:val="21"/>
        </w:rPr>
        <w:t>司的股权投资而取得的处置价款与处置长期股权投资相对应享有子公司净资产份额</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3"/>
          <w:sz w:val="21"/>
          <w:szCs w:val="21"/>
        </w:rPr>
        <w:t>的差额，均调整合并资产负债表中的资本公积中的股本溢价，资本公积中的股本溢价</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不足冲减的，调整留存收益。</w:t>
      </w:r>
    </w:p>
    <w:p>
      <w:pPr>
        <w:spacing w:line="240" w:lineRule="auto" w:before="0"/>
        <w:rPr>
          <w:rFonts w:ascii="宋体" w:hAnsi="宋体" w:cs="宋体" w:eastAsia="宋体" w:hint="default"/>
          <w:sz w:val="20"/>
          <w:szCs w:val="20"/>
        </w:rPr>
      </w:pPr>
    </w:p>
    <w:p>
      <w:pPr>
        <w:tabs>
          <w:tab w:pos="993" w:val="left" w:leader="none"/>
        </w:tabs>
        <w:spacing w:line="321" w:lineRule="auto" w:before="155"/>
        <w:ind w:left="895" w:right="116"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七</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现金及现金等价物的确定标准</w:t>
      </w:r>
      <w:r>
        <w:rPr>
          <w:rFonts w:ascii="宋体" w:hAnsi="宋体" w:cs="宋体" w:eastAsia="宋体" w:hint="default"/>
          <w:b/>
          <w:bCs/>
          <w:spacing w:val="1"/>
          <w:w w:val="99"/>
          <w:sz w:val="21"/>
          <w:szCs w:val="21"/>
        </w:rPr>
        <w:t> </w:t>
      </w:r>
      <w:r>
        <w:rPr>
          <w:rFonts w:ascii="宋体" w:hAnsi="宋体" w:cs="宋体" w:eastAsia="宋体" w:hint="default"/>
          <w:sz w:val="21"/>
          <w:szCs w:val="21"/>
        </w:rPr>
        <w:t>在编制现金流量表时，将本公司库存现金以及可以随时用于支付的存款确认为现金。</w:t>
      </w:r>
    </w:p>
    <w:p>
      <w:pPr>
        <w:spacing w:after="0" w:line="321" w:lineRule="auto"/>
        <w:jc w:val="left"/>
        <w:rPr>
          <w:rFonts w:ascii="宋体" w:hAnsi="宋体" w:cs="宋体" w:eastAsia="宋体" w:hint="default"/>
          <w:sz w:val="21"/>
          <w:szCs w:val="21"/>
        </w:rPr>
        <w:sectPr>
          <w:footerReference w:type="default" r:id="rId51"/>
          <w:pgSz w:w="11910" w:h="16840"/>
          <w:pgMar w:footer="1270" w:header="686" w:top="1360" w:bottom="1460" w:left="1520" w:right="1600"/>
          <w:pgNumType w:start="102"/>
        </w:sectPr>
      </w:pPr>
    </w:p>
    <w:p>
      <w:pPr>
        <w:spacing w:line="240" w:lineRule="auto" w:before="8"/>
        <w:rPr>
          <w:rFonts w:ascii="宋体" w:hAnsi="宋体" w:cs="宋体" w:eastAsia="宋体" w:hint="default"/>
          <w:sz w:val="25"/>
          <w:szCs w:val="25"/>
        </w:rPr>
      </w:pPr>
    </w:p>
    <w:p>
      <w:pPr>
        <w:spacing w:line="340" w:lineRule="auto" w:before="35"/>
        <w:ind w:left="895" w:right="99" w:firstLine="0"/>
        <w:jc w:val="left"/>
        <w:rPr>
          <w:rFonts w:ascii="宋体" w:hAnsi="宋体" w:cs="宋体" w:eastAsia="宋体" w:hint="default"/>
          <w:sz w:val="21"/>
          <w:szCs w:val="21"/>
        </w:rPr>
      </w:pPr>
      <w:r>
        <w:rPr>
          <w:rFonts w:ascii="宋体" w:hAnsi="宋体" w:cs="宋体" w:eastAsia="宋体" w:hint="default"/>
          <w:spacing w:val="-3"/>
          <w:sz w:val="21"/>
          <w:szCs w:val="21"/>
        </w:rPr>
        <w:t>将同时具备期限短（从购买日起三个月内到期）、流动性强、易于转换为已知现金、</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价值变动风险很小四个条件的投资，确定为现金等价物。</w:t>
      </w:r>
    </w:p>
    <w:p>
      <w:pPr>
        <w:spacing w:line="240" w:lineRule="auto" w:before="0"/>
        <w:rPr>
          <w:rFonts w:ascii="宋体" w:hAnsi="宋体" w:cs="宋体" w:eastAsia="宋体" w:hint="default"/>
          <w:sz w:val="20"/>
          <w:szCs w:val="20"/>
        </w:rPr>
      </w:pPr>
    </w:p>
    <w:p>
      <w:pPr>
        <w:tabs>
          <w:tab w:pos="993" w:val="left" w:leader="none"/>
        </w:tabs>
        <w:spacing w:before="174"/>
        <w:ind w:left="265" w:right="9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八</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外币业务和外币报表折算</w:t>
      </w:r>
      <w:r>
        <w:rPr>
          <w:rFonts w:ascii="宋体" w:hAnsi="宋体" w:cs="宋体" w:eastAsia="宋体" w:hint="default"/>
          <w:sz w:val="21"/>
          <w:szCs w:val="21"/>
        </w:rPr>
      </w:r>
    </w:p>
    <w:p>
      <w:pPr>
        <w:tabs>
          <w:tab w:pos="1434" w:val="left" w:leader="none"/>
        </w:tabs>
        <w:spacing w:before="110"/>
        <w:ind w:left="895" w:right="9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外币业务</w:t>
      </w:r>
      <w:r>
        <w:rPr>
          <w:rFonts w:ascii="宋体" w:hAnsi="宋体" w:cs="宋体" w:eastAsia="宋体" w:hint="default"/>
          <w:sz w:val="21"/>
          <w:szCs w:val="21"/>
        </w:rPr>
      </w:r>
    </w:p>
    <w:p>
      <w:pPr>
        <w:spacing w:line="350" w:lineRule="auto" w:before="109"/>
        <w:ind w:left="1360" w:right="99" w:firstLine="0"/>
        <w:jc w:val="left"/>
        <w:rPr>
          <w:rFonts w:ascii="宋体" w:hAnsi="宋体" w:cs="宋体" w:eastAsia="宋体" w:hint="default"/>
          <w:sz w:val="21"/>
          <w:szCs w:val="21"/>
        </w:rPr>
      </w:pPr>
      <w:r>
        <w:rPr>
          <w:rFonts w:ascii="宋体" w:hAnsi="宋体" w:cs="宋体" w:eastAsia="宋体" w:hint="default"/>
          <w:spacing w:val="2"/>
          <w:sz w:val="21"/>
          <w:szCs w:val="21"/>
        </w:rPr>
        <w:t>外币业务采用交易发生日的即期汇率作为折算汇率将外币金额折合成人民币记</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账。</w:t>
      </w:r>
      <w:r>
        <w:rPr>
          <w:rFonts w:ascii="宋体" w:hAnsi="宋体" w:cs="宋体" w:eastAsia="宋体" w:hint="default"/>
          <w:sz w:val="21"/>
          <w:szCs w:val="21"/>
        </w:rPr>
        <w:t> </w:t>
      </w:r>
      <w:r>
        <w:rPr>
          <w:rFonts w:ascii="宋体" w:hAnsi="宋体" w:cs="宋体" w:eastAsia="宋体" w:hint="default"/>
          <w:spacing w:val="2"/>
          <w:sz w:val="21"/>
          <w:szCs w:val="21"/>
        </w:rPr>
        <w:t>外币货币性项目余额按资产负债表日即期汇率折算，由此产生的汇兑差额，除</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属于与购建符合资本化条件的资产相关的外币专门借款产生的汇兑差额按照借</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款费用资本化的原则处理外，均计入当期损益。以历史成本计量的外币非货币</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性项目，仍采用交易发生日的即期汇率折算，不改变其记账本位币金额。以公</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允价值计量的外币非货币性项目，采用公允价值确定日的即期汇率折算，由此</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产生的汇兑差额计入当期损益或资本公积。</w:t>
      </w:r>
    </w:p>
    <w:p>
      <w:pPr>
        <w:spacing w:line="240" w:lineRule="auto" w:before="0"/>
        <w:rPr>
          <w:rFonts w:ascii="宋体" w:hAnsi="宋体" w:cs="宋体" w:eastAsia="宋体" w:hint="default"/>
          <w:sz w:val="20"/>
          <w:szCs w:val="20"/>
        </w:rPr>
      </w:pPr>
    </w:p>
    <w:p>
      <w:pPr>
        <w:tabs>
          <w:tab w:pos="1434" w:val="left" w:leader="none"/>
        </w:tabs>
        <w:spacing w:line="345" w:lineRule="auto" w:before="167"/>
        <w:ind w:left="1359" w:right="21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外币财务报表的折算</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资产负债表中的资产和负债项目，采用资产负债表日的即期汇率折算；所有者 </w:t>
      </w:r>
      <w:r>
        <w:rPr>
          <w:rFonts w:ascii="宋体" w:hAnsi="宋体" w:cs="宋体" w:eastAsia="宋体" w:hint="default"/>
          <w:spacing w:val="-3"/>
          <w:sz w:val="21"/>
          <w:szCs w:val="21"/>
        </w:rPr>
        <w:t>权益项目除</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未分配利润</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项目外，其他项目采用发生时的即期汇率折算。利润表</w:t>
      </w:r>
      <w:r>
        <w:rPr>
          <w:rFonts w:ascii="宋体" w:hAnsi="宋体" w:cs="宋体" w:eastAsia="宋体" w:hint="default"/>
          <w:sz w:val="21"/>
          <w:szCs w:val="21"/>
        </w:rPr>
        <w:t> </w:t>
      </w:r>
      <w:r>
        <w:rPr>
          <w:rFonts w:ascii="宋体" w:hAnsi="宋体" w:cs="宋体" w:eastAsia="宋体" w:hint="default"/>
          <w:spacing w:val="2"/>
          <w:sz w:val="21"/>
          <w:szCs w:val="21"/>
        </w:rPr>
        <w:t>中的收入和费用项目，采用交易发生日的即期汇率折算。按照上述折算产生的</w:t>
      </w:r>
      <w:r>
        <w:rPr>
          <w:rFonts w:ascii="宋体" w:hAnsi="宋体" w:cs="宋体" w:eastAsia="宋体" w:hint="default"/>
          <w:spacing w:val="2"/>
          <w:sz w:val="21"/>
          <w:szCs w:val="21"/>
        </w:rPr>
        <w:t> </w:t>
      </w:r>
      <w:r>
        <w:rPr>
          <w:rFonts w:ascii="宋体" w:hAnsi="宋体" w:cs="宋体" w:eastAsia="宋体" w:hint="default"/>
          <w:sz w:val="21"/>
          <w:szCs w:val="21"/>
        </w:rPr>
        <w:t>外币财务报表折算差额，在资产负债表所有者权益项目下单独列示。</w:t>
      </w:r>
      <w:r>
        <w:rPr>
          <w:rFonts w:ascii="宋体" w:hAnsi="宋体" w:cs="宋体" w:eastAsia="宋体" w:hint="default"/>
          <w:sz w:val="21"/>
          <w:szCs w:val="21"/>
        </w:rPr>
        <w:t> </w:t>
      </w:r>
      <w:r>
        <w:rPr>
          <w:rFonts w:ascii="宋体" w:hAnsi="宋体" w:cs="宋体" w:eastAsia="宋体" w:hint="default"/>
          <w:spacing w:val="2"/>
          <w:sz w:val="21"/>
          <w:szCs w:val="21"/>
        </w:rPr>
        <w:t>处置境外经营时，将资产负债表中所有者权益项目下列示的、与该境外经营相</w:t>
      </w:r>
      <w:r>
        <w:rPr>
          <w:rFonts w:ascii="宋体" w:hAnsi="宋体" w:cs="宋体" w:eastAsia="宋体" w:hint="default"/>
          <w:spacing w:val="2"/>
          <w:sz w:val="21"/>
          <w:szCs w:val="21"/>
        </w:rPr>
        <w:t> 关的外币财务报表折算差额，自所有者权益项目转入处置当期损益；部分处置 境外经营的，按处置的比例计算处置部分的外币财务报表折算差额，转入处置 </w:t>
      </w:r>
      <w:r>
        <w:rPr>
          <w:rFonts w:ascii="宋体" w:hAnsi="宋体" w:cs="宋体" w:eastAsia="宋体" w:hint="default"/>
          <w:sz w:val="21"/>
          <w:szCs w:val="21"/>
        </w:rPr>
        <w:t>当期损益。</w:t>
      </w:r>
    </w:p>
    <w:p>
      <w:pPr>
        <w:spacing w:line="240" w:lineRule="auto" w:before="0"/>
        <w:rPr>
          <w:rFonts w:ascii="宋体" w:hAnsi="宋体" w:cs="宋体" w:eastAsia="宋体" w:hint="default"/>
          <w:sz w:val="20"/>
          <w:szCs w:val="20"/>
        </w:rPr>
      </w:pPr>
    </w:p>
    <w:p>
      <w:pPr>
        <w:tabs>
          <w:tab w:pos="993" w:val="left" w:leader="none"/>
          <w:tab w:pos="1434" w:val="left" w:leader="none"/>
        </w:tabs>
        <w:spacing w:line="340" w:lineRule="auto" w:before="170"/>
        <w:ind w:left="895" w:right="3496"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九</w:t>
      </w:r>
      <w:r>
        <w:rPr>
          <w:rFonts w:ascii="Times New Roman" w:hAnsi="Times New Roman" w:cs="Times New Roman" w:eastAsia="Times New Roman" w:hint="default"/>
          <w:b/>
          <w:bCs/>
          <w:w w:val="95"/>
          <w:sz w:val="21"/>
          <w:szCs w:val="21"/>
        </w:rPr>
        <w:t>)</w:t>
        <w:tab/>
        <w:tab/>
      </w:r>
      <w:r>
        <w:rPr>
          <w:rFonts w:ascii="宋体" w:hAnsi="宋体" w:cs="宋体" w:eastAsia="宋体" w:hint="default"/>
          <w:b/>
          <w:bCs/>
          <w:spacing w:val="1"/>
          <w:sz w:val="21"/>
          <w:szCs w:val="21"/>
        </w:rPr>
        <w:t>金融工具</w:t>
      </w:r>
      <w:r>
        <w:rPr>
          <w:rFonts w:ascii="宋体" w:hAnsi="宋体" w:cs="宋体" w:eastAsia="宋体" w:hint="default"/>
          <w:b/>
          <w:bCs/>
          <w:spacing w:val="1"/>
          <w:w w:val="99"/>
          <w:sz w:val="21"/>
          <w:szCs w:val="21"/>
        </w:rPr>
        <w:t> </w:t>
      </w:r>
      <w:r>
        <w:rPr>
          <w:rFonts w:ascii="宋体" w:hAnsi="宋体" w:cs="宋体" w:eastAsia="宋体" w:hint="default"/>
          <w:sz w:val="21"/>
          <w:szCs w:val="21"/>
        </w:rPr>
        <w:t>金融工具包括金融资产、金融负债和权益工具。 </w: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金融工具的分类</w:t>
      </w:r>
      <w:r>
        <w:rPr>
          <w:rFonts w:ascii="宋体" w:hAnsi="宋体" w:cs="宋体" w:eastAsia="宋体" w:hint="default"/>
          <w:sz w:val="21"/>
          <w:szCs w:val="21"/>
        </w:rPr>
      </w:r>
    </w:p>
    <w:p>
      <w:pPr>
        <w:spacing w:line="350" w:lineRule="auto" w:before="11"/>
        <w:ind w:left="1360" w:right="111" w:firstLine="0"/>
        <w:jc w:val="both"/>
        <w:rPr>
          <w:rFonts w:ascii="宋体" w:hAnsi="宋体" w:cs="宋体" w:eastAsia="宋体" w:hint="default"/>
          <w:sz w:val="21"/>
          <w:szCs w:val="21"/>
        </w:rPr>
      </w:pPr>
      <w:r>
        <w:rPr>
          <w:rFonts w:ascii="宋体" w:hAnsi="宋体" w:cs="宋体" w:eastAsia="宋体" w:hint="default"/>
          <w:spacing w:val="2"/>
          <w:sz w:val="21"/>
          <w:szCs w:val="21"/>
        </w:rPr>
        <w:t>管理层按照取得持有金融资产和承担金融负债的目的，将其划分为：以公允价</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值计量且其变动计入当期损益的金融资产或金融负债，包括交易性金融资产或</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金融负债；持有至到期投资；应收款项；可供出售金融资产；其他金融负债等。</w:t>
      </w:r>
    </w:p>
    <w:p>
      <w:pPr>
        <w:spacing w:line="240" w:lineRule="auto" w:before="0"/>
        <w:rPr>
          <w:rFonts w:ascii="宋体" w:hAnsi="宋体" w:cs="宋体" w:eastAsia="宋体" w:hint="default"/>
          <w:sz w:val="20"/>
          <w:szCs w:val="20"/>
        </w:rPr>
      </w:pPr>
    </w:p>
    <w:p>
      <w:pPr>
        <w:tabs>
          <w:tab w:pos="1434" w:val="left" w:leader="none"/>
        </w:tabs>
        <w:spacing w:before="157"/>
        <w:ind w:left="895" w:right="9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金融工具的确认依据和计量方法</w:t>
      </w:r>
      <w:r>
        <w:rPr>
          <w:rFonts w:ascii="宋体" w:hAnsi="宋体" w:cs="宋体" w:eastAsia="宋体" w:hint="default"/>
          <w:sz w:val="21"/>
          <w:szCs w:val="21"/>
        </w:rPr>
      </w:r>
    </w:p>
    <w:p>
      <w:pPr>
        <w:spacing w:line="321" w:lineRule="auto" w:before="99"/>
        <w:ind w:left="1360" w:right="99"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）以公允价值计量且其变动计入当期损益的金融资产（金融负债） </w:t>
      </w:r>
      <w:r>
        <w:rPr>
          <w:rFonts w:ascii="宋体" w:hAnsi="宋体" w:cs="宋体" w:eastAsia="宋体" w:hint="default"/>
          <w:spacing w:val="2"/>
          <w:sz w:val="21"/>
          <w:szCs w:val="21"/>
        </w:rPr>
        <w:t>取得时以公允价值（扣除已宣告但尚未发放的现金股利或已到付息期但尚未领</w:t>
      </w:r>
      <w:r>
        <w:rPr>
          <w:rFonts w:ascii="宋体" w:hAnsi="宋体" w:cs="宋体" w:eastAsia="宋体" w:hint="default"/>
          <w:sz w:val="21"/>
          <w:szCs w:val="21"/>
        </w:rPr>
      </w:r>
    </w:p>
    <w:p>
      <w:pPr>
        <w:spacing w:after="0" w:line="321" w:lineRule="auto"/>
        <w:jc w:val="left"/>
        <w:rPr>
          <w:rFonts w:ascii="宋体" w:hAnsi="宋体" w:cs="宋体" w:eastAsia="宋体" w:hint="default"/>
          <w:sz w:val="21"/>
          <w:szCs w:val="21"/>
        </w:rPr>
        <w:sectPr>
          <w:footerReference w:type="default" r:id="rId52"/>
          <w:pgSz w:w="11910" w:h="16840"/>
          <w:pgMar w:footer="1270" w:header="686" w:top="1360" w:bottom="1460" w:left="1520" w:right="1580"/>
          <w:pgNumType w:start="103"/>
        </w:sectPr>
      </w:pPr>
    </w:p>
    <w:p>
      <w:pPr>
        <w:spacing w:line="240" w:lineRule="auto" w:before="8"/>
        <w:rPr>
          <w:rFonts w:ascii="宋体" w:hAnsi="宋体" w:cs="宋体" w:eastAsia="宋体" w:hint="default"/>
          <w:sz w:val="25"/>
          <w:szCs w:val="25"/>
        </w:rPr>
      </w:pPr>
    </w:p>
    <w:p>
      <w:pPr>
        <w:spacing w:line="340" w:lineRule="auto" w:before="35"/>
        <w:ind w:left="1360" w:right="99" w:firstLine="0"/>
        <w:jc w:val="left"/>
        <w:rPr>
          <w:rFonts w:ascii="宋体" w:hAnsi="宋体" w:cs="宋体" w:eastAsia="宋体" w:hint="default"/>
          <w:sz w:val="21"/>
          <w:szCs w:val="21"/>
        </w:rPr>
      </w:pPr>
      <w:r>
        <w:rPr>
          <w:rFonts w:ascii="宋体" w:hAnsi="宋体" w:cs="宋体" w:eastAsia="宋体" w:hint="default"/>
          <w:sz w:val="21"/>
          <w:szCs w:val="21"/>
        </w:rPr>
        <w:t>取的债券利息）作为初始确认金额，相关的交易费用计入当期损益。 </w:t>
      </w:r>
      <w:r>
        <w:rPr>
          <w:rFonts w:ascii="宋体" w:hAnsi="宋体" w:cs="宋体" w:eastAsia="宋体" w:hint="default"/>
          <w:spacing w:val="2"/>
          <w:sz w:val="21"/>
          <w:szCs w:val="21"/>
        </w:rPr>
        <w:t>持有期间将取得的利息或现金股利确认为投资收益，期末将公允价值变动计入</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当期损益。</w:t>
      </w:r>
      <w:r>
        <w:rPr>
          <w:rFonts w:ascii="宋体" w:hAnsi="宋体" w:cs="宋体" w:eastAsia="宋体" w:hint="default"/>
          <w:sz w:val="21"/>
          <w:szCs w:val="21"/>
        </w:rPr>
        <w:t> </w:t>
      </w:r>
      <w:r>
        <w:rPr>
          <w:rFonts w:ascii="宋体" w:hAnsi="宋体" w:cs="宋体" w:eastAsia="宋体" w:hint="default"/>
          <w:spacing w:val="2"/>
          <w:sz w:val="21"/>
          <w:szCs w:val="21"/>
        </w:rPr>
        <w:t>处置时，其公允价值与初始入账金额之间的差额确认为投资收益，同时调整公</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允价值变动损益。</w:t>
      </w:r>
    </w:p>
    <w:p>
      <w:pPr>
        <w:spacing w:line="336" w:lineRule="auto" w:before="27"/>
        <w:ind w:left="1360" w:right="99"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 </w:t>
      </w:r>
      <w:r>
        <w:rPr>
          <w:rFonts w:ascii="宋体" w:hAnsi="宋体" w:cs="宋体" w:eastAsia="宋体" w:hint="default"/>
          <w:spacing w:val="2"/>
          <w:sz w:val="21"/>
          <w:szCs w:val="21"/>
        </w:rPr>
        <w:t>取得时按公允价值（扣除已到付息期但尚未领取的债券利息）和相关交易费用</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之和作为初始确认金额。</w:t>
      </w:r>
      <w:r>
        <w:rPr>
          <w:rFonts w:ascii="宋体" w:hAnsi="宋体" w:cs="宋体" w:eastAsia="宋体" w:hint="default"/>
          <w:sz w:val="21"/>
          <w:szCs w:val="21"/>
        </w:rPr>
        <w:t> </w:t>
      </w:r>
      <w:r>
        <w:rPr>
          <w:rFonts w:ascii="宋体" w:hAnsi="宋体" w:cs="宋体" w:eastAsia="宋体" w:hint="default"/>
          <w:spacing w:val="2"/>
          <w:sz w:val="21"/>
          <w:szCs w:val="21"/>
        </w:rPr>
        <w:t>持有期间按照摊余成本和实际利率计算确认利息收入，计入投资收益。实际利</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率在取得时确定，在该预期存续期间或适用的更短期间内保持不变。</w:t>
      </w:r>
      <w:r>
        <w:rPr>
          <w:rFonts w:ascii="宋体" w:hAnsi="宋体" w:cs="宋体" w:eastAsia="宋体" w:hint="default"/>
          <w:sz w:val="21"/>
          <w:szCs w:val="21"/>
        </w:rPr>
        <w:t> 处置时，将所取得价款与该投资账面价值之间的差额计入投资收益。</w:t>
      </w:r>
    </w:p>
    <w:p>
      <w:pPr>
        <w:spacing w:line="336" w:lineRule="auto" w:before="31"/>
        <w:ind w:left="1360" w:right="109"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）应收款项 </w:t>
      </w:r>
      <w:r>
        <w:rPr>
          <w:rFonts w:ascii="宋体" w:hAnsi="宋体" w:cs="宋体" w:eastAsia="宋体" w:hint="default"/>
          <w:spacing w:val="2"/>
          <w:sz w:val="21"/>
          <w:szCs w:val="21"/>
        </w:rPr>
        <w:t>公司对外销售商品或提供劳务形成的应收债权，以及公司持有的其他企业的不</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sz w:val="21"/>
          <w:szCs w:val="21"/>
        </w:rPr>
        <w:t>包括在活跃市场上有报价的债务工具的债权，包括应收账款、其他应收款等，</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sz w:val="21"/>
          <w:szCs w:val="21"/>
        </w:rPr>
        <w:t>以向购货方应收的合同或协议价款作为初始确认金额；具有融资性质的，按其</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现值进行初始确认。</w:t>
      </w:r>
      <w:r>
        <w:rPr>
          <w:rFonts w:ascii="宋体" w:hAnsi="宋体" w:cs="宋体" w:eastAsia="宋体" w:hint="default"/>
          <w:sz w:val="21"/>
          <w:szCs w:val="21"/>
        </w:rPr>
        <w:t> </w:t>
      </w:r>
      <w:r>
        <w:rPr>
          <w:rFonts w:ascii="宋体" w:hAnsi="宋体" w:cs="宋体" w:eastAsia="宋体" w:hint="default"/>
          <w:spacing w:val="-1"/>
          <w:sz w:val="21"/>
          <w:szCs w:val="21"/>
        </w:rPr>
        <w:t>收回或处置时，将取得的价款与该应收款项账面价值之间的差额计入当期损益。</w:t>
      </w:r>
    </w:p>
    <w:p>
      <w:pPr>
        <w:spacing w:line="338" w:lineRule="auto" w:before="31"/>
        <w:ind w:left="1360" w:right="109"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）可供出售金融资产 </w:t>
      </w:r>
      <w:r>
        <w:rPr>
          <w:rFonts w:ascii="宋体" w:hAnsi="宋体" w:cs="宋体" w:eastAsia="宋体" w:hint="default"/>
          <w:spacing w:val="2"/>
          <w:sz w:val="21"/>
          <w:szCs w:val="21"/>
        </w:rPr>
        <w:t>取得时按公允价值（扣除已宣告但尚未发放的现金股利或已到付息期但尚未领</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取的债券利息）和相关交易费用之和作为初始确认金额。</w:t>
      </w:r>
      <w:r>
        <w:rPr>
          <w:rFonts w:ascii="宋体" w:hAnsi="宋体" w:cs="宋体" w:eastAsia="宋体" w:hint="default"/>
          <w:sz w:val="21"/>
          <w:szCs w:val="21"/>
        </w:rPr>
        <w:t> </w:t>
      </w:r>
      <w:r>
        <w:rPr>
          <w:rFonts w:ascii="宋体" w:hAnsi="宋体" w:cs="宋体" w:eastAsia="宋体" w:hint="default"/>
          <w:spacing w:val="2"/>
          <w:sz w:val="21"/>
          <w:szCs w:val="21"/>
        </w:rPr>
        <w:t>持有期间将取得的利息或现金股利确认为投资收益。期末以公允价值计量且将</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5"/>
          <w:sz w:val="21"/>
          <w:szCs w:val="21"/>
        </w:rPr>
        <w:t>公允价值变动计入资本公积（其他资本公积）。</w:t>
      </w:r>
      <w:r>
        <w:rPr>
          <w:rFonts w:ascii="宋体" w:hAnsi="宋体" w:cs="宋体" w:eastAsia="宋体" w:hint="default"/>
          <w:sz w:val="21"/>
          <w:szCs w:val="21"/>
        </w:rPr>
        <w:t> </w:t>
      </w:r>
      <w:r>
        <w:rPr>
          <w:rFonts w:ascii="宋体" w:hAnsi="宋体" w:cs="宋体" w:eastAsia="宋体" w:hint="default"/>
          <w:spacing w:val="2"/>
          <w:sz w:val="21"/>
          <w:szCs w:val="21"/>
        </w:rPr>
        <w:t>处置时，将取得的价款与该金融资产账面价值之间的差额，计入投资损益；同</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1"/>
          <w:sz w:val="21"/>
          <w:szCs w:val="21"/>
        </w:rPr>
        <w:t>时，将原直接计入所有者权益的公允价值变动累计额对应处置部分的金额转出，</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计入投资损益。</w:t>
      </w:r>
    </w:p>
    <w:p>
      <w:pPr>
        <w:spacing w:line="331" w:lineRule="auto" w:before="29"/>
        <w:ind w:left="1360" w:right="99"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）其他金融负债 </w:t>
      </w:r>
      <w:r>
        <w:rPr>
          <w:rFonts w:ascii="宋体" w:hAnsi="宋体" w:cs="宋体" w:eastAsia="宋体" w:hint="default"/>
          <w:spacing w:val="2"/>
          <w:sz w:val="21"/>
          <w:szCs w:val="21"/>
        </w:rPr>
        <w:t>按其公允价值和相关交易费用之和作为初始确认金额。采用摊余成本进行后续</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计量。</w:t>
      </w:r>
    </w:p>
    <w:p>
      <w:pPr>
        <w:spacing w:line="240" w:lineRule="auto" w:before="0"/>
        <w:rPr>
          <w:rFonts w:ascii="宋体" w:hAnsi="宋体" w:cs="宋体" w:eastAsia="宋体" w:hint="default"/>
          <w:sz w:val="20"/>
          <w:szCs w:val="20"/>
        </w:rPr>
      </w:pPr>
    </w:p>
    <w:p>
      <w:pPr>
        <w:tabs>
          <w:tab w:pos="1434" w:val="left" w:leader="none"/>
        </w:tabs>
        <w:spacing w:line="336" w:lineRule="auto" w:before="164"/>
        <w:ind w:left="1360" w:right="21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r>
      <w:r>
        <w:rPr>
          <w:rFonts w:ascii="宋体" w:hAnsi="宋体" w:cs="宋体" w:eastAsia="宋体" w:hint="default"/>
          <w:b/>
          <w:bCs/>
          <w:sz w:val="21"/>
          <w:szCs w:val="21"/>
        </w:rPr>
        <w:t>金融资产转移的确认依据和计量方法</w:t>
      </w:r>
      <w:r>
        <w:rPr>
          <w:rFonts w:ascii="宋体" w:hAnsi="宋体" w:cs="宋体" w:eastAsia="宋体" w:hint="default"/>
          <w:b/>
          <w:bCs/>
          <w:w w:val="99"/>
          <w:sz w:val="21"/>
          <w:szCs w:val="21"/>
        </w:rPr>
        <w:t> </w:t>
      </w:r>
      <w:r>
        <w:rPr>
          <w:rFonts w:ascii="宋体" w:hAnsi="宋体" w:cs="宋体" w:eastAsia="宋体" w:hint="default"/>
          <w:spacing w:val="2"/>
          <w:sz w:val="21"/>
          <w:szCs w:val="21"/>
        </w:rPr>
        <w:t>公司发生金融资产转移时，如已将金融资产所有权上几乎所有的风险和报酬转 移给转入方，则终止确认该金融资产；如保留了金融资产所有权上几乎所有的 </w:t>
      </w:r>
      <w:r>
        <w:rPr>
          <w:rFonts w:ascii="宋体" w:hAnsi="宋体" w:cs="宋体" w:eastAsia="宋体" w:hint="default"/>
          <w:sz w:val="21"/>
          <w:szCs w:val="21"/>
        </w:rPr>
        <w:t>风险和报酬的，则不终止确认该金融资产。</w:t>
      </w:r>
      <w:r>
        <w:rPr>
          <w:rFonts w:ascii="宋体" w:hAnsi="宋体" w:cs="宋体" w:eastAsia="宋体" w:hint="default"/>
          <w:sz w:val="21"/>
          <w:szCs w:val="21"/>
        </w:rPr>
        <w:t> </w:t>
      </w:r>
      <w:r>
        <w:rPr>
          <w:rFonts w:ascii="宋体" w:hAnsi="宋体" w:cs="宋体" w:eastAsia="宋体" w:hint="default"/>
          <w:spacing w:val="2"/>
          <w:sz w:val="21"/>
          <w:szCs w:val="21"/>
        </w:rPr>
        <w:t>在判断金融资产转移是否满足上述金融资产终止确认条件时，采用实质重于形</w:t>
      </w:r>
      <w:r>
        <w:rPr>
          <w:rFonts w:ascii="宋体" w:hAnsi="宋体" w:cs="宋体" w:eastAsia="宋体" w:hint="default"/>
          <w:spacing w:val="2"/>
          <w:sz w:val="21"/>
          <w:szCs w:val="21"/>
        </w:rPr>
        <w:t> 式的原则。公司将金融资产转移区分为金融资产整体转移和部分转移。金融资</w:t>
      </w:r>
      <w:r>
        <w:rPr>
          <w:rFonts w:ascii="宋体" w:hAnsi="宋体" w:cs="宋体" w:eastAsia="宋体" w:hint="default"/>
          <w:sz w:val="21"/>
          <w:szCs w:val="21"/>
        </w:rPr>
      </w:r>
    </w:p>
    <w:p>
      <w:pPr>
        <w:spacing w:after="0" w:line="336" w:lineRule="auto"/>
        <w:jc w:val="left"/>
        <w:rPr>
          <w:rFonts w:ascii="宋体" w:hAnsi="宋体" w:cs="宋体" w:eastAsia="宋体" w:hint="default"/>
          <w:sz w:val="21"/>
          <w:szCs w:val="21"/>
        </w:rPr>
        <w:sectPr>
          <w:footerReference w:type="default" r:id="rId53"/>
          <w:pgSz w:w="11910" w:h="16840"/>
          <w:pgMar w:footer="1270" w:header="686" w:top="1360" w:bottom="1460" w:left="1520" w:right="1580"/>
          <w:pgNumType w:start="104"/>
        </w:sectPr>
      </w:pPr>
    </w:p>
    <w:p>
      <w:pPr>
        <w:spacing w:line="240" w:lineRule="auto" w:before="8"/>
        <w:rPr>
          <w:rFonts w:ascii="宋体" w:hAnsi="宋体" w:cs="宋体" w:eastAsia="宋体" w:hint="default"/>
          <w:sz w:val="25"/>
          <w:szCs w:val="25"/>
        </w:rPr>
      </w:pPr>
    </w:p>
    <w:p>
      <w:pPr>
        <w:spacing w:before="35"/>
        <w:ind w:left="1360" w:right="0" w:firstLine="0"/>
        <w:jc w:val="left"/>
        <w:rPr>
          <w:rFonts w:ascii="宋体" w:hAnsi="宋体" w:cs="宋体" w:eastAsia="宋体" w:hint="default"/>
          <w:sz w:val="21"/>
          <w:szCs w:val="21"/>
        </w:rPr>
      </w:pPr>
      <w:r>
        <w:rPr>
          <w:rFonts w:ascii="宋体" w:hAnsi="宋体" w:cs="宋体" w:eastAsia="宋体" w:hint="default"/>
          <w:sz w:val="21"/>
          <w:szCs w:val="21"/>
        </w:rPr>
        <w:t>产整体转移满足终止确认条件的，将下列两项金额的差额计入当期损益：</w:t>
      </w:r>
    </w:p>
    <w:p>
      <w:pPr>
        <w:spacing w:before="115"/>
        <w:ind w:left="1360" w:right="220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）所转移金融资产的账面价值；</w:t>
      </w:r>
    </w:p>
    <w:p>
      <w:pPr>
        <w:spacing w:line="336" w:lineRule="auto" w:before="99"/>
        <w:ind w:left="1360" w:right="0" w:hanging="1"/>
        <w:jc w:val="left"/>
        <w:rPr>
          <w:rFonts w:ascii="宋体" w:hAnsi="宋体" w:cs="宋体" w:eastAsia="宋体" w:hint="default"/>
          <w:sz w:val="21"/>
          <w:szCs w:val="21"/>
        </w:rPr>
      </w:pPr>
      <w:r>
        <w:rPr>
          <w:rFonts w:ascii="宋体" w:hAnsi="宋体" w:cs="宋体" w:eastAsia="宋体" w:hint="default"/>
          <w:spacing w:val="-7"/>
          <w:sz w:val="21"/>
          <w:szCs w:val="21"/>
        </w:rPr>
        <w:t>（</w:t>
      </w:r>
      <w:r>
        <w:rPr>
          <w:rFonts w:ascii="Times New Roman" w:hAnsi="Times New Roman" w:cs="Times New Roman" w:eastAsia="Times New Roman" w:hint="default"/>
          <w:spacing w:val="-7"/>
          <w:sz w:val="21"/>
          <w:szCs w:val="21"/>
        </w:rPr>
        <w:t>2</w:t>
      </w:r>
      <w:r>
        <w:rPr>
          <w:rFonts w:ascii="宋体" w:hAnsi="宋体" w:cs="宋体" w:eastAsia="宋体" w:hint="default"/>
          <w:spacing w:val="-7"/>
          <w:sz w:val="21"/>
          <w:szCs w:val="21"/>
        </w:rPr>
        <w:t>）因转移而收到的对价，与原直接计入所有者权益的公允价值变动累计额（涉</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及转移的金融资产为可供出售金融资产的情形）之和。 </w:t>
      </w:r>
      <w:r>
        <w:rPr>
          <w:rFonts w:ascii="宋体" w:hAnsi="宋体" w:cs="宋体" w:eastAsia="宋体" w:hint="default"/>
          <w:spacing w:val="2"/>
          <w:sz w:val="21"/>
          <w:szCs w:val="21"/>
        </w:rPr>
        <w:t>金融资产部分转移满足终止确认条件的，将所转移金融资产整体的账面价值，</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sz w:val="21"/>
          <w:szCs w:val="21"/>
        </w:rPr>
        <w:t>在终止确认部分和未终止确认部分之间，按照各自的相对公允价值进行分摊，</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并将下列两项金额的差额计入当期损益：</w:t>
      </w:r>
    </w:p>
    <w:p>
      <w:pPr>
        <w:spacing w:before="20"/>
        <w:ind w:left="1360" w:right="220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）终止确认部分的账面价值；</w:t>
      </w:r>
    </w:p>
    <w:p>
      <w:pPr>
        <w:spacing w:line="326" w:lineRule="auto" w:before="89"/>
        <w:ind w:left="1360"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）终止确认部分的对价，与原直接计入所有者权益的公允价值变动累计额中</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2"/>
          <w:sz w:val="21"/>
          <w:szCs w:val="21"/>
        </w:rPr>
        <w:t>对应终止确认部分的金额（涉及转移的金融资产为可供出售金融资产的情形）</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之和。</w:t>
      </w:r>
      <w:r>
        <w:rPr>
          <w:rFonts w:ascii="宋体" w:hAnsi="宋体" w:cs="宋体" w:eastAsia="宋体" w:hint="default"/>
          <w:sz w:val="21"/>
          <w:szCs w:val="21"/>
        </w:rPr>
        <w:t> </w:t>
      </w:r>
      <w:r>
        <w:rPr>
          <w:rFonts w:ascii="宋体" w:hAnsi="宋体" w:cs="宋体" w:eastAsia="宋体" w:hint="default"/>
          <w:spacing w:val="2"/>
          <w:sz w:val="21"/>
          <w:szCs w:val="21"/>
        </w:rPr>
        <w:t>金融资产转移不满足终止确认条件的，继续确认该金融资产，所收到的对价确</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认为一项金融负债。</w:t>
      </w:r>
    </w:p>
    <w:p>
      <w:pPr>
        <w:spacing w:line="240" w:lineRule="auto" w:before="0"/>
        <w:rPr>
          <w:rFonts w:ascii="宋体" w:hAnsi="宋体" w:cs="宋体" w:eastAsia="宋体" w:hint="default"/>
          <w:sz w:val="20"/>
          <w:szCs w:val="20"/>
        </w:rPr>
      </w:pPr>
    </w:p>
    <w:p>
      <w:pPr>
        <w:tabs>
          <w:tab w:pos="1434" w:val="left" w:leader="none"/>
        </w:tabs>
        <w:spacing w:line="331" w:lineRule="auto" w:before="148"/>
        <w:ind w:left="1360" w:right="13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tab/>
      </w:r>
      <w:r>
        <w:rPr>
          <w:rFonts w:ascii="宋体" w:hAnsi="宋体" w:cs="宋体" w:eastAsia="宋体" w:hint="default"/>
          <w:b/>
          <w:bCs/>
          <w:sz w:val="21"/>
          <w:szCs w:val="21"/>
        </w:rPr>
        <w:t>金融负债终止确认条件</w:t>
      </w:r>
      <w:r>
        <w:rPr>
          <w:rFonts w:ascii="宋体" w:hAnsi="宋体" w:cs="宋体" w:eastAsia="宋体" w:hint="default"/>
          <w:b/>
          <w:bCs/>
          <w:w w:val="99"/>
          <w:sz w:val="21"/>
          <w:szCs w:val="21"/>
        </w:rPr>
        <w:t> </w:t>
      </w:r>
      <w:r>
        <w:rPr>
          <w:rFonts w:ascii="宋体" w:hAnsi="宋体" w:cs="宋体" w:eastAsia="宋体" w:hint="default"/>
          <w:spacing w:val="2"/>
          <w:sz w:val="21"/>
          <w:szCs w:val="21"/>
        </w:rPr>
        <w:t>金融负债的现时义务全部或部分已经解除的，则终止确认该金融负债或其一部 分；本公司若与债权人签定协议，以承担新金融负债方式替换现存金融负债， 且新金融负债与现存金融负债的合同条款实质上不同的，则终止确认现存金融 </w:t>
      </w:r>
      <w:r>
        <w:rPr>
          <w:rFonts w:ascii="宋体" w:hAnsi="宋体" w:cs="宋体" w:eastAsia="宋体" w:hint="default"/>
          <w:sz w:val="21"/>
          <w:szCs w:val="21"/>
        </w:rPr>
        <w:t>负债，并同时确认新金融负债。</w:t>
      </w:r>
      <w:r>
        <w:rPr>
          <w:rFonts w:ascii="宋体" w:hAnsi="宋体" w:cs="宋体" w:eastAsia="宋体" w:hint="default"/>
          <w:sz w:val="21"/>
          <w:szCs w:val="21"/>
        </w:rPr>
        <w:t> </w:t>
      </w:r>
      <w:r>
        <w:rPr>
          <w:rFonts w:ascii="宋体" w:hAnsi="宋体" w:cs="宋体" w:eastAsia="宋体" w:hint="default"/>
          <w:spacing w:val="2"/>
          <w:sz w:val="21"/>
          <w:szCs w:val="21"/>
        </w:rPr>
        <w:t>对现存金融负债全部或部分合同条款作出实质性修改的，则终止确认现存金融</w:t>
      </w:r>
      <w:r>
        <w:rPr>
          <w:rFonts w:ascii="宋体" w:hAnsi="宋体" w:cs="宋体" w:eastAsia="宋体" w:hint="default"/>
          <w:spacing w:val="2"/>
          <w:sz w:val="21"/>
          <w:szCs w:val="21"/>
        </w:rPr>
        <w:t> </w:t>
      </w:r>
      <w:r>
        <w:rPr>
          <w:rFonts w:ascii="宋体" w:hAnsi="宋体" w:cs="宋体" w:eastAsia="宋体" w:hint="default"/>
          <w:sz w:val="21"/>
          <w:szCs w:val="21"/>
        </w:rPr>
        <w:t>负债或其一部分，同时将修改条款后的金融负债确认为一项新金融负债。</w:t>
      </w:r>
      <w:r>
        <w:rPr>
          <w:rFonts w:ascii="宋体" w:hAnsi="宋体" w:cs="宋体" w:eastAsia="宋体" w:hint="default"/>
          <w:sz w:val="21"/>
          <w:szCs w:val="21"/>
        </w:rPr>
        <w:t> </w:t>
      </w:r>
      <w:r>
        <w:rPr>
          <w:rFonts w:ascii="宋体" w:hAnsi="宋体" w:cs="宋体" w:eastAsia="宋体" w:hint="default"/>
          <w:spacing w:val="-4"/>
          <w:sz w:val="21"/>
          <w:szCs w:val="21"/>
        </w:rPr>
        <w:t>金融负债全部或部分终止确认时，终止确认的金融负债账面价值与支付对价（包</w:t>
      </w:r>
      <w:r>
        <w:rPr>
          <w:rFonts w:ascii="宋体" w:hAnsi="宋体" w:cs="宋体" w:eastAsia="宋体" w:hint="default"/>
          <w:sz w:val="21"/>
          <w:szCs w:val="21"/>
        </w:rPr>
        <w:t> 括转出的非现金资产或承担的新金融负债）之间的差额，计入当期损益。 </w:t>
      </w:r>
      <w:r>
        <w:rPr>
          <w:rFonts w:ascii="宋体" w:hAnsi="宋体" w:cs="宋体" w:eastAsia="宋体" w:hint="default"/>
          <w:spacing w:val="2"/>
          <w:sz w:val="21"/>
          <w:szCs w:val="21"/>
        </w:rPr>
        <w:t>本公司若回购部分金融负债的，在回购日按照继续确认部分与终止确认部分的</w:t>
      </w:r>
      <w:r>
        <w:rPr>
          <w:rFonts w:ascii="宋体" w:hAnsi="宋体" w:cs="宋体" w:eastAsia="宋体" w:hint="default"/>
          <w:spacing w:val="2"/>
          <w:sz w:val="21"/>
          <w:szCs w:val="21"/>
        </w:rPr>
        <w:t> 相对公允价值，将该金融负债整体的账面价值进行分配。分配给终止确认部分 的账面价值与支付的对价（包括转出的非现金资产或承担的新金融负债）之间 </w:t>
      </w:r>
      <w:r>
        <w:rPr>
          <w:rFonts w:ascii="宋体" w:hAnsi="宋体" w:cs="宋体" w:eastAsia="宋体" w:hint="default"/>
          <w:sz w:val="21"/>
          <w:szCs w:val="21"/>
        </w:rPr>
        <w:t>的差额，计入当期损益。</w:t>
      </w:r>
    </w:p>
    <w:p>
      <w:pPr>
        <w:spacing w:line="240" w:lineRule="auto" w:before="0"/>
        <w:rPr>
          <w:rFonts w:ascii="宋体" w:hAnsi="宋体" w:cs="宋体" w:eastAsia="宋体" w:hint="default"/>
          <w:sz w:val="20"/>
          <w:szCs w:val="20"/>
        </w:rPr>
      </w:pPr>
    </w:p>
    <w:p>
      <w:pPr>
        <w:tabs>
          <w:tab w:pos="1434" w:val="left" w:leader="none"/>
        </w:tabs>
        <w:spacing w:line="321" w:lineRule="auto" w:before="143"/>
        <w:ind w:left="1360" w:right="13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tab/>
      </w:r>
      <w:r>
        <w:rPr>
          <w:rFonts w:ascii="宋体" w:hAnsi="宋体" w:cs="宋体" w:eastAsia="宋体" w:hint="default"/>
          <w:b/>
          <w:bCs/>
          <w:sz w:val="21"/>
          <w:szCs w:val="21"/>
        </w:rPr>
        <w:t>金融资产和金融负债公允价值的确定方法</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本公司采用公允价值计量的金融资产和金融负债全部直接参考活跃市场中的报 </w:t>
      </w:r>
      <w:r>
        <w:rPr>
          <w:rFonts w:ascii="宋体" w:hAnsi="宋体" w:cs="宋体" w:eastAsia="宋体" w:hint="default"/>
          <w:sz w:val="21"/>
          <w:szCs w:val="21"/>
        </w:rPr>
        <w:t>价</w:t>
      </w:r>
    </w:p>
    <w:p>
      <w:pPr>
        <w:spacing w:line="240" w:lineRule="auto" w:before="0"/>
        <w:rPr>
          <w:rFonts w:ascii="宋体" w:hAnsi="宋体" w:cs="宋体" w:eastAsia="宋体" w:hint="default"/>
          <w:sz w:val="20"/>
          <w:szCs w:val="20"/>
        </w:rPr>
      </w:pPr>
    </w:p>
    <w:p>
      <w:pPr>
        <w:tabs>
          <w:tab w:pos="1434" w:val="left" w:leader="none"/>
        </w:tabs>
        <w:spacing w:line="321" w:lineRule="auto" w:before="153"/>
        <w:ind w:left="1360" w:right="13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tab/>
      </w:r>
      <w:r>
        <w:rPr>
          <w:rFonts w:ascii="宋体" w:hAnsi="宋体" w:cs="宋体" w:eastAsia="宋体" w:hint="default"/>
          <w:b/>
          <w:bCs/>
          <w:sz w:val="21"/>
          <w:szCs w:val="21"/>
        </w:rPr>
        <w:t>金融资产（不含应收款项）减值准备计提</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除以公允价值计量且其变动计入当期损益的金融资产外，本公司于资产负债表 日对金融资产的账面价值进行检查，如果有客观证据表明某项金融资产发生减</w:t>
      </w:r>
      <w:r>
        <w:rPr>
          <w:rFonts w:ascii="宋体" w:hAnsi="宋体" w:cs="宋体" w:eastAsia="宋体" w:hint="default"/>
          <w:sz w:val="21"/>
          <w:szCs w:val="21"/>
        </w:rPr>
      </w:r>
    </w:p>
    <w:p>
      <w:pPr>
        <w:spacing w:after="0" w:line="321" w:lineRule="auto"/>
        <w:jc w:val="left"/>
        <w:rPr>
          <w:rFonts w:ascii="宋体" w:hAnsi="宋体" w:cs="宋体" w:eastAsia="宋体" w:hint="default"/>
          <w:sz w:val="21"/>
          <w:szCs w:val="21"/>
        </w:rPr>
        <w:sectPr>
          <w:pgSz w:w="11910" w:h="16840"/>
          <w:pgMar w:header="686" w:footer="1270" w:top="1360" w:bottom="1460" w:left="1520" w:right="1660"/>
        </w:sectPr>
      </w:pPr>
    </w:p>
    <w:p>
      <w:pPr>
        <w:spacing w:line="240" w:lineRule="auto" w:before="10"/>
        <w:rPr>
          <w:rFonts w:ascii="宋体" w:hAnsi="宋体" w:cs="宋体" w:eastAsia="宋体" w:hint="default"/>
          <w:sz w:val="24"/>
          <w:szCs w:val="24"/>
        </w:rPr>
      </w:pPr>
    </w:p>
    <w:p>
      <w:pPr>
        <w:spacing w:before="35"/>
        <w:ind w:left="1360" w:right="99" w:firstLine="0"/>
        <w:jc w:val="left"/>
        <w:rPr>
          <w:rFonts w:ascii="宋体" w:hAnsi="宋体" w:cs="宋体" w:eastAsia="宋体" w:hint="default"/>
          <w:sz w:val="21"/>
          <w:szCs w:val="21"/>
        </w:rPr>
      </w:pPr>
      <w:r>
        <w:rPr>
          <w:rFonts w:ascii="宋体" w:hAnsi="宋体" w:cs="宋体" w:eastAsia="宋体" w:hint="default"/>
          <w:sz w:val="21"/>
          <w:szCs w:val="21"/>
        </w:rPr>
        <w:t>值的，计提减值准备。</w:t>
      </w:r>
    </w:p>
    <w:p>
      <w:pPr>
        <w:spacing w:line="312" w:lineRule="auto" w:before="86"/>
        <w:ind w:left="1360" w:right="109"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）可供出售金融资产的减值准备： </w:t>
      </w:r>
      <w:r>
        <w:rPr>
          <w:rFonts w:ascii="宋体" w:hAnsi="宋体" w:cs="宋体" w:eastAsia="宋体" w:hint="default"/>
          <w:spacing w:val="2"/>
          <w:sz w:val="21"/>
          <w:szCs w:val="21"/>
        </w:rPr>
        <w:t>期末如果可供出售金融资产的公允价值发生较大幅度下降，或在综合考虑各种</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sz w:val="21"/>
          <w:szCs w:val="21"/>
        </w:rPr>
        <w:t>相关因素后，预期这种下降趋势属于非暂时性的，就认定其已发生减值，将原</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1"/>
          <w:sz w:val="21"/>
          <w:szCs w:val="21"/>
        </w:rPr>
        <w:t>直接计入所有者权益的公允价值下降形成的累计损失一并转出，确认减值损失。</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2"/>
          <w:sz w:val="21"/>
          <w:szCs w:val="21"/>
        </w:rPr>
        <w:t>对于已确认减值损失的可供出售债务工具，在随后的会计期间公允价值已上升</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sz w:val="21"/>
          <w:szCs w:val="21"/>
        </w:rPr>
        <w:t>且客观上与确认原减值损失确认后发生的事项有关的，原确认的减值损失予以</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转回，计入当期损益。</w:t>
      </w:r>
      <w:r>
        <w:rPr>
          <w:rFonts w:ascii="宋体" w:hAnsi="宋体" w:cs="宋体" w:eastAsia="宋体" w:hint="default"/>
          <w:sz w:val="21"/>
          <w:szCs w:val="21"/>
        </w:rPr>
        <w:t> 可供出售权益工具投资发生的减值损失，不得通过损益转回。</w:t>
      </w:r>
    </w:p>
    <w:p>
      <w:pPr>
        <w:spacing w:line="268" w:lineRule="auto" w:before="22"/>
        <w:ind w:left="1360" w:right="203" w:firstLine="0"/>
        <w:jc w:val="left"/>
        <w:rPr>
          <w:rFonts w:ascii="宋体" w:hAnsi="宋体" w:cs="宋体" w:eastAsia="宋体" w:hint="default"/>
          <w:sz w:val="24"/>
          <w:szCs w:val="24"/>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）持有至到期投资的减值准备： </w:t>
      </w:r>
      <w:r>
        <w:rPr>
          <w:rFonts w:ascii="宋体" w:hAnsi="宋体" w:cs="宋体" w:eastAsia="宋体" w:hint="default"/>
          <w:spacing w:val="9"/>
          <w:sz w:val="24"/>
          <w:szCs w:val="24"/>
        </w:rPr>
        <w:t>持有至到期投资减值损失的计量比照应收款项减值损失计量方法处</w:t>
      </w:r>
      <w:r>
        <w:rPr>
          <w:rFonts w:ascii="宋体" w:hAnsi="宋体" w:cs="宋体" w:eastAsia="宋体" w:hint="default"/>
          <w:spacing w:val="9"/>
          <w:sz w:val="24"/>
          <w:szCs w:val="24"/>
        </w:rPr>
        <w:t> </w:t>
      </w:r>
      <w:r>
        <w:rPr>
          <w:rFonts w:ascii="宋体" w:hAnsi="宋体" w:cs="宋体" w:eastAsia="宋体" w:hint="default"/>
          <w:sz w:val="24"/>
          <w:szCs w:val="24"/>
        </w:rPr>
        <w:t>理。</w:t>
      </w:r>
    </w:p>
    <w:p>
      <w:pPr>
        <w:spacing w:line="240" w:lineRule="auto" w:before="2"/>
        <w:rPr>
          <w:rFonts w:ascii="宋体" w:hAnsi="宋体" w:cs="宋体" w:eastAsia="宋体" w:hint="default"/>
          <w:sz w:val="32"/>
          <w:szCs w:val="32"/>
        </w:rPr>
      </w:pPr>
    </w:p>
    <w:p>
      <w:pPr>
        <w:tabs>
          <w:tab w:pos="993" w:val="left" w:leader="none"/>
        </w:tabs>
        <w:spacing w:before="0"/>
        <w:ind w:left="265" w:right="9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十</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应收款项坏账准备</w:t>
      </w:r>
      <w:r>
        <w:rPr>
          <w:rFonts w:ascii="宋体" w:hAnsi="宋体" w:cs="宋体" w:eastAsia="宋体" w:hint="default"/>
          <w:sz w:val="21"/>
          <w:szCs w:val="21"/>
        </w:rPr>
      </w:r>
    </w:p>
    <w:p>
      <w:pPr>
        <w:tabs>
          <w:tab w:pos="1434" w:val="left" w:leader="none"/>
        </w:tabs>
        <w:spacing w:line="297" w:lineRule="auto" w:before="69"/>
        <w:ind w:left="1360" w:right="3786"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单项金额重大的应收款项坏账准备计提</w:t>
      </w:r>
      <w:r>
        <w:rPr>
          <w:rFonts w:ascii="宋体" w:hAnsi="宋体" w:cs="宋体" w:eastAsia="宋体" w:hint="default"/>
          <w:b/>
          <w:bCs/>
          <w:w w:val="99"/>
          <w:sz w:val="21"/>
          <w:szCs w:val="21"/>
        </w:rPr>
        <w:t> </w:t>
      </w:r>
      <w:r>
        <w:rPr>
          <w:rFonts w:ascii="宋体" w:hAnsi="宋体" w:cs="宋体" w:eastAsia="宋体" w:hint="default"/>
          <w:sz w:val="21"/>
          <w:szCs w:val="21"/>
        </w:rPr>
        <w:t>单项金额重大的判断依据或金额标准：</w:t>
      </w:r>
    </w:p>
    <w:p>
      <w:pPr>
        <w:spacing w:line="297" w:lineRule="auto" w:before="34"/>
        <w:ind w:left="1360" w:right="212" w:hanging="1"/>
        <w:jc w:val="left"/>
        <w:rPr>
          <w:rFonts w:ascii="宋体" w:hAnsi="宋体" w:cs="宋体" w:eastAsia="宋体" w:hint="default"/>
          <w:sz w:val="21"/>
          <w:szCs w:val="21"/>
        </w:rPr>
      </w:pPr>
      <w:r>
        <w:rPr>
          <w:rFonts w:ascii="宋体" w:hAnsi="宋体" w:cs="宋体" w:eastAsia="宋体" w:hint="default"/>
          <w:sz w:val="21"/>
          <w:szCs w:val="21"/>
        </w:rPr>
        <w:t>应收账款余额</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万元以上</w:t>
      </w:r>
      <w:r>
        <w:rPr>
          <w:rFonts w:ascii="Times New Roman" w:hAnsi="Times New Roman" w:cs="Times New Roman" w:eastAsia="Times New Roman" w:hint="default"/>
          <w:sz w:val="21"/>
          <w:szCs w:val="21"/>
        </w:rPr>
        <w:t>(</w:t>
      </w:r>
      <w:r>
        <w:rPr>
          <w:rFonts w:ascii="宋体" w:hAnsi="宋体" w:cs="宋体" w:eastAsia="宋体" w:hint="default"/>
          <w:sz w:val="21"/>
          <w:szCs w:val="21"/>
        </w:rPr>
        <w:t>含</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w:t>
      </w:r>
      <w:r>
        <w:rPr>
          <w:rFonts w:ascii="Times New Roman" w:hAnsi="Times New Roman" w:cs="Times New Roman" w:eastAsia="Times New Roman" w:hint="default"/>
          <w:sz w:val="21"/>
          <w:szCs w:val="21"/>
        </w:rPr>
        <w:t>),</w:t>
      </w:r>
      <w:r>
        <w:rPr>
          <w:rFonts w:ascii="宋体" w:hAnsi="宋体" w:cs="宋体" w:eastAsia="宋体" w:hint="default"/>
          <w:sz w:val="21"/>
          <w:szCs w:val="21"/>
        </w:rPr>
        <w:t>其他应收款余额</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万元以上</w:t>
      </w:r>
      <w:r>
        <w:rPr>
          <w:rFonts w:ascii="Times New Roman" w:hAnsi="Times New Roman" w:cs="Times New Roman" w:eastAsia="Times New Roman" w:hint="default"/>
          <w:sz w:val="21"/>
          <w:szCs w:val="21"/>
        </w:rPr>
        <w:t>(</w:t>
      </w:r>
      <w:r>
        <w:rPr>
          <w:rFonts w:ascii="宋体" w:hAnsi="宋体" w:cs="宋体" w:eastAsia="宋体" w:hint="default"/>
          <w:sz w:val="21"/>
          <w:szCs w:val="21"/>
        </w:rPr>
        <w:t>含</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 元</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p>
      <w:pPr>
        <w:spacing w:line="314" w:lineRule="auto" w:before="13"/>
        <w:ind w:left="1360" w:right="99" w:firstLine="0"/>
        <w:jc w:val="left"/>
        <w:rPr>
          <w:rFonts w:ascii="宋体" w:hAnsi="宋体" w:cs="宋体" w:eastAsia="宋体" w:hint="default"/>
          <w:sz w:val="21"/>
          <w:szCs w:val="21"/>
        </w:rPr>
      </w:pPr>
      <w:r>
        <w:rPr>
          <w:rFonts w:ascii="宋体" w:hAnsi="宋体" w:cs="宋体" w:eastAsia="宋体" w:hint="default"/>
          <w:sz w:val="21"/>
          <w:szCs w:val="21"/>
        </w:rPr>
        <w:t>单项金额重大应收款项坏账准备的计提方法： </w:t>
      </w:r>
      <w:r>
        <w:rPr>
          <w:rFonts w:ascii="宋体" w:hAnsi="宋体" w:cs="宋体" w:eastAsia="宋体" w:hint="default"/>
          <w:spacing w:val="2"/>
          <w:sz w:val="21"/>
          <w:szCs w:val="21"/>
        </w:rPr>
        <w:t>单独进行减值测试，按预计未来现金流量现值低于其账面价值的差额计提坏账</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准备，计入当期损益。</w:t>
      </w:r>
    </w:p>
    <w:p>
      <w:pPr>
        <w:spacing w:line="240" w:lineRule="auto" w:before="1"/>
        <w:rPr>
          <w:rFonts w:ascii="宋体" w:hAnsi="宋体" w:cs="宋体" w:eastAsia="宋体" w:hint="default"/>
          <w:sz w:val="29"/>
          <w:szCs w:val="29"/>
        </w:rPr>
      </w:pPr>
    </w:p>
    <w:p>
      <w:pPr>
        <w:tabs>
          <w:tab w:pos="1434" w:val="left" w:leader="none"/>
        </w:tabs>
        <w:spacing w:before="0"/>
        <w:ind w:left="895" w:right="9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按组合计提坏账准备应收款项</w:t>
      </w:r>
      <w:r>
        <w:rPr>
          <w:rFonts w:ascii="宋体" w:hAnsi="宋体" w:cs="宋体" w:eastAsia="宋体" w:hint="default"/>
          <w:sz w:val="21"/>
          <w:szCs w:val="21"/>
        </w:rPr>
      </w:r>
    </w:p>
    <w:p>
      <w:pPr>
        <w:spacing w:line="30" w:lineRule="exact"/>
        <w:ind w:left="874" w:right="0" w:firstLine="0"/>
        <w:rPr>
          <w:rFonts w:ascii="宋体" w:hAnsi="宋体" w:cs="宋体" w:eastAsia="宋体" w:hint="default"/>
          <w:sz w:val="3"/>
          <w:szCs w:val="3"/>
        </w:rPr>
      </w:pPr>
      <w:r>
        <w:rPr>
          <w:rFonts w:ascii="宋体" w:hAnsi="宋体" w:cs="宋体" w:eastAsia="宋体" w:hint="default"/>
          <w:position w:val="0"/>
          <w:sz w:val="3"/>
          <w:szCs w:val="3"/>
        </w:rPr>
        <w:pict>
          <v:group style="width:389.2pt;height:1.5pt;mso-position-horizontal-relative:char;mso-position-vertical-relative:line" coordorigin="0,0" coordsize="7784,30">
            <v:group style="position:absolute;left:15;top:15;width:7754;height:2" coordorigin="15,15" coordsize="7754,2">
              <v:shape style="position:absolute;left:15;top:15;width:7754;height:2" coordorigin="15,15" coordsize="7754,0" path="m15,15l7768,15e" filled="false" stroked="true" strokeweight="1.5pt" strokecolor="#000000">
                <v:path arrowok="t"/>
              </v:shape>
            </v:group>
          </v:group>
        </w:pict>
      </w:r>
      <w:r>
        <w:rPr>
          <w:rFonts w:ascii="宋体" w:hAnsi="宋体" w:cs="宋体" w:eastAsia="宋体" w:hint="default"/>
          <w:position w:val="0"/>
          <w:sz w:val="3"/>
          <w:szCs w:val="3"/>
        </w:rPr>
      </w:r>
    </w:p>
    <w:p>
      <w:pPr>
        <w:spacing w:before="26"/>
        <w:ind w:left="4122" w:right="3381" w:firstLine="0"/>
        <w:jc w:val="center"/>
        <w:rPr>
          <w:rFonts w:ascii="宋体" w:hAnsi="宋体" w:cs="宋体" w:eastAsia="宋体" w:hint="default"/>
          <w:sz w:val="18"/>
          <w:szCs w:val="18"/>
        </w:rPr>
      </w:pPr>
      <w:r>
        <w:rPr>
          <w:rFonts w:ascii="宋体" w:hAnsi="宋体" w:cs="宋体" w:eastAsia="宋体" w:hint="default"/>
          <w:sz w:val="18"/>
          <w:szCs w:val="18"/>
        </w:rPr>
        <w:t>确定组合的依据</w:t>
      </w:r>
    </w:p>
    <w:p>
      <w:pPr>
        <w:spacing w:line="240" w:lineRule="auto" w:before="7"/>
        <w:rPr>
          <w:rFonts w:ascii="宋体" w:hAnsi="宋体" w:cs="宋体" w:eastAsia="宋体" w:hint="default"/>
          <w:sz w:val="3"/>
          <w:szCs w:val="3"/>
        </w:rPr>
      </w:pPr>
    </w:p>
    <w:p>
      <w:pPr>
        <w:spacing w:line="1022" w:lineRule="exact"/>
        <w:ind w:left="860"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390.5pt;height:51.15pt;mso-position-horizontal-relative:char;mso-position-vertical-relative:line" coordorigin="0,0" coordsize="7810,1023">
            <v:shape style="position:absolute;left:0;top:0;width:7810;height:1022" type="#_x0000_t75" stroked="false">
              <v:imagedata r:id="rId54" o:title=""/>
            </v:shape>
            <v:shape style="position:absolute;left:150;top:95;width:1800;height:82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账龄组合</w:t>
                    </w:r>
                  </w:p>
                  <w:p>
                    <w:pPr>
                      <w:spacing w:line="320" w:lineRule="atLeast" w:before="1"/>
                      <w:ind w:left="0" w:right="0" w:firstLine="0"/>
                      <w:jc w:val="left"/>
                      <w:rPr>
                        <w:rFonts w:ascii="宋体" w:hAnsi="宋体" w:cs="宋体" w:eastAsia="宋体" w:hint="default"/>
                        <w:sz w:val="18"/>
                        <w:szCs w:val="18"/>
                      </w:rPr>
                    </w:pPr>
                    <w:r>
                      <w:rPr>
                        <w:rFonts w:ascii="宋体" w:hAnsi="宋体" w:cs="宋体" w:eastAsia="宋体" w:hint="default"/>
                        <w:sz w:val="18"/>
                        <w:szCs w:val="18"/>
                      </w:rPr>
                      <w:t>合并范围内关联方组合 业务费组合</w:t>
                    </w:r>
                  </w:p>
                </w:txbxContent>
              </v:textbox>
              <w10:wrap type="none"/>
            </v:shape>
            <v:shape style="position:absolute;left:3148;top:95;width:3240;height:82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以账龄特征划分为若干应收款项组合</w:t>
                    </w:r>
                  </w:p>
                  <w:p>
                    <w:pPr>
                      <w:spacing w:line="320" w:lineRule="atLeast" w:before="1"/>
                      <w:ind w:left="0" w:right="0" w:firstLine="0"/>
                      <w:jc w:val="left"/>
                      <w:rPr>
                        <w:rFonts w:ascii="宋体" w:hAnsi="宋体" w:cs="宋体" w:eastAsia="宋体" w:hint="default"/>
                        <w:sz w:val="18"/>
                        <w:szCs w:val="18"/>
                      </w:rPr>
                    </w:pPr>
                    <w:r>
                      <w:rPr>
                        <w:rFonts w:ascii="宋体" w:hAnsi="宋体" w:cs="宋体" w:eastAsia="宋体" w:hint="default"/>
                        <w:sz w:val="18"/>
                        <w:szCs w:val="18"/>
                      </w:rPr>
                      <w:t>以合并范围内的关联方为组合 其他应收款中暂未取得发票的业务费支出</w:t>
                    </w:r>
                  </w:p>
                </w:txbxContent>
              </v:textbox>
              <w10:wrap type="none"/>
            </v:shape>
          </v:group>
        </w:pict>
      </w:r>
      <w:r>
        <w:rPr>
          <w:rFonts w:ascii="宋体" w:hAnsi="宋体" w:cs="宋体" w:eastAsia="宋体" w:hint="default"/>
          <w:position w:val="-19"/>
          <w:sz w:val="20"/>
          <w:szCs w:val="20"/>
        </w:rPr>
      </w:r>
    </w:p>
    <w:p>
      <w:pPr>
        <w:spacing w:line="219" w:lineRule="exact" w:before="0"/>
        <w:ind w:left="1802" w:right="99" w:firstLine="0"/>
        <w:jc w:val="left"/>
        <w:rPr>
          <w:rFonts w:ascii="宋体" w:hAnsi="宋体" w:cs="宋体" w:eastAsia="宋体" w:hint="default"/>
          <w:sz w:val="18"/>
          <w:szCs w:val="18"/>
        </w:rPr>
      </w:pPr>
      <w:r>
        <w:rPr>
          <w:rFonts w:ascii="宋体" w:hAnsi="宋体" w:cs="宋体" w:eastAsia="宋体" w:hint="default"/>
          <w:sz w:val="18"/>
          <w:szCs w:val="18"/>
        </w:rPr>
        <w:t>按组合计提坏账准备的计提方法（账龄分析法、余额百分比法、其他方法）</w:t>
      </w:r>
    </w:p>
    <w:p>
      <w:pPr>
        <w:spacing w:line="240" w:lineRule="auto" w:before="7"/>
        <w:rPr>
          <w:rFonts w:ascii="宋体" w:hAnsi="宋体" w:cs="宋体" w:eastAsia="宋体" w:hint="default"/>
          <w:sz w:val="3"/>
          <w:szCs w:val="3"/>
        </w:rPr>
      </w:pPr>
    </w:p>
    <w:p>
      <w:pPr>
        <w:spacing w:line="1015" w:lineRule="exact"/>
        <w:ind w:left="860"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390.55pt;height:50.8pt;mso-position-horizontal-relative:char;mso-position-vertical-relative:line" coordorigin="0,0" coordsize="7811,1016">
            <v:group style="position:absolute;left:15;top:1000;width:2535;height:2" coordorigin="15,1000" coordsize="2535,2">
              <v:shape style="position:absolute;left:15;top:1000;width:2535;height:2" coordorigin="15,1000" coordsize="2535,0" path="m15,1000l2549,1000e" filled="false" stroked="true" strokeweight="1.5pt" strokecolor="#000000">
                <v:path arrowok="t"/>
              </v:shape>
              <v:shape style="position:absolute;left:1;top:0;width:7810;height:985" type="#_x0000_t75" stroked="false">
                <v:imagedata r:id="rId55" o:title=""/>
              </v:shape>
            </v:group>
            <v:group style="position:absolute;left:2549;top:1000;width:5234;height:2" coordorigin="2549,1000" coordsize="5234,2">
              <v:shape style="position:absolute;left:2549;top:1000;width:5234;height:2" coordorigin="2549,1000" coordsize="5234,0" path="m2549,1000l7783,1000e" filled="false" stroked="true" strokeweight="1.5pt" strokecolor="#000000">
                <v:path arrowok="t"/>
              </v:shape>
              <v:shape style="position:absolute;left:151;top:95;width:1800;height:82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账龄组合</w:t>
                      </w:r>
                    </w:p>
                    <w:p>
                      <w:pPr>
                        <w:spacing w:line="322" w:lineRule="exact" w:before="38"/>
                        <w:ind w:left="0" w:right="0" w:firstLine="0"/>
                        <w:jc w:val="left"/>
                        <w:rPr>
                          <w:rFonts w:ascii="宋体" w:hAnsi="宋体" w:cs="宋体" w:eastAsia="宋体" w:hint="default"/>
                          <w:sz w:val="18"/>
                          <w:szCs w:val="18"/>
                        </w:rPr>
                      </w:pPr>
                      <w:r>
                        <w:rPr>
                          <w:rFonts w:ascii="宋体" w:hAnsi="宋体" w:cs="宋体" w:eastAsia="宋体" w:hint="default"/>
                          <w:sz w:val="18"/>
                          <w:szCs w:val="18"/>
                        </w:rPr>
                        <w:t>合并范围内关联方组合 业务费组合</w:t>
                      </w:r>
                    </w:p>
                  </w:txbxContent>
                </v:textbox>
                <w10:wrap type="none"/>
              </v:shape>
              <v:shape style="position:absolute;left:3148;top:95;width:2160;height:82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账龄分析法</w:t>
                      </w:r>
                    </w:p>
                    <w:p>
                      <w:pPr>
                        <w:spacing w:line="322" w:lineRule="exact" w:before="38"/>
                        <w:ind w:left="0" w:right="0" w:firstLine="0"/>
                        <w:jc w:val="left"/>
                        <w:rPr>
                          <w:rFonts w:ascii="宋体" w:hAnsi="宋体" w:cs="宋体" w:eastAsia="宋体" w:hint="default"/>
                          <w:sz w:val="18"/>
                          <w:szCs w:val="18"/>
                        </w:rPr>
                      </w:pPr>
                      <w:r>
                        <w:rPr>
                          <w:rFonts w:ascii="宋体" w:hAnsi="宋体" w:cs="宋体" w:eastAsia="宋体" w:hint="default"/>
                          <w:sz w:val="18"/>
                          <w:szCs w:val="18"/>
                        </w:rPr>
                        <w:t>按个别认定法计提坏账准备 全额计提坏账</w:t>
                      </w:r>
                    </w:p>
                  </w:txbxContent>
                </v:textbox>
                <w10:wrap type="none"/>
              </v:shape>
            </v:group>
          </v:group>
        </w:pict>
      </w:r>
      <w:r>
        <w:rPr>
          <w:rFonts w:ascii="宋体" w:hAnsi="宋体" w:cs="宋体" w:eastAsia="宋体" w:hint="default"/>
          <w:position w:val="-19"/>
          <w:sz w:val="20"/>
          <w:szCs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spacing w:before="35"/>
        <w:ind w:left="1360" w:right="99" w:firstLine="0"/>
        <w:jc w:val="left"/>
        <w:rPr>
          <w:rFonts w:ascii="宋体" w:hAnsi="宋体" w:cs="宋体" w:eastAsia="宋体" w:hint="default"/>
          <w:sz w:val="21"/>
          <w:szCs w:val="21"/>
        </w:rPr>
      </w:pPr>
      <w:r>
        <w:rPr/>
        <w:pict>
          <v:group style="position:absolute;margin-left:119.040001pt;margin-top:17.13382pt;width:390.55pt;height:81.5pt;mso-position-horizontal-relative:page;mso-position-vertical-relative:paragraph;z-index:-787960" coordorigin="2381,343" coordsize="7811,1630">
            <v:shape style="position:absolute;left:5167;top:343;width:2576;height:370" type="#_x0000_t75" stroked="false">
              <v:imagedata r:id="rId56" o:title=""/>
            </v:shape>
            <v:shape style="position:absolute;left:2381;top:655;width:7811;height:1318" type="#_x0000_t75" stroked="false">
              <v:imagedata r:id="rId57" o:title=""/>
            </v:shape>
            <w10:wrap type="none"/>
          </v:group>
        </w:pict>
      </w:r>
      <w:r>
        <w:rPr>
          <w:rFonts w:ascii="宋体" w:hAnsi="宋体" w:cs="宋体" w:eastAsia="宋体" w:hint="default"/>
          <w:sz w:val="21"/>
          <w:szCs w:val="21"/>
        </w:rPr>
        <w:t>组合中，采用账龄分析法计提坏账准备的</w:t>
      </w:r>
    </w:p>
    <w:p>
      <w:pPr>
        <w:spacing w:line="240" w:lineRule="auto" w:before="7"/>
        <w:rPr>
          <w:rFonts w:ascii="宋体" w:hAnsi="宋体" w:cs="宋体" w:eastAsia="宋体" w:hint="default"/>
          <w:sz w:val="3"/>
          <w:szCs w:val="3"/>
        </w:rPr>
      </w:pPr>
    </w:p>
    <w:tbl>
      <w:tblPr>
        <w:tblW w:w="0" w:type="auto"/>
        <w:jc w:val="left"/>
        <w:tblInd w:w="889" w:type="dxa"/>
        <w:tblLayout w:type="fixed"/>
        <w:tblCellMar>
          <w:top w:w="0" w:type="dxa"/>
          <w:left w:w="0" w:type="dxa"/>
          <w:bottom w:w="0" w:type="dxa"/>
          <w:right w:w="0" w:type="dxa"/>
        </w:tblCellMar>
        <w:tblLook w:val="01E0"/>
      </w:tblPr>
      <w:tblGrid>
        <w:gridCol w:w="2437"/>
        <w:gridCol w:w="2938"/>
        <w:gridCol w:w="2378"/>
      </w:tblGrid>
      <w:tr>
        <w:trPr>
          <w:trHeight w:val="337" w:hRule="exact"/>
        </w:trPr>
        <w:tc>
          <w:tcPr>
            <w:tcW w:w="243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354"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2938"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75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应收账款计提比例</w:t>
            </w:r>
            <w:r>
              <w:rPr>
                <w:rFonts w:ascii="Times New Roman" w:hAnsi="Times New Roman" w:cs="Times New Roman" w:eastAsia="Times New Roman" w:hint="default"/>
                <w:sz w:val="18"/>
                <w:szCs w:val="18"/>
              </w:rPr>
              <w:t>(%)</w:t>
            </w:r>
          </w:p>
        </w:tc>
        <w:tc>
          <w:tcPr>
            <w:tcW w:w="2378"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8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其他应收款计提比例</w:t>
            </w:r>
            <w:r>
              <w:rPr>
                <w:rFonts w:ascii="Times New Roman" w:hAnsi="Times New Roman" w:cs="Times New Roman" w:eastAsia="Times New Roman" w:hint="default"/>
                <w:sz w:val="18"/>
                <w:szCs w:val="18"/>
              </w:rPr>
              <w:t>(%)</w:t>
            </w:r>
          </w:p>
        </w:tc>
      </w:tr>
      <w:tr>
        <w:trPr>
          <w:trHeight w:val="322"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1"/>
              <w:jc w:val="right"/>
              <w:rPr>
                <w:rFonts w:ascii="Times New Roman" w:hAnsi="Times New Roman" w:cs="Times New Roman" w:eastAsia="Times New Roman" w:hint="default"/>
                <w:sz w:val="18"/>
                <w:szCs w:val="18"/>
              </w:rPr>
            </w:pPr>
            <w:r>
              <w:rPr>
                <w:rFonts w:ascii="Times New Roman"/>
                <w:spacing w:val="3"/>
                <w:w w:val="95"/>
                <w:sz w:val="18"/>
              </w:rPr>
              <w:t>5.00</w:t>
            </w:r>
            <w:r>
              <w:rPr>
                <w:rFonts w:ascii="Times New Roman"/>
                <w:w w:val="95"/>
                <w:sz w:val="18"/>
              </w:rPr>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7"/>
              <w:jc w:val="right"/>
              <w:rPr>
                <w:rFonts w:ascii="Times New Roman" w:hAnsi="Times New Roman" w:cs="Times New Roman" w:eastAsia="Times New Roman" w:hint="default"/>
                <w:sz w:val="18"/>
                <w:szCs w:val="18"/>
              </w:rPr>
            </w:pPr>
            <w:r>
              <w:rPr>
                <w:rFonts w:ascii="Times New Roman"/>
                <w:spacing w:val="3"/>
                <w:w w:val="95"/>
                <w:sz w:val="18"/>
              </w:rPr>
              <w:t>5.00</w:t>
            </w:r>
            <w:r>
              <w:rPr>
                <w:rFonts w:ascii="Times New Roman"/>
                <w:w w:val="95"/>
                <w:sz w:val="18"/>
              </w:rPr>
            </w:r>
          </w:p>
        </w:tc>
      </w:tr>
      <w:tr>
        <w:trPr>
          <w:trHeight w:val="322"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1"/>
              <w:jc w:val="right"/>
              <w:rPr>
                <w:rFonts w:ascii="Times New Roman" w:hAnsi="Times New Roman" w:cs="Times New Roman" w:eastAsia="Times New Roman" w:hint="default"/>
                <w:sz w:val="18"/>
                <w:szCs w:val="18"/>
              </w:rPr>
            </w:pPr>
            <w:r>
              <w:rPr>
                <w:rFonts w:ascii="Times New Roman"/>
                <w:spacing w:val="3"/>
                <w:w w:val="95"/>
                <w:sz w:val="18"/>
              </w:rPr>
              <w:t>10.00</w:t>
            </w:r>
            <w:r>
              <w:rPr>
                <w:rFonts w:ascii="Times New Roman"/>
                <w:w w:val="95"/>
                <w:sz w:val="18"/>
              </w:rPr>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7"/>
              <w:jc w:val="right"/>
              <w:rPr>
                <w:rFonts w:ascii="Times New Roman" w:hAnsi="Times New Roman" w:cs="Times New Roman" w:eastAsia="Times New Roman" w:hint="default"/>
                <w:sz w:val="18"/>
                <w:szCs w:val="18"/>
              </w:rPr>
            </w:pPr>
            <w:r>
              <w:rPr>
                <w:rFonts w:ascii="Times New Roman"/>
                <w:spacing w:val="3"/>
                <w:w w:val="95"/>
                <w:sz w:val="18"/>
              </w:rPr>
              <w:t>10.00</w:t>
            </w:r>
            <w:r>
              <w:rPr>
                <w:rFonts w:ascii="Times New Roman"/>
                <w:w w:val="95"/>
                <w:sz w:val="18"/>
              </w:rPr>
            </w:r>
          </w:p>
        </w:tc>
      </w:tr>
      <w:tr>
        <w:trPr>
          <w:trHeight w:val="322"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1"/>
              <w:jc w:val="right"/>
              <w:rPr>
                <w:rFonts w:ascii="Times New Roman" w:hAnsi="Times New Roman" w:cs="Times New Roman" w:eastAsia="Times New Roman" w:hint="default"/>
                <w:sz w:val="18"/>
                <w:szCs w:val="18"/>
              </w:rPr>
            </w:pPr>
            <w:r>
              <w:rPr>
                <w:rFonts w:ascii="Times New Roman"/>
                <w:spacing w:val="3"/>
                <w:w w:val="95"/>
                <w:sz w:val="18"/>
              </w:rPr>
              <w:t>20.00</w:t>
            </w:r>
            <w:r>
              <w:rPr>
                <w:rFonts w:ascii="Times New Roman"/>
                <w:w w:val="95"/>
                <w:sz w:val="18"/>
              </w:rPr>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7"/>
              <w:jc w:val="right"/>
              <w:rPr>
                <w:rFonts w:ascii="Times New Roman" w:hAnsi="Times New Roman" w:cs="Times New Roman" w:eastAsia="Times New Roman" w:hint="default"/>
                <w:sz w:val="18"/>
                <w:szCs w:val="18"/>
              </w:rPr>
            </w:pPr>
            <w:r>
              <w:rPr>
                <w:rFonts w:ascii="Times New Roman"/>
                <w:spacing w:val="3"/>
                <w:w w:val="95"/>
                <w:sz w:val="18"/>
              </w:rPr>
              <w:t>20.00</w:t>
            </w:r>
            <w:r>
              <w:rPr>
                <w:rFonts w:ascii="Times New Roman"/>
                <w:w w:val="95"/>
                <w:sz w:val="18"/>
              </w:rPr>
            </w:r>
          </w:p>
        </w:tc>
      </w:tr>
      <w:tr>
        <w:trPr>
          <w:trHeight w:val="327" w:hRule="exact"/>
        </w:trPr>
        <w:tc>
          <w:tcPr>
            <w:tcW w:w="2437"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938"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81"/>
              <w:jc w:val="right"/>
              <w:rPr>
                <w:rFonts w:ascii="Times New Roman" w:hAnsi="Times New Roman" w:cs="Times New Roman" w:eastAsia="Times New Roman" w:hint="default"/>
                <w:sz w:val="18"/>
                <w:szCs w:val="18"/>
              </w:rPr>
            </w:pPr>
            <w:r>
              <w:rPr>
                <w:rFonts w:ascii="Times New Roman"/>
                <w:spacing w:val="3"/>
                <w:w w:val="95"/>
                <w:sz w:val="18"/>
              </w:rPr>
              <w:t>30.00</w:t>
            </w:r>
            <w:r>
              <w:rPr>
                <w:rFonts w:ascii="Times New Roman"/>
                <w:w w:val="95"/>
                <w:sz w:val="18"/>
              </w:rPr>
            </w:r>
          </w:p>
        </w:tc>
        <w:tc>
          <w:tcPr>
            <w:tcW w:w="2378"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7"/>
              <w:jc w:val="right"/>
              <w:rPr>
                <w:rFonts w:ascii="Times New Roman" w:hAnsi="Times New Roman" w:cs="Times New Roman" w:eastAsia="Times New Roman" w:hint="default"/>
                <w:sz w:val="18"/>
                <w:szCs w:val="18"/>
              </w:rPr>
            </w:pPr>
            <w:r>
              <w:rPr>
                <w:rFonts w:ascii="Times New Roman"/>
                <w:spacing w:val="3"/>
                <w:w w:val="95"/>
                <w:sz w:val="18"/>
              </w:rPr>
              <w:t>30.00</w:t>
            </w:r>
            <w:r>
              <w:rPr>
                <w:rFonts w:ascii="Times New Roman"/>
                <w:w w:val="95"/>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686" w:footer="1270" w:top="1360" w:bottom="1460" w:left="1520" w:right="1580"/>
        </w:sectPr>
      </w:pPr>
    </w:p>
    <w:p>
      <w:pPr>
        <w:spacing w:line="240" w:lineRule="auto" w:before="1"/>
        <w:rPr>
          <w:rFonts w:ascii="宋体" w:hAnsi="宋体" w:cs="宋体" w:eastAsia="宋体" w:hint="default"/>
          <w:sz w:val="23"/>
          <w:szCs w:val="23"/>
        </w:rPr>
      </w:pPr>
    </w:p>
    <w:tbl>
      <w:tblPr>
        <w:tblW w:w="0" w:type="auto"/>
        <w:jc w:val="left"/>
        <w:tblInd w:w="889" w:type="dxa"/>
        <w:tblLayout w:type="fixed"/>
        <w:tblCellMar>
          <w:top w:w="0" w:type="dxa"/>
          <w:left w:w="0" w:type="dxa"/>
          <w:bottom w:w="0" w:type="dxa"/>
          <w:right w:w="0" w:type="dxa"/>
        </w:tblCellMar>
        <w:tblLook w:val="01E0"/>
      </w:tblPr>
      <w:tblGrid>
        <w:gridCol w:w="2728"/>
        <w:gridCol w:w="3431"/>
        <w:gridCol w:w="1594"/>
      </w:tblGrid>
      <w:tr>
        <w:trPr>
          <w:trHeight w:val="337" w:hRule="exact"/>
        </w:trPr>
        <w:tc>
          <w:tcPr>
            <w:tcW w:w="2728"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431"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right="965"/>
              <w:jc w:val="right"/>
              <w:rPr>
                <w:rFonts w:ascii="Times New Roman" w:hAnsi="Times New Roman" w:cs="Times New Roman" w:eastAsia="Times New Roman" w:hint="default"/>
                <w:sz w:val="18"/>
                <w:szCs w:val="18"/>
              </w:rPr>
            </w:pPr>
            <w:r>
              <w:rPr>
                <w:rFonts w:ascii="Times New Roman"/>
                <w:spacing w:val="3"/>
                <w:w w:val="95"/>
                <w:sz w:val="18"/>
              </w:rPr>
              <w:t>40.00</w:t>
            </w:r>
            <w:r>
              <w:rPr>
                <w:rFonts w:ascii="Times New Roman"/>
                <w:w w:val="95"/>
                <w:sz w:val="18"/>
              </w:rPr>
            </w:r>
          </w:p>
        </w:tc>
        <w:tc>
          <w:tcPr>
            <w:tcW w:w="1594"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right="107"/>
              <w:jc w:val="right"/>
              <w:rPr>
                <w:rFonts w:ascii="Times New Roman" w:hAnsi="Times New Roman" w:cs="Times New Roman" w:eastAsia="Times New Roman" w:hint="default"/>
                <w:sz w:val="18"/>
                <w:szCs w:val="18"/>
              </w:rPr>
            </w:pPr>
            <w:r>
              <w:rPr>
                <w:rFonts w:ascii="Times New Roman"/>
                <w:spacing w:val="3"/>
                <w:w w:val="95"/>
                <w:sz w:val="18"/>
              </w:rPr>
              <w:t>40.00</w:t>
            </w:r>
            <w:r>
              <w:rPr>
                <w:rFonts w:ascii="Times New Roman"/>
                <w:w w:val="95"/>
                <w:sz w:val="18"/>
              </w:rPr>
            </w:r>
          </w:p>
        </w:tc>
      </w:tr>
      <w:tr>
        <w:trPr>
          <w:trHeight w:val="327" w:hRule="exact"/>
        </w:trPr>
        <w:tc>
          <w:tcPr>
            <w:tcW w:w="272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431"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965"/>
              <w:jc w:val="right"/>
              <w:rPr>
                <w:rFonts w:ascii="Times New Roman" w:hAnsi="Times New Roman" w:cs="Times New Roman" w:eastAsia="Times New Roman" w:hint="default"/>
                <w:sz w:val="18"/>
                <w:szCs w:val="18"/>
              </w:rPr>
            </w:pPr>
            <w:r>
              <w:rPr>
                <w:rFonts w:ascii="Times New Roman"/>
                <w:spacing w:val="3"/>
                <w:w w:val="95"/>
                <w:sz w:val="18"/>
              </w:rPr>
              <w:t>100.00</w:t>
            </w:r>
            <w:r>
              <w:rPr>
                <w:rFonts w:ascii="Times New Roman"/>
                <w:w w:val="95"/>
                <w:sz w:val="18"/>
              </w:rPr>
            </w:r>
          </w:p>
        </w:tc>
        <w:tc>
          <w:tcPr>
            <w:tcW w:w="1594"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7"/>
              <w:jc w:val="right"/>
              <w:rPr>
                <w:rFonts w:ascii="Times New Roman" w:hAnsi="Times New Roman" w:cs="Times New Roman" w:eastAsia="Times New Roman" w:hint="default"/>
                <w:sz w:val="18"/>
                <w:szCs w:val="18"/>
              </w:rPr>
            </w:pPr>
            <w:r>
              <w:rPr>
                <w:rFonts w:ascii="Times New Roman"/>
                <w:spacing w:val="3"/>
                <w:w w:val="95"/>
                <w:sz w:val="18"/>
              </w:rPr>
              <w:t>100.00</w:t>
            </w:r>
            <w:r>
              <w:rPr>
                <w:rFonts w:ascii="Times New Roman"/>
                <w:w w:val="95"/>
                <w:sz w:val="18"/>
              </w:rPr>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tabs>
          <w:tab w:pos="1434" w:val="left" w:leader="none"/>
        </w:tabs>
        <w:spacing w:line="345" w:lineRule="auto" w:before="35"/>
        <w:ind w:left="1360" w:right="213" w:hanging="465"/>
        <w:jc w:val="left"/>
        <w:rPr>
          <w:rFonts w:ascii="宋体" w:hAnsi="宋体" w:cs="宋体" w:eastAsia="宋体" w:hint="default"/>
          <w:sz w:val="21"/>
          <w:szCs w:val="21"/>
        </w:rPr>
      </w:pPr>
      <w:r>
        <w:rPr/>
        <w:pict>
          <v:shape style="position:absolute;margin-left:119.040001pt;margin-top:-57.506336pt;width:390.06pt;height:33.120pt;mso-position-horizontal-relative:page;mso-position-vertical-relative:paragraph;z-index:-787936" type="#_x0000_t75" stroked="false">
            <v:imagedata r:id="rId58" o:title=""/>
          </v:shape>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r>
      <w:r>
        <w:rPr>
          <w:rFonts w:ascii="宋体" w:hAnsi="宋体" w:cs="宋体" w:eastAsia="宋体" w:hint="default"/>
          <w:b/>
          <w:bCs/>
          <w:sz w:val="21"/>
          <w:szCs w:val="21"/>
        </w:rPr>
        <w:t>单项金额虽不重大但单项计提坏账准备的应收账款</w:t>
      </w:r>
      <w:r>
        <w:rPr>
          <w:rFonts w:ascii="宋体" w:hAnsi="宋体" w:cs="宋体" w:eastAsia="宋体" w:hint="default"/>
          <w:b/>
          <w:bCs/>
          <w:w w:val="99"/>
          <w:sz w:val="21"/>
          <w:szCs w:val="21"/>
        </w:rPr>
        <w:t> </w:t>
      </w:r>
      <w:r>
        <w:rPr>
          <w:rFonts w:ascii="宋体" w:hAnsi="宋体" w:cs="宋体" w:eastAsia="宋体" w:hint="default"/>
          <w:sz w:val="21"/>
          <w:szCs w:val="21"/>
        </w:rPr>
        <w:t>单项计提坏账准备的理由： </w:t>
      </w:r>
      <w:r>
        <w:rPr>
          <w:rFonts w:ascii="宋体" w:hAnsi="宋体" w:cs="宋体" w:eastAsia="宋体" w:hint="default"/>
          <w:spacing w:val="2"/>
          <w:sz w:val="21"/>
          <w:szCs w:val="21"/>
        </w:rPr>
        <w:t>有客观证据表明可能发生减值，如债务人出现撤销、破产或死亡，以其破产财</w:t>
      </w:r>
      <w:r>
        <w:rPr>
          <w:rFonts w:ascii="宋体" w:hAnsi="宋体" w:cs="宋体" w:eastAsia="宋体" w:hint="default"/>
          <w:spacing w:val="2"/>
          <w:sz w:val="21"/>
          <w:szCs w:val="21"/>
        </w:rPr>
        <w:t> </w:t>
      </w:r>
      <w:r>
        <w:rPr>
          <w:rFonts w:ascii="宋体" w:hAnsi="宋体" w:cs="宋体" w:eastAsia="宋体" w:hint="default"/>
          <w:sz w:val="21"/>
          <w:szCs w:val="21"/>
        </w:rPr>
        <w:t>产或遗产清偿后仍不能收回，现金流量严重不足等情况的。</w:t>
      </w:r>
      <w:r>
        <w:rPr>
          <w:rFonts w:ascii="宋体" w:hAnsi="宋体" w:cs="宋体" w:eastAsia="宋体" w:hint="default"/>
          <w:sz w:val="21"/>
          <w:szCs w:val="21"/>
        </w:rPr>
        <w:t> 坏账准备的计提方法： </w:t>
      </w:r>
      <w:r>
        <w:rPr>
          <w:rFonts w:ascii="宋体" w:hAnsi="宋体" w:cs="宋体" w:eastAsia="宋体" w:hint="default"/>
          <w:spacing w:val="2"/>
          <w:sz w:val="21"/>
          <w:szCs w:val="21"/>
        </w:rPr>
        <w:t>对有客观证据表明可能发生了减值的应收款项，将其从相关组合中分离出来，</w:t>
      </w:r>
      <w:r>
        <w:rPr>
          <w:rFonts w:ascii="宋体" w:hAnsi="宋体" w:cs="宋体" w:eastAsia="宋体" w:hint="default"/>
          <w:spacing w:val="2"/>
          <w:sz w:val="21"/>
          <w:szCs w:val="21"/>
        </w:rPr>
        <w:t> 单独进行减值测试，根据其未来现金流量现值低于其账面价值的差额，确认减 </w:t>
      </w:r>
      <w:r>
        <w:rPr>
          <w:rFonts w:ascii="宋体" w:hAnsi="宋体" w:cs="宋体" w:eastAsia="宋体" w:hint="default"/>
          <w:sz w:val="21"/>
          <w:szCs w:val="21"/>
        </w:rPr>
        <w:t>值损失，计提坏账准备。</w:t>
      </w:r>
    </w:p>
    <w:p>
      <w:pPr>
        <w:spacing w:line="240" w:lineRule="auto" w:before="0"/>
        <w:rPr>
          <w:rFonts w:ascii="宋体" w:hAnsi="宋体" w:cs="宋体" w:eastAsia="宋体" w:hint="default"/>
          <w:sz w:val="20"/>
          <w:szCs w:val="20"/>
        </w:rPr>
      </w:pPr>
    </w:p>
    <w:p>
      <w:pPr>
        <w:spacing w:before="170"/>
        <w:ind w:left="265" w:right="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存货</w:t>
      </w:r>
      <w:r>
        <w:rPr>
          <w:rFonts w:ascii="宋体" w:hAnsi="宋体" w:cs="宋体" w:eastAsia="宋体" w:hint="default"/>
          <w:sz w:val="21"/>
          <w:szCs w:val="21"/>
        </w:rPr>
      </w:r>
    </w:p>
    <w:p>
      <w:pPr>
        <w:tabs>
          <w:tab w:pos="1434" w:val="left" w:leader="none"/>
        </w:tabs>
        <w:spacing w:line="338" w:lineRule="auto" w:before="110"/>
        <w:ind w:left="1360" w:right="21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存货的分类</w:t>
      </w:r>
      <w:r>
        <w:rPr>
          <w:rFonts w:ascii="宋体" w:hAnsi="宋体" w:cs="宋体" w:eastAsia="宋体" w:hint="default"/>
          <w:b/>
          <w:bCs/>
          <w:w w:val="99"/>
          <w:sz w:val="21"/>
          <w:szCs w:val="21"/>
        </w:rPr>
        <w:t> </w:t>
      </w:r>
      <w:r>
        <w:rPr>
          <w:rFonts w:ascii="宋体" w:hAnsi="宋体" w:cs="宋体" w:eastAsia="宋体" w:hint="default"/>
          <w:spacing w:val="2"/>
          <w:sz w:val="21"/>
          <w:szCs w:val="21"/>
        </w:rPr>
        <w:t>存货分类为：原材料、低值易耗品、库存商品、在产品、发出商品、自制半成 </w:t>
      </w:r>
      <w:r>
        <w:rPr>
          <w:rFonts w:ascii="宋体" w:hAnsi="宋体" w:cs="宋体" w:eastAsia="宋体" w:hint="default"/>
          <w:sz w:val="21"/>
          <w:szCs w:val="21"/>
        </w:rPr>
        <w:t>品等。</w:t>
      </w:r>
    </w:p>
    <w:p>
      <w:pPr>
        <w:spacing w:line="240" w:lineRule="auto" w:before="0"/>
        <w:rPr>
          <w:rFonts w:ascii="宋体" w:hAnsi="宋体" w:cs="宋体" w:eastAsia="宋体" w:hint="default"/>
          <w:sz w:val="20"/>
          <w:szCs w:val="20"/>
        </w:rPr>
      </w:pPr>
    </w:p>
    <w:p>
      <w:pPr>
        <w:tabs>
          <w:tab w:pos="1434" w:val="left" w:leader="none"/>
        </w:tabs>
        <w:spacing w:line="328" w:lineRule="auto" w:before="177"/>
        <w:ind w:left="1360" w:right="4502"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发出存货的计价方法</w:t>
      </w:r>
      <w:r>
        <w:rPr>
          <w:rFonts w:ascii="宋体" w:hAnsi="宋体" w:cs="宋体" w:eastAsia="宋体" w:hint="default"/>
          <w:b/>
          <w:bCs/>
          <w:spacing w:val="1"/>
          <w:w w:val="99"/>
          <w:sz w:val="21"/>
          <w:szCs w:val="21"/>
        </w:rPr>
        <w:t> </w:t>
      </w:r>
      <w:r>
        <w:rPr>
          <w:rFonts w:ascii="宋体" w:hAnsi="宋体" w:cs="宋体" w:eastAsia="宋体" w:hint="default"/>
          <w:sz w:val="21"/>
          <w:szCs w:val="21"/>
        </w:rPr>
        <w:t>存货发出时按加权平均法计价。</w:t>
      </w:r>
    </w:p>
    <w:p>
      <w:pPr>
        <w:spacing w:line="240" w:lineRule="auto" w:before="7"/>
        <w:rPr>
          <w:rFonts w:ascii="宋体" w:hAnsi="宋体" w:cs="宋体" w:eastAsia="宋体" w:hint="default"/>
          <w:sz w:val="27"/>
          <w:szCs w:val="27"/>
        </w:rPr>
      </w:pPr>
    </w:p>
    <w:p>
      <w:pPr>
        <w:tabs>
          <w:tab w:pos="1434" w:val="left" w:leader="none"/>
        </w:tabs>
        <w:spacing w:line="348" w:lineRule="auto" w:before="0"/>
        <w:ind w:left="1360" w:right="111"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r>
      <w:r>
        <w:rPr>
          <w:rFonts w:ascii="宋体" w:hAnsi="宋体" w:cs="宋体" w:eastAsia="宋体" w:hint="default"/>
          <w:b/>
          <w:bCs/>
          <w:sz w:val="21"/>
          <w:szCs w:val="21"/>
        </w:rPr>
        <w:t>存货可变现净值的确定依据及存货跌价准备的计提方法</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期末对存货进行全面清查后，按存货的成本与可变现净值孰低提取或调整存货 </w:t>
      </w:r>
      <w:r>
        <w:rPr>
          <w:rFonts w:ascii="宋体" w:hAnsi="宋体" w:cs="宋体" w:eastAsia="宋体" w:hint="default"/>
          <w:sz w:val="21"/>
          <w:szCs w:val="21"/>
        </w:rPr>
        <w:t>跌价准备。</w:t>
      </w:r>
      <w:r>
        <w:rPr>
          <w:rFonts w:ascii="宋体" w:hAnsi="宋体" w:cs="宋体" w:eastAsia="宋体" w:hint="default"/>
          <w:sz w:val="21"/>
          <w:szCs w:val="21"/>
        </w:rPr>
        <w:t> </w:t>
      </w:r>
      <w:r>
        <w:rPr>
          <w:rFonts w:ascii="宋体" w:hAnsi="宋体" w:cs="宋体" w:eastAsia="宋体" w:hint="default"/>
          <w:spacing w:val="2"/>
          <w:sz w:val="21"/>
          <w:szCs w:val="21"/>
        </w:rPr>
        <w:t>产成品、库存商品和用于出售的材料等直接用于出售的商品存货，在正常生产</w:t>
      </w:r>
      <w:r>
        <w:rPr>
          <w:rFonts w:ascii="宋体" w:hAnsi="宋体" w:cs="宋体" w:eastAsia="宋体" w:hint="default"/>
          <w:spacing w:val="2"/>
          <w:sz w:val="21"/>
          <w:szCs w:val="21"/>
        </w:rPr>
        <w:t> 经营过程中，以该存货的估计售价减去估计的销售费用和相关税费后的金额， 确定其可变现净值；需要经过加工的材料存货，在正常生产经营过程中，以所 生产的产成品的估计售价减去至完工时估计将要发生的成本、估计的销售费用 和相关税费后的金额，确定其可变现净值；为执行销售合同或者劳务合同而持 有的存货，其可变现净值以合同价格为基础计算，若持有存货的数量多于销售 </w:t>
      </w:r>
      <w:r>
        <w:rPr>
          <w:rFonts w:ascii="宋体" w:hAnsi="宋体" w:cs="宋体" w:eastAsia="宋体" w:hint="default"/>
          <w:sz w:val="21"/>
          <w:szCs w:val="21"/>
        </w:rPr>
        <w:t>合同订购数量的，超出部分的存货的可变现净值以一般销售价格为基础计算。</w:t>
      </w:r>
      <w:r>
        <w:rPr>
          <w:rFonts w:ascii="宋体" w:hAnsi="宋体" w:cs="宋体" w:eastAsia="宋体" w:hint="default"/>
          <w:sz w:val="21"/>
          <w:szCs w:val="21"/>
        </w:rPr>
        <w:t> </w:t>
      </w:r>
      <w:r>
        <w:rPr>
          <w:rFonts w:ascii="宋体" w:hAnsi="宋体" w:cs="宋体" w:eastAsia="宋体" w:hint="default"/>
          <w:spacing w:val="-1"/>
          <w:sz w:val="21"/>
          <w:szCs w:val="21"/>
        </w:rPr>
        <w:t>期末按照单个存货项目计提存货跌价准备；但对于数量繁多、单价较低的存货，</w:t>
      </w:r>
      <w:r>
        <w:rPr>
          <w:rFonts w:ascii="宋体" w:hAnsi="宋体" w:cs="宋体" w:eastAsia="宋体" w:hint="default"/>
          <w:sz w:val="21"/>
          <w:szCs w:val="21"/>
        </w:rPr>
        <w:t> </w:t>
      </w:r>
      <w:r>
        <w:rPr>
          <w:rFonts w:ascii="宋体" w:hAnsi="宋体" w:cs="宋体" w:eastAsia="宋体" w:hint="default"/>
          <w:spacing w:val="2"/>
          <w:sz w:val="21"/>
          <w:szCs w:val="21"/>
        </w:rPr>
        <w:t>按照存货类别计提存货跌价准备；与在同一地区生产和销售的产品系列相关、</w:t>
      </w:r>
      <w:r>
        <w:rPr>
          <w:rFonts w:ascii="宋体" w:hAnsi="宋体" w:cs="宋体" w:eastAsia="宋体" w:hint="default"/>
          <w:spacing w:val="2"/>
          <w:sz w:val="21"/>
          <w:szCs w:val="21"/>
        </w:rPr>
        <w:t> 具有相同或类似最终用途或目的，且难以与其他项目分开计量的存货，则合并 </w:t>
      </w:r>
      <w:r>
        <w:rPr>
          <w:rFonts w:ascii="宋体" w:hAnsi="宋体" w:cs="宋体" w:eastAsia="宋体" w:hint="default"/>
          <w:sz w:val="21"/>
          <w:szCs w:val="21"/>
        </w:rPr>
        <w:t>计提存货跌价准备。</w:t>
      </w:r>
    </w:p>
    <w:p>
      <w:pPr>
        <w:spacing w:after="0" w:line="348" w:lineRule="auto"/>
        <w:jc w:val="left"/>
        <w:rPr>
          <w:rFonts w:ascii="宋体" w:hAnsi="宋体" w:cs="宋体" w:eastAsia="宋体" w:hint="default"/>
          <w:sz w:val="21"/>
          <w:szCs w:val="21"/>
        </w:rPr>
        <w:sectPr>
          <w:pgSz w:w="11910" w:h="16840"/>
          <w:pgMar w:header="686" w:footer="1270" w:top="1360" w:bottom="1460" w:left="1520" w:right="1580"/>
        </w:sectPr>
      </w:pPr>
    </w:p>
    <w:p>
      <w:pPr>
        <w:spacing w:line="240" w:lineRule="auto" w:before="4"/>
        <w:rPr>
          <w:rFonts w:ascii="宋体" w:hAnsi="宋体" w:cs="宋体" w:eastAsia="宋体" w:hint="default"/>
          <w:sz w:val="26"/>
          <w:szCs w:val="26"/>
        </w:rPr>
      </w:pPr>
    </w:p>
    <w:p>
      <w:pPr>
        <w:spacing w:line="348" w:lineRule="auto" w:before="35"/>
        <w:ind w:left="1360" w:right="0" w:firstLine="0"/>
        <w:jc w:val="left"/>
        <w:rPr>
          <w:rFonts w:ascii="宋体" w:hAnsi="宋体" w:cs="宋体" w:eastAsia="宋体" w:hint="default"/>
          <w:sz w:val="21"/>
          <w:szCs w:val="21"/>
        </w:rPr>
      </w:pPr>
      <w:r>
        <w:rPr>
          <w:rFonts w:ascii="宋体" w:hAnsi="宋体" w:cs="宋体" w:eastAsia="宋体" w:hint="default"/>
          <w:spacing w:val="2"/>
          <w:sz w:val="21"/>
          <w:szCs w:val="21"/>
        </w:rPr>
        <w:t>以前减记存货价值的影响因素已经消失的，减记的金额予以恢复，并在原已计</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提的存货跌价准备金额内转回，转回的金额计入当期损益。</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9"/>
          <w:szCs w:val="29"/>
        </w:rPr>
      </w:pPr>
    </w:p>
    <w:p>
      <w:pPr>
        <w:tabs>
          <w:tab w:pos="1434" w:val="left" w:leader="none"/>
        </w:tabs>
        <w:spacing w:line="331" w:lineRule="auto" w:before="0"/>
        <w:ind w:left="1360" w:right="581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tab/>
      </w:r>
      <w:r>
        <w:rPr>
          <w:rFonts w:ascii="宋体" w:hAnsi="宋体" w:cs="宋体" w:eastAsia="宋体" w:hint="default"/>
          <w:b/>
          <w:bCs/>
          <w:sz w:val="21"/>
          <w:szCs w:val="21"/>
        </w:rPr>
        <w:t>存货的盘存制度</w:t>
      </w:r>
      <w:r>
        <w:rPr>
          <w:rFonts w:ascii="宋体" w:hAnsi="宋体" w:cs="宋体" w:eastAsia="宋体" w:hint="default"/>
          <w:b/>
          <w:bCs/>
          <w:w w:val="99"/>
          <w:sz w:val="21"/>
          <w:szCs w:val="21"/>
        </w:rPr>
        <w:t> </w:t>
      </w:r>
      <w:r>
        <w:rPr>
          <w:rFonts w:ascii="宋体" w:hAnsi="宋体" w:cs="宋体" w:eastAsia="宋体" w:hint="default"/>
          <w:sz w:val="21"/>
          <w:szCs w:val="21"/>
        </w:rPr>
        <w:t>采用永续盘存制</w:t>
      </w:r>
    </w:p>
    <w:p>
      <w:pPr>
        <w:spacing w:line="240" w:lineRule="auto" w:before="4"/>
        <w:rPr>
          <w:rFonts w:ascii="宋体" w:hAnsi="宋体" w:cs="宋体" w:eastAsia="宋体" w:hint="default"/>
          <w:sz w:val="27"/>
          <w:szCs w:val="27"/>
        </w:rPr>
      </w:pPr>
    </w:p>
    <w:p>
      <w:pPr>
        <w:tabs>
          <w:tab w:pos="1434" w:val="left" w:leader="none"/>
        </w:tabs>
        <w:spacing w:line="328" w:lineRule="auto" w:before="0"/>
        <w:ind w:left="1360" w:right="4632"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tab/>
      </w:r>
      <w:r>
        <w:rPr>
          <w:rFonts w:ascii="宋体" w:hAnsi="宋体" w:cs="宋体" w:eastAsia="宋体" w:hint="default"/>
          <w:b/>
          <w:bCs/>
          <w:sz w:val="21"/>
          <w:szCs w:val="21"/>
        </w:rPr>
        <w:t>低值易耗品的摊销方法</w:t>
      </w:r>
      <w:r>
        <w:rPr>
          <w:rFonts w:ascii="宋体" w:hAnsi="宋体" w:cs="宋体" w:eastAsia="宋体" w:hint="default"/>
          <w:b/>
          <w:bCs/>
          <w:w w:val="99"/>
          <w:sz w:val="21"/>
          <w:szCs w:val="21"/>
        </w:rPr>
        <w:t> </w:t>
      </w:r>
      <w:r>
        <w:rPr>
          <w:rFonts w:ascii="宋体" w:hAnsi="宋体" w:cs="宋体" w:eastAsia="宋体" w:hint="default"/>
          <w:sz w:val="21"/>
          <w:szCs w:val="21"/>
        </w:rPr>
        <w:t>低值易耗品采用分次转销法；</w:t>
      </w:r>
    </w:p>
    <w:p>
      <w:pPr>
        <w:spacing w:line="240" w:lineRule="auto" w:before="0"/>
        <w:rPr>
          <w:rFonts w:ascii="宋体" w:hAnsi="宋体" w:cs="宋体" w:eastAsia="宋体" w:hint="default"/>
          <w:sz w:val="20"/>
          <w:szCs w:val="20"/>
        </w:rPr>
      </w:pPr>
    </w:p>
    <w:p>
      <w:pPr>
        <w:spacing w:before="165"/>
        <w:ind w:left="265" w:right="220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十二</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长期股权投资</w:t>
      </w:r>
      <w:r>
        <w:rPr>
          <w:rFonts w:ascii="宋体" w:hAnsi="宋体" w:cs="宋体" w:eastAsia="宋体" w:hint="default"/>
          <w:sz w:val="21"/>
          <w:szCs w:val="21"/>
        </w:rPr>
      </w:r>
    </w:p>
    <w:p>
      <w:pPr>
        <w:tabs>
          <w:tab w:pos="1434" w:val="left" w:leader="none"/>
        </w:tabs>
        <w:spacing w:before="89"/>
        <w:ind w:left="895" w:right="2206"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投资成本的确定</w:t>
      </w:r>
      <w:r>
        <w:rPr>
          <w:rFonts w:ascii="宋体" w:hAnsi="宋体" w:cs="宋体" w:eastAsia="宋体" w:hint="default"/>
          <w:sz w:val="21"/>
          <w:szCs w:val="21"/>
        </w:rPr>
      </w:r>
    </w:p>
    <w:p>
      <w:pPr>
        <w:spacing w:line="331" w:lineRule="auto" w:before="88"/>
        <w:ind w:left="136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）企业合并形成的长期股权投资 </w:t>
      </w:r>
      <w:r>
        <w:rPr>
          <w:rFonts w:ascii="宋体" w:hAnsi="宋体" w:cs="宋体" w:eastAsia="宋体" w:hint="default"/>
          <w:spacing w:val="2"/>
          <w:sz w:val="21"/>
          <w:szCs w:val="21"/>
        </w:rPr>
        <w:t>同一控制下的企业合并：公司以支付现金、转让非现金资产或承担债务方式以</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及以发行权益性证券作为合并对价的，在合并日按照取得被合并方所有者权益</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账面价值的份额作为长期股权投资的初始投资成本。长期股权投资初始投资成</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本与支付合并对价之间的差额，调整资本公积中的股本溢价；资本公积中的股</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本溢价不足冲减的，调整留存收益。合并发生的各项直接相关费用，包括为进</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行合并而支付的审计费用、评估费用、法律服务费用等，于发生时计入当期损</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益。</w:t>
      </w:r>
      <w:r>
        <w:rPr>
          <w:rFonts w:ascii="宋体" w:hAnsi="宋体" w:cs="宋体" w:eastAsia="宋体" w:hint="default"/>
          <w:sz w:val="21"/>
          <w:szCs w:val="21"/>
        </w:rPr>
        <w:t> </w:t>
      </w:r>
      <w:r>
        <w:rPr>
          <w:rFonts w:ascii="宋体" w:hAnsi="宋体" w:cs="宋体" w:eastAsia="宋体" w:hint="default"/>
          <w:spacing w:val="2"/>
          <w:sz w:val="21"/>
          <w:szCs w:val="21"/>
        </w:rPr>
        <w:t>非同一控制下的企业合并：公司按照购买日确定的合并成本作为长期股权投资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的初始投资成本。合并成本为购买日购买方为取得对被购买方的控制权而付出</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的资产、发生或承担的负债以及发行的权益性证券的公允价值。购买方为企业</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合并而发生的审计、法律服务、评估咨询等中介费用以及其他相关管理费用于</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发生时计入当期损益；购买方作为合并对价发行的权益性证券或债务性证券的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交易费用，计入权益性证券或债务性证券的初始确认金额。通过多次交易分步</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实现的非同一控制下企业合并，以购买日之前所持被购买方的股权投资的账面</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价值与购买日新增投资成本之和，作为该项投资的初始投资成本。本公司将合</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并协议约定的或有对价作为企业合并转移对价的一部分，按照其在购买日的公</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允价值计入企业合并成本。</w:t>
      </w:r>
    </w:p>
    <w:p>
      <w:pPr>
        <w:spacing w:line="328" w:lineRule="auto" w:before="24"/>
        <w:ind w:left="136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）其他方式取得的长期股权投资 </w:t>
      </w:r>
      <w:r>
        <w:rPr>
          <w:rFonts w:ascii="宋体" w:hAnsi="宋体" w:cs="宋体" w:eastAsia="宋体" w:hint="default"/>
          <w:spacing w:val="2"/>
          <w:sz w:val="21"/>
          <w:szCs w:val="21"/>
        </w:rPr>
        <w:t>以支付现金方式取得的长期股权投资，按照实际支付的购买价款作为初始投资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成本。</w:t>
      </w:r>
      <w:r>
        <w:rPr>
          <w:rFonts w:ascii="宋体" w:hAnsi="宋体" w:cs="宋体" w:eastAsia="宋体" w:hint="default"/>
          <w:sz w:val="21"/>
          <w:szCs w:val="21"/>
        </w:rPr>
        <w:t> </w:t>
      </w:r>
      <w:r>
        <w:rPr>
          <w:rFonts w:ascii="宋体" w:hAnsi="宋体" w:cs="宋体" w:eastAsia="宋体" w:hint="default"/>
          <w:spacing w:val="2"/>
          <w:sz w:val="21"/>
          <w:szCs w:val="21"/>
        </w:rPr>
        <w:t>以发行权益性证券取得的长期股权投资，按照发行权益性证券的公允价值作为</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初始投资成本。</w:t>
      </w:r>
      <w:r>
        <w:rPr>
          <w:rFonts w:ascii="宋体" w:hAnsi="宋体" w:cs="宋体" w:eastAsia="宋体" w:hint="default"/>
          <w:sz w:val="21"/>
          <w:szCs w:val="21"/>
        </w:rPr>
        <w:t> </w:t>
      </w:r>
      <w:r>
        <w:rPr>
          <w:rFonts w:ascii="宋体" w:hAnsi="宋体" w:cs="宋体" w:eastAsia="宋体" w:hint="default"/>
          <w:spacing w:val="2"/>
          <w:sz w:val="21"/>
          <w:szCs w:val="21"/>
        </w:rPr>
        <w:t>投资者投入的长期股权投资，按照投资合同或协议约定的价值（扣除已宣告但</w:t>
      </w:r>
      <w:r>
        <w:rPr>
          <w:rFonts w:ascii="宋体" w:hAnsi="宋体" w:cs="宋体" w:eastAsia="宋体" w:hint="default"/>
          <w:sz w:val="21"/>
          <w:szCs w:val="21"/>
        </w:rPr>
      </w:r>
    </w:p>
    <w:p>
      <w:pPr>
        <w:spacing w:after="0" w:line="328" w:lineRule="auto"/>
        <w:jc w:val="left"/>
        <w:rPr>
          <w:rFonts w:ascii="宋体" w:hAnsi="宋体" w:cs="宋体" w:eastAsia="宋体" w:hint="default"/>
          <w:sz w:val="21"/>
          <w:szCs w:val="21"/>
        </w:rPr>
        <w:sectPr>
          <w:pgSz w:w="11910" w:h="16840"/>
          <w:pgMar w:header="686" w:footer="1270" w:top="1360" w:bottom="1460" w:left="1520" w:right="1660"/>
        </w:sectPr>
      </w:pPr>
    </w:p>
    <w:p>
      <w:pPr>
        <w:spacing w:line="240" w:lineRule="auto" w:before="10"/>
        <w:rPr>
          <w:rFonts w:ascii="宋体" w:hAnsi="宋体" w:cs="宋体" w:eastAsia="宋体" w:hint="default"/>
          <w:sz w:val="24"/>
          <w:szCs w:val="24"/>
        </w:rPr>
      </w:pPr>
    </w:p>
    <w:p>
      <w:pPr>
        <w:spacing w:line="331" w:lineRule="auto" w:before="35"/>
        <w:ind w:left="1360" w:right="109" w:firstLine="0"/>
        <w:jc w:val="left"/>
        <w:rPr>
          <w:rFonts w:ascii="宋体" w:hAnsi="宋体" w:cs="宋体" w:eastAsia="宋体" w:hint="default"/>
          <w:sz w:val="21"/>
          <w:szCs w:val="21"/>
        </w:rPr>
      </w:pPr>
      <w:r>
        <w:rPr>
          <w:rFonts w:ascii="宋体" w:hAnsi="宋体" w:cs="宋体" w:eastAsia="宋体" w:hint="default"/>
          <w:spacing w:val="2"/>
          <w:sz w:val="21"/>
          <w:szCs w:val="21"/>
        </w:rPr>
        <w:t>尚未发放的现金股利或利润）作为初始投资成本，但合同或协议约定价值不公</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允的除外。</w:t>
      </w:r>
      <w:r>
        <w:rPr>
          <w:rFonts w:ascii="宋体" w:hAnsi="宋体" w:cs="宋体" w:eastAsia="宋体" w:hint="default"/>
          <w:sz w:val="21"/>
          <w:szCs w:val="21"/>
        </w:rPr>
        <w:t> </w:t>
      </w:r>
      <w:r>
        <w:rPr>
          <w:rFonts w:ascii="宋体" w:hAnsi="宋体" w:cs="宋体" w:eastAsia="宋体" w:hint="default"/>
          <w:spacing w:val="2"/>
          <w:sz w:val="21"/>
          <w:szCs w:val="21"/>
        </w:rPr>
        <w:t>在非货币性资产交换具备商业实质和换入资产或换出资产的公允价值能够可靠</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计量的前提下，非货币性资产交换换入的长期股权投资以换出资产的公允价值</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为基础确定其初始投资成本，除非有确凿证据表明换入资产的公允价值更加可</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靠；不满足上述前提的非货币性资产交换，以换出资产的账面价值和应支付的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相关税费作为换入长期股权投资的初始投资成本。</w:t>
      </w:r>
      <w:r>
        <w:rPr>
          <w:rFonts w:ascii="宋体" w:hAnsi="宋体" w:cs="宋体" w:eastAsia="宋体" w:hint="default"/>
          <w:sz w:val="21"/>
          <w:szCs w:val="21"/>
        </w:rPr>
        <w:t> </w:t>
      </w:r>
      <w:r>
        <w:rPr>
          <w:rFonts w:ascii="宋体" w:hAnsi="宋体" w:cs="宋体" w:eastAsia="宋体" w:hint="default"/>
          <w:spacing w:val="-1"/>
          <w:sz w:val="21"/>
          <w:szCs w:val="21"/>
        </w:rPr>
        <w:t>通过债务重组取得的长期股权投资，其初始投资成本按照公允价值为基础确定。</w:t>
      </w:r>
    </w:p>
    <w:p>
      <w:pPr>
        <w:spacing w:line="240" w:lineRule="auto" w:before="0"/>
        <w:rPr>
          <w:rFonts w:ascii="宋体" w:hAnsi="宋体" w:cs="宋体" w:eastAsia="宋体" w:hint="default"/>
          <w:sz w:val="20"/>
          <w:szCs w:val="20"/>
        </w:rPr>
      </w:pPr>
    </w:p>
    <w:p>
      <w:pPr>
        <w:tabs>
          <w:tab w:pos="1434" w:val="left" w:leader="none"/>
        </w:tabs>
        <w:spacing w:before="133"/>
        <w:ind w:left="895" w:right="9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后续计量及损益确认</w:t>
      </w:r>
      <w:r>
        <w:rPr>
          <w:rFonts w:ascii="宋体" w:hAnsi="宋体" w:cs="宋体" w:eastAsia="宋体" w:hint="default"/>
          <w:sz w:val="21"/>
          <w:szCs w:val="21"/>
        </w:rPr>
      </w:r>
    </w:p>
    <w:p>
      <w:pPr>
        <w:spacing w:line="321" w:lineRule="auto" w:before="79"/>
        <w:ind w:left="1360"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）后续计量 </w:t>
      </w:r>
      <w:r>
        <w:rPr>
          <w:rFonts w:ascii="宋体" w:hAnsi="宋体" w:cs="宋体" w:eastAsia="宋体" w:hint="default"/>
          <w:spacing w:val="2"/>
          <w:sz w:val="21"/>
          <w:szCs w:val="21"/>
        </w:rPr>
        <w:t>公司对子公司的长期股权投资，采用成本法核算，编制合并财务报表时按照权</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益法进行调整。</w:t>
      </w:r>
      <w:r>
        <w:rPr>
          <w:rFonts w:ascii="宋体" w:hAnsi="宋体" w:cs="宋体" w:eastAsia="宋体" w:hint="default"/>
          <w:sz w:val="21"/>
          <w:szCs w:val="21"/>
        </w:rPr>
        <w:t> </w:t>
      </w:r>
      <w:r>
        <w:rPr>
          <w:rFonts w:ascii="宋体" w:hAnsi="宋体" w:cs="宋体" w:eastAsia="宋体" w:hint="default"/>
          <w:spacing w:val="2"/>
          <w:sz w:val="21"/>
          <w:szCs w:val="21"/>
        </w:rPr>
        <w:t>对被投资单位不具有共同控制或重大影响，并且在活跃市场中没有报价、公允</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价值不能可靠计量的长期股权投资，采用成本法核算。</w:t>
      </w:r>
      <w:r>
        <w:rPr>
          <w:rFonts w:ascii="宋体" w:hAnsi="宋体" w:cs="宋体" w:eastAsia="宋体" w:hint="default"/>
          <w:sz w:val="21"/>
          <w:szCs w:val="21"/>
        </w:rPr>
        <w:t> </w:t>
      </w:r>
      <w:r>
        <w:rPr>
          <w:rFonts w:ascii="宋体" w:hAnsi="宋体" w:cs="宋体" w:eastAsia="宋体" w:hint="default"/>
          <w:spacing w:val="2"/>
          <w:sz w:val="21"/>
          <w:szCs w:val="21"/>
        </w:rPr>
        <w:t>对被投资单位具有共同控制或重大影响的长期股权投资，采用权益法核算。初</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始投资成本大于投资时应享有被投资单位可辨认净资产公允价值份额的差额，</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不调整长期股权投资的初始投资成本；初始投资成本小于投资时应享有被投资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单位可辨认净资产公允价值份额的差额，计入当期损益。</w:t>
      </w:r>
      <w:r>
        <w:rPr>
          <w:rFonts w:ascii="宋体" w:hAnsi="宋体" w:cs="宋体" w:eastAsia="宋体" w:hint="default"/>
          <w:sz w:val="21"/>
          <w:szCs w:val="21"/>
        </w:rPr>
        <w:t> </w:t>
      </w:r>
      <w:r>
        <w:rPr>
          <w:rFonts w:ascii="宋体" w:hAnsi="宋体" w:cs="宋体" w:eastAsia="宋体" w:hint="default"/>
          <w:spacing w:val="2"/>
          <w:sz w:val="21"/>
          <w:szCs w:val="21"/>
        </w:rPr>
        <w:t>被投资单位除净损益以外所有者权益其他变动的处理：对于被投资单位除净损</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益以外所有者权益的其他变动，在持股比例不变的情况下，公司按照持股比例</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计算应享有或承担的部分，调整长期股权投资的账面价值，同时增加或减少资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9"/>
          <w:sz w:val="21"/>
          <w:szCs w:val="21"/>
        </w:rPr>
        <w:t>本公积（其他资本公积）。</w:t>
      </w:r>
    </w:p>
    <w:p>
      <w:pPr>
        <w:spacing w:line="321" w:lineRule="auto" w:before="24"/>
        <w:ind w:left="1360" w:right="109"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）损益确认 </w:t>
      </w:r>
      <w:r>
        <w:rPr>
          <w:rFonts w:ascii="宋体" w:hAnsi="宋体" w:cs="宋体" w:eastAsia="宋体" w:hint="default"/>
          <w:spacing w:val="2"/>
          <w:sz w:val="21"/>
          <w:szCs w:val="21"/>
        </w:rPr>
        <w:t>成本法下，除取得投资时实际支付的价款或对价中包含的已宣告但尚未发放的</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sz w:val="21"/>
          <w:szCs w:val="21"/>
        </w:rPr>
        <w:t>现金股利或利润外，公司按照享有被投资单位宣告发放的现金股利或利润确认</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投资收益。</w:t>
      </w:r>
      <w:r>
        <w:rPr>
          <w:rFonts w:ascii="宋体" w:hAnsi="宋体" w:cs="宋体" w:eastAsia="宋体" w:hint="default"/>
          <w:sz w:val="21"/>
          <w:szCs w:val="21"/>
        </w:rPr>
        <w:t> </w:t>
      </w:r>
      <w:r>
        <w:rPr>
          <w:rFonts w:ascii="宋体" w:hAnsi="宋体" w:cs="宋体" w:eastAsia="宋体" w:hint="default"/>
          <w:spacing w:val="2"/>
          <w:sz w:val="21"/>
          <w:szCs w:val="21"/>
        </w:rPr>
        <w:t>权益法下，在被投资单位账面净利润的基础上考虑：被投资单位与本公司采用</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sz w:val="21"/>
          <w:szCs w:val="21"/>
        </w:rPr>
        <w:t>的会计政策及会计期间不一致，按本公司的会计政策及会计期间对被投资单位</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sz w:val="21"/>
          <w:szCs w:val="21"/>
        </w:rPr>
        <w:t>财务报表进行调整；以取得投资时被投资单位固定资产、无形资产的公允价值</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sz w:val="21"/>
          <w:szCs w:val="21"/>
        </w:rPr>
        <w:t>为基础计提的折旧额或摊销额以及有关资产减值准备金额等对被投资单位净利</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sz w:val="21"/>
          <w:szCs w:val="21"/>
        </w:rPr>
        <w:t>润的影响；对本公司与联营企业及合营企业之间发生的未实现内部交易予以抵</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销等事项的适当调整后，确认应享有或应负担被投资单位的净利润或净亏损。</w:t>
      </w:r>
      <w:r>
        <w:rPr>
          <w:rFonts w:ascii="宋体" w:hAnsi="宋体" w:cs="宋体" w:eastAsia="宋体" w:hint="default"/>
          <w:sz w:val="21"/>
          <w:szCs w:val="21"/>
        </w:rPr>
        <w:t> </w:t>
      </w:r>
      <w:r>
        <w:rPr>
          <w:rFonts w:ascii="宋体" w:hAnsi="宋体" w:cs="宋体" w:eastAsia="宋体" w:hint="default"/>
          <w:spacing w:val="2"/>
          <w:sz w:val="21"/>
          <w:szCs w:val="21"/>
        </w:rPr>
        <w:t>在公司确认应分担被投资单位发生的亏损时，按照以下顺序进行处理：首先，</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1"/>
          <w:sz w:val="21"/>
          <w:szCs w:val="21"/>
        </w:rPr>
        <w:t>冲减长期股权投资的账面价值。其次，长期股权投资的账面价值不足以冲减的，</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2"/>
          <w:sz w:val="21"/>
          <w:szCs w:val="21"/>
        </w:rPr>
        <w:t>以其他实质上构成对被投资单位净投资的长期权益账面价值为限继续确认投资</w:t>
      </w:r>
      <w:r>
        <w:rPr>
          <w:rFonts w:ascii="宋体" w:hAnsi="宋体" w:cs="宋体" w:eastAsia="宋体" w:hint="default"/>
          <w:sz w:val="21"/>
          <w:szCs w:val="21"/>
        </w:rPr>
      </w:r>
    </w:p>
    <w:p>
      <w:pPr>
        <w:spacing w:after="0" w:line="321" w:lineRule="auto"/>
        <w:jc w:val="left"/>
        <w:rPr>
          <w:rFonts w:ascii="宋体" w:hAnsi="宋体" w:cs="宋体" w:eastAsia="宋体" w:hint="default"/>
          <w:sz w:val="21"/>
          <w:szCs w:val="21"/>
        </w:rPr>
        <w:sectPr>
          <w:pgSz w:w="11910" w:h="16840"/>
          <w:pgMar w:header="686" w:footer="1270" w:top="1360" w:bottom="1460" w:left="1520" w:right="1580"/>
        </w:sectPr>
      </w:pPr>
    </w:p>
    <w:p>
      <w:pPr>
        <w:spacing w:line="240" w:lineRule="auto" w:before="1"/>
        <w:rPr>
          <w:rFonts w:ascii="宋体" w:hAnsi="宋体" w:cs="宋体" w:eastAsia="宋体" w:hint="default"/>
          <w:sz w:val="24"/>
          <w:szCs w:val="24"/>
        </w:rPr>
      </w:pPr>
    </w:p>
    <w:p>
      <w:pPr>
        <w:spacing w:line="324" w:lineRule="auto" w:before="35"/>
        <w:ind w:left="1360" w:right="0" w:firstLine="0"/>
        <w:jc w:val="left"/>
        <w:rPr>
          <w:rFonts w:ascii="宋体" w:hAnsi="宋体" w:cs="宋体" w:eastAsia="宋体" w:hint="default"/>
          <w:sz w:val="21"/>
          <w:szCs w:val="21"/>
        </w:rPr>
      </w:pPr>
      <w:r>
        <w:rPr>
          <w:rFonts w:ascii="宋体" w:hAnsi="宋体" w:cs="宋体" w:eastAsia="宋体" w:hint="default"/>
          <w:spacing w:val="2"/>
          <w:sz w:val="21"/>
          <w:szCs w:val="21"/>
        </w:rPr>
        <w:t>损失，冲减长期应收项目等的账面价值。最后，经过上述处理，按照投资合同</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或协议约定企业仍承担额外义务的，按预计承担的义务确认预计负债，计入当</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期投资损失。被投资单位以后期间实现盈利的，公司在扣除未确认的亏损分担</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额后，按与上述相反的顺序处理，减记已确认预计负债的账面余额、恢复其他</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实质上构成对被投资单位净投资的长期权益及长期股权投资的账面价值，同时</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确认投资收益。</w:t>
      </w:r>
      <w:r>
        <w:rPr>
          <w:rFonts w:ascii="宋体" w:hAnsi="宋体" w:cs="宋体" w:eastAsia="宋体" w:hint="default"/>
          <w:sz w:val="21"/>
          <w:szCs w:val="21"/>
        </w:rPr>
        <w:t> </w:t>
      </w:r>
      <w:r>
        <w:rPr>
          <w:rFonts w:ascii="宋体" w:hAnsi="宋体" w:cs="宋体" w:eastAsia="宋体" w:hint="default"/>
          <w:spacing w:val="2"/>
          <w:sz w:val="21"/>
          <w:szCs w:val="21"/>
        </w:rPr>
        <w:t>在持有投资期间，被投资单位能够提供合并财务报表的，应当以合并财务报表</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中的净利润和其他权益变动为基础进行核算。</w:t>
      </w:r>
    </w:p>
    <w:p>
      <w:pPr>
        <w:spacing w:line="240" w:lineRule="auto" w:before="0"/>
        <w:rPr>
          <w:rFonts w:ascii="宋体" w:hAnsi="宋体" w:cs="宋体" w:eastAsia="宋体" w:hint="default"/>
          <w:sz w:val="20"/>
          <w:szCs w:val="20"/>
        </w:rPr>
      </w:pPr>
    </w:p>
    <w:p>
      <w:pPr>
        <w:tabs>
          <w:tab w:pos="1434" w:val="left" w:leader="none"/>
        </w:tabs>
        <w:spacing w:line="338" w:lineRule="auto" w:before="150"/>
        <w:ind w:left="1360" w:right="13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r>
      <w:r>
        <w:rPr>
          <w:rFonts w:ascii="宋体" w:hAnsi="宋体" w:cs="宋体" w:eastAsia="宋体" w:hint="default"/>
          <w:b/>
          <w:bCs/>
          <w:sz w:val="21"/>
          <w:szCs w:val="21"/>
        </w:rPr>
        <w:t>确定对被投资单位具有共同控制、重大影响的依据</w:t>
      </w:r>
      <w:r>
        <w:rPr>
          <w:rFonts w:ascii="宋体" w:hAnsi="宋体" w:cs="宋体" w:eastAsia="宋体" w:hint="default"/>
          <w:b/>
          <w:bCs/>
          <w:w w:val="99"/>
          <w:sz w:val="21"/>
          <w:szCs w:val="21"/>
        </w:rPr>
        <w:t> </w:t>
      </w:r>
      <w:r>
        <w:rPr>
          <w:rFonts w:ascii="宋体" w:hAnsi="宋体" w:cs="宋体" w:eastAsia="宋体" w:hint="default"/>
          <w:spacing w:val="2"/>
          <w:sz w:val="21"/>
          <w:szCs w:val="21"/>
        </w:rPr>
        <w:t>共同控制，是指按照合同约定对某项经济活动所共有的控制，仅在与该项经济 活动相关的重要财务和经营决策需要分享控制权的投资方一致同意时存在。投 </w:t>
      </w:r>
      <w:r>
        <w:rPr>
          <w:rFonts w:ascii="宋体" w:hAnsi="宋体" w:cs="宋体" w:eastAsia="宋体" w:hint="default"/>
          <w:sz w:val="21"/>
          <w:szCs w:val="21"/>
        </w:rPr>
        <w:t>资企业与其他方对被投资单位实施共同控制的，被投资单位为其合营企业。</w:t>
      </w:r>
      <w:r>
        <w:rPr>
          <w:rFonts w:ascii="宋体" w:hAnsi="宋体" w:cs="宋体" w:eastAsia="宋体" w:hint="default"/>
          <w:sz w:val="21"/>
          <w:szCs w:val="21"/>
        </w:rPr>
        <w:t> </w:t>
      </w:r>
      <w:r>
        <w:rPr>
          <w:rFonts w:ascii="宋体" w:hAnsi="宋体" w:cs="宋体" w:eastAsia="宋体" w:hint="default"/>
          <w:spacing w:val="2"/>
          <w:sz w:val="21"/>
          <w:szCs w:val="21"/>
        </w:rPr>
        <w:t>重大影响，是指对一个企业的财务和经营决策有参与决策的权力，但并不能够</w:t>
      </w:r>
      <w:r>
        <w:rPr>
          <w:rFonts w:ascii="宋体" w:hAnsi="宋体" w:cs="宋体" w:eastAsia="宋体" w:hint="default"/>
          <w:spacing w:val="2"/>
          <w:sz w:val="21"/>
          <w:szCs w:val="21"/>
        </w:rPr>
        <w:t> 控制或者与其他方一起共同控制这些政策的制定。投资企业能够对被投资单位 </w:t>
      </w:r>
      <w:r>
        <w:rPr>
          <w:rFonts w:ascii="宋体" w:hAnsi="宋体" w:cs="宋体" w:eastAsia="宋体" w:hint="default"/>
          <w:sz w:val="21"/>
          <w:szCs w:val="21"/>
        </w:rPr>
        <w:t>施加重大影响的，被投资单位为其联营企业。</w:t>
      </w:r>
    </w:p>
    <w:p>
      <w:pPr>
        <w:spacing w:line="240" w:lineRule="auto" w:before="0"/>
        <w:rPr>
          <w:rFonts w:ascii="宋体" w:hAnsi="宋体" w:cs="宋体" w:eastAsia="宋体" w:hint="default"/>
          <w:sz w:val="20"/>
          <w:szCs w:val="20"/>
        </w:rPr>
      </w:pPr>
    </w:p>
    <w:p>
      <w:pPr>
        <w:tabs>
          <w:tab w:pos="1434" w:val="left" w:leader="none"/>
        </w:tabs>
        <w:spacing w:line="338" w:lineRule="auto" w:before="157"/>
        <w:ind w:left="1360" w:right="13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tab/>
      </w:r>
      <w:r>
        <w:rPr>
          <w:rFonts w:ascii="宋体" w:hAnsi="宋体" w:cs="宋体" w:eastAsia="宋体" w:hint="default"/>
          <w:b/>
          <w:bCs/>
          <w:sz w:val="21"/>
          <w:szCs w:val="21"/>
        </w:rPr>
        <w:t>减值测试方法及减值准备计提方法</w:t>
      </w:r>
      <w:r>
        <w:rPr>
          <w:rFonts w:ascii="宋体" w:hAnsi="宋体" w:cs="宋体" w:eastAsia="宋体" w:hint="default"/>
          <w:b/>
          <w:bCs/>
          <w:w w:val="99"/>
          <w:sz w:val="21"/>
          <w:szCs w:val="21"/>
        </w:rPr>
        <w:t> </w:t>
      </w:r>
      <w:r>
        <w:rPr>
          <w:rFonts w:ascii="宋体" w:hAnsi="宋体" w:cs="宋体" w:eastAsia="宋体" w:hint="default"/>
          <w:spacing w:val="2"/>
          <w:sz w:val="21"/>
          <w:szCs w:val="21"/>
        </w:rPr>
        <w:t>重大影响以下的、在活跃市场中没有报价、公允价值不能可靠计量的长期股权 投资，其减值损失是根据其账面价值与按类似金融资产当时市场收益率对未来 </w:t>
      </w:r>
      <w:r>
        <w:rPr>
          <w:rFonts w:ascii="宋体" w:hAnsi="宋体" w:cs="宋体" w:eastAsia="宋体" w:hint="default"/>
          <w:sz w:val="21"/>
          <w:szCs w:val="21"/>
        </w:rPr>
        <w:t>现金流量折现确定的现值之间的差额进行确定。</w:t>
      </w:r>
      <w:r>
        <w:rPr>
          <w:rFonts w:ascii="宋体" w:hAnsi="宋体" w:cs="宋体" w:eastAsia="宋体" w:hint="default"/>
          <w:sz w:val="21"/>
          <w:szCs w:val="21"/>
        </w:rPr>
        <w:t> </w:t>
      </w:r>
      <w:r>
        <w:rPr>
          <w:rFonts w:ascii="宋体" w:hAnsi="宋体" w:cs="宋体" w:eastAsia="宋体" w:hint="default"/>
          <w:spacing w:val="2"/>
          <w:sz w:val="21"/>
          <w:szCs w:val="21"/>
        </w:rPr>
        <w:t>除因企业合并形成的商誉以外的存在减值迹象的其他长期股权投资，如果可收</w:t>
      </w:r>
      <w:r>
        <w:rPr>
          <w:rFonts w:ascii="宋体" w:hAnsi="宋体" w:cs="宋体" w:eastAsia="宋体" w:hint="default"/>
          <w:spacing w:val="2"/>
          <w:sz w:val="21"/>
          <w:szCs w:val="21"/>
        </w:rPr>
        <w:t> 回金额的计量结果表明，该长期股权投资的可收回金额低于其账面价值的，将 </w:t>
      </w:r>
      <w:r>
        <w:rPr>
          <w:rFonts w:ascii="宋体" w:hAnsi="宋体" w:cs="宋体" w:eastAsia="宋体" w:hint="default"/>
          <w:sz w:val="21"/>
          <w:szCs w:val="21"/>
        </w:rPr>
        <w:t>差额确认为减值损失。</w:t>
      </w:r>
    </w:p>
    <w:p>
      <w:pPr>
        <w:spacing w:before="29"/>
        <w:ind w:left="1360" w:right="2206" w:firstLine="0"/>
        <w:jc w:val="left"/>
        <w:rPr>
          <w:rFonts w:ascii="宋体" w:hAnsi="宋体" w:cs="宋体" w:eastAsia="宋体" w:hint="default"/>
          <w:sz w:val="21"/>
          <w:szCs w:val="21"/>
        </w:rPr>
      </w:pPr>
      <w:r>
        <w:rPr>
          <w:rFonts w:ascii="宋体" w:hAnsi="宋体" w:cs="宋体" w:eastAsia="宋体" w:hint="default"/>
          <w:sz w:val="21"/>
          <w:szCs w:val="21"/>
        </w:rPr>
        <w:t>长期股权投资减值损失一经确认，不再转回。</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spacing w:before="0"/>
        <w:ind w:left="265" w:right="220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十三</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340" w:lineRule="auto" w:before="99"/>
        <w:ind w:left="895" w:right="0" w:firstLine="0"/>
        <w:jc w:val="left"/>
        <w:rPr>
          <w:rFonts w:ascii="宋体" w:hAnsi="宋体" w:cs="宋体" w:eastAsia="宋体" w:hint="default"/>
          <w:sz w:val="21"/>
          <w:szCs w:val="21"/>
        </w:rPr>
      </w:pPr>
      <w:r>
        <w:rPr>
          <w:rFonts w:ascii="宋体" w:hAnsi="宋体" w:cs="宋体" w:eastAsia="宋体" w:hint="default"/>
          <w:spacing w:val="-3"/>
          <w:sz w:val="21"/>
          <w:szCs w:val="21"/>
        </w:rPr>
        <w:t>投资性房地产是指为赚取租金或资本增值，或两者兼有而持有的房地产，包括已出租</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的土地使用权、持有并准备增值后转让的土地使用权、已出租的建筑物（含自行建造</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3"/>
          <w:sz w:val="21"/>
          <w:szCs w:val="21"/>
        </w:rPr>
        <w:t>或开发活动完成后用于出租的建筑物以及正在建造或开发过程中将来用于出租的建</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27"/>
          <w:sz w:val="21"/>
          <w:szCs w:val="21"/>
        </w:rPr>
        <w:t>筑物）。</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3"/>
          <w:sz w:val="21"/>
          <w:szCs w:val="21"/>
        </w:rPr>
        <w:t>公司对现有投资性房地产采用成本模式计量。对按照成本模式计量的投资性房地产－</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3"/>
          <w:sz w:val="21"/>
          <w:szCs w:val="21"/>
        </w:rPr>
        <w:t>出租用建筑物采用与本公司固定资产相同的折旧政策，出租用土地使用权按与无形资</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产相同的摊销政策执行。 </w:t>
      </w:r>
      <w:r>
        <w:rPr>
          <w:rFonts w:ascii="宋体" w:hAnsi="宋体" w:cs="宋体" w:eastAsia="宋体" w:hint="default"/>
          <w:spacing w:val="-3"/>
          <w:sz w:val="21"/>
          <w:szCs w:val="21"/>
        </w:rPr>
        <w:t>公司对存在减值迹象的，估计其可收回金额，可收回金额低于其账面价值的，确认相</w:t>
      </w:r>
    </w:p>
    <w:p>
      <w:pPr>
        <w:spacing w:after="0" w:line="340" w:lineRule="auto"/>
        <w:jc w:val="left"/>
        <w:rPr>
          <w:rFonts w:ascii="宋体" w:hAnsi="宋体" w:cs="宋体" w:eastAsia="宋体" w:hint="default"/>
          <w:sz w:val="21"/>
          <w:szCs w:val="21"/>
        </w:rPr>
        <w:sectPr>
          <w:footerReference w:type="default" r:id="rId59"/>
          <w:pgSz w:w="11910" w:h="16840"/>
          <w:pgMar w:footer="1270" w:header="686" w:top="1360" w:bottom="1460" w:left="1520" w:right="1660"/>
          <w:pgNumType w:start="110"/>
        </w:sectPr>
      </w:pPr>
    </w:p>
    <w:p>
      <w:pPr>
        <w:spacing w:line="240" w:lineRule="auto" w:before="8"/>
        <w:rPr>
          <w:rFonts w:ascii="宋体" w:hAnsi="宋体" w:cs="宋体" w:eastAsia="宋体" w:hint="default"/>
          <w:sz w:val="25"/>
          <w:szCs w:val="25"/>
        </w:rPr>
      </w:pPr>
    </w:p>
    <w:p>
      <w:pPr>
        <w:spacing w:line="340" w:lineRule="auto" w:before="35"/>
        <w:ind w:left="895" w:right="3709" w:firstLine="0"/>
        <w:jc w:val="left"/>
        <w:rPr>
          <w:rFonts w:ascii="宋体" w:hAnsi="宋体" w:cs="宋体" w:eastAsia="宋体" w:hint="default"/>
          <w:sz w:val="21"/>
          <w:szCs w:val="21"/>
        </w:rPr>
      </w:pPr>
      <w:r>
        <w:rPr>
          <w:rFonts w:ascii="宋体" w:hAnsi="宋体" w:cs="宋体" w:eastAsia="宋体" w:hint="default"/>
          <w:sz w:val="21"/>
          <w:szCs w:val="21"/>
        </w:rPr>
        <w:t>应的减值损失。 投资性房地产减值损失一经确认，不再转回。</w:t>
      </w:r>
    </w:p>
    <w:p>
      <w:pPr>
        <w:spacing w:line="240" w:lineRule="auto" w:before="0"/>
        <w:rPr>
          <w:rFonts w:ascii="宋体" w:hAnsi="宋体" w:cs="宋体" w:eastAsia="宋体" w:hint="default"/>
          <w:sz w:val="20"/>
          <w:szCs w:val="20"/>
        </w:rPr>
      </w:pPr>
    </w:p>
    <w:p>
      <w:pPr>
        <w:spacing w:before="155"/>
        <w:ind w:left="265" w:right="370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十四</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固定资产</w:t>
      </w:r>
      <w:r>
        <w:rPr>
          <w:rFonts w:ascii="宋体" w:hAnsi="宋体" w:cs="宋体" w:eastAsia="宋体" w:hint="default"/>
          <w:sz w:val="21"/>
          <w:szCs w:val="21"/>
        </w:rPr>
      </w:r>
    </w:p>
    <w:p>
      <w:pPr>
        <w:tabs>
          <w:tab w:pos="1434" w:val="left" w:leader="none"/>
        </w:tabs>
        <w:spacing w:line="331" w:lineRule="auto" w:before="99"/>
        <w:ind w:left="1360" w:right="23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固定资产确认条件</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固定资产指为生产商品、提供劳务、出租或经营管理而持有，并且使用寿命超 </w:t>
      </w:r>
      <w:r>
        <w:rPr>
          <w:rFonts w:ascii="宋体" w:hAnsi="宋体" w:cs="宋体" w:eastAsia="宋体" w:hint="default"/>
          <w:sz w:val="21"/>
          <w:szCs w:val="21"/>
        </w:rPr>
        <w:t>过一个会计年度的有形资产。固定资产在同时满足下列条件时予以确认：</w:t>
      </w:r>
    </w:p>
    <w:p>
      <w:pPr>
        <w:spacing w:before="35"/>
        <w:ind w:left="1360" w:right="23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）与该固定资产有关的经济利益很可能流入企业；</w:t>
      </w:r>
    </w:p>
    <w:p>
      <w:pPr>
        <w:spacing w:before="99"/>
        <w:ind w:left="1360" w:right="23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）该固定资产的成本能够可靠地计量。</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5"/>
          <w:szCs w:val="15"/>
        </w:rPr>
      </w:pPr>
    </w:p>
    <w:p>
      <w:pPr>
        <w:tabs>
          <w:tab w:pos="1434" w:val="left" w:leader="none"/>
        </w:tabs>
        <w:spacing w:line="338" w:lineRule="auto" w:before="0"/>
        <w:ind w:left="1360" w:right="23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各类固定资产的折旧方法</w:t>
      </w:r>
      <w:r>
        <w:rPr>
          <w:rFonts w:ascii="宋体" w:hAnsi="宋体" w:cs="宋体" w:eastAsia="宋体" w:hint="default"/>
          <w:b/>
          <w:bCs/>
          <w:w w:val="99"/>
          <w:sz w:val="21"/>
          <w:szCs w:val="21"/>
        </w:rPr>
        <w:t> </w:t>
      </w:r>
      <w:r>
        <w:rPr>
          <w:rFonts w:ascii="宋体" w:hAnsi="宋体" w:cs="宋体" w:eastAsia="宋体" w:hint="default"/>
          <w:spacing w:val="2"/>
          <w:sz w:val="21"/>
          <w:szCs w:val="21"/>
        </w:rPr>
        <w:t>固定资产折旧采用年限平均法分类计提，根据固定资产类别、预计使用寿命和 预计净残值率确定折旧率。如固定资产各组成部分的使用寿命不同或者以不同 </w:t>
      </w:r>
      <w:r>
        <w:rPr>
          <w:rFonts w:ascii="宋体" w:hAnsi="宋体" w:cs="宋体" w:eastAsia="宋体" w:hint="default"/>
          <w:sz w:val="21"/>
          <w:szCs w:val="21"/>
        </w:rPr>
        <w:t>方式为企业提供经济利益，则选择不同折旧率或折旧方法，分别计提折旧。</w:t>
      </w:r>
      <w:r>
        <w:rPr>
          <w:rFonts w:ascii="宋体" w:hAnsi="宋体" w:cs="宋体" w:eastAsia="宋体" w:hint="default"/>
          <w:sz w:val="21"/>
          <w:szCs w:val="21"/>
        </w:rPr>
        <w:t> </w:t>
      </w:r>
      <w:r>
        <w:rPr>
          <w:rFonts w:ascii="宋体" w:hAnsi="宋体" w:cs="宋体" w:eastAsia="宋体" w:hint="default"/>
          <w:spacing w:val="2"/>
          <w:sz w:val="21"/>
          <w:szCs w:val="21"/>
        </w:rPr>
        <w:t>融资租赁方式租入的固定资产，能合理确定租赁期届满时将会取得租赁资产所</w:t>
      </w:r>
      <w:r>
        <w:rPr>
          <w:rFonts w:ascii="宋体" w:hAnsi="宋体" w:cs="宋体" w:eastAsia="宋体" w:hint="default"/>
          <w:spacing w:val="2"/>
          <w:sz w:val="21"/>
          <w:szCs w:val="21"/>
        </w:rPr>
        <w:t> 有权的，在租赁资产尚可使用年限内计提折旧；无法合理确定租赁期届满时能 够取得租赁资产所有权的，在租赁期与租赁资产尚可使用年限两者中较短的期 </w:t>
      </w:r>
      <w:r>
        <w:rPr>
          <w:rFonts w:ascii="宋体" w:hAnsi="宋体" w:cs="宋体" w:eastAsia="宋体" w:hint="default"/>
          <w:sz w:val="21"/>
          <w:szCs w:val="21"/>
        </w:rPr>
        <w:t>间内计提折旧。</w:t>
      </w:r>
    </w:p>
    <w:p>
      <w:pPr>
        <w:spacing w:before="29"/>
        <w:ind w:left="1360" w:right="3709" w:firstLine="0"/>
        <w:jc w:val="left"/>
        <w:rPr>
          <w:rFonts w:ascii="宋体" w:hAnsi="宋体" w:cs="宋体" w:eastAsia="宋体" w:hint="default"/>
          <w:sz w:val="21"/>
          <w:szCs w:val="21"/>
        </w:rPr>
      </w:pPr>
      <w:r>
        <w:rPr/>
        <w:pict>
          <v:group style="position:absolute;margin-left:152.309998pt;margin-top:16.777582pt;width:359.8pt;height:128.8pt;mso-position-horizontal-relative:page;mso-position-vertical-relative:paragraph;z-index:-787912" coordorigin="3046,336" coordsize="7196,2576">
            <v:group style="position:absolute;left:3076;top:351;width:5162;height:2" coordorigin="3076,351" coordsize="5162,2">
              <v:shape style="position:absolute;left:3076;top:351;width:5162;height:2" coordorigin="3076,351" coordsize="5162,0" path="m3076,351l8237,351e" filled="false" stroked="true" strokeweight="1.5pt" strokecolor="#000000">
                <v:path arrowok="t"/>
              </v:shape>
            </v:group>
            <v:group style="position:absolute;left:8237;top:351;width:1978;height:2" coordorigin="8237,351" coordsize="1978,2">
              <v:shape style="position:absolute;left:8237;top:351;width:1978;height:2" coordorigin="8237,351" coordsize="1978,0" path="m8237,351l10214,351e" filled="false" stroked="true" strokeweight="1.5pt" strokecolor="#000000">
                <v:path arrowok="t"/>
              </v:shape>
              <v:shape style="position:absolute;left:4475;top:346;width:3761;height:437" type="#_x0000_t75" stroked="false">
                <v:imagedata r:id="rId60" o:title=""/>
              </v:shape>
            </v:group>
            <v:group style="position:absolute;left:3061;top:2896;width:1434;height:2" coordorigin="3061,2896" coordsize="1434,2">
              <v:shape style="position:absolute;left:3061;top:2896;width:1434;height:2" coordorigin="3061,2896" coordsize="1434,0" path="m3061,2896l4495,2896e" filled="false" stroked="true" strokeweight="1.5pt" strokecolor="#000000">
                <v:path arrowok="t"/>
              </v:shape>
            </v:group>
            <v:group style="position:absolute;left:4495;top:2896;width:1919;height:2" coordorigin="4495,2896" coordsize="1919,2">
              <v:shape style="position:absolute;left:4495;top:2896;width:1919;height:2" coordorigin="4495,2896" coordsize="1919,0" path="m4495,2896l6414,2896e" filled="false" stroked="true" strokeweight="1.5pt" strokecolor="#000000">
                <v:path arrowok="t"/>
              </v:shape>
            </v:group>
            <v:group style="position:absolute;left:6414;top:2896;width:1793;height:2" coordorigin="6414,2896" coordsize="1793,2">
              <v:shape style="position:absolute;left:6414;top:2896;width:1793;height:2" coordorigin="6414,2896" coordsize="1793,0" path="m6414,2896l8207,2896e" filled="false" stroked="true" strokeweight="1.5pt" strokecolor="#000000">
                <v:path arrowok="t"/>
              </v:shape>
              <v:shape style="position:absolute;left:3047;top:744;width:7195;height:2137" type="#_x0000_t75" stroked="false">
                <v:imagedata r:id="rId61" o:title=""/>
              </v:shape>
            </v:group>
            <v:group style="position:absolute;left:8207;top:2896;width:30;height:2" coordorigin="8207,2896" coordsize="30,2">
              <v:shape style="position:absolute;left:8207;top:2896;width:30;height:2" coordorigin="8207,2896" coordsize="30,0" path="m8207,2896l8237,2896e" filled="false" stroked="true" strokeweight="1.5pt" strokecolor="#000000">
                <v:path arrowok="t"/>
              </v:shape>
            </v:group>
            <v:group style="position:absolute;left:8237;top:2896;width:1978;height:2" coordorigin="8237,2896" coordsize="1978,2">
              <v:shape style="position:absolute;left:8237;top:2896;width:1978;height:2" coordorigin="8237,2896" coordsize="1978,0" path="m8237,2896l10214,2896e" filled="false" stroked="true" strokeweight="1.5pt" strokecolor="#000000">
                <v:path arrowok="t"/>
              </v:shape>
            </v:group>
            <w10:wrap type="none"/>
          </v:group>
        </w:pict>
      </w:r>
      <w:r>
        <w:rPr>
          <w:rFonts w:ascii="宋体" w:hAnsi="宋体" w:cs="宋体" w:eastAsia="宋体" w:hint="default"/>
          <w:sz w:val="21"/>
          <w:szCs w:val="21"/>
        </w:rPr>
        <w:t>各类固定资产折旧年限和年折旧率如下</w:t>
      </w:r>
    </w:p>
    <w:p>
      <w:pPr>
        <w:spacing w:line="240" w:lineRule="auto" w:before="12"/>
        <w:rPr>
          <w:rFonts w:ascii="宋体" w:hAnsi="宋体" w:cs="宋体" w:eastAsia="宋体" w:hint="default"/>
          <w:sz w:val="5"/>
          <w:szCs w:val="5"/>
        </w:rPr>
      </w:pPr>
    </w:p>
    <w:tbl>
      <w:tblPr>
        <w:tblW w:w="0" w:type="auto"/>
        <w:jc w:val="left"/>
        <w:tblInd w:w="1610" w:type="dxa"/>
        <w:tblLayout w:type="fixed"/>
        <w:tblCellMar>
          <w:top w:w="0" w:type="dxa"/>
          <w:left w:w="0" w:type="dxa"/>
          <w:bottom w:w="0" w:type="dxa"/>
          <w:right w:w="0" w:type="dxa"/>
        </w:tblCellMar>
        <w:tblLook w:val="01E0"/>
      </w:tblPr>
      <w:tblGrid>
        <w:gridCol w:w="1396"/>
        <w:gridCol w:w="1864"/>
        <w:gridCol w:w="1780"/>
        <w:gridCol w:w="1644"/>
      </w:tblGrid>
      <w:tr>
        <w:trPr>
          <w:trHeight w:val="806"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415" w:lineRule="auto" w:before="44"/>
              <w:ind w:left="43" w:right="251" w:firstLine="19"/>
              <w:jc w:val="left"/>
              <w:rPr>
                <w:rFonts w:ascii="宋体" w:hAnsi="宋体" w:cs="宋体" w:eastAsia="宋体" w:hint="default"/>
                <w:sz w:val="18"/>
                <w:szCs w:val="18"/>
              </w:rPr>
            </w:pPr>
            <w:r>
              <w:rPr>
                <w:rFonts w:ascii="宋体" w:hAnsi="宋体" w:cs="宋体" w:eastAsia="宋体" w:hint="default"/>
                <w:sz w:val="18"/>
                <w:szCs w:val="18"/>
              </w:rPr>
              <w:t>固定资产类别 房屋建筑物</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5"/>
              <w:jc w:val="center"/>
              <w:rPr>
                <w:rFonts w:ascii="宋体" w:hAnsi="宋体" w:cs="宋体" w:eastAsia="宋体" w:hint="default"/>
                <w:sz w:val="18"/>
                <w:szCs w:val="18"/>
              </w:rPr>
            </w:pPr>
            <w:r>
              <w:rPr>
                <w:rFonts w:ascii="宋体" w:hAnsi="宋体" w:cs="宋体" w:eastAsia="宋体" w:hint="default"/>
                <w:sz w:val="18"/>
                <w:szCs w:val="18"/>
              </w:rPr>
              <w:t>折旧年限（年）</w:t>
            </w: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5"/>
              <w:jc w:val="center"/>
              <w:rPr>
                <w:rFonts w:ascii="Times New Roman" w:hAnsi="Times New Roman" w:cs="Times New Roman" w:eastAsia="Times New Roman" w:hint="default"/>
                <w:sz w:val="18"/>
                <w:szCs w:val="18"/>
              </w:rPr>
            </w:pPr>
            <w:r>
              <w:rPr>
                <w:rFonts w:ascii="Times New Roman"/>
                <w:sz w:val="18"/>
              </w:rPr>
              <w:t>20</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6"/>
              <w:jc w:val="center"/>
              <w:rPr>
                <w:rFonts w:ascii="宋体" w:hAnsi="宋体" w:cs="宋体" w:eastAsia="宋体" w:hint="default"/>
                <w:sz w:val="18"/>
                <w:szCs w:val="18"/>
              </w:rPr>
            </w:pPr>
            <w:r>
              <w:rPr>
                <w:rFonts w:ascii="宋体" w:hAnsi="宋体" w:cs="宋体" w:eastAsia="宋体" w:hint="default"/>
                <w:sz w:val="18"/>
                <w:szCs w:val="18"/>
              </w:rPr>
              <w:t>残值率（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7"/>
              <w:jc w:val="center"/>
              <w:rPr>
                <w:rFonts w:ascii="Times New Roman" w:hAnsi="Times New Roman" w:cs="Times New Roman" w:eastAsia="Times New Roman" w:hint="default"/>
                <w:sz w:val="18"/>
                <w:szCs w:val="18"/>
              </w:rPr>
            </w:pPr>
            <w:r>
              <w:rPr>
                <w:rFonts w:ascii="Times New Roman"/>
                <w:sz w:val="18"/>
              </w:rPr>
              <w:t>10</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44" w:right="0"/>
              <w:jc w:val="center"/>
              <w:rPr>
                <w:rFonts w:ascii="宋体" w:hAnsi="宋体" w:cs="宋体" w:eastAsia="宋体" w:hint="default"/>
                <w:sz w:val="18"/>
                <w:szCs w:val="18"/>
              </w:rPr>
            </w:pPr>
            <w:r>
              <w:rPr>
                <w:rFonts w:ascii="宋体" w:hAnsi="宋体" w:cs="宋体" w:eastAsia="宋体" w:hint="default"/>
                <w:sz w:val="18"/>
                <w:szCs w:val="18"/>
              </w:rPr>
              <w:t>年折旧率（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344" w:right="0"/>
              <w:jc w:val="center"/>
              <w:rPr>
                <w:rFonts w:ascii="Times New Roman" w:hAnsi="Times New Roman" w:cs="Times New Roman" w:eastAsia="Times New Roman" w:hint="default"/>
                <w:sz w:val="18"/>
                <w:szCs w:val="18"/>
              </w:rPr>
            </w:pPr>
            <w:r>
              <w:rPr>
                <w:rFonts w:ascii="Times New Roman"/>
                <w:sz w:val="18"/>
              </w:rPr>
              <w:t>4.50</w:t>
            </w:r>
          </w:p>
        </w:tc>
      </w:tr>
      <w:tr>
        <w:trPr>
          <w:trHeight w:val="407"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3"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88"/>
              <w:jc w:val="right"/>
              <w:rPr>
                <w:rFonts w:ascii="Times New Roman" w:hAnsi="Times New Roman" w:cs="Times New Roman" w:eastAsia="Times New Roman" w:hint="default"/>
                <w:sz w:val="18"/>
                <w:szCs w:val="18"/>
              </w:rPr>
            </w:pPr>
            <w:r>
              <w:rPr>
                <w:rFonts w:ascii="Times New Roman"/>
                <w:sz w:val="18"/>
              </w:rPr>
              <w:t>10</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95"/>
              <w:ind w:left="784" w:right="0"/>
              <w:jc w:val="left"/>
              <w:rPr>
                <w:rFonts w:ascii="Times New Roman" w:hAnsi="Times New Roman" w:cs="Times New Roman" w:eastAsia="Times New Roman" w:hint="default"/>
                <w:sz w:val="18"/>
                <w:szCs w:val="18"/>
              </w:rPr>
            </w:pPr>
            <w:r>
              <w:rPr>
                <w:rFonts w:ascii="Times New Roman"/>
                <w:sz w:val="18"/>
              </w:rPr>
              <w:t>10</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490"/>
              <w:jc w:val="right"/>
              <w:rPr>
                <w:rFonts w:ascii="Times New Roman" w:hAnsi="Times New Roman" w:cs="Times New Roman" w:eastAsia="Times New Roman" w:hint="default"/>
                <w:sz w:val="18"/>
                <w:szCs w:val="18"/>
              </w:rPr>
            </w:pPr>
            <w:r>
              <w:rPr>
                <w:rFonts w:ascii="Times New Roman"/>
                <w:sz w:val="18"/>
              </w:rPr>
              <w:t>9.00</w:t>
            </w:r>
          </w:p>
        </w:tc>
      </w:tr>
      <w:tr>
        <w:trPr>
          <w:trHeight w:val="298"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3"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32"/>
              <w:jc w:val="right"/>
              <w:rPr>
                <w:rFonts w:ascii="Times New Roman" w:hAnsi="Times New Roman" w:cs="Times New Roman" w:eastAsia="Times New Roman" w:hint="default"/>
                <w:sz w:val="18"/>
                <w:szCs w:val="18"/>
              </w:rPr>
            </w:pPr>
            <w:r>
              <w:rPr>
                <w:rFonts w:ascii="Times New Roman"/>
                <w:sz w:val="18"/>
              </w:rPr>
              <w:t>5</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95"/>
              <w:ind w:left="784" w:right="0"/>
              <w:jc w:val="left"/>
              <w:rPr>
                <w:rFonts w:ascii="Times New Roman" w:hAnsi="Times New Roman" w:cs="Times New Roman" w:eastAsia="Times New Roman" w:hint="default"/>
                <w:sz w:val="18"/>
                <w:szCs w:val="18"/>
              </w:rPr>
            </w:pPr>
            <w:r>
              <w:rPr>
                <w:rFonts w:ascii="Times New Roman"/>
                <w:sz w:val="18"/>
              </w:rPr>
              <w:t>10</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444"/>
              <w:jc w:val="right"/>
              <w:rPr>
                <w:rFonts w:ascii="Times New Roman" w:hAnsi="Times New Roman" w:cs="Times New Roman" w:eastAsia="Times New Roman" w:hint="default"/>
                <w:sz w:val="18"/>
                <w:szCs w:val="18"/>
              </w:rPr>
            </w:pPr>
            <w:r>
              <w:rPr>
                <w:rFonts w:ascii="Times New Roman"/>
                <w:sz w:val="18"/>
              </w:rPr>
              <w:t>18.00</w:t>
            </w:r>
          </w:p>
        </w:tc>
      </w:tr>
      <w:tr>
        <w:trPr>
          <w:trHeight w:val="633"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44" w:lineRule="auto" w:before="83"/>
              <w:ind w:left="43" w:right="104"/>
              <w:jc w:val="left"/>
              <w:rPr>
                <w:rFonts w:ascii="宋体" w:hAnsi="宋体" w:cs="宋体" w:eastAsia="宋体" w:hint="default"/>
                <w:sz w:val="18"/>
                <w:szCs w:val="18"/>
              </w:rPr>
            </w:pPr>
            <w:r>
              <w:rPr>
                <w:rFonts w:ascii="宋体" w:hAnsi="宋体" w:cs="宋体" w:eastAsia="宋体" w:hint="default"/>
                <w:spacing w:val="22"/>
                <w:sz w:val="18"/>
                <w:szCs w:val="18"/>
              </w:rPr>
              <w:t>电子及其他设</w:t>
            </w:r>
            <w:r>
              <w:rPr>
                <w:rFonts w:ascii="宋体" w:hAnsi="宋体" w:cs="宋体" w:eastAsia="宋体" w:hint="default"/>
                <w:spacing w:val="-88"/>
                <w:sz w:val="18"/>
                <w:szCs w:val="18"/>
              </w:rPr>
              <w:t> </w:t>
            </w:r>
            <w:r>
              <w:rPr>
                <w:rFonts w:ascii="宋体" w:hAnsi="宋体" w:cs="宋体" w:eastAsia="宋体" w:hint="default"/>
                <w:sz w:val="18"/>
                <w:szCs w:val="18"/>
              </w:rPr>
              <w:t>备</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932"/>
              <w:jc w:val="right"/>
              <w:rPr>
                <w:rFonts w:ascii="Times New Roman" w:hAnsi="Times New Roman" w:cs="Times New Roman" w:eastAsia="Times New Roman" w:hint="default"/>
                <w:sz w:val="18"/>
                <w:szCs w:val="18"/>
              </w:rPr>
            </w:pPr>
            <w:r>
              <w:rPr>
                <w:rFonts w:ascii="Times New Roman"/>
                <w:sz w:val="18"/>
              </w:rPr>
              <w:t>5</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784" w:right="0"/>
              <w:jc w:val="left"/>
              <w:rPr>
                <w:rFonts w:ascii="Times New Roman" w:hAnsi="Times New Roman" w:cs="Times New Roman" w:eastAsia="Times New Roman" w:hint="default"/>
                <w:sz w:val="18"/>
                <w:szCs w:val="18"/>
              </w:rPr>
            </w:pPr>
            <w:r>
              <w:rPr>
                <w:rFonts w:ascii="Times New Roman"/>
                <w:sz w:val="18"/>
              </w:rPr>
              <w:t>---</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444"/>
              <w:jc w:val="right"/>
              <w:rPr>
                <w:rFonts w:ascii="Times New Roman" w:hAnsi="Times New Roman" w:cs="Times New Roman" w:eastAsia="Times New Roman" w:hint="default"/>
                <w:sz w:val="18"/>
                <w:szCs w:val="18"/>
              </w:rPr>
            </w:pPr>
            <w:r>
              <w:rPr>
                <w:rFonts w:ascii="Times New Roman"/>
                <w:sz w:val="18"/>
              </w:rPr>
              <w:t>20.00</w:t>
            </w:r>
          </w:p>
        </w:tc>
      </w:tr>
      <w:tr>
        <w:trPr>
          <w:trHeight w:val="371"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5" w:right="0"/>
              <w:jc w:val="left"/>
              <w:rPr>
                <w:rFonts w:ascii="宋体" w:hAnsi="宋体" w:cs="宋体" w:eastAsia="宋体" w:hint="default"/>
                <w:sz w:val="18"/>
                <w:szCs w:val="18"/>
              </w:rPr>
            </w:pPr>
            <w:r>
              <w:rPr>
                <w:rFonts w:ascii="宋体" w:hAnsi="宋体" w:cs="宋体" w:eastAsia="宋体" w:hint="default"/>
                <w:sz w:val="18"/>
                <w:szCs w:val="18"/>
              </w:rPr>
              <w:t>模具</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32"/>
              <w:jc w:val="right"/>
              <w:rPr>
                <w:rFonts w:ascii="Times New Roman" w:hAnsi="Times New Roman" w:cs="Times New Roman" w:eastAsia="Times New Roman" w:hint="default"/>
                <w:sz w:val="18"/>
                <w:szCs w:val="18"/>
              </w:rPr>
            </w:pPr>
            <w:r>
              <w:rPr>
                <w:rFonts w:ascii="Times New Roman"/>
                <w:sz w:val="18"/>
              </w:rPr>
              <w:t>5</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60"/>
              <w:ind w:left="830" w:right="0"/>
              <w:jc w:val="left"/>
              <w:rPr>
                <w:rFonts w:ascii="Times New Roman" w:hAnsi="Times New Roman" w:cs="Times New Roman" w:eastAsia="Times New Roman" w:hint="default"/>
                <w:sz w:val="18"/>
                <w:szCs w:val="18"/>
              </w:rPr>
            </w:pPr>
            <w:r>
              <w:rPr>
                <w:rFonts w:ascii="Times New Roman"/>
                <w:sz w:val="18"/>
              </w:rPr>
              <w:t>5</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444"/>
              <w:jc w:val="right"/>
              <w:rPr>
                <w:rFonts w:ascii="Times New Roman" w:hAnsi="Times New Roman" w:cs="Times New Roman" w:eastAsia="Times New Roman" w:hint="default"/>
                <w:sz w:val="18"/>
                <w:szCs w:val="18"/>
              </w:rPr>
            </w:pPr>
            <w:r>
              <w:rPr>
                <w:rFonts w:ascii="Times New Roman"/>
                <w:sz w:val="18"/>
              </w:rPr>
              <w:t>19.00</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tabs>
          <w:tab w:pos="1434" w:val="left" w:leader="none"/>
        </w:tabs>
        <w:spacing w:line="345" w:lineRule="auto" w:before="35"/>
        <w:ind w:left="1360" w:right="23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r>
      <w:r>
        <w:rPr>
          <w:rFonts w:ascii="宋体" w:hAnsi="宋体" w:cs="宋体" w:eastAsia="宋体" w:hint="default"/>
          <w:b/>
          <w:bCs/>
          <w:sz w:val="21"/>
          <w:szCs w:val="21"/>
        </w:rPr>
        <w:t>固定资产的减值测试方法、减值准备计提方法</w:t>
      </w:r>
      <w:r>
        <w:rPr>
          <w:rFonts w:ascii="宋体" w:hAnsi="宋体" w:cs="宋体" w:eastAsia="宋体" w:hint="default"/>
          <w:b/>
          <w:bCs/>
          <w:w w:val="99"/>
          <w:sz w:val="21"/>
          <w:szCs w:val="21"/>
        </w:rPr>
        <w:t> </w:t>
      </w:r>
      <w:r>
        <w:rPr>
          <w:rFonts w:ascii="宋体" w:hAnsi="宋体" w:cs="宋体" w:eastAsia="宋体" w:hint="default"/>
          <w:sz w:val="21"/>
          <w:szCs w:val="21"/>
        </w:rPr>
        <w:t>公司在每期末判断固定资产是否存在可能发生减值的迹象。 </w:t>
      </w:r>
      <w:r>
        <w:rPr>
          <w:rFonts w:ascii="宋体" w:hAnsi="宋体" w:cs="宋体" w:eastAsia="宋体" w:hint="default"/>
          <w:spacing w:val="2"/>
          <w:sz w:val="21"/>
          <w:szCs w:val="21"/>
        </w:rPr>
        <w:t>固定资产存在减值迹象的，估计其可收回金额。可收回金额根据固定资产的公</w:t>
      </w:r>
      <w:r>
        <w:rPr>
          <w:rFonts w:ascii="宋体" w:hAnsi="宋体" w:cs="宋体" w:eastAsia="宋体" w:hint="default"/>
          <w:spacing w:val="2"/>
          <w:sz w:val="21"/>
          <w:szCs w:val="21"/>
        </w:rPr>
        <w:t> 允价值减去处置费用后的净额与固定资产预计未来现金流量的现值两者之间较 </w:t>
      </w:r>
      <w:r>
        <w:rPr>
          <w:rFonts w:ascii="宋体" w:hAnsi="宋体" w:cs="宋体" w:eastAsia="宋体" w:hint="default"/>
          <w:sz w:val="21"/>
          <w:szCs w:val="21"/>
        </w:rPr>
        <w:t>高者确定。</w:t>
      </w:r>
      <w:r>
        <w:rPr>
          <w:rFonts w:ascii="宋体" w:hAnsi="宋体" w:cs="宋体" w:eastAsia="宋体" w:hint="default"/>
          <w:sz w:val="21"/>
          <w:szCs w:val="21"/>
        </w:rPr>
        <w:t> </w:t>
      </w:r>
      <w:r>
        <w:rPr>
          <w:rFonts w:ascii="宋体" w:hAnsi="宋体" w:cs="宋体" w:eastAsia="宋体" w:hint="default"/>
          <w:spacing w:val="2"/>
          <w:sz w:val="21"/>
          <w:szCs w:val="21"/>
        </w:rPr>
        <w:t>当固定资产的可收回金额低于其账面价值的，将固定资产的账面价值减记至可</w:t>
      </w:r>
      <w:r>
        <w:rPr>
          <w:rFonts w:ascii="宋体" w:hAnsi="宋体" w:cs="宋体" w:eastAsia="宋体" w:hint="default"/>
          <w:spacing w:val="2"/>
          <w:sz w:val="21"/>
          <w:szCs w:val="21"/>
        </w:rPr>
        <w:t> 收回金额，减记的金额确认为固定资产减值损失，计入当期损益，同时计提相 </w:t>
      </w:r>
      <w:r>
        <w:rPr>
          <w:rFonts w:ascii="宋体" w:hAnsi="宋体" w:cs="宋体" w:eastAsia="宋体" w:hint="default"/>
          <w:sz w:val="21"/>
          <w:szCs w:val="21"/>
        </w:rPr>
        <w:t>应的固定资产减值准备。</w:t>
      </w:r>
    </w:p>
    <w:p>
      <w:pPr>
        <w:spacing w:after="0" w:line="345" w:lineRule="auto"/>
        <w:jc w:val="left"/>
        <w:rPr>
          <w:rFonts w:ascii="宋体" w:hAnsi="宋体" w:cs="宋体" w:eastAsia="宋体" w:hint="default"/>
          <w:sz w:val="21"/>
          <w:szCs w:val="21"/>
        </w:rPr>
        <w:sectPr>
          <w:pgSz w:w="11910" w:h="16840"/>
          <w:pgMar w:header="686" w:footer="1270" w:top="1360" w:bottom="1460" w:left="1520" w:right="1560"/>
        </w:sectPr>
      </w:pPr>
    </w:p>
    <w:p>
      <w:pPr>
        <w:spacing w:line="240" w:lineRule="auto" w:before="4"/>
        <w:rPr>
          <w:rFonts w:ascii="宋体" w:hAnsi="宋体" w:cs="宋体" w:eastAsia="宋体" w:hint="default"/>
          <w:sz w:val="26"/>
          <w:szCs w:val="26"/>
        </w:rPr>
      </w:pPr>
    </w:p>
    <w:p>
      <w:pPr>
        <w:spacing w:line="350" w:lineRule="auto" w:before="35"/>
        <w:ind w:left="1360" w:right="133" w:firstLine="0"/>
        <w:jc w:val="both"/>
        <w:rPr>
          <w:rFonts w:ascii="宋体" w:hAnsi="宋体" w:cs="宋体" w:eastAsia="宋体" w:hint="default"/>
          <w:sz w:val="21"/>
          <w:szCs w:val="21"/>
        </w:rPr>
      </w:pPr>
      <w:r>
        <w:rPr>
          <w:rFonts w:ascii="宋体" w:hAnsi="宋体" w:cs="宋体" w:eastAsia="宋体" w:hint="default"/>
          <w:spacing w:val="2"/>
          <w:sz w:val="21"/>
          <w:szCs w:val="21"/>
        </w:rPr>
        <w:t>固定资产减值损失确认后，减值固定资产的折旧在未来期间作相应调整，以使</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该固定资产在剩余使用寿命内，系统地分摊调整后的固定资产账面价值（扣除</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6"/>
          <w:sz w:val="21"/>
          <w:szCs w:val="21"/>
        </w:rPr>
        <w:t>预计净残值）。</w:t>
      </w:r>
    </w:p>
    <w:p>
      <w:pPr>
        <w:spacing w:line="350" w:lineRule="auto" w:before="28"/>
        <w:ind w:left="1360" w:right="0" w:firstLine="0"/>
        <w:jc w:val="left"/>
        <w:rPr>
          <w:rFonts w:ascii="宋体" w:hAnsi="宋体" w:cs="宋体" w:eastAsia="宋体" w:hint="default"/>
          <w:sz w:val="21"/>
          <w:szCs w:val="21"/>
        </w:rPr>
      </w:pPr>
      <w:r>
        <w:rPr>
          <w:rFonts w:ascii="宋体" w:hAnsi="宋体" w:cs="宋体" w:eastAsia="宋体" w:hint="default"/>
          <w:sz w:val="21"/>
          <w:szCs w:val="21"/>
        </w:rPr>
        <w:t>固定资产的减值损失一经确认，在以后会计期间不再转回。 </w:t>
      </w:r>
      <w:r>
        <w:rPr>
          <w:rFonts w:ascii="宋体" w:hAnsi="宋体" w:cs="宋体" w:eastAsia="宋体" w:hint="default"/>
          <w:spacing w:val="2"/>
          <w:sz w:val="21"/>
          <w:szCs w:val="21"/>
        </w:rPr>
        <w:t>有迹象表明一项固定资产可能发生减值的，企业以单项固定资产为基础估计其</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可收回金额。企业难以对单项固定资产的可收回金额进行估计的，以该固定资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产所属的资产组为基础确定资产组的可收回金额。</w:t>
      </w:r>
    </w:p>
    <w:p>
      <w:pPr>
        <w:spacing w:line="240" w:lineRule="auto" w:before="0"/>
        <w:rPr>
          <w:rFonts w:ascii="宋体" w:hAnsi="宋体" w:cs="宋体" w:eastAsia="宋体" w:hint="default"/>
          <w:sz w:val="20"/>
          <w:szCs w:val="20"/>
        </w:rPr>
      </w:pPr>
    </w:p>
    <w:p>
      <w:pPr>
        <w:tabs>
          <w:tab w:pos="1434" w:val="left" w:leader="none"/>
        </w:tabs>
        <w:spacing w:line="338" w:lineRule="auto" w:before="167"/>
        <w:ind w:left="1360" w:right="13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tab/>
      </w:r>
      <w:r>
        <w:rPr>
          <w:rFonts w:ascii="宋体" w:hAnsi="宋体" w:cs="宋体" w:eastAsia="宋体" w:hint="default"/>
          <w:b/>
          <w:bCs/>
          <w:sz w:val="21"/>
          <w:szCs w:val="21"/>
        </w:rPr>
        <w:t>融资租入固定资产的认定依据、计价方法</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公司与租赁方所签订的租赁协议条款中规定了下列条件之一的，确认为融资租 </w:t>
      </w:r>
      <w:r>
        <w:rPr>
          <w:rFonts w:ascii="宋体" w:hAnsi="宋体" w:cs="宋体" w:eastAsia="宋体" w:hint="default"/>
          <w:sz w:val="21"/>
          <w:szCs w:val="21"/>
        </w:rPr>
        <w:t>入资产：</w:t>
      </w:r>
    </w:p>
    <w:p>
      <w:pPr>
        <w:spacing w:before="40"/>
        <w:ind w:left="1360" w:right="220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）租赁期满后租赁资产的所有权归属于本公司；</w:t>
      </w:r>
    </w:p>
    <w:p>
      <w:pPr>
        <w:spacing w:line="328" w:lineRule="auto" w:before="109"/>
        <w:ind w:left="1360" w:right="134"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）公司具有购买资产的选择权，购买价款远低于行使选择权时该资产的公允</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价值；</w:t>
      </w:r>
    </w:p>
    <w:p>
      <w:pPr>
        <w:spacing w:before="48"/>
        <w:ind w:left="1360" w:right="220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）租赁期占所租赁资产使用寿命的大部分；</w:t>
      </w:r>
    </w:p>
    <w:p>
      <w:pPr>
        <w:spacing w:line="345" w:lineRule="auto" w:before="109"/>
        <w:ind w:left="1360"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4</w:t>
      </w:r>
      <w:r>
        <w:rPr>
          <w:rFonts w:ascii="宋体" w:hAnsi="宋体" w:cs="宋体" w:eastAsia="宋体" w:hint="default"/>
          <w:spacing w:val="-1"/>
          <w:sz w:val="21"/>
          <w:szCs w:val="21"/>
        </w:rPr>
        <w:t>）租赁开始日的最低租赁付款额现值，与该资产的公允价值不存在较大的差</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异。 </w:t>
      </w:r>
      <w:r>
        <w:rPr>
          <w:rFonts w:ascii="宋体" w:hAnsi="宋体" w:cs="宋体" w:eastAsia="宋体" w:hint="default"/>
          <w:spacing w:val="2"/>
          <w:sz w:val="21"/>
          <w:szCs w:val="21"/>
        </w:rPr>
        <w:t>公司在承租开始日，将租赁资产公允价值与最低租赁付款额现值两者中较低者</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作为租入资产的入账价值，将最低租赁付款额作为长期应付款的入账价值，其</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差额作为未确认的融资费。</w:t>
      </w:r>
    </w:p>
    <w:p>
      <w:pPr>
        <w:spacing w:line="240" w:lineRule="auto" w:before="0"/>
        <w:rPr>
          <w:rFonts w:ascii="宋体" w:hAnsi="宋体" w:cs="宋体" w:eastAsia="宋体" w:hint="default"/>
          <w:sz w:val="20"/>
          <w:szCs w:val="20"/>
        </w:rPr>
      </w:pPr>
    </w:p>
    <w:p>
      <w:pPr>
        <w:spacing w:before="171"/>
        <w:ind w:left="265" w:right="220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在建工程</w:t>
      </w:r>
      <w:r>
        <w:rPr>
          <w:rFonts w:ascii="宋体" w:hAnsi="宋体" w:cs="宋体" w:eastAsia="宋体" w:hint="default"/>
          <w:sz w:val="21"/>
          <w:szCs w:val="21"/>
        </w:rPr>
      </w:r>
    </w:p>
    <w:p>
      <w:pPr>
        <w:tabs>
          <w:tab w:pos="1434" w:val="left" w:leader="none"/>
        </w:tabs>
        <w:spacing w:line="331" w:lineRule="auto" w:before="109"/>
        <w:ind w:left="1360" w:right="4422"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在建工程的类别</w:t>
      </w:r>
      <w:r>
        <w:rPr>
          <w:rFonts w:ascii="宋体" w:hAnsi="宋体" w:cs="宋体" w:eastAsia="宋体" w:hint="default"/>
          <w:b/>
          <w:bCs/>
          <w:w w:val="99"/>
          <w:sz w:val="21"/>
          <w:szCs w:val="21"/>
        </w:rPr>
        <w:t> </w:t>
      </w:r>
      <w:r>
        <w:rPr>
          <w:rFonts w:ascii="宋体" w:hAnsi="宋体" w:cs="宋体" w:eastAsia="宋体" w:hint="default"/>
          <w:sz w:val="21"/>
          <w:szCs w:val="21"/>
        </w:rPr>
        <w:t>在建工程以立项项目分类核算。</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1434" w:val="left" w:leader="none"/>
        </w:tabs>
        <w:spacing w:line="345" w:lineRule="auto" w:before="0"/>
        <w:ind w:left="1360" w:right="13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在建工程结转为固定资产的标准和时点</w:t>
      </w:r>
      <w:r>
        <w:rPr>
          <w:rFonts w:ascii="宋体" w:hAnsi="宋体" w:cs="宋体" w:eastAsia="宋体" w:hint="default"/>
          <w:b/>
          <w:bCs/>
          <w:w w:val="99"/>
          <w:sz w:val="21"/>
          <w:szCs w:val="21"/>
        </w:rPr>
        <w:t> </w:t>
      </w:r>
      <w:r>
        <w:rPr>
          <w:rFonts w:ascii="宋体" w:hAnsi="宋体" w:cs="宋体" w:eastAsia="宋体" w:hint="default"/>
          <w:spacing w:val="2"/>
          <w:sz w:val="21"/>
          <w:szCs w:val="21"/>
        </w:rPr>
        <w:t>在建工程项目按建造该项资产达到预定可使用状态前所发生的全部支出，作为 固定资产的入账价值。所建造的固定资产在建工程已达到预定可使用状态，但 尚未办理竣工决算的，自达到预定可使用状态之日起，根据工程预算、造价或 者工程实际成本等，按估计的价值转入固定资产，并按本公司固定资产折旧政 策计提固定资产的折旧，待办理竣工决算后，再按实际成本调整原来的暂估价 </w:t>
      </w:r>
      <w:r>
        <w:rPr>
          <w:rFonts w:ascii="宋体" w:hAnsi="宋体" w:cs="宋体" w:eastAsia="宋体" w:hint="default"/>
          <w:sz w:val="21"/>
          <w:szCs w:val="21"/>
        </w:rPr>
        <w:t>值，但不调整原已计提的折旧额。</w:t>
      </w:r>
    </w:p>
    <w:p>
      <w:pPr>
        <w:spacing w:line="240" w:lineRule="auto" w:before="0"/>
        <w:rPr>
          <w:rFonts w:ascii="宋体" w:hAnsi="宋体" w:cs="宋体" w:eastAsia="宋体" w:hint="default"/>
          <w:sz w:val="20"/>
          <w:szCs w:val="20"/>
        </w:rPr>
      </w:pPr>
    </w:p>
    <w:p>
      <w:pPr>
        <w:tabs>
          <w:tab w:pos="1434" w:val="left" w:leader="none"/>
        </w:tabs>
        <w:spacing w:before="171"/>
        <w:ind w:left="895" w:right="2206"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在建工程的减值测试方法、减值准备计提方法</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686" w:footer="1270" w:top="1360" w:bottom="1460" w:left="1520" w:right="1660"/>
        </w:sectPr>
      </w:pPr>
    </w:p>
    <w:p>
      <w:pPr>
        <w:spacing w:line="240" w:lineRule="auto" w:before="4"/>
        <w:rPr>
          <w:rFonts w:ascii="宋体" w:hAnsi="宋体" w:cs="宋体" w:eastAsia="宋体" w:hint="default"/>
          <w:b/>
          <w:bCs/>
          <w:sz w:val="26"/>
          <w:szCs w:val="26"/>
        </w:rPr>
      </w:pPr>
    </w:p>
    <w:p>
      <w:pPr>
        <w:spacing w:line="350" w:lineRule="auto" w:before="35"/>
        <w:ind w:left="1360" w:right="99" w:firstLine="0"/>
        <w:jc w:val="left"/>
        <w:rPr>
          <w:rFonts w:ascii="宋体" w:hAnsi="宋体" w:cs="宋体" w:eastAsia="宋体" w:hint="default"/>
          <w:sz w:val="21"/>
          <w:szCs w:val="21"/>
        </w:rPr>
      </w:pPr>
      <w:r>
        <w:rPr>
          <w:rFonts w:ascii="宋体" w:hAnsi="宋体" w:cs="宋体" w:eastAsia="宋体" w:hint="default"/>
          <w:sz w:val="21"/>
          <w:szCs w:val="21"/>
        </w:rPr>
        <w:t>公司在每期末判断在建工程是否存在可能发生减值的迹象。 </w:t>
      </w:r>
      <w:r>
        <w:rPr>
          <w:rFonts w:ascii="宋体" w:hAnsi="宋体" w:cs="宋体" w:eastAsia="宋体" w:hint="default"/>
          <w:spacing w:val="2"/>
          <w:sz w:val="21"/>
          <w:szCs w:val="21"/>
        </w:rPr>
        <w:t>在建工程存在减值迹象的，估计其可收回金额。有迹象表明一项在建工程可能</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发生减值的，企业以单项在建工程为基础估计其可收回金额。企业难以对单项</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在建工程的可收回金额进行估计的，以该在建工程所属的资产组为基础确定资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产组的可收回金额。</w:t>
      </w:r>
      <w:r>
        <w:rPr>
          <w:rFonts w:ascii="宋体" w:hAnsi="宋体" w:cs="宋体" w:eastAsia="宋体" w:hint="default"/>
          <w:sz w:val="21"/>
          <w:szCs w:val="21"/>
        </w:rPr>
        <w:t> </w:t>
      </w:r>
      <w:r>
        <w:rPr>
          <w:rFonts w:ascii="宋体" w:hAnsi="宋体" w:cs="宋体" w:eastAsia="宋体" w:hint="default"/>
          <w:spacing w:val="2"/>
          <w:sz w:val="21"/>
          <w:szCs w:val="21"/>
        </w:rPr>
        <w:t>可收回金额根据在建工程的公允价值减去处置费用后的净额与在建工程预计未</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来现金流量的现值两者之间较高者确定。</w:t>
      </w:r>
      <w:r>
        <w:rPr>
          <w:rFonts w:ascii="宋体" w:hAnsi="宋体" w:cs="宋体" w:eastAsia="宋体" w:hint="default"/>
          <w:sz w:val="21"/>
          <w:szCs w:val="21"/>
        </w:rPr>
        <w:t> </w:t>
      </w:r>
      <w:r>
        <w:rPr>
          <w:rFonts w:ascii="宋体" w:hAnsi="宋体" w:cs="宋体" w:eastAsia="宋体" w:hint="default"/>
          <w:spacing w:val="2"/>
          <w:sz w:val="21"/>
          <w:szCs w:val="21"/>
        </w:rPr>
        <w:t>当在建工程的可收回金额低于其账面价值的，将在建工程的账面价值减记至可</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收回金额，减记的金额确认为在建工程减值损失，计入当期损益，同时计提相</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应的在建工程减值准备。</w:t>
      </w:r>
      <w:r>
        <w:rPr>
          <w:rFonts w:ascii="宋体" w:hAnsi="宋体" w:cs="宋体" w:eastAsia="宋体" w:hint="default"/>
          <w:sz w:val="21"/>
          <w:szCs w:val="21"/>
        </w:rPr>
        <w:t> 在建工程的减值损失一经确认，在以后会计期间不再转回。</w:t>
      </w:r>
    </w:p>
    <w:p>
      <w:pPr>
        <w:spacing w:line="240" w:lineRule="auto" w:before="0"/>
        <w:rPr>
          <w:rFonts w:ascii="宋体" w:hAnsi="宋体" w:cs="宋体" w:eastAsia="宋体" w:hint="default"/>
          <w:sz w:val="20"/>
          <w:szCs w:val="20"/>
        </w:rPr>
      </w:pPr>
    </w:p>
    <w:p>
      <w:pPr>
        <w:spacing w:before="167"/>
        <w:ind w:left="265" w:right="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十六</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借款费用</w:t>
      </w:r>
      <w:r>
        <w:rPr>
          <w:rFonts w:ascii="宋体" w:hAnsi="宋体" w:cs="宋体" w:eastAsia="宋体" w:hint="default"/>
          <w:sz w:val="21"/>
          <w:szCs w:val="21"/>
        </w:rPr>
      </w:r>
    </w:p>
    <w:p>
      <w:pPr>
        <w:tabs>
          <w:tab w:pos="1434" w:val="left" w:leader="none"/>
        </w:tabs>
        <w:spacing w:line="343" w:lineRule="auto" w:before="109"/>
        <w:ind w:left="1360" w:right="111"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借款费用资本化的确认原则</w:t>
      </w:r>
      <w:r>
        <w:rPr>
          <w:rFonts w:ascii="宋体" w:hAnsi="宋体" w:cs="宋体" w:eastAsia="宋体" w:hint="default"/>
          <w:b/>
          <w:bCs/>
          <w:w w:val="99"/>
          <w:sz w:val="21"/>
          <w:szCs w:val="21"/>
        </w:rPr>
        <w:t> </w:t>
      </w:r>
      <w:r>
        <w:rPr>
          <w:rFonts w:ascii="宋体" w:hAnsi="宋体" w:cs="宋体" w:eastAsia="宋体" w:hint="default"/>
          <w:spacing w:val="2"/>
          <w:sz w:val="21"/>
          <w:szCs w:val="21"/>
        </w:rPr>
        <w:t>借款费用，包括借款利息、折价或者溢价的摊销、辅助费用以及因外币借款而 </w:t>
      </w:r>
      <w:r>
        <w:rPr>
          <w:rFonts w:ascii="宋体" w:hAnsi="宋体" w:cs="宋体" w:eastAsia="宋体" w:hint="default"/>
          <w:sz w:val="21"/>
          <w:szCs w:val="21"/>
        </w:rPr>
        <w:t>发生的汇兑差额等。</w:t>
      </w:r>
      <w:r>
        <w:rPr>
          <w:rFonts w:ascii="宋体" w:hAnsi="宋体" w:cs="宋体" w:eastAsia="宋体" w:hint="default"/>
          <w:sz w:val="21"/>
          <w:szCs w:val="21"/>
        </w:rPr>
        <w:t> </w:t>
      </w:r>
      <w:r>
        <w:rPr>
          <w:rFonts w:ascii="宋体" w:hAnsi="宋体" w:cs="宋体" w:eastAsia="宋体" w:hint="default"/>
          <w:spacing w:val="-1"/>
          <w:sz w:val="21"/>
          <w:szCs w:val="21"/>
        </w:rPr>
        <w:t>公司发生的借款费用，可直接归属于符合资本化条件的资产的购建或者生产的，</w:t>
      </w:r>
      <w:r>
        <w:rPr>
          <w:rFonts w:ascii="宋体" w:hAnsi="宋体" w:cs="宋体" w:eastAsia="宋体" w:hint="default"/>
          <w:sz w:val="21"/>
          <w:szCs w:val="21"/>
        </w:rPr>
        <w:t> </w:t>
      </w:r>
      <w:r>
        <w:rPr>
          <w:rFonts w:ascii="宋体" w:hAnsi="宋体" w:cs="宋体" w:eastAsia="宋体" w:hint="default"/>
          <w:spacing w:val="2"/>
          <w:sz w:val="21"/>
          <w:szCs w:val="21"/>
        </w:rPr>
        <w:t>予以资本化，计入相关资产成本；其他借款费用，在发生时根据其发生额确认</w:t>
      </w:r>
      <w:r>
        <w:rPr>
          <w:rFonts w:ascii="宋体" w:hAnsi="宋体" w:cs="宋体" w:eastAsia="宋体" w:hint="default"/>
          <w:spacing w:val="2"/>
          <w:sz w:val="21"/>
          <w:szCs w:val="21"/>
        </w:rPr>
        <w:t> </w:t>
      </w:r>
      <w:r>
        <w:rPr>
          <w:rFonts w:ascii="宋体" w:hAnsi="宋体" w:cs="宋体" w:eastAsia="宋体" w:hint="default"/>
          <w:sz w:val="21"/>
          <w:szCs w:val="21"/>
        </w:rPr>
        <w:t>为费用，计入当期损益。</w:t>
      </w:r>
      <w:r>
        <w:rPr>
          <w:rFonts w:ascii="宋体" w:hAnsi="宋体" w:cs="宋体" w:eastAsia="宋体" w:hint="default"/>
          <w:sz w:val="21"/>
          <w:szCs w:val="21"/>
        </w:rPr>
        <w:t> </w:t>
      </w:r>
      <w:r>
        <w:rPr>
          <w:rFonts w:ascii="宋体" w:hAnsi="宋体" w:cs="宋体" w:eastAsia="宋体" w:hint="default"/>
          <w:spacing w:val="2"/>
          <w:sz w:val="21"/>
          <w:szCs w:val="21"/>
        </w:rPr>
        <w:t>符合资本化条件的资产，是指需要经过相当长时间的购建或者生产活动才能达</w:t>
      </w:r>
      <w:r>
        <w:rPr>
          <w:rFonts w:ascii="宋体" w:hAnsi="宋体" w:cs="宋体" w:eastAsia="宋体" w:hint="default"/>
          <w:spacing w:val="2"/>
          <w:sz w:val="21"/>
          <w:szCs w:val="21"/>
        </w:rPr>
        <w:t> </w:t>
      </w:r>
      <w:r>
        <w:rPr>
          <w:rFonts w:ascii="宋体" w:hAnsi="宋体" w:cs="宋体" w:eastAsia="宋体" w:hint="default"/>
          <w:sz w:val="21"/>
          <w:szCs w:val="21"/>
        </w:rPr>
        <w:t>到预定可使用或者可销售状态的固定资产、投资性房地产和存货等资产。</w:t>
      </w:r>
      <w:r>
        <w:rPr>
          <w:rFonts w:ascii="宋体" w:hAnsi="宋体" w:cs="宋体" w:eastAsia="宋体" w:hint="default"/>
          <w:sz w:val="21"/>
          <w:szCs w:val="21"/>
        </w:rPr>
        <w:t> 借款费用同时满足下列条件时开始资本化：</w:t>
      </w:r>
    </w:p>
    <w:p>
      <w:pPr>
        <w:spacing w:line="307" w:lineRule="auto" w:before="4"/>
        <w:ind w:left="1360" w:right="214"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）资产支出已经发生，资产支出包括为购建或者生产符合资本化条件的资产</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而以支付现金、转移非现金资产或者承担带息债务形式发生的支出；</w:t>
      </w:r>
    </w:p>
    <w:p>
      <w:pPr>
        <w:spacing w:before="36"/>
        <w:ind w:left="1360"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）借款费用已经发生；</w:t>
      </w:r>
    </w:p>
    <w:p>
      <w:pPr>
        <w:spacing w:line="307" w:lineRule="auto" w:before="79"/>
        <w:ind w:left="1360" w:right="214"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3</w:t>
      </w:r>
      <w:r>
        <w:rPr>
          <w:rFonts w:ascii="宋体" w:hAnsi="宋体" w:cs="宋体" w:eastAsia="宋体" w:hint="default"/>
          <w:spacing w:val="-1"/>
          <w:sz w:val="21"/>
          <w:szCs w:val="21"/>
        </w:rPr>
        <w:t>）为使资产达到预定可使用或者可销售状态所必要的购建或者生产活动已经</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开始。</w:t>
      </w:r>
    </w:p>
    <w:p>
      <w:pPr>
        <w:spacing w:line="240" w:lineRule="auto" w:before="0"/>
        <w:rPr>
          <w:rFonts w:ascii="宋体" w:hAnsi="宋体" w:cs="宋体" w:eastAsia="宋体" w:hint="default"/>
          <w:sz w:val="20"/>
          <w:szCs w:val="20"/>
        </w:rPr>
      </w:pPr>
    </w:p>
    <w:p>
      <w:pPr>
        <w:tabs>
          <w:tab w:pos="1434" w:val="left" w:leader="none"/>
        </w:tabs>
        <w:spacing w:line="319" w:lineRule="auto" w:before="144"/>
        <w:ind w:left="1360" w:right="21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借款费用资本化期间</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资本化期间，指从借款费用开始资本化时点到停止资本化时点的期间，借款费 </w:t>
      </w:r>
      <w:r>
        <w:rPr>
          <w:rFonts w:ascii="宋体" w:hAnsi="宋体" w:cs="宋体" w:eastAsia="宋体" w:hint="default"/>
          <w:sz w:val="21"/>
          <w:szCs w:val="21"/>
        </w:rPr>
        <w:t>用暂停资本化的期间不包括在内。</w:t>
      </w:r>
      <w:r>
        <w:rPr>
          <w:rFonts w:ascii="宋体" w:hAnsi="宋体" w:cs="宋体" w:eastAsia="宋体" w:hint="default"/>
          <w:sz w:val="21"/>
          <w:szCs w:val="21"/>
        </w:rPr>
        <w:t> </w:t>
      </w:r>
      <w:r>
        <w:rPr>
          <w:rFonts w:ascii="宋体" w:hAnsi="宋体" w:cs="宋体" w:eastAsia="宋体" w:hint="default"/>
          <w:spacing w:val="2"/>
          <w:sz w:val="21"/>
          <w:szCs w:val="21"/>
        </w:rPr>
        <w:t>当购建或者生产符合资本化条件的资产达到预定可使用或者可销售状态时，借</w:t>
      </w:r>
      <w:r>
        <w:rPr>
          <w:rFonts w:ascii="宋体" w:hAnsi="宋体" w:cs="宋体" w:eastAsia="宋体" w:hint="default"/>
          <w:spacing w:val="2"/>
          <w:sz w:val="21"/>
          <w:szCs w:val="21"/>
        </w:rPr>
        <w:t> </w:t>
      </w:r>
      <w:r>
        <w:rPr>
          <w:rFonts w:ascii="宋体" w:hAnsi="宋体" w:cs="宋体" w:eastAsia="宋体" w:hint="default"/>
          <w:sz w:val="21"/>
          <w:szCs w:val="21"/>
        </w:rPr>
        <w:t>款费用停止资本化。</w:t>
      </w:r>
      <w:r>
        <w:rPr>
          <w:rFonts w:ascii="宋体" w:hAnsi="宋体" w:cs="宋体" w:eastAsia="宋体" w:hint="default"/>
          <w:sz w:val="21"/>
          <w:szCs w:val="21"/>
        </w:rPr>
        <w:t> </w:t>
      </w:r>
      <w:r>
        <w:rPr>
          <w:rFonts w:ascii="宋体" w:hAnsi="宋体" w:cs="宋体" w:eastAsia="宋体" w:hint="default"/>
          <w:spacing w:val="2"/>
          <w:sz w:val="21"/>
          <w:szCs w:val="21"/>
        </w:rPr>
        <w:t>当购建或者生产符合资本化条件的资产中部分项目分别完工且可单独使用时，</w:t>
      </w:r>
      <w:r>
        <w:rPr>
          <w:rFonts w:ascii="宋体" w:hAnsi="宋体" w:cs="宋体" w:eastAsia="宋体" w:hint="default"/>
          <w:spacing w:val="2"/>
          <w:sz w:val="21"/>
          <w:szCs w:val="21"/>
        </w:rPr>
        <w:t> </w:t>
      </w:r>
      <w:r>
        <w:rPr>
          <w:rFonts w:ascii="宋体" w:hAnsi="宋体" w:cs="宋体" w:eastAsia="宋体" w:hint="default"/>
          <w:sz w:val="21"/>
          <w:szCs w:val="21"/>
        </w:rPr>
        <w:t>该部分资产借款费用停止资本化。</w:t>
      </w:r>
    </w:p>
    <w:p>
      <w:pPr>
        <w:spacing w:after="0" w:line="319" w:lineRule="auto"/>
        <w:jc w:val="left"/>
        <w:rPr>
          <w:rFonts w:ascii="宋体" w:hAnsi="宋体" w:cs="宋体" w:eastAsia="宋体" w:hint="default"/>
          <w:sz w:val="21"/>
          <w:szCs w:val="21"/>
        </w:rPr>
        <w:sectPr>
          <w:pgSz w:w="11910" w:h="16840"/>
          <w:pgMar w:header="686" w:footer="1270" w:top="1360" w:bottom="1460" w:left="1520" w:right="1580"/>
        </w:sectPr>
      </w:pPr>
    </w:p>
    <w:p>
      <w:pPr>
        <w:spacing w:line="240" w:lineRule="auto" w:before="1"/>
        <w:rPr>
          <w:rFonts w:ascii="宋体" w:hAnsi="宋体" w:cs="宋体" w:eastAsia="宋体" w:hint="default"/>
          <w:sz w:val="24"/>
          <w:szCs w:val="24"/>
        </w:rPr>
      </w:pPr>
    </w:p>
    <w:p>
      <w:pPr>
        <w:spacing w:line="321" w:lineRule="auto" w:before="35"/>
        <w:ind w:left="1360" w:right="0" w:firstLine="0"/>
        <w:jc w:val="left"/>
        <w:rPr>
          <w:rFonts w:ascii="宋体" w:hAnsi="宋体" w:cs="宋体" w:eastAsia="宋体" w:hint="default"/>
          <w:sz w:val="21"/>
          <w:szCs w:val="21"/>
        </w:rPr>
      </w:pPr>
      <w:r>
        <w:rPr>
          <w:rFonts w:ascii="宋体" w:hAnsi="宋体" w:cs="宋体" w:eastAsia="宋体" w:hint="default"/>
          <w:spacing w:val="2"/>
          <w:sz w:val="21"/>
          <w:szCs w:val="21"/>
        </w:rPr>
        <w:t>购建或者生产的资产的各部分分别完工，但必须等到整体完工后才可使用或可</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对外销售的，在该资产整体完工时停止借款费用资本化。</w:t>
      </w:r>
    </w:p>
    <w:p>
      <w:pPr>
        <w:spacing w:line="240" w:lineRule="auto" w:before="0"/>
        <w:rPr>
          <w:rFonts w:ascii="宋体" w:hAnsi="宋体" w:cs="宋体" w:eastAsia="宋体" w:hint="default"/>
          <w:sz w:val="20"/>
          <w:szCs w:val="20"/>
        </w:rPr>
      </w:pPr>
    </w:p>
    <w:p>
      <w:pPr>
        <w:tabs>
          <w:tab w:pos="1434" w:val="left" w:leader="none"/>
        </w:tabs>
        <w:spacing w:line="340" w:lineRule="auto" w:before="162"/>
        <w:ind w:left="1360" w:right="13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r>
      <w:r>
        <w:rPr>
          <w:rFonts w:ascii="宋体" w:hAnsi="宋体" w:cs="宋体" w:eastAsia="宋体" w:hint="default"/>
          <w:b/>
          <w:bCs/>
          <w:sz w:val="21"/>
          <w:szCs w:val="21"/>
        </w:rPr>
        <w:t>暂停资本化期间</w:t>
      </w:r>
      <w:r>
        <w:rPr>
          <w:rFonts w:ascii="宋体" w:hAnsi="宋体" w:cs="宋体" w:eastAsia="宋体" w:hint="default"/>
          <w:b/>
          <w:bCs/>
          <w:w w:val="99"/>
          <w:sz w:val="21"/>
          <w:szCs w:val="21"/>
        </w:rPr>
        <w:t> </w:t>
      </w:r>
      <w:r>
        <w:rPr>
          <w:rFonts w:ascii="宋体" w:hAnsi="宋体" w:cs="宋体" w:eastAsia="宋体" w:hint="default"/>
          <w:spacing w:val="2"/>
          <w:sz w:val="21"/>
          <w:szCs w:val="21"/>
        </w:rPr>
        <w:t>符合资本化条件的资产在购建或生产过程中发生的非正常中断、且中断时间连 </w:t>
      </w:r>
      <w:r>
        <w:rPr>
          <w:rFonts w:ascii="宋体" w:hAnsi="宋体" w:cs="宋体" w:eastAsia="宋体" w:hint="default"/>
          <w:sz w:val="21"/>
          <w:szCs w:val="21"/>
        </w:rPr>
        <w:t>续超过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2"/>
          <w:sz w:val="21"/>
          <w:szCs w:val="21"/>
        </w:rPr>
        <w:t> </w:t>
      </w:r>
      <w:r>
        <w:rPr>
          <w:rFonts w:ascii="宋体" w:hAnsi="宋体" w:cs="宋体" w:eastAsia="宋体" w:hint="default"/>
          <w:sz w:val="21"/>
          <w:szCs w:val="21"/>
        </w:rPr>
        <w:t>个月的，则借款费用暂停资本化；该项中断如是所购建或生产的符合 </w:t>
      </w:r>
      <w:r>
        <w:rPr>
          <w:rFonts w:ascii="宋体" w:hAnsi="宋体" w:cs="宋体" w:eastAsia="宋体" w:hint="default"/>
          <w:spacing w:val="2"/>
          <w:sz w:val="21"/>
          <w:szCs w:val="21"/>
        </w:rPr>
        <w:t>资本化条件的资产达到预定可使用状态或者可销售状态必要的程序，则借款费</w:t>
      </w:r>
      <w:r>
        <w:rPr>
          <w:rFonts w:ascii="宋体" w:hAnsi="宋体" w:cs="宋体" w:eastAsia="宋体" w:hint="default"/>
          <w:spacing w:val="2"/>
          <w:sz w:val="21"/>
          <w:szCs w:val="21"/>
        </w:rPr>
        <w:t> 用继续资本化。在中断期间发生的借款费用确认为当期损益，直至资产的购建 </w:t>
      </w:r>
      <w:r>
        <w:rPr>
          <w:rFonts w:ascii="宋体" w:hAnsi="宋体" w:cs="宋体" w:eastAsia="宋体" w:hint="default"/>
          <w:sz w:val="21"/>
          <w:szCs w:val="21"/>
        </w:rPr>
        <w:t>或者生产活动重新开始后借款费用继续资本化。</w:t>
      </w:r>
    </w:p>
    <w:p>
      <w:pPr>
        <w:spacing w:line="240" w:lineRule="auto" w:before="0"/>
        <w:rPr>
          <w:rFonts w:ascii="宋体" w:hAnsi="宋体" w:cs="宋体" w:eastAsia="宋体" w:hint="default"/>
          <w:sz w:val="20"/>
          <w:szCs w:val="20"/>
        </w:rPr>
      </w:pPr>
    </w:p>
    <w:p>
      <w:pPr>
        <w:tabs>
          <w:tab w:pos="1434" w:val="left" w:leader="none"/>
        </w:tabs>
        <w:spacing w:line="348" w:lineRule="auto" w:before="174"/>
        <w:ind w:left="1360" w:right="126"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tab/>
      </w:r>
      <w:r>
        <w:rPr>
          <w:rFonts w:ascii="宋体" w:hAnsi="宋体" w:cs="宋体" w:eastAsia="宋体" w:hint="default"/>
          <w:b/>
          <w:bCs/>
          <w:sz w:val="21"/>
          <w:szCs w:val="21"/>
        </w:rPr>
        <w:t>借款费用资本化金额的计算方法</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对于为购建或者生产符合资本化条件的资产而借入的专门借款，以专门借款当 期实际发生的借款费用，减去尚未动用的借款资金存入银行取得的利息收入或 </w:t>
      </w:r>
      <w:r>
        <w:rPr>
          <w:rFonts w:ascii="宋体" w:hAnsi="宋体" w:cs="宋体" w:eastAsia="宋体" w:hint="default"/>
          <w:sz w:val="21"/>
          <w:szCs w:val="21"/>
        </w:rPr>
        <w:t>进行暂时性投资取得的投资收益后的金额，来确定借款费用的资本化金额。</w:t>
      </w:r>
      <w:r>
        <w:rPr>
          <w:rFonts w:ascii="宋体" w:hAnsi="宋体" w:cs="宋体" w:eastAsia="宋体" w:hint="default"/>
          <w:sz w:val="21"/>
          <w:szCs w:val="21"/>
        </w:rPr>
        <w:t> </w:t>
      </w:r>
      <w:r>
        <w:rPr>
          <w:rFonts w:ascii="宋体" w:hAnsi="宋体" w:cs="宋体" w:eastAsia="宋体" w:hint="default"/>
          <w:spacing w:val="2"/>
          <w:sz w:val="21"/>
          <w:szCs w:val="21"/>
        </w:rPr>
        <w:t>对于为购建或者生产符合资本化条件的资产而占用的一般借款，根据累计资产</w:t>
      </w:r>
      <w:r>
        <w:rPr>
          <w:rFonts w:ascii="宋体" w:hAnsi="宋体" w:cs="宋体" w:eastAsia="宋体" w:hint="default"/>
          <w:spacing w:val="2"/>
          <w:sz w:val="21"/>
          <w:szCs w:val="21"/>
        </w:rPr>
        <w:t> </w:t>
      </w:r>
      <w:r>
        <w:rPr>
          <w:rFonts w:ascii="宋体" w:hAnsi="宋体" w:cs="宋体" w:eastAsia="宋体" w:hint="default"/>
          <w:spacing w:val="8"/>
          <w:sz w:val="21"/>
          <w:szCs w:val="21"/>
        </w:rPr>
        <w:t>支出超过专门借款部分的资产支出加权平均数乘以所占用一般借款的资本化</w:t>
      </w:r>
      <w:r>
        <w:rPr>
          <w:rFonts w:ascii="宋体" w:hAnsi="宋体" w:cs="宋体" w:eastAsia="宋体" w:hint="default"/>
          <w:spacing w:val="9"/>
          <w:sz w:val="21"/>
          <w:szCs w:val="21"/>
        </w:rPr>
        <w:t> </w:t>
      </w:r>
      <w:r>
        <w:rPr>
          <w:rFonts w:ascii="宋体" w:hAnsi="宋体" w:cs="宋体" w:eastAsia="宋体" w:hint="default"/>
          <w:spacing w:val="2"/>
          <w:sz w:val="21"/>
          <w:szCs w:val="21"/>
        </w:rPr>
        <w:t>率，计算确定一般借款应予资本化的利息金额。资本化率根据一般借款加权平</w:t>
      </w:r>
      <w:r>
        <w:rPr>
          <w:rFonts w:ascii="宋体" w:hAnsi="宋体" w:cs="宋体" w:eastAsia="宋体" w:hint="default"/>
          <w:spacing w:val="2"/>
          <w:sz w:val="21"/>
          <w:szCs w:val="21"/>
        </w:rPr>
        <w:t> </w:t>
      </w:r>
      <w:r>
        <w:rPr>
          <w:rFonts w:ascii="宋体" w:hAnsi="宋体" w:cs="宋体" w:eastAsia="宋体" w:hint="default"/>
          <w:sz w:val="21"/>
          <w:szCs w:val="21"/>
        </w:rPr>
        <w:t>均利率计算确定。</w:t>
      </w:r>
      <w:r>
        <w:rPr>
          <w:rFonts w:ascii="宋体" w:hAnsi="宋体" w:cs="宋体" w:eastAsia="宋体" w:hint="default"/>
          <w:sz w:val="21"/>
          <w:szCs w:val="21"/>
        </w:rPr>
        <w:t> </w:t>
      </w:r>
      <w:r>
        <w:rPr>
          <w:rFonts w:ascii="宋体" w:hAnsi="宋体" w:cs="宋体" w:eastAsia="宋体" w:hint="default"/>
          <w:spacing w:val="2"/>
          <w:sz w:val="21"/>
          <w:szCs w:val="21"/>
        </w:rPr>
        <w:t>借款存在折价或者溢价的，按照实际利率法确定每一会计期间应摊销的折价或</w:t>
      </w:r>
      <w:r>
        <w:rPr>
          <w:rFonts w:ascii="宋体" w:hAnsi="宋体" w:cs="宋体" w:eastAsia="宋体" w:hint="default"/>
          <w:spacing w:val="2"/>
          <w:sz w:val="21"/>
          <w:szCs w:val="21"/>
        </w:rPr>
        <w:t> </w:t>
      </w:r>
      <w:r>
        <w:rPr>
          <w:rFonts w:ascii="宋体" w:hAnsi="宋体" w:cs="宋体" w:eastAsia="宋体" w:hint="default"/>
          <w:sz w:val="21"/>
          <w:szCs w:val="21"/>
        </w:rPr>
        <w:t>者溢价金额，调整每期利息金额。</w:t>
      </w:r>
    </w:p>
    <w:p>
      <w:pPr>
        <w:spacing w:line="240" w:lineRule="auto" w:before="0"/>
        <w:rPr>
          <w:rFonts w:ascii="宋体" w:hAnsi="宋体" w:cs="宋体" w:eastAsia="宋体" w:hint="default"/>
          <w:sz w:val="20"/>
          <w:szCs w:val="20"/>
        </w:rPr>
      </w:pPr>
    </w:p>
    <w:p>
      <w:pPr>
        <w:spacing w:before="139"/>
        <w:ind w:left="265" w:right="220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十七</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无形资产</w:t>
      </w:r>
      <w:r>
        <w:rPr>
          <w:rFonts w:ascii="宋体" w:hAnsi="宋体" w:cs="宋体" w:eastAsia="宋体" w:hint="default"/>
          <w:sz w:val="21"/>
          <w:szCs w:val="21"/>
        </w:rPr>
      </w:r>
    </w:p>
    <w:p>
      <w:pPr>
        <w:tabs>
          <w:tab w:pos="1423" w:val="left" w:leader="none"/>
        </w:tabs>
        <w:spacing w:before="79"/>
        <w:ind w:left="895" w:right="2206"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无形资产的计价方法</w:t>
      </w:r>
      <w:r>
        <w:rPr>
          <w:rFonts w:ascii="宋体" w:hAnsi="宋体" w:cs="宋体" w:eastAsia="宋体" w:hint="default"/>
          <w:sz w:val="21"/>
          <w:szCs w:val="21"/>
        </w:rPr>
      </w:r>
    </w:p>
    <w:p>
      <w:pPr>
        <w:spacing w:line="321" w:lineRule="auto" w:before="80"/>
        <w:ind w:left="1360" w:right="0"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）公司取得无形资产时按成本进行初始计量； </w:t>
      </w:r>
      <w:r>
        <w:rPr>
          <w:rFonts w:ascii="宋体" w:hAnsi="宋体" w:cs="宋体" w:eastAsia="宋体" w:hint="default"/>
          <w:spacing w:val="2"/>
          <w:sz w:val="21"/>
          <w:szCs w:val="21"/>
        </w:rPr>
        <w:t>外购无形资产的成本，包括购买价款、相关税费以及直接归属于使该项资产达</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sz w:val="21"/>
          <w:szCs w:val="21"/>
        </w:rPr>
        <w:t>到预定用途所发生的其他支出。购买无形资产的价款超过正常信用条件延期支</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付，实质上具有融资性质的，无形资产的成本以购买价款的现值为基础确定。</w:t>
      </w:r>
      <w:r>
        <w:rPr>
          <w:rFonts w:ascii="宋体" w:hAnsi="宋体" w:cs="宋体" w:eastAsia="宋体" w:hint="default"/>
          <w:sz w:val="21"/>
          <w:szCs w:val="21"/>
        </w:rPr>
        <w:t> </w:t>
      </w:r>
      <w:r>
        <w:rPr>
          <w:rFonts w:ascii="宋体" w:hAnsi="宋体" w:cs="宋体" w:eastAsia="宋体" w:hint="default"/>
          <w:spacing w:val="2"/>
          <w:sz w:val="21"/>
          <w:szCs w:val="21"/>
        </w:rPr>
        <w:t>债务重组取得债务人用以抵债的无形资产，以该无形资产的公允价值为基础确</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sz w:val="21"/>
          <w:szCs w:val="21"/>
        </w:rPr>
        <w:t>定其入账价值，并将重组债务的账面价值与该用以抵债的无形资产公允价值之</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间的差额，计入当期损益；</w:t>
      </w:r>
      <w:r>
        <w:rPr>
          <w:rFonts w:ascii="宋体" w:hAnsi="宋体" w:cs="宋体" w:eastAsia="宋体" w:hint="default"/>
          <w:sz w:val="21"/>
          <w:szCs w:val="21"/>
        </w:rPr>
        <w:t> </w:t>
      </w:r>
      <w:r>
        <w:rPr>
          <w:rFonts w:ascii="宋体" w:hAnsi="宋体" w:cs="宋体" w:eastAsia="宋体" w:hint="default"/>
          <w:spacing w:val="2"/>
          <w:sz w:val="21"/>
          <w:szCs w:val="21"/>
        </w:rPr>
        <w:t>在非货币性资产交换具备商业实质且换入资产或换出资产的公允价值能够可靠</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sz w:val="21"/>
          <w:szCs w:val="21"/>
        </w:rPr>
        <w:t>计量的前提下，非货币性资产交换换入的无形资产以换出资产的公允价值为基</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sz w:val="21"/>
          <w:szCs w:val="21"/>
        </w:rPr>
        <w:t>础确定其入账价值，除非有确凿证据表明换入资产的公允价值更加可靠；不满</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sz w:val="21"/>
          <w:szCs w:val="21"/>
        </w:rPr>
        <w:t>足上述前提的非货币性资产交换，以换出资产的账面价值和应支付的相关税费</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作为换入无形资产的成本，不确认损益。</w:t>
      </w:r>
    </w:p>
    <w:p>
      <w:pPr>
        <w:spacing w:after="0" w:line="321" w:lineRule="auto"/>
        <w:jc w:val="left"/>
        <w:rPr>
          <w:rFonts w:ascii="宋体" w:hAnsi="宋体" w:cs="宋体" w:eastAsia="宋体" w:hint="default"/>
          <w:sz w:val="21"/>
          <w:szCs w:val="21"/>
        </w:rPr>
        <w:sectPr>
          <w:footerReference w:type="default" r:id="rId62"/>
          <w:pgSz w:w="11910" w:h="16840"/>
          <w:pgMar w:footer="1270" w:header="686" w:top="1360" w:bottom="1460" w:left="1520" w:right="1660"/>
          <w:pgNumType w:start="114"/>
        </w:sectPr>
      </w:pPr>
    </w:p>
    <w:p>
      <w:pPr>
        <w:spacing w:line="240" w:lineRule="auto" w:before="1"/>
        <w:rPr>
          <w:rFonts w:ascii="宋体" w:hAnsi="宋体" w:cs="宋体" w:eastAsia="宋体" w:hint="default"/>
          <w:sz w:val="24"/>
          <w:szCs w:val="24"/>
        </w:rPr>
      </w:pPr>
    </w:p>
    <w:p>
      <w:pPr>
        <w:spacing w:line="324" w:lineRule="auto" w:before="35"/>
        <w:ind w:left="1360" w:right="99" w:firstLine="0"/>
        <w:jc w:val="left"/>
        <w:rPr>
          <w:rFonts w:ascii="宋体" w:hAnsi="宋体" w:cs="宋体" w:eastAsia="宋体" w:hint="default"/>
          <w:sz w:val="21"/>
          <w:szCs w:val="21"/>
        </w:rPr>
      </w:pPr>
      <w:r>
        <w:rPr>
          <w:rFonts w:ascii="宋体" w:hAnsi="宋体" w:cs="宋体" w:eastAsia="宋体" w:hint="default"/>
          <w:spacing w:val="2"/>
          <w:sz w:val="21"/>
          <w:szCs w:val="21"/>
        </w:rPr>
        <w:t>以同一控制下的企业吸收合并方式取得的无形资产按被合并方的账面价值确定</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其入账价值；以非同一控制下的企业吸收合并方式取得的无形资产按公允价值</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确定其入账价值。</w:t>
      </w:r>
      <w:r>
        <w:rPr>
          <w:rFonts w:ascii="宋体" w:hAnsi="宋体" w:cs="宋体" w:eastAsia="宋体" w:hint="default"/>
          <w:sz w:val="21"/>
          <w:szCs w:val="21"/>
        </w:rPr>
        <w:t> </w:t>
      </w:r>
      <w:r>
        <w:rPr>
          <w:rFonts w:ascii="宋体" w:hAnsi="宋体" w:cs="宋体" w:eastAsia="宋体" w:hint="default"/>
          <w:spacing w:val="2"/>
          <w:sz w:val="21"/>
          <w:szCs w:val="21"/>
        </w:rPr>
        <w:t>内部自行开发的无形资产，其成本包括：开发该无形资产时耗用的材料、劳务</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成本、注册费、在开发过程中使用的其他专利权和特许权的摊销以及满足资本</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化条件的利息费用，以及为使该无形资产达到预定用途前所发生的其他直接费</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用。</w:t>
      </w:r>
    </w:p>
    <w:p>
      <w:pPr>
        <w:spacing w:line="307" w:lineRule="auto" w:before="21"/>
        <w:ind w:left="1360" w:right="3644"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）后续计量 在取得无形资产时分析判断其使用寿命。</w:t>
      </w:r>
    </w:p>
    <w:p>
      <w:pPr>
        <w:spacing w:line="324" w:lineRule="auto" w:before="36"/>
        <w:ind w:left="1360" w:right="109" w:firstLine="0"/>
        <w:jc w:val="left"/>
        <w:rPr>
          <w:rFonts w:ascii="宋体" w:hAnsi="宋体" w:cs="宋体" w:eastAsia="宋体" w:hint="default"/>
          <w:sz w:val="21"/>
          <w:szCs w:val="21"/>
        </w:rPr>
      </w:pPr>
      <w:r>
        <w:rPr>
          <w:rFonts w:ascii="宋体" w:hAnsi="宋体" w:cs="宋体" w:eastAsia="宋体" w:hint="default"/>
          <w:spacing w:val="-1"/>
          <w:sz w:val="21"/>
          <w:szCs w:val="21"/>
        </w:rPr>
        <w:t>对于使用寿命有限的无形资产，在为企业带来经济利益的期限内按直线法摊销；</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2"/>
          <w:sz w:val="21"/>
          <w:szCs w:val="21"/>
        </w:rPr>
        <w:t>无法预见无形资产为企业带来经济利益期限的，视为使用寿命不确定的无形资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产，不予摊销。</w:t>
      </w:r>
    </w:p>
    <w:p>
      <w:pPr>
        <w:spacing w:line="240" w:lineRule="auto" w:before="11"/>
        <w:rPr>
          <w:rFonts w:ascii="宋体" w:hAnsi="宋体" w:cs="宋体" w:eastAsia="宋体" w:hint="default"/>
          <w:sz w:val="29"/>
          <w:szCs w:val="29"/>
        </w:rPr>
      </w:pPr>
    </w:p>
    <w:p>
      <w:pPr>
        <w:tabs>
          <w:tab w:pos="1423" w:val="left" w:leader="none"/>
        </w:tabs>
        <w:spacing w:before="0"/>
        <w:ind w:left="895" w:right="99" w:firstLine="0"/>
        <w:jc w:val="left"/>
        <w:rPr>
          <w:rFonts w:ascii="宋体" w:hAnsi="宋体" w:cs="宋体" w:eastAsia="宋体" w:hint="default"/>
          <w:sz w:val="21"/>
          <w:szCs w:val="21"/>
        </w:rPr>
      </w:pPr>
      <w:r>
        <w:rPr/>
        <w:pict>
          <v:group style="position:absolute;margin-left:145.229996pt;margin-top:15.38457pt;width:362.5pt;height:90pt;mso-position-horizontal-relative:page;mso-position-vertical-relative:paragraph;z-index:-787816" coordorigin="2905,308" coordsize="7250,1800">
            <v:group style="position:absolute;left:2934;top:323;width:7194;height:2" coordorigin="2934,323" coordsize="7194,2">
              <v:shape style="position:absolute;left:2934;top:323;width:7194;height:2" coordorigin="2934,323" coordsize="7194,0" path="m2934,323l10128,323e" filled="false" stroked="true" strokeweight="1.5pt" strokecolor="#000000">
                <v:path arrowok="t"/>
              </v:shape>
              <v:shape style="position:absolute;left:4091;top:318;width:1885;height:379" type="#_x0000_t75" stroked="false">
                <v:imagedata r:id="rId64" o:title=""/>
              </v:shape>
            </v:group>
            <v:group style="position:absolute;left:2920;top:2093;width:1192;height:2" coordorigin="2920,2093" coordsize="1192,2">
              <v:shape style="position:absolute;left:2920;top:2093;width:1192;height:2" coordorigin="2920,2093" coordsize="1192,0" path="m2920,2093l4111,2093e" filled="false" stroked="true" strokeweight="1.5pt" strokecolor="#000000">
                <v:path arrowok="t"/>
              </v:shape>
            </v:group>
            <v:group style="position:absolute;left:4111;top:2093;width:1836;height:2" coordorigin="4111,2093" coordsize="1836,2">
              <v:shape style="position:absolute;left:4111;top:2093;width:1836;height:2" coordorigin="4111,2093" coordsize="1836,0" path="m4111,2093l5947,2093e" filled="false" stroked="true" strokeweight="1.5pt" strokecolor="#000000">
                <v:path arrowok="t"/>
              </v:shape>
              <v:shape style="position:absolute;left:2905;top:656;width:7249;height:1422" type="#_x0000_t75" stroked="false">
                <v:imagedata r:id="rId65" o:title=""/>
              </v:shape>
            </v:group>
            <v:group style="position:absolute;left:5947;top:2093;width:4181;height:2" coordorigin="5947,2093" coordsize="4181,2">
              <v:shape style="position:absolute;left:5947;top:2093;width:4181;height:2" coordorigin="5947,2093" coordsize="4181,0" path="m5947,2093l10128,2093e" filled="false" stroked="true" strokeweight="1.5pt" strokecolor="#000000">
                <v:path arrowok="t"/>
              </v:shape>
              <v:shape style="position:absolute;left:3344;top:41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224;top:417;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预计使用寿命（年）</w:t>
                      </w:r>
                    </w:p>
                  </w:txbxContent>
                </v:textbox>
                <w10:wrap type="none"/>
              </v:shape>
              <v:shape style="position:absolute;left:7860;top:41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依据</w:t>
                      </w:r>
                    </w:p>
                  </w:txbxContent>
                </v:textbox>
                <w10:wrap type="none"/>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使用寿命有限的无形资产的使用寿命估计情况</w:t>
      </w:r>
      <w:r>
        <w:rPr>
          <w:rFonts w:ascii="宋体" w:hAnsi="宋体" w:cs="宋体" w:eastAsia="宋体" w:hint="default"/>
          <w:sz w:val="21"/>
          <w:szCs w:val="21"/>
        </w:rPr>
      </w:r>
    </w:p>
    <w:p>
      <w:pPr>
        <w:spacing w:line="240" w:lineRule="auto" w:before="10"/>
        <w:rPr>
          <w:rFonts w:ascii="宋体" w:hAnsi="宋体" w:cs="宋体" w:eastAsia="宋体" w:hint="default"/>
          <w:b/>
          <w:bCs/>
          <w:sz w:val="28"/>
          <w:szCs w:val="28"/>
        </w:rPr>
      </w:pPr>
    </w:p>
    <w:tbl>
      <w:tblPr>
        <w:tblW w:w="0" w:type="auto"/>
        <w:jc w:val="left"/>
        <w:tblInd w:w="1484" w:type="dxa"/>
        <w:tblLayout w:type="fixed"/>
        <w:tblCellMar>
          <w:top w:w="0" w:type="dxa"/>
          <w:left w:w="0" w:type="dxa"/>
          <w:bottom w:w="0" w:type="dxa"/>
          <w:right w:w="0" w:type="dxa"/>
        </w:tblCellMar>
        <w:tblLook w:val="01E0"/>
      </w:tblPr>
      <w:tblGrid>
        <w:gridCol w:w="1417"/>
        <w:gridCol w:w="1208"/>
        <w:gridCol w:w="4426"/>
      </w:tblGrid>
      <w:tr>
        <w:trPr>
          <w:trHeight w:val="369"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75"/>
              <w:jc w:val="center"/>
              <w:rPr>
                <w:rFonts w:ascii="宋体" w:hAnsi="宋体" w:cs="宋体" w:eastAsia="宋体" w:hint="default"/>
                <w:sz w:val="18"/>
                <w:szCs w:val="18"/>
              </w:rPr>
            </w:pPr>
            <w:r>
              <w:rPr>
                <w:rFonts w:ascii="宋体" w:hAnsi="宋体" w:cs="宋体" w:eastAsia="宋体" w:hint="default"/>
                <w:sz w:val="18"/>
                <w:szCs w:val="18"/>
              </w:rPr>
              <w:t>专利权</w:t>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6" w:right="0"/>
              <w:jc w:val="center"/>
              <w:rPr>
                <w:rFonts w:ascii="Times New Roman" w:hAnsi="Times New Roman" w:cs="Times New Roman" w:eastAsia="Times New Roman" w:hint="default"/>
                <w:sz w:val="18"/>
                <w:szCs w:val="18"/>
              </w:rPr>
            </w:pPr>
            <w:r>
              <w:rPr>
                <w:rFonts w:ascii="Times New Roman"/>
                <w:sz w:val="18"/>
              </w:rPr>
              <w:t>5-10</w:t>
            </w:r>
          </w:p>
        </w:tc>
        <w:tc>
          <w:tcPr>
            <w:tcW w:w="442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30" w:right="0"/>
              <w:jc w:val="left"/>
              <w:rPr>
                <w:rFonts w:ascii="宋体" w:hAnsi="宋体" w:cs="宋体" w:eastAsia="宋体" w:hint="default"/>
                <w:sz w:val="18"/>
                <w:szCs w:val="18"/>
              </w:rPr>
            </w:pPr>
            <w:r>
              <w:rPr>
                <w:rFonts w:ascii="宋体" w:hAnsi="宋体" w:cs="宋体" w:eastAsia="宋体" w:hint="default"/>
                <w:sz w:val="18"/>
                <w:szCs w:val="18"/>
              </w:rPr>
              <w:t>合同权利</w:t>
            </w:r>
          </w:p>
        </w:tc>
      </w:tr>
      <w:tr>
        <w:trPr>
          <w:trHeight w:val="350"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75"/>
              <w:jc w:val="center"/>
              <w:rPr>
                <w:rFonts w:ascii="宋体" w:hAnsi="宋体" w:cs="宋体" w:eastAsia="宋体" w:hint="default"/>
                <w:sz w:val="18"/>
                <w:szCs w:val="18"/>
              </w:rPr>
            </w:pPr>
            <w:r>
              <w:rPr>
                <w:rFonts w:ascii="宋体" w:hAnsi="宋体" w:cs="宋体" w:eastAsia="宋体" w:hint="default"/>
                <w:sz w:val="18"/>
                <w:szCs w:val="18"/>
              </w:rPr>
              <w:t>非专利技术</w:t>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7" w:right="0"/>
              <w:jc w:val="center"/>
              <w:rPr>
                <w:rFonts w:ascii="Times New Roman" w:hAnsi="Times New Roman" w:cs="Times New Roman" w:eastAsia="Times New Roman" w:hint="default"/>
                <w:sz w:val="18"/>
                <w:szCs w:val="18"/>
              </w:rPr>
            </w:pPr>
            <w:r>
              <w:rPr>
                <w:rFonts w:ascii="Times New Roman"/>
                <w:sz w:val="18"/>
              </w:rPr>
              <w:t>10</w:t>
            </w:r>
          </w:p>
        </w:tc>
        <w:tc>
          <w:tcPr>
            <w:tcW w:w="4426" w:type="dxa"/>
            <w:tcBorders>
              <w:top w:val="nil" w:sz="6" w:space="0" w:color="auto"/>
              <w:left w:val="nil" w:sz="6" w:space="0" w:color="auto"/>
              <w:bottom w:val="nil" w:sz="6" w:space="0" w:color="auto"/>
              <w:right w:val="nil" w:sz="6" w:space="0" w:color="auto"/>
            </w:tcBorders>
          </w:tcPr>
          <w:p>
            <w:pPr>
              <w:pStyle w:val="TableParagraph"/>
              <w:spacing w:line="240" w:lineRule="auto" w:before="26"/>
              <w:ind w:left="430" w:right="0"/>
              <w:jc w:val="left"/>
              <w:rPr>
                <w:rFonts w:ascii="宋体" w:hAnsi="宋体" w:cs="宋体" w:eastAsia="宋体" w:hint="default"/>
                <w:sz w:val="18"/>
                <w:szCs w:val="18"/>
              </w:rPr>
            </w:pPr>
            <w:r>
              <w:rPr>
                <w:rFonts w:ascii="宋体" w:hAnsi="宋体" w:cs="宋体" w:eastAsia="宋体" w:hint="default"/>
                <w:sz w:val="18"/>
                <w:szCs w:val="18"/>
              </w:rPr>
              <w:t>合同期限以及预计给企业带来经济利息的期限孰短</w:t>
            </w:r>
          </w:p>
        </w:tc>
      </w:tr>
      <w:tr>
        <w:trPr>
          <w:trHeight w:val="350"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75"/>
              <w:jc w:val="center"/>
              <w:rPr>
                <w:rFonts w:ascii="宋体" w:hAnsi="宋体" w:cs="宋体" w:eastAsia="宋体" w:hint="default"/>
                <w:sz w:val="18"/>
                <w:szCs w:val="18"/>
              </w:rPr>
            </w:pPr>
            <w:r>
              <w:rPr>
                <w:rFonts w:ascii="宋体" w:hAnsi="宋体" w:cs="宋体" w:eastAsia="宋体" w:hint="default"/>
                <w:sz w:val="18"/>
                <w:szCs w:val="18"/>
              </w:rPr>
              <w:t>土地使用权</w:t>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7" w:right="0"/>
              <w:jc w:val="center"/>
              <w:rPr>
                <w:rFonts w:ascii="Times New Roman" w:hAnsi="Times New Roman" w:cs="Times New Roman" w:eastAsia="Times New Roman" w:hint="default"/>
                <w:sz w:val="18"/>
                <w:szCs w:val="18"/>
              </w:rPr>
            </w:pPr>
            <w:r>
              <w:rPr>
                <w:rFonts w:ascii="Times New Roman"/>
                <w:sz w:val="18"/>
              </w:rPr>
              <w:t>50</w:t>
            </w:r>
          </w:p>
        </w:tc>
        <w:tc>
          <w:tcPr>
            <w:tcW w:w="442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30" w:right="0"/>
              <w:jc w:val="left"/>
              <w:rPr>
                <w:rFonts w:ascii="宋体" w:hAnsi="宋体" w:cs="宋体" w:eastAsia="宋体" w:hint="default"/>
                <w:sz w:val="18"/>
                <w:szCs w:val="18"/>
              </w:rPr>
            </w:pPr>
            <w:r>
              <w:rPr>
                <w:rFonts w:ascii="宋体" w:hAnsi="宋体" w:cs="宋体" w:eastAsia="宋体" w:hint="default"/>
                <w:sz w:val="18"/>
                <w:szCs w:val="18"/>
              </w:rPr>
              <w:t>合同权利</w:t>
            </w:r>
          </w:p>
        </w:tc>
      </w:tr>
      <w:tr>
        <w:trPr>
          <w:trHeight w:val="357"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75"/>
              <w:jc w:val="center"/>
              <w:rPr>
                <w:rFonts w:ascii="宋体" w:hAnsi="宋体" w:cs="宋体" w:eastAsia="宋体" w:hint="default"/>
                <w:sz w:val="18"/>
                <w:szCs w:val="18"/>
              </w:rPr>
            </w:pPr>
            <w:r>
              <w:rPr>
                <w:rFonts w:ascii="宋体" w:hAnsi="宋体" w:cs="宋体" w:eastAsia="宋体" w:hint="default"/>
                <w:sz w:val="18"/>
                <w:szCs w:val="18"/>
              </w:rPr>
              <w:t>财务软件</w:t>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6" w:right="0"/>
              <w:jc w:val="center"/>
              <w:rPr>
                <w:rFonts w:ascii="Times New Roman" w:hAnsi="Times New Roman" w:cs="Times New Roman" w:eastAsia="Times New Roman" w:hint="default"/>
                <w:sz w:val="18"/>
                <w:szCs w:val="18"/>
              </w:rPr>
            </w:pPr>
            <w:r>
              <w:rPr>
                <w:rFonts w:ascii="Times New Roman"/>
                <w:sz w:val="18"/>
              </w:rPr>
              <w:t>5-10</w:t>
            </w:r>
          </w:p>
        </w:tc>
        <w:tc>
          <w:tcPr>
            <w:tcW w:w="4426" w:type="dxa"/>
            <w:tcBorders>
              <w:top w:val="nil" w:sz="6" w:space="0" w:color="auto"/>
              <w:left w:val="nil" w:sz="6" w:space="0" w:color="auto"/>
              <w:bottom w:val="nil" w:sz="6" w:space="0" w:color="auto"/>
              <w:right w:val="nil" w:sz="6" w:space="0" w:color="auto"/>
            </w:tcBorders>
          </w:tcPr>
          <w:p>
            <w:pPr>
              <w:pStyle w:val="TableParagraph"/>
              <w:spacing w:line="240" w:lineRule="auto" w:before="26"/>
              <w:ind w:left="430" w:right="0"/>
              <w:jc w:val="left"/>
              <w:rPr>
                <w:rFonts w:ascii="宋体" w:hAnsi="宋体" w:cs="宋体" w:eastAsia="宋体" w:hint="default"/>
                <w:sz w:val="18"/>
                <w:szCs w:val="18"/>
              </w:rPr>
            </w:pPr>
            <w:r>
              <w:rPr>
                <w:rFonts w:ascii="宋体" w:hAnsi="宋体" w:cs="宋体" w:eastAsia="宋体" w:hint="default"/>
                <w:sz w:val="18"/>
                <w:szCs w:val="18"/>
              </w:rPr>
              <w:t>预计给企业带来经济利益的期限</w:t>
            </w:r>
          </w:p>
        </w:tc>
      </w:tr>
    </w:tbl>
    <w:p>
      <w:pPr>
        <w:spacing w:before="78"/>
        <w:ind w:left="1360" w:right="99" w:firstLine="0"/>
        <w:jc w:val="left"/>
        <w:rPr>
          <w:rFonts w:ascii="宋体" w:hAnsi="宋体" w:cs="宋体" w:eastAsia="宋体" w:hint="default"/>
          <w:sz w:val="21"/>
          <w:szCs w:val="21"/>
        </w:rPr>
      </w:pPr>
      <w:r>
        <w:rPr>
          <w:rFonts w:ascii="宋体" w:hAnsi="宋体" w:cs="宋体" w:eastAsia="宋体" w:hint="default"/>
          <w:sz w:val="21"/>
          <w:szCs w:val="21"/>
        </w:rPr>
        <w:t>对于无形资产的使用寿命按照下述程序进行判断：</w:t>
      </w:r>
    </w:p>
    <w:p>
      <w:pPr>
        <w:spacing w:line="304" w:lineRule="auto" w:before="94"/>
        <w:ind w:left="1360" w:right="214"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）来源于合同性权利或其他法定权利的无形资产，其使用寿命不应超过合同</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性权利或其他法定权利的期限；</w:t>
      </w:r>
    </w:p>
    <w:p>
      <w:pPr>
        <w:spacing w:line="321" w:lineRule="auto" w:before="39"/>
        <w:ind w:left="1360" w:right="10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）合同性权利或其他法定权利在到期时因续约等延续、且有证据表明企业续 </w:t>
      </w:r>
      <w:r>
        <w:rPr>
          <w:rFonts w:ascii="宋体" w:hAnsi="宋体" w:cs="宋体" w:eastAsia="宋体" w:hint="default"/>
          <w:spacing w:val="2"/>
          <w:sz w:val="21"/>
          <w:szCs w:val="21"/>
        </w:rPr>
        <w:t>约不需要付出大额成本的，续约期应当计入使用寿命。合同或法律没有规定使</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用寿命的，本公司综合各方面因素判断，以确定无形资产能为企业带来经济利</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益的期限。</w:t>
      </w:r>
      <w:r>
        <w:rPr>
          <w:rFonts w:ascii="宋体" w:hAnsi="宋体" w:cs="宋体" w:eastAsia="宋体" w:hint="default"/>
          <w:sz w:val="21"/>
          <w:szCs w:val="21"/>
        </w:rPr>
        <w:t> </w:t>
      </w:r>
      <w:r>
        <w:rPr>
          <w:rFonts w:ascii="宋体" w:hAnsi="宋体" w:cs="宋体" w:eastAsia="宋体" w:hint="default"/>
          <w:spacing w:val="2"/>
          <w:sz w:val="21"/>
          <w:szCs w:val="21"/>
        </w:rPr>
        <w:t>按上述程序仍无法合理确定无形资产为企业带来经济利益期限的，该项无形资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产应作为使用寿命不确定的无形资产。使用寿命不确定的无形资产不进行摊销。</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每年末，对使用寿命有限的无形资产的使用寿命及摊销方法进行复核。 经复核，本年年末无形资产的使用寿命及摊销方法与以前估计未有不同。</w:t>
      </w:r>
    </w:p>
    <w:p>
      <w:pPr>
        <w:spacing w:line="240" w:lineRule="auto" w:before="0"/>
        <w:rPr>
          <w:rFonts w:ascii="宋体" w:hAnsi="宋体" w:cs="宋体" w:eastAsia="宋体" w:hint="default"/>
          <w:sz w:val="20"/>
          <w:szCs w:val="20"/>
        </w:rPr>
      </w:pPr>
    </w:p>
    <w:p>
      <w:pPr>
        <w:tabs>
          <w:tab w:pos="1423" w:val="left" w:leader="none"/>
        </w:tabs>
        <w:spacing w:line="319" w:lineRule="auto" w:before="132"/>
        <w:ind w:left="1360" w:right="21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r>
      <w:r>
        <w:rPr>
          <w:rFonts w:ascii="宋体" w:hAnsi="宋体" w:cs="宋体" w:eastAsia="宋体" w:hint="default"/>
          <w:b/>
          <w:bCs/>
          <w:sz w:val="21"/>
          <w:szCs w:val="21"/>
        </w:rPr>
        <w:t>无形资产减值准备的计提</w:t>
      </w:r>
      <w:r>
        <w:rPr>
          <w:rFonts w:ascii="宋体" w:hAnsi="宋体" w:cs="宋体" w:eastAsia="宋体" w:hint="default"/>
          <w:b/>
          <w:bCs/>
          <w:spacing w:val="1"/>
          <w:w w:val="99"/>
          <w:sz w:val="21"/>
          <w:szCs w:val="21"/>
        </w:rPr>
        <w:t> </w:t>
      </w:r>
      <w:r>
        <w:rPr>
          <w:rFonts w:ascii="宋体" w:hAnsi="宋体" w:cs="宋体" w:eastAsia="宋体" w:hint="default"/>
          <w:sz w:val="21"/>
          <w:szCs w:val="21"/>
        </w:rPr>
        <w:t>对于使用寿命确定的无形资产，如有明显减值迹象的，年末进行减值测试。 对于使用寿命不确定的无形资产，每年末进行减值测试。 </w:t>
      </w:r>
      <w:r>
        <w:rPr>
          <w:rFonts w:ascii="宋体" w:hAnsi="宋体" w:cs="宋体" w:eastAsia="宋体" w:hint="default"/>
          <w:spacing w:val="2"/>
          <w:sz w:val="21"/>
          <w:szCs w:val="21"/>
        </w:rPr>
        <w:t>对无形资产进行减值测试，估计其可收回金额。可收回金额根据无形资产的公</w:t>
      </w:r>
      <w:r>
        <w:rPr>
          <w:rFonts w:ascii="宋体" w:hAnsi="宋体" w:cs="宋体" w:eastAsia="宋体" w:hint="default"/>
          <w:spacing w:val="2"/>
          <w:sz w:val="21"/>
          <w:szCs w:val="21"/>
        </w:rPr>
        <w:t> 允价值减去处置费用后的净额与无形资产预计未来现金流量的现值两者之间较 </w:t>
      </w:r>
      <w:r>
        <w:rPr>
          <w:rFonts w:ascii="宋体" w:hAnsi="宋体" w:cs="宋体" w:eastAsia="宋体" w:hint="default"/>
          <w:sz w:val="21"/>
          <w:szCs w:val="21"/>
        </w:rPr>
        <w:t>高者确定。</w:t>
      </w:r>
    </w:p>
    <w:p>
      <w:pPr>
        <w:spacing w:after="0" w:line="319" w:lineRule="auto"/>
        <w:jc w:val="left"/>
        <w:rPr>
          <w:rFonts w:ascii="宋体" w:hAnsi="宋体" w:cs="宋体" w:eastAsia="宋体" w:hint="default"/>
          <w:sz w:val="21"/>
          <w:szCs w:val="21"/>
        </w:rPr>
        <w:sectPr>
          <w:footerReference w:type="default" r:id="rId63"/>
          <w:pgSz w:w="11910" w:h="16840"/>
          <w:pgMar w:footer="1270" w:header="686" w:top="1360" w:bottom="1460" w:left="1520" w:right="1580"/>
          <w:pgNumType w:start="115"/>
        </w:sectPr>
      </w:pPr>
    </w:p>
    <w:p>
      <w:pPr>
        <w:spacing w:line="240" w:lineRule="auto" w:before="1"/>
        <w:rPr>
          <w:rFonts w:ascii="宋体" w:hAnsi="宋体" w:cs="宋体" w:eastAsia="宋体" w:hint="default"/>
          <w:sz w:val="24"/>
          <w:szCs w:val="24"/>
        </w:rPr>
      </w:pPr>
    </w:p>
    <w:p>
      <w:pPr>
        <w:spacing w:line="324" w:lineRule="auto" w:before="35"/>
        <w:ind w:left="1360" w:right="99" w:firstLine="0"/>
        <w:jc w:val="left"/>
        <w:rPr>
          <w:rFonts w:ascii="宋体" w:hAnsi="宋体" w:cs="宋体" w:eastAsia="宋体" w:hint="default"/>
          <w:sz w:val="21"/>
          <w:szCs w:val="21"/>
        </w:rPr>
      </w:pPr>
      <w:r>
        <w:rPr>
          <w:rFonts w:ascii="宋体" w:hAnsi="宋体" w:cs="宋体" w:eastAsia="宋体" w:hint="default"/>
          <w:spacing w:val="2"/>
          <w:sz w:val="21"/>
          <w:szCs w:val="21"/>
        </w:rPr>
        <w:t>当无形资产的可收回金额低于其账面价值的，将无形资产的账面价值减记至可</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收回金额，减记的金额确认为无形资产减值损失，计入当期损益，同时计提相</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应的无形资产减值准备。</w:t>
      </w:r>
      <w:r>
        <w:rPr>
          <w:rFonts w:ascii="宋体" w:hAnsi="宋体" w:cs="宋体" w:eastAsia="宋体" w:hint="default"/>
          <w:sz w:val="21"/>
          <w:szCs w:val="21"/>
        </w:rPr>
        <w:t> </w:t>
      </w:r>
      <w:r>
        <w:rPr>
          <w:rFonts w:ascii="宋体" w:hAnsi="宋体" w:cs="宋体" w:eastAsia="宋体" w:hint="default"/>
          <w:spacing w:val="2"/>
          <w:sz w:val="21"/>
          <w:szCs w:val="21"/>
        </w:rPr>
        <w:t>无形资产减值损失确认后，减值无形资产的折耗或者摊销费用在未来期间作相</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应调整，以使该无形资产在剩余使用寿命内，系统地分摊调整后的无形资产账</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9"/>
          <w:sz w:val="21"/>
          <w:szCs w:val="21"/>
        </w:rPr>
        <w:t>面价值（扣除预计净残值）。</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无形资产的减值损失一经确认，在以后会计期间不再转回。 </w:t>
      </w:r>
      <w:r>
        <w:rPr>
          <w:rFonts w:ascii="宋体" w:hAnsi="宋体" w:cs="宋体" w:eastAsia="宋体" w:hint="default"/>
          <w:spacing w:val="2"/>
          <w:sz w:val="21"/>
          <w:szCs w:val="21"/>
        </w:rPr>
        <w:t>有迹象表明一项无形资产可能发生减值的，公司以单项无形资产为基础估计其</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可收回金额。公司难以对单项资产的可收回金额进行估计的，以该无形资产所</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属的资产组为基础确定无形资产组的可收回金额。</w:t>
      </w:r>
    </w:p>
    <w:p>
      <w:pPr>
        <w:spacing w:line="240" w:lineRule="auto" w:before="13"/>
        <w:rPr>
          <w:rFonts w:ascii="宋体" w:hAnsi="宋体" w:cs="宋体" w:eastAsia="宋体" w:hint="default"/>
          <w:sz w:val="29"/>
          <w:szCs w:val="29"/>
        </w:rPr>
      </w:pPr>
    </w:p>
    <w:p>
      <w:pPr>
        <w:tabs>
          <w:tab w:pos="1423" w:val="left" w:leader="none"/>
        </w:tabs>
        <w:spacing w:line="319" w:lineRule="auto" w:before="0"/>
        <w:ind w:left="1360" w:right="110"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tab/>
      </w:r>
      <w:r>
        <w:rPr>
          <w:rFonts w:ascii="宋体" w:hAnsi="宋体" w:cs="宋体" w:eastAsia="宋体" w:hint="default"/>
          <w:b/>
          <w:bCs/>
          <w:sz w:val="21"/>
          <w:szCs w:val="21"/>
        </w:rPr>
        <w:t>划分公司内部研究开发项目的研究阶段和开发阶段具体标准</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研究阶段：为获取并理解新的科学或技术知识等而进行的独创性的有计划调查、</w:t>
      </w:r>
      <w:r>
        <w:rPr>
          <w:rFonts w:ascii="宋体" w:hAnsi="宋体" w:cs="宋体" w:eastAsia="宋体" w:hint="default"/>
          <w:sz w:val="21"/>
          <w:szCs w:val="21"/>
        </w:rPr>
        <w:t> 研究活动的阶段。 </w:t>
      </w:r>
      <w:r>
        <w:rPr>
          <w:rFonts w:ascii="宋体" w:hAnsi="宋体" w:cs="宋体" w:eastAsia="宋体" w:hint="default"/>
          <w:spacing w:val="2"/>
          <w:sz w:val="21"/>
          <w:szCs w:val="21"/>
        </w:rPr>
        <w:t>开发阶段：在进行商业性生产或使用前，将研究成果或其他知识应用于某项计</w:t>
      </w:r>
      <w:r>
        <w:rPr>
          <w:rFonts w:ascii="宋体" w:hAnsi="宋体" w:cs="宋体" w:eastAsia="宋体" w:hint="default"/>
          <w:spacing w:val="2"/>
          <w:sz w:val="21"/>
          <w:szCs w:val="21"/>
        </w:rPr>
        <w:t> </w:t>
      </w:r>
      <w:r>
        <w:rPr>
          <w:rFonts w:ascii="宋体" w:hAnsi="宋体" w:cs="宋体" w:eastAsia="宋体" w:hint="default"/>
          <w:spacing w:val="-1"/>
          <w:sz w:val="21"/>
          <w:szCs w:val="21"/>
        </w:rPr>
        <w:t>划或设计，以生产出新的或具有实质性改进的材料、装置、产品等活动的阶段。</w:t>
      </w:r>
      <w:r>
        <w:rPr>
          <w:rFonts w:ascii="宋体" w:hAnsi="宋体" w:cs="宋体" w:eastAsia="宋体" w:hint="default"/>
          <w:sz w:val="21"/>
          <w:szCs w:val="21"/>
        </w:rPr>
        <w:t> 内部研究开发项目研究阶段的支出，在发生时计入当期损益。</w:t>
      </w:r>
    </w:p>
    <w:p>
      <w:pPr>
        <w:spacing w:line="240" w:lineRule="auto" w:before="0"/>
        <w:rPr>
          <w:rFonts w:ascii="宋体" w:hAnsi="宋体" w:cs="宋体" w:eastAsia="宋体" w:hint="default"/>
          <w:sz w:val="20"/>
          <w:szCs w:val="20"/>
        </w:rPr>
      </w:pPr>
    </w:p>
    <w:p>
      <w:pPr>
        <w:tabs>
          <w:tab w:pos="1423" w:val="left" w:leader="none"/>
        </w:tabs>
        <w:spacing w:line="314" w:lineRule="auto" w:before="134"/>
        <w:ind w:left="1360" w:right="21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tab/>
      </w:r>
      <w:r>
        <w:rPr>
          <w:rFonts w:ascii="宋体" w:hAnsi="宋体" w:cs="宋体" w:eastAsia="宋体" w:hint="default"/>
          <w:b/>
          <w:bCs/>
          <w:sz w:val="21"/>
          <w:szCs w:val="21"/>
        </w:rPr>
        <w:t>开发阶段支出符合资本化的具体标准</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公司根据实际情况，对于内部研究开发项目开发阶段的支出在同时满足以下五 </w:t>
      </w:r>
      <w:r>
        <w:rPr>
          <w:rFonts w:ascii="宋体" w:hAnsi="宋体" w:cs="宋体" w:eastAsia="宋体" w:hint="default"/>
          <w:sz w:val="21"/>
          <w:szCs w:val="21"/>
        </w:rPr>
        <w:t>个条件时确认为无形资产：</w:t>
      </w:r>
    </w:p>
    <w:p>
      <w:pPr>
        <w:spacing w:line="314" w:lineRule="auto" w:before="29"/>
        <w:ind w:left="1360" w:right="213" w:firstLine="0"/>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）公司对该项目方案所采用技术的分析，从技术的角度讲是完全能够生产出</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2"/>
          <w:sz w:val="21"/>
          <w:szCs w:val="21"/>
        </w:rPr>
        <w:t>产品的，且公司已经对该项目方案所需采用的技术进行了充分的分析论证和测</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试，即该项目从技术的角度来讲完全是可行的；</w:t>
      </w:r>
    </w:p>
    <w:p>
      <w:pPr>
        <w:spacing w:line="312" w:lineRule="auto" w:before="29"/>
        <w:ind w:left="1360" w:right="212" w:firstLine="0"/>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）公司在完成项目方案的开发，取得技术成功并形成样品后交由部分下游客</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2"/>
          <w:sz w:val="21"/>
          <w:szCs w:val="21"/>
        </w:rPr>
        <w:t>户试用，能够带来稳定的经济效益。对于经济效益的评价，公司在确认直接经</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3"/>
          <w:sz w:val="21"/>
          <w:szCs w:val="21"/>
        </w:rPr>
        <w:t>济效益达到或超过项目投入</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包括项目研发阶段和项目市场化开发阶段</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的所有</w:t>
      </w:r>
      <w:r>
        <w:rPr>
          <w:rFonts w:ascii="宋体" w:hAnsi="宋体" w:cs="宋体" w:eastAsia="宋体" w:hint="default"/>
          <w:spacing w:val="-77"/>
          <w:sz w:val="21"/>
          <w:szCs w:val="21"/>
        </w:rPr>
        <w:t> </w:t>
      </w:r>
      <w:r>
        <w:rPr>
          <w:rFonts w:ascii="宋体" w:hAnsi="宋体" w:cs="宋体" w:eastAsia="宋体" w:hint="default"/>
          <w:sz w:val="21"/>
          <w:szCs w:val="21"/>
        </w:rPr>
        <w:t>成本时，认为该项目的市场化开发达到预定的经济效益；</w:t>
      </w:r>
    </w:p>
    <w:p>
      <w:pPr>
        <w:spacing w:line="307" w:lineRule="auto" w:before="31"/>
        <w:ind w:left="1360" w:right="215" w:firstLine="0"/>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3</w:t>
      </w:r>
      <w:r>
        <w:rPr>
          <w:rFonts w:ascii="宋体" w:hAnsi="宋体" w:cs="宋体" w:eastAsia="宋体" w:hint="default"/>
          <w:spacing w:val="-1"/>
          <w:sz w:val="21"/>
          <w:szCs w:val="21"/>
        </w:rPr>
        <w:t>）本公司市场部通过市场调研，确认该项目方案进入市场化开发阶段后三年</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内，能够持续为本公司带来稳定的收益；</w:t>
      </w:r>
    </w:p>
    <w:p>
      <w:pPr>
        <w:spacing w:line="314" w:lineRule="auto" w:before="36"/>
        <w:ind w:left="1360" w:right="213" w:firstLine="0"/>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4</w:t>
      </w:r>
      <w:r>
        <w:rPr>
          <w:rFonts w:ascii="宋体" w:hAnsi="宋体" w:cs="宋体" w:eastAsia="宋体" w:hint="default"/>
          <w:spacing w:val="-1"/>
          <w:sz w:val="21"/>
          <w:szCs w:val="21"/>
        </w:rPr>
        <w:t>）本公司研发中心、市场部配备专业人员来完成开发和推广，同时本公司财</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2"/>
          <w:sz w:val="21"/>
          <w:szCs w:val="21"/>
        </w:rPr>
        <w:t>务部门在年度的预算中也为项目技术方案开发及市场化开发阶段提供了资金预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算，从人、财、物上保证项目的顺利开发；</w:t>
      </w:r>
    </w:p>
    <w:p>
      <w:pPr>
        <w:spacing w:line="314" w:lineRule="auto" w:before="29"/>
        <w:ind w:left="1360" w:right="99" w:firstLine="0"/>
        <w:jc w:val="left"/>
        <w:rPr>
          <w:rFonts w:ascii="宋体" w:hAnsi="宋体" w:cs="宋体" w:eastAsia="宋体" w:hint="default"/>
          <w:sz w:val="21"/>
          <w:szCs w:val="21"/>
        </w:rPr>
      </w:pPr>
      <w:r>
        <w:rPr>
          <w:rFonts w:ascii="宋体" w:hAnsi="宋体" w:cs="宋体" w:eastAsia="宋体" w:hint="default"/>
          <w:spacing w:val="-4"/>
          <w:sz w:val="21"/>
          <w:szCs w:val="21"/>
        </w:rPr>
        <w:t>（</w:t>
      </w:r>
      <w:r>
        <w:rPr>
          <w:rFonts w:ascii="Times New Roman" w:hAnsi="Times New Roman" w:cs="Times New Roman" w:eastAsia="Times New Roman" w:hint="default"/>
          <w:spacing w:val="-4"/>
          <w:sz w:val="21"/>
          <w:szCs w:val="21"/>
        </w:rPr>
        <w:t>5</w:t>
      </w:r>
      <w:r>
        <w:rPr>
          <w:rFonts w:ascii="宋体" w:hAnsi="宋体" w:cs="宋体" w:eastAsia="宋体" w:hint="default"/>
          <w:spacing w:val="-4"/>
          <w:sz w:val="21"/>
          <w:szCs w:val="21"/>
        </w:rPr>
        <w:t>）本公司对各个研发项目方案，已经按照直接人工、直接材料投入、设计费、</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2"/>
          <w:sz w:val="21"/>
          <w:szCs w:val="21"/>
        </w:rPr>
        <w:t>试制费、折旧摊销、调试费等费用明细进行归集，在核算过程中，如果发生的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某笔费用系为多个项目而发生，能够按照一定比例分摊的，分摊后归集到该项</w:t>
      </w:r>
      <w:r>
        <w:rPr>
          <w:rFonts w:ascii="宋体" w:hAnsi="宋体" w:cs="宋体" w:eastAsia="宋体" w:hint="default"/>
          <w:sz w:val="21"/>
          <w:szCs w:val="21"/>
        </w:rPr>
      </w:r>
    </w:p>
    <w:p>
      <w:pPr>
        <w:spacing w:before="29"/>
        <w:ind w:left="1360" w:right="0" w:firstLine="0"/>
        <w:jc w:val="both"/>
        <w:rPr>
          <w:rFonts w:ascii="宋体" w:hAnsi="宋体" w:cs="宋体" w:eastAsia="宋体" w:hint="default"/>
          <w:sz w:val="21"/>
          <w:szCs w:val="21"/>
        </w:rPr>
      </w:pPr>
      <w:r>
        <w:rPr>
          <w:rFonts w:ascii="宋体" w:hAnsi="宋体" w:cs="宋体" w:eastAsia="宋体" w:hint="default"/>
          <w:sz w:val="21"/>
          <w:szCs w:val="21"/>
        </w:rPr>
        <w:t>目中，不能够按照一定比例分摊的，则直接计入当期管理费用。</w:t>
      </w:r>
    </w:p>
    <w:p>
      <w:pPr>
        <w:spacing w:after="0"/>
        <w:jc w:val="both"/>
        <w:rPr>
          <w:rFonts w:ascii="宋体" w:hAnsi="宋体" w:cs="宋体" w:eastAsia="宋体" w:hint="default"/>
          <w:sz w:val="21"/>
          <w:szCs w:val="21"/>
        </w:rPr>
        <w:sectPr>
          <w:footerReference w:type="default" r:id="rId66"/>
          <w:pgSz w:w="11910" w:h="16840"/>
          <w:pgMar w:footer="1270" w:header="686" w:top="1360" w:bottom="1460" w:left="1520" w:right="1580"/>
          <w:pgNumType w:start="116"/>
        </w:sectPr>
      </w:pPr>
    </w:p>
    <w:p>
      <w:pPr>
        <w:spacing w:line="240" w:lineRule="auto" w:before="1"/>
        <w:rPr>
          <w:rFonts w:ascii="宋体" w:hAnsi="宋体" w:cs="宋体" w:eastAsia="宋体" w:hint="default"/>
          <w:sz w:val="24"/>
          <w:szCs w:val="24"/>
        </w:rPr>
      </w:pPr>
    </w:p>
    <w:p>
      <w:pPr>
        <w:spacing w:line="321" w:lineRule="auto" w:before="35"/>
        <w:ind w:left="1360" w:right="99" w:firstLine="0"/>
        <w:jc w:val="left"/>
        <w:rPr>
          <w:rFonts w:ascii="宋体" w:hAnsi="宋体" w:cs="宋体" w:eastAsia="宋体" w:hint="default"/>
          <w:sz w:val="21"/>
          <w:szCs w:val="21"/>
        </w:rPr>
      </w:pPr>
      <w:r>
        <w:rPr>
          <w:rFonts w:ascii="宋体" w:hAnsi="宋体" w:cs="宋体" w:eastAsia="宋体" w:hint="default"/>
          <w:spacing w:val="2"/>
          <w:sz w:val="21"/>
          <w:szCs w:val="21"/>
        </w:rPr>
        <w:t>只有同时符合以上五个条件，公司才将开发阶段的支出资本化，不满足上述条</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件的开发支出，计入当期损益。</w:t>
      </w:r>
    </w:p>
    <w:p>
      <w:pPr>
        <w:spacing w:before="45"/>
        <w:ind w:left="269" w:right="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十八</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4"/>
          <w:sz w:val="21"/>
          <w:szCs w:val="21"/>
        </w:rPr>
        <w:t> </w:t>
      </w:r>
      <w:r>
        <w:rPr>
          <w:rFonts w:ascii="宋体" w:hAnsi="宋体" w:cs="宋体" w:eastAsia="宋体" w:hint="default"/>
          <w:b/>
          <w:bCs/>
          <w:sz w:val="21"/>
          <w:szCs w:val="21"/>
        </w:rPr>
        <w:t>商誉</w:t>
      </w:r>
      <w:r>
        <w:rPr>
          <w:rFonts w:ascii="宋体" w:hAnsi="宋体" w:cs="宋体" w:eastAsia="宋体" w:hint="default"/>
          <w:sz w:val="21"/>
          <w:szCs w:val="21"/>
        </w:rPr>
      </w:r>
    </w:p>
    <w:p>
      <w:pPr>
        <w:spacing w:line="340" w:lineRule="auto" w:before="99"/>
        <w:ind w:left="895" w:right="99" w:firstLine="0"/>
        <w:jc w:val="left"/>
        <w:rPr>
          <w:rFonts w:ascii="宋体" w:hAnsi="宋体" w:cs="宋体" w:eastAsia="宋体" w:hint="default"/>
          <w:sz w:val="21"/>
          <w:szCs w:val="21"/>
        </w:rPr>
      </w:pPr>
      <w:r>
        <w:rPr>
          <w:rFonts w:ascii="宋体" w:hAnsi="宋体" w:cs="宋体" w:eastAsia="宋体" w:hint="default"/>
          <w:spacing w:val="-3"/>
          <w:sz w:val="21"/>
          <w:szCs w:val="21"/>
        </w:rPr>
        <w:t>因非同一控制下企业合并形成的商誉，其初始成本是合并成本大于合并中取得的被购</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买方可辨认净资产公允价值份额的差额。 商誉在其相关资产组或资产组组合处置时予以转出，计入当期损益。 本公司对商誉不摊销，商誉至少在每年年度终了进行减值测试。 </w:t>
      </w:r>
      <w:r>
        <w:rPr>
          <w:rFonts w:ascii="宋体" w:hAnsi="宋体" w:cs="宋体" w:eastAsia="宋体" w:hint="default"/>
          <w:spacing w:val="-3"/>
          <w:sz w:val="21"/>
          <w:szCs w:val="21"/>
        </w:rPr>
        <w:t>本公司进行商誉减值测试，对于因企业合并形成的商誉的账面价值，自购买日起按照</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合理的方法分摊至相关的资产组；难以分摊至相关的资产组的，将其分摊至相关的资</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产组组合。在将商誉的账面价值分摊至相关的资产组或者资产组组合时，按照各资产</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组或者资产组组合的公允价值占相关资产组或者资产组组合公允价值总额的比例进</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3"/>
          <w:sz w:val="21"/>
          <w:szCs w:val="21"/>
        </w:rPr>
        <w:t>行分摊。公允价值难以可靠计量的，按照各资产组或者资产组组合的账面价值占相关</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资产组或者资产组组合账面价值总额的比例进行分摊。 </w:t>
      </w:r>
      <w:r>
        <w:rPr>
          <w:rFonts w:ascii="宋体" w:hAnsi="宋体" w:cs="宋体" w:eastAsia="宋体" w:hint="default"/>
          <w:spacing w:val="-3"/>
          <w:sz w:val="21"/>
          <w:szCs w:val="21"/>
        </w:rPr>
        <w:t>在对包含商誉的相关资产组或者资产组组合进行减值测试时，如与商誉相关的资产组</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3"/>
          <w:sz w:val="21"/>
          <w:szCs w:val="21"/>
        </w:rPr>
        <w:t>或者资产组组合存在减值迹象的，先对不包含商誉的资产组或者资产组组合进行减值</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3"/>
          <w:sz w:val="21"/>
          <w:szCs w:val="21"/>
        </w:rPr>
        <w:t>测试，计算可收回金额，并与相关账面价值相比较，确认相应的减值损失。再对包含</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pacing w:val="-3"/>
          <w:sz w:val="21"/>
          <w:szCs w:val="21"/>
        </w:rPr>
        <w:t>商誉的资产组或者资产组组合进行减值测试，比较这些相关资产组或者资产组组合的</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3"/>
          <w:sz w:val="21"/>
          <w:szCs w:val="21"/>
        </w:rPr>
        <w:t>账面价值（包括所分摊的商誉的账面价值部分）与其可收回金额，如相关资产组或者</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资产组组合的可收回金额低于其账面价值的，确认商誉的减值损失。 商誉减值损失在发生时计入当期损益，且在以后会计期间不予转回。</w:t>
      </w:r>
    </w:p>
    <w:p>
      <w:pPr>
        <w:spacing w:line="240" w:lineRule="auto" w:before="1"/>
        <w:rPr>
          <w:rFonts w:ascii="宋体" w:hAnsi="宋体" w:cs="宋体" w:eastAsia="宋体" w:hint="default"/>
          <w:sz w:val="23"/>
          <w:szCs w:val="23"/>
        </w:rPr>
      </w:pPr>
    </w:p>
    <w:p>
      <w:pPr>
        <w:spacing w:before="0"/>
        <w:ind w:left="265" w:right="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十九</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340" w:lineRule="auto" w:before="99"/>
        <w:ind w:left="895" w:right="99" w:firstLine="0"/>
        <w:jc w:val="left"/>
        <w:rPr>
          <w:rFonts w:ascii="宋体" w:hAnsi="宋体" w:cs="宋体" w:eastAsia="宋体" w:hint="default"/>
          <w:sz w:val="21"/>
          <w:szCs w:val="21"/>
        </w:rPr>
      </w:pPr>
      <w:r>
        <w:rPr>
          <w:rFonts w:ascii="宋体" w:hAnsi="宋体" w:cs="宋体" w:eastAsia="宋体" w:hint="default"/>
          <w:spacing w:val="3"/>
          <w:sz w:val="21"/>
          <w:szCs w:val="21"/>
        </w:rPr>
        <w:t>长期待摊费用为已经发生但应由本年和以后各期负担的分摊期限在一年以上的各项</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费用。</w:t>
      </w:r>
    </w:p>
    <w:p>
      <w:pPr>
        <w:tabs>
          <w:tab w:pos="1434" w:val="left" w:leader="none"/>
        </w:tabs>
        <w:spacing w:before="27"/>
        <w:ind w:left="895" w:right="9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摊销方法</w:t>
      </w:r>
      <w:r>
        <w:rPr>
          <w:rFonts w:ascii="宋体" w:hAnsi="宋体" w:cs="宋体" w:eastAsia="宋体" w:hint="default"/>
          <w:sz w:val="21"/>
          <w:szCs w:val="21"/>
        </w:rPr>
      </w:r>
    </w:p>
    <w:p>
      <w:pPr>
        <w:spacing w:before="99"/>
        <w:ind w:left="1360" w:right="99" w:firstLine="0"/>
        <w:jc w:val="left"/>
        <w:rPr>
          <w:rFonts w:ascii="宋体" w:hAnsi="宋体" w:cs="宋体" w:eastAsia="宋体" w:hint="default"/>
          <w:sz w:val="21"/>
          <w:szCs w:val="21"/>
        </w:rPr>
      </w:pPr>
      <w:r>
        <w:rPr>
          <w:rFonts w:ascii="宋体" w:hAnsi="宋体" w:cs="宋体" w:eastAsia="宋体" w:hint="default"/>
          <w:sz w:val="21"/>
          <w:szCs w:val="21"/>
        </w:rPr>
        <w:t>长期待摊费用在受益期内平均摊销</w:t>
      </w:r>
    </w:p>
    <w:p>
      <w:pPr>
        <w:spacing w:line="240" w:lineRule="auto" w:before="12"/>
        <w:rPr>
          <w:rFonts w:ascii="宋体" w:hAnsi="宋体" w:cs="宋体" w:eastAsia="宋体" w:hint="default"/>
          <w:sz w:val="29"/>
          <w:szCs w:val="29"/>
        </w:rPr>
      </w:pPr>
    </w:p>
    <w:p>
      <w:pPr>
        <w:tabs>
          <w:tab w:pos="1434" w:val="left" w:leader="none"/>
        </w:tabs>
        <w:spacing w:line="282" w:lineRule="exact" w:before="0"/>
        <w:ind w:left="895" w:right="9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摊销年限</w:t>
      </w:r>
      <w:r>
        <w:rPr>
          <w:rFonts w:ascii="宋体" w:hAnsi="宋体" w:cs="宋体" w:eastAsia="宋体" w:hint="default"/>
          <w:sz w:val="21"/>
          <w:szCs w:val="21"/>
        </w:rPr>
      </w:r>
    </w:p>
    <w:p>
      <w:pPr>
        <w:spacing w:line="266" w:lineRule="exact" w:before="0"/>
        <w:ind w:left="1435" w:right="99" w:firstLine="0"/>
        <w:jc w:val="left"/>
        <w:rPr>
          <w:rFonts w:ascii="宋体" w:hAnsi="宋体" w:cs="宋体" w:eastAsia="宋体" w:hint="default"/>
          <w:sz w:val="21"/>
          <w:szCs w:val="21"/>
        </w:rPr>
      </w:pPr>
      <w:r>
        <w:rPr>
          <w:rFonts w:ascii="宋体" w:hAnsi="宋体" w:cs="宋体" w:eastAsia="宋体" w:hint="default"/>
          <w:spacing w:val="-5"/>
          <w:sz w:val="21"/>
          <w:szCs w:val="21"/>
        </w:rPr>
        <w:t>有明确受益期的，在受益期内平均摊销；无明确受益期的，按</w:t>
      </w:r>
      <w:r>
        <w:rPr>
          <w:rFonts w:ascii="宋体" w:hAnsi="宋体" w:cs="宋体" w:eastAsia="宋体" w:hint="default"/>
          <w:spacing w:val="-49"/>
          <w:sz w:val="21"/>
          <w:szCs w:val="21"/>
        </w:rPr>
        <w:t> </w:t>
      </w:r>
      <w:r>
        <w:rPr>
          <w:rFonts w:ascii="宋体" w:hAnsi="宋体" w:cs="宋体" w:eastAsia="宋体" w:hint="default"/>
          <w:sz w:val="21"/>
          <w:szCs w:val="21"/>
        </w:rPr>
        <w:t>3-5</w:t>
      </w:r>
      <w:r>
        <w:rPr>
          <w:rFonts w:ascii="宋体" w:hAnsi="宋体" w:cs="宋体" w:eastAsia="宋体" w:hint="default"/>
          <w:spacing w:val="-48"/>
          <w:sz w:val="21"/>
          <w:szCs w:val="21"/>
        </w:rPr>
        <w:t> </w:t>
      </w:r>
      <w:r>
        <w:rPr>
          <w:rFonts w:ascii="宋体" w:hAnsi="宋体" w:cs="宋体" w:eastAsia="宋体" w:hint="default"/>
          <w:sz w:val="21"/>
          <w:szCs w:val="21"/>
        </w:rPr>
        <w:t>年平均摊销。</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spacing w:before="0"/>
        <w:ind w:left="265" w:right="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预计负债</w:t>
      </w:r>
      <w:r>
        <w:rPr>
          <w:rFonts w:ascii="宋体" w:hAnsi="宋体" w:cs="宋体" w:eastAsia="宋体" w:hint="default"/>
          <w:sz w:val="21"/>
          <w:szCs w:val="21"/>
        </w:rPr>
      </w:r>
    </w:p>
    <w:p>
      <w:pPr>
        <w:spacing w:line="350" w:lineRule="auto" w:before="109"/>
        <w:ind w:left="895" w:right="99" w:firstLine="0"/>
        <w:jc w:val="left"/>
        <w:rPr>
          <w:rFonts w:ascii="宋体" w:hAnsi="宋体" w:cs="宋体" w:eastAsia="宋体" w:hint="default"/>
          <w:sz w:val="21"/>
          <w:szCs w:val="21"/>
        </w:rPr>
      </w:pPr>
      <w:r>
        <w:rPr>
          <w:rFonts w:ascii="宋体" w:hAnsi="宋体" w:cs="宋体" w:eastAsia="宋体" w:hint="default"/>
          <w:spacing w:val="-3"/>
          <w:sz w:val="21"/>
          <w:szCs w:val="21"/>
        </w:rPr>
        <w:t>本公司涉及诉讼、债务担保、亏损合同、重组事项时，如该等事项很可能需要未来以</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交付资产或提供劳务、其金额能够可靠计量的，确认为预计负债。</w:t>
      </w:r>
    </w:p>
    <w:p>
      <w:pPr>
        <w:tabs>
          <w:tab w:pos="1434" w:val="left" w:leader="none"/>
        </w:tabs>
        <w:spacing w:line="328" w:lineRule="auto" w:before="28"/>
        <w:ind w:left="1360" w:right="932"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预计负债的确认标准</w:t>
      </w:r>
      <w:r>
        <w:rPr>
          <w:rFonts w:ascii="宋体" w:hAnsi="宋体" w:cs="宋体" w:eastAsia="宋体" w:hint="default"/>
          <w:b/>
          <w:bCs/>
          <w:spacing w:val="1"/>
          <w:w w:val="99"/>
          <w:sz w:val="21"/>
          <w:szCs w:val="21"/>
        </w:rPr>
        <w:t> </w:t>
      </w:r>
      <w:r>
        <w:rPr>
          <w:rFonts w:ascii="宋体" w:hAnsi="宋体" w:cs="宋体" w:eastAsia="宋体" w:hint="default"/>
          <w:sz w:val="21"/>
          <w:szCs w:val="21"/>
        </w:rPr>
        <w:t>与或有事项相关的义务同时满足下列条件时，本公司确认为预计负债：</w:t>
      </w:r>
    </w:p>
    <w:p>
      <w:pPr>
        <w:spacing w:after="0" w:line="328" w:lineRule="auto"/>
        <w:jc w:val="left"/>
        <w:rPr>
          <w:rFonts w:ascii="宋体" w:hAnsi="宋体" w:cs="宋体" w:eastAsia="宋体" w:hint="default"/>
          <w:sz w:val="21"/>
          <w:szCs w:val="21"/>
        </w:rPr>
        <w:sectPr>
          <w:pgSz w:w="11910" w:h="16840"/>
          <w:pgMar w:header="686" w:footer="1270" w:top="1360" w:bottom="1460" w:left="1520" w:right="1580"/>
        </w:sectPr>
      </w:pPr>
    </w:p>
    <w:p>
      <w:pPr>
        <w:spacing w:line="240" w:lineRule="auto" w:before="4"/>
        <w:rPr>
          <w:rFonts w:ascii="宋体" w:hAnsi="宋体" w:cs="宋体" w:eastAsia="宋体" w:hint="default"/>
          <w:sz w:val="26"/>
          <w:szCs w:val="26"/>
        </w:rPr>
      </w:pPr>
    </w:p>
    <w:p>
      <w:pPr>
        <w:spacing w:before="35"/>
        <w:ind w:left="1360"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）该义务是本公司承担的现时义务；</w:t>
      </w:r>
    </w:p>
    <w:p>
      <w:pPr>
        <w:spacing w:before="109"/>
        <w:ind w:left="1360"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）履行该义务很可能导致经济利益流出本公司；</w:t>
      </w:r>
    </w:p>
    <w:p>
      <w:pPr>
        <w:spacing w:before="110"/>
        <w:ind w:left="1360"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）该义务的金额能够可靠地计量。</w:t>
      </w:r>
    </w:p>
    <w:p>
      <w:pPr>
        <w:tabs>
          <w:tab w:pos="1434" w:val="left" w:leader="none"/>
        </w:tabs>
        <w:spacing w:line="345" w:lineRule="auto" w:before="109"/>
        <w:ind w:left="1360" w:right="21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预计负债的计量方法</w:t>
      </w:r>
      <w:r>
        <w:rPr>
          <w:rFonts w:ascii="宋体" w:hAnsi="宋体" w:cs="宋体" w:eastAsia="宋体" w:hint="default"/>
          <w:b/>
          <w:bCs/>
          <w:spacing w:val="1"/>
          <w:w w:val="99"/>
          <w:sz w:val="21"/>
          <w:szCs w:val="21"/>
        </w:rPr>
        <w:t> </w:t>
      </w:r>
      <w:r>
        <w:rPr>
          <w:rFonts w:ascii="宋体" w:hAnsi="宋体" w:cs="宋体" w:eastAsia="宋体" w:hint="default"/>
          <w:sz w:val="21"/>
          <w:szCs w:val="21"/>
        </w:rPr>
        <w:t>本公司预计负债按履行相关现时义务所需的支出的最佳估计数进行初始计量。 </w:t>
      </w:r>
      <w:r>
        <w:rPr>
          <w:rFonts w:ascii="宋体" w:hAnsi="宋体" w:cs="宋体" w:eastAsia="宋体" w:hint="default"/>
          <w:spacing w:val="2"/>
          <w:sz w:val="21"/>
          <w:szCs w:val="21"/>
        </w:rPr>
        <w:t>本公司在确定最佳估计数时，综合考虑与或有事项有关的风险、不确定性和货</w:t>
      </w:r>
      <w:r>
        <w:rPr>
          <w:rFonts w:ascii="宋体" w:hAnsi="宋体" w:cs="宋体" w:eastAsia="宋体" w:hint="default"/>
          <w:spacing w:val="2"/>
          <w:sz w:val="21"/>
          <w:szCs w:val="21"/>
        </w:rPr>
        <w:t> 币时间价值等因素。对于货币时间价值影响重大的，通过对相关未来现金流出 </w:t>
      </w:r>
      <w:r>
        <w:rPr>
          <w:rFonts w:ascii="宋体" w:hAnsi="宋体" w:cs="宋体" w:eastAsia="宋体" w:hint="default"/>
          <w:sz w:val="21"/>
          <w:szCs w:val="21"/>
        </w:rPr>
        <w:t>进行折现后确定最佳估计数。</w:t>
      </w:r>
    </w:p>
    <w:p>
      <w:pPr>
        <w:spacing w:line="350" w:lineRule="auto" w:before="33"/>
        <w:ind w:left="1360" w:right="99" w:firstLine="0"/>
        <w:jc w:val="left"/>
        <w:rPr>
          <w:rFonts w:ascii="宋体" w:hAnsi="宋体" w:cs="宋体" w:eastAsia="宋体" w:hint="default"/>
          <w:sz w:val="21"/>
          <w:szCs w:val="21"/>
        </w:rPr>
      </w:pPr>
      <w:r>
        <w:rPr>
          <w:rFonts w:ascii="宋体" w:hAnsi="宋体" w:cs="宋体" w:eastAsia="宋体" w:hint="default"/>
          <w:sz w:val="21"/>
          <w:szCs w:val="21"/>
        </w:rPr>
        <w:t>最佳估计数分别以下情况处理： </w:t>
      </w:r>
      <w:r>
        <w:rPr>
          <w:rFonts w:ascii="宋体" w:hAnsi="宋体" w:cs="宋体" w:eastAsia="宋体" w:hint="default"/>
          <w:spacing w:val="-4"/>
          <w:sz w:val="21"/>
          <w:szCs w:val="21"/>
        </w:rPr>
        <w:t>所需支出存在一个连续范围（或区间），且该范围内各种结果发生的可能性相同</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的，则最佳估计数按照该范围的中间值即上下限金额的平均数确定。 </w:t>
      </w:r>
      <w:r>
        <w:rPr>
          <w:rFonts w:ascii="宋体" w:hAnsi="宋体" w:cs="宋体" w:eastAsia="宋体" w:hint="default"/>
          <w:spacing w:val="-4"/>
          <w:sz w:val="21"/>
          <w:szCs w:val="21"/>
        </w:rPr>
        <w:t>所需支出不存在一个连续范围（或区间），或虽然存在一个连续范围但该范围内</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2"/>
          <w:sz w:val="21"/>
          <w:szCs w:val="21"/>
        </w:rPr>
        <w:t>各种结果发生的可能性不相同的，如或有事项涉及单个项目的，则最佳估计数</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按照最可能发生金额确定；如或有事项涉及多个项目的，则最佳估计数按各种</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可能结果及相关概率计算确定。</w:t>
      </w:r>
      <w:r>
        <w:rPr>
          <w:rFonts w:ascii="宋体" w:hAnsi="宋体" w:cs="宋体" w:eastAsia="宋体" w:hint="default"/>
          <w:sz w:val="21"/>
          <w:szCs w:val="21"/>
        </w:rPr>
        <w:t> </w:t>
      </w:r>
      <w:r>
        <w:rPr>
          <w:rFonts w:ascii="宋体" w:hAnsi="宋体" w:cs="宋体" w:eastAsia="宋体" w:hint="default"/>
          <w:spacing w:val="2"/>
          <w:sz w:val="21"/>
          <w:szCs w:val="21"/>
        </w:rPr>
        <w:t>本公司清偿预计负债所需支出全部或部分预期由第三方补偿的，补偿金额在基</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本确定能够收到时，作为资产单独确认，确认的补偿金额不超过预计负债的账</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面价值。</w:t>
      </w:r>
    </w:p>
    <w:p>
      <w:pPr>
        <w:spacing w:line="240" w:lineRule="auto" w:before="9"/>
        <w:rPr>
          <w:rFonts w:ascii="宋体" w:hAnsi="宋体" w:cs="宋体" w:eastAsia="宋体" w:hint="default"/>
          <w:sz w:val="29"/>
          <w:szCs w:val="29"/>
        </w:rPr>
      </w:pPr>
    </w:p>
    <w:p>
      <w:pPr>
        <w:tabs>
          <w:tab w:pos="1539" w:val="left" w:leader="none"/>
        </w:tabs>
        <w:spacing w:before="0"/>
        <w:ind w:left="265" w:right="9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二十一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收入</w:t>
      </w:r>
      <w:r>
        <w:rPr>
          <w:rFonts w:ascii="宋体" w:hAnsi="宋体" w:cs="宋体" w:eastAsia="宋体" w:hint="default"/>
          <w:sz w:val="21"/>
          <w:szCs w:val="21"/>
        </w:rPr>
      </w:r>
    </w:p>
    <w:p>
      <w:pPr>
        <w:tabs>
          <w:tab w:pos="1434" w:val="left" w:leader="none"/>
        </w:tabs>
        <w:spacing w:line="326" w:lineRule="auto" w:before="88"/>
        <w:ind w:left="1359" w:right="21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销售商品收入确认时间的具体判断标准</w:t>
      </w:r>
      <w:r>
        <w:rPr>
          <w:rFonts w:ascii="宋体" w:hAnsi="宋体" w:cs="宋体" w:eastAsia="宋体" w:hint="default"/>
          <w:b/>
          <w:bCs/>
          <w:w w:val="99"/>
          <w:sz w:val="21"/>
          <w:szCs w:val="21"/>
        </w:rPr>
        <w:t> </w:t>
      </w:r>
      <w:r>
        <w:rPr>
          <w:rFonts w:ascii="宋体" w:hAnsi="宋体" w:cs="宋体" w:eastAsia="宋体" w:hint="default"/>
          <w:spacing w:val="2"/>
          <w:sz w:val="21"/>
          <w:szCs w:val="21"/>
        </w:rPr>
        <w:t>公司已将商品所有权上的主要风险和报酬转移给购买方；公司既没有保留与所 有权相联系的继续管理权，也没有对已售出的商品实施有效控制；收入的金额 能够可靠地计量；相关的经济利益很可能流入企业；相关的已发生或将发生的 </w:t>
      </w:r>
      <w:r>
        <w:rPr>
          <w:rFonts w:ascii="宋体" w:hAnsi="宋体" w:cs="宋体" w:eastAsia="宋体" w:hint="default"/>
          <w:sz w:val="21"/>
          <w:szCs w:val="21"/>
        </w:rPr>
        <w:t>成本能够可靠地计量时，确认商品销售收入实现。</w:t>
      </w:r>
    </w:p>
    <w:p>
      <w:pPr>
        <w:spacing w:line="240" w:lineRule="auto" w:before="0"/>
        <w:rPr>
          <w:rFonts w:ascii="宋体" w:hAnsi="宋体" w:cs="宋体" w:eastAsia="宋体" w:hint="default"/>
          <w:sz w:val="20"/>
          <w:szCs w:val="20"/>
        </w:rPr>
      </w:pPr>
    </w:p>
    <w:p>
      <w:pPr>
        <w:tabs>
          <w:tab w:pos="1434" w:val="left" w:leader="none"/>
        </w:tabs>
        <w:spacing w:line="324" w:lineRule="auto" w:before="147"/>
        <w:ind w:left="1360" w:right="21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确认让渡资产使用权收入的依据</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与交易相关的经济利益很可能流入企业，收入的金额能够可靠地计量时。分别 </w:t>
      </w:r>
      <w:r>
        <w:rPr>
          <w:rFonts w:ascii="宋体" w:hAnsi="宋体" w:cs="宋体" w:eastAsia="宋体" w:hint="default"/>
          <w:sz w:val="21"/>
          <w:szCs w:val="21"/>
        </w:rPr>
        <w:t>下列情况确定让渡资产使用权收入金额：</w:t>
      </w:r>
    </w:p>
    <w:p>
      <w:pPr>
        <w:spacing w:before="31"/>
        <w:ind w:left="1360" w:right="0" w:firstLine="0"/>
        <w:jc w:val="left"/>
        <w:rPr>
          <w:rFonts w:ascii="宋体" w:hAnsi="宋体" w:cs="宋体" w:eastAsia="宋体" w:hint="default"/>
          <w:sz w:val="21"/>
          <w:szCs w:val="21"/>
        </w:rPr>
      </w:pPr>
      <w:r>
        <w:rPr>
          <w:rFonts w:ascii="宋体" w:hAnsi="宋体" w:cs="宋体" w:eastAsia="宋体" w:hint="default"/>
          <w:spacing w:val="-4"/>
          <w:sz w:val="21"/>
          <w:szCs w:val="21"/>
        </w:rPr>
        <w:t>（</w:t>
      </w:r>
      <w:r>
        <w:rPr>
          <w:rFonts w:ascii="Times New Roman" w:hAnsi="Times New Roman" w:cs="Times New Roman" w:eastAsia="Times New Roman" w:hint="default"/>
          <w:spacing w:val="-4"/>
          <w:sz w:val="21"/>
          <w:szCs w:val="21"/>
        </w:rPr>
        <w:t>1</w:t>
      </w:r>
      <w:r>
        <w:rPr>
          <w:rFonts w:ascii="宋体" w:hAnsi="宋体" w:cs="宋体" w:eastAsia="宋体" w:hint="default"/>
          <w:spacing w:val="-4"/>
          <w:sz w:val="21"/>
          <w:szCs w:val="21"/>
        </w:rPr>
        <w:t>）利息收入金额，按照他人使用本企业货币资金的时间和实际利率计算确定。</w:t>
      </w:r>
    </w:p>
    <w:p>
      <w:pPr>
        <w:spacing w:before="89"/>
        <w:ind w:left="895" w:right="99" w:firstLine="464"/>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）使用费收入金额，按照有关合同或协议约定的收费时间和方法计算确定。</w:t>
      </w:r>
    </w:p>
    <w:p>
      <w:pPr>
        <w:spacing w:line="240" w:lineRule="auto" w:before="0"/>
        <w:rPr>
          <w:rFonts w:ascii="宋体" w:hAnsi="宋体" w:cs="宋体" w:eastAsia="宋体" w:hint="default"/>
          <w:sz w:val="22"/>
          <w:szCs w:val="22"/>
        </w:rPr>
      </w:pPr>
    </w:p>
    <w:p>
      <w:pPr>
        <w:tabs>
          <w:tab w:pos="1434" w:val="left" w:leader="none"/>
        </w:tabs>
        <w:spacing w:line="324" w:lineRule="auto" w:before="181"/>
        <w:ind w:left="1360" w:right="21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t>按完工百分比法确认提供劳务的收入和建造合同收入时，确定合同完工进度的</w:t>
      </w:r>
      <w:r>
        <w:rPr>
          <w:rFonts w:ascii="宋体" w:hAnsi="宋体" w:cs="宋体" w:eastAsia="宋体" w:hint="default"/>
          <w:b/>
          <w:bCs/>
          <w:spacing w:val="34"/>
          <w:w w:val="95"/>
          <w:sz w:val="21"/>
          <w:szCs w:val="21"/>
        </w:rPr>
        <w:t> </w:t>
      </w:r>
      <w:r>
        <w:rPr>
          <w:rFonts w:ascii="宋体" w:hAnsi="宋体" w:cs="宋体" w:eastAsia="宋体" w:hint="default"/>
          <w:b/>
          <w:bCs/>
          <w:spacing w:val="34"/>
          <w:w w:val="95"/>
          <w:sz w:val="21"/>
          <w:szCs w:val="21"/>
        </w:rPr>
      </w:r>
      <w:r>
        <w:rPr>
          <w:rFonts w:ascii="宋体" w:hAnsi="宋体" w:cs="宋体" w:eastAsia="宋体" w:hint="default"/>
          <w:b/>
          <w:bCs/>
          <w:sz w:val="21"/>
          <w:szCs w:val="21"/>
        </w:rPr>
        <w:t>依据和方法</w:t>
      </w:r>
      <w:r>
        <w:rPr>
          <w:rFonts w:ascii="宋体" w:hAnsi="宋体" w:cs="宋体" w:eastAsia="宋体" w:hint="default"/>
          <w:b/>
          <w:bCs/>
          <w:w w:val="99"/>
          <w:sz w:val="21"/>
          <w:szCs w:val="21"/>
        </w:rPr>
        <w:t> </w:t>
      </w:r>
      <w:r>
        <w:rPr>
          <w:rFonts w:ascii="宋体" w:hAnsi="宋体" w:cs="宋体" w:eastAsia="宋体" w:hint="default"/>
          <w:spacing w:val="2"/>
          <w:sz w:val="21"/>
          <w:szCs w:val="21"/>
        </w:rPr>
        <w:t>在资产负债表日提供劳务交易的结果能够可靠估计的，采用完工百分比法确认</w:t>
      </w:r>
      <w:r>
        <w:rPr>
          <w:rFonts w:ascii="宋体" w:hAnsi="宋体" w:cs="宋体" w:eastAsia="宋体" w:hint="default"/>
          <w:sz w:val="21"/>
          <w:szCs w:val="21"/>
        </w:rPr>
      </w:r>
    </w:p>
    <w:p>
      <w:pPr>
        <w:spacing w:after="0" w:line="324" w:lineRule="auto"/>
        <w:jc w:val="left"/>
        <w:rPr>
          <w:rFonts w:ascii="宋体" w:hAnsi="宋体" w:cs="宋体" w:eastAsia="宋体" w:hint="default"/>
          <w:sz w:val="21"/>
          <w:szCs w:val="21"/>
        </w:rPr>
        <w:sectPr>
          <w:pgSz w:w="11910" w:h="16840"/>
          <w:pgMar w:header="686" w:footer="1270" w:top="1360" w:bottom="1460" w:left="1520" w:right="1580"/>
        </w:sectPr>
      </w:pPr>
    </w:p>
    <w:p>
      <w:pPr>
        <w:spacing w:line="240" w:lineRule="auto" w:before="10"/>
        <w:rPr>
          <w:rFonts w:ascii="宋体" w:hAnsi="宋体" w:cs="宋体" w:eastAsia="宋体" w:hint="default"/>
          <w:sz w:val="24"/>
          <w:szCs w:val="24"/>
        </w:rPr>
      </w:pPr>
    </w:p>
    <w:p>
      <w:pPr>
        <w:spacing w:line="331" w:lineRule="auto" w:before="35"/>
        <w:ind w:left="1360" w:right="99" w:firstLine="0"/>
        <w:jc w:val="left"/>
        <w:rPr>
          <w:rFonts w:ascii="宋体" w:hAnsi="宋体" w:cs="宋体" w:eastAsia="宋体" w:hint="default"/>
          <w:sz w:val="21"/>
          <w:szCs w:val="21"/>
        </w:rPr>
      </w:pPr>
      <w:r>
        <w:rPr>
          <w:rFonts w:ascii="宋体" w:hAnsi="宋体" w:cs="宋体" w:eastAsia="宋体" w:hint="default"/>
          <w:sz w:val="21"/>
          <w:szCs w:val="21"/>
        </w:rPr>
        <w:t>提供劳务收入。提供劳务交易的完工进度，依据已完工作的测量确定。 </w:t>
      </w:r>
      <w:r>
        <w:rPr>
          <w:rFonts w:ascii="宋体" w:hAnsi="宋体" w:cs="宋体" w:eastAsia="宋体" w:hint="default"/>
          <w:spacing w:val="2"/>
          <w:sz w:val="21"/>
          <w:szCs w:val="21"/>
        </w:rPr>
        <w:t>按照已收或应收的合同或协议价款确定提供劳务收入总额，但已收或应收的合</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同或协议价款不公允的除外。资产负债表日按照提供劳务收入总额乘以完工进</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度扣除以前会计期间累计已确认提供劳务收入后的金额，确认当期提供劳务收</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入；同时，按照提供劳务估计总成本乘以完工进度扣除以前会计期间累计已确</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认劳务成本后的金额，结转当期劳务成本。</w:t>
      </w:r>
      <w:r>
        <w:rPr>
          <w:rFonts w:ascii="宋体" w:hAnsi="宋体" w:cs="宋体" w:eastAsia="宋体" w:hint="default"/>
          <w:sz w:val="21"/>
          <w:szCs w:val="21"/>
        </w:rPr>
        <w:t> 在资产负债表日提供劳务交易结果不能够可靠估计的，分别下列情况处理：</w:t>
      </w:r>
    </w:p>
    <w:p>
      <w:pPr>
        <w:spacing w:line="312" w:lineRule="auto" w:before="25"/>
        <w:ind w:left="1360" w:right="214"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）已经发生的劳务成本预计能够得到补偿的，按照已经发生的劳务成本金额</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确认提供劳务收入，并按相同金额结转劳务成本。</w:t>
      </w:r>
    </w:p>
    <w:p>
      <w:pPr>
        <w:spacing w:line="314" w:lineRule="auto" w:before="42"/>
        <w:ind w:left="1360" w:right="214"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）已经发生的劳务成本预计不能够得到补偿的，将已经发生的劳务成本计入</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当期损益，不确认提供劳务收入。</w:t>
      </w:r>
    </w:p>
    <w:p>
      <w:pPr>
        <w:spacing w:line="240" w:lineRule="auto" w:before="13"/>
        <w:rPr>
          <w:rFonts w:ascii="宋体" w:hAnsi="宋体" w:cs="宋体" w:eastAsia="宋体" w:hint="default"/>
          <w:sz w:val="22"/>
          <w:szCs w:val="22"/>
        </w:rPr>
      </w:pPr>
    </w:p>
    <w:p>
      <w:pPr>
        <w:tabs>
          <w:tab w:pos="1539" w:val="left" w:leader="none"/>
        </w:tabs>
        <w:spacing w:before="0"/>
        <w:ind w:left="265" w:right="9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二十二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政府补助</w:t>
      </w:r>
      <w:r>
        <w:rPr>
          <w:rFonts w:ascii="宋体" w:hAnsi="宋体" w:cs="宋体" w:eastAsia="宋体" w:hint="default"/>
          <w:sz w:val="21"/>
          <w:szCs w:val="21"/>
        </w:rPr>
      </w:r>
    </w:p>
    <w:p>
      <w:pPr>
        <w:tabs>
          <w:tab w:pos="1434" w:val="left" w:leader="none"/>
        </w:tabs>
        <w:spacing w:line="338" w:lineRule="auto" w:before="110"/>
        <w:ind w:left="1360" w:right="213"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pacing w:val="1"/>
          <w:sz w:val="21"/>
          <w:szCs w:val="21"/>
        </w:rPr>
        <w:t>类型</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政府补助，是本公司从政府无偿取得的货币性资产与非货币性资产。分为与资 </w:t>
      </w:r>
      <w:r>
        <w:rPr>
          <w:rFonts w:ascii="宋体" w:hAnsi="宋体" w:cs="宋体" w:eastAsia="宋体" w:hint="default"/>
          <w:sz w:val="21"/>
          <w:szCs w:val="21"/>
        </w:rPr>
        <w:t>产相关的政府补助和与收益相关的政府补助。</w:t>
      </w:r>
    </w:p>
    <w:p>
      <w:pPr>
        <w:spacing w:line="240" w:lineRule="auto" w:before="2"/>
        <w:rPr>
          <w:rFonts w:ascii="宋体" w:hAnsi="宋体" w:cs="宋体" w:eastAsia="宋体" w:hint="default"/>
          <w:sz w:val="24"/>
          <w:szCs w:val="24"/>
        </w:rPr>
      </w:pPr>
    </w:p>
    <w:p>
      <w:pPr>
        <w:tabs>
          <w:tab w:pos="1434" w:val="left" w:leader="none"/>
        </w:tabs>
        <w:spacing w:before="0"/>
        <w:ind w:left="895" w:right="9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会计处理</w:t>
      </w:r>
      <w:r>
        <w:rPr>
          <w:rFonts w:ascii="宋体" w:hAnsi="宋体" w:cs="宋体" w:eastAsia="宋体" w:hint="default"/>
          <w:sz w:val="21"/>
          <w:szCs w:val="21"/>
        </w:rPr>
      </w:r>
    </w:p>
    <w:p>
      <w:pPr>
        <w:spacing w:line="350" w:lineRule="auto" w:before="109"/>
        <w:ind w:left="1360" w:right="99" w:firstLine="0"/>
        <w:jc w:val="left"/>
        <w:rPr>
          <w:rFonts w:ascii="宋体" w:hAnsi="宋体" w:cs="宋体" w:eastAsia="宋体" w:hint="default"/>
          <w:sz w:val="21"/>
          <w:szCs w:val="21"/>
        </w:rPr>
      </w:pPr>
      <w:r>
        <w:rPr>
          <w:rFonts w:ascii="宋体" w:hAnsi="宋体" w:cs="宋体" w:eastAsia="宋体" w:hint="default"/>
          <w:spacing w:val="2"/>
          <w:sz w:val="21"/>
          <w:szCs w:val="21"/>
        </w:rPr>
        <w:t>与购建固定资产、无形资产等长期资产相关的政府补助，确认为递延收益，按</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照所建造或购买的资产使用年限分期计入营业外收入；</w:t>
      </w:r>
      <w:r>
        <w:rPr>
          <w:rFonts w:ascii="宋体" w:hAnsi="宋体" w:cs="宋体" w:eastAsia="宋体" w:hint="default"/>
          <w:sz w:val="21"/>
          <w:szCs w:val="21"/>
        </w:rPr>
        <w:t> </w:t>
      </w:r>
      <w:r>
        <w:rPr>
          <w:rFonts w:ascii="宋体" w:hAnsi="宋体" w:cs="宋体" w:eastAsia="宋体" w:hint="default"/>
          <w:spacing w:val="2"/>
          <w:sz w:val="21"/>
          <w:szCs w:val="21"/>
        </w:rPr>
        <w:t>与收益相关的政府补助，用于补偿企业以后期间的相关费用或损失的，取得时</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确认为递延收益，在确认相关费用的期间计入当期营业外收入；用于补偿企业</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已发生的相关费用或损失的，取得时直接计入当期营业外收入。</w:t>
      </w:r>
    </w:p>
    <w:p>
      <w:pPr>
        <w:spacing w:line="240" w:lineRule="auto" w:before="4"/>
        <w:rPr>
          <w:rFonts w:ascii="宋体" w:hAnsi="宋体" w:cs="宋体" w:eastAsia="宋体" w:hint="default"/>
          <w:sz w:val="23"/>
          <w:szCs w:val="23"/>
        </w:rPr>
      </w:pPr>
    </w:p>
    <w:p>
      <w:pPr>
        <w:tabs>
          <w:tab w:pos="1539" w:val="left" w:leader="none"/>
        </w:tabs>
        <w:spacing w:line="348" w:lineRule="auto" w:before="0"/>
        <w:ind w:left="895" w:right="111"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二十三</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递延所得税资产和递延所得税负债</w:t>
      </w:r>
      <w:r>
        <w:rPr>
          <w:rFonts w:ascii="宋体" w:hAnsi="宋体" w:cs="宋体" w:eastAsia="宋体" w:hint="default"/>
          <w:b/>
          <w:bCs/>
          <w:w w:val="99"/>
          <w:sz w:val="21"/>
          <w:szCs w:val="21"/>
        </w:rPr>
        <w:t> </w:t>
      </w:r>
      <w:r>
        <w:rPr>
          <w:rFonts w:ascii="宋体" w:hAnsi="宋体" w:cs="宋体" w:eastAsia="宋体" w:hint="default"/>
          <w:spacing w:val="-3"/>
          <w:sz w:val="21"/>
          <w:szCs w:val="21"/>
        </w:rPr>
        <w:t>对于可抵扣暂时性差异确认递延所得税资产，以未来期间很可能取得的用来抵扣可抵</w:t>
      </w:r>
      <w:r>
        <w:rPr>
          <w:rFonts w:ascii="宋体" w:hAnsi="宋体" w:cs="宋体" w:eastAsia="宋体" w:hint="default"/>
          <w:sz w:val="21"/>
          <w:szCs w:val="21"/>
        </w:rPr>
        <w:t> 扣暂时性差异的应纳税所得额为限。 对于应纳税暂时性差异，除特殊情况外，确认递延所得税负债。 </w:t>
      </w:r>
      <w:r>
        <w:rPr>
          <w:rFonts w:ascii="宋体" w:hAnsi="宋体" w:cs="宋体" w:eastAsia="宋体" w:hint="default"/>
          <w:spacing w:val="-3"/>
          <w:sz w:val="21"/>
          <w:szCs w:val="21"/>
        </w:rPr>
        <w:t>不确认递延所得税资产或递延所得税负债的特殊情况包括：商誉的初始确认；除企业</w:t>
      </w:r>
      <w:r>
        <w:rPr>
          <w:rFonts w:ascii="宋体" w:hAnsi="宋体" w:cs="宋体" w:eastAsia="宋体" w:hint="default"/>
          <w:sz w:val="21"/>
          <w:szCs w:val="21"/>
        </w:rPr>
        <w:t> </w:t>
      </w:r>
      <w:r>
        <w:rPr>
          <w:rFonts w:ascii="宋体" w:hAnsi="宋体" w:cs="宋体" w:eastAsia="宋体" w:hint="default"/>
          <w:spacing w:val="-3"/>
          <w:sz w:val="21"/>
          <w:szCs w:val="21"/>
        </w:rPr>
        <w:t>合并以外的发生时既不影响会计利润也不影响应纳税所得额（或可抵扣亏损）的其他</w:t>
      </w:r>
      <w:r>
        <w:rPr>
          <w:rFonts w:ascii="宋体" w:hAnsi="宋体" w:cs="宋体" w:eastAsia="宋体" w:hint="default"/>
          <w:sz w:val="21"/>
          <w:szCs w:val="21"/>
        </w:rPr>
        <w:t> 交易或事项。 </w:t>
      </w:r>
      <w:r>
        <w:rPr>
          <w:rFonts w:ascii="宋体" w:hAnsi="宋体" w:cs="宋体" w:eastAsia="宋体" w:hint="default"/>
          <w:spacing w:val="-5"/>
          <w:sz w:val="21"/>
          <w:szCs w:val="21"/>
        </w:rPr>
        <w:t>当拥有以净额结算的法定权利，且意图以净额结算或取得资产、清偿负债同时进行时，</w:t>
      </w:r>
      <w:r>
        <w:rPr>
          <w:rFonts w:ascii="宋体" w:hAnsi="宋体" w:cs="宋体" w:eastAsia="宋体" w:hint="default"/>
          <w:sz w:val="21"/>
          <w:szCs w:val="21"/>
        </w:rPr>
        <w:t> 本公司当期所得税资产及当期所得税负债以抵销后的净额列报。 </w:t>
      </w:r>
      <w:r>
        <w:rPr>
          <w:rFonts w:ascii="宋体" w:hAnsi="宋体" w:cs="宋体" w:eastAsia="宋体" w:hint="default"/>
          <w:spacing w:val="-3"/>
          <w:sz w:val="21"/>
          <w:szCs w:val="21"/>
        </w:rPr>
        <w:t>当拥有以净额结算当期所得税资产及当期所得税负债的法定权利，且递延所得税资产</w:t>
      </w:r>
      <w:r>
        <w:rPr>
          <w:rFonts w:ascii="宋体" w:hAnsi="宋体" w:cs="宋体" w:eastAsia="宋体" w:hint="default"/>
          <w:sz w:val="21"/>
          <w:szCs w:val="21"/>
        </w:rPr>
        <w:t> </w:t>
      </w:r>
      <w:r>
        <w:rPr>
          <w:rFonts w:ascii="宋体" w:hAnsi="宋体" w:cs="宋体" w:eastAsia="宋体" w:hint="default"/>
          <w:spacing w:val="3"/>
          <w:sz w:val="21"/>
          <w:szCs w:val="21"/>
        </w:rPr>
        <w:t>及递延所得税负债是与同一税收征管部门对同一纳税主体征收的所得税相关或者是</w:t>
      </w:r>
      <w:r>
        <w:rPr>
          <w:rFonts w:ascii="宋体" w:hAnsi="宋体" w:cs="宋体" w:eastAsia="宋体" w:hint="default"/>
          <w:sz w:val="21"/>
          <w:szCs w:val="21"/>
        </w:rPr>
      </w:r>
    </w:p>
    <w:p>
      <w:pPr>
        <w:spacing w:after="0" w:line="348" w:lineRule="auto"/>
        <w:jc w:val="left"/>
        <w:rPr>
          <w:rFonts w:ascii="宋体" w:hAnsi="宋体" w:cs="宋体" w:eastAsia="宋体" w:hint="default"/>
          <w:sz w:val="21"/>
          <w:szCs w:val="21"/>
        </w:rPr>
        <w:sectPr>
          <w:pgSz w:w="11910" w:h="16840"/>
          <w:pgMar w:header="686" w:footer="1270" w:top="1360" w:bottom="1460" w:left="1520" w:right="1580"/>
        </w:sectPr>
      </w:pPr>
    </w:p>
    <w:p>
      <w:pPr>
        <w:spacing w:line="240" w:lineRule="auto" w:before="4"/>
        <w:rPr>
          <w:rFonts w:ascii="宋体" w:hAnsi="宋体" w:cs="宋体" w:eastAsia="宋体" w:hint="default"/>
          <w:sz w:val="26"/>
          <w:szCs w:val="26"/>
        </w:rPr>
      </w:pPr>
    </w:p>
    <w:p>
      <w:pPr>
        <w:spacing w:line="350" w:lineRule="auto" w:before="35"/>
        <w:ind w:left="895" w:right="136" w:firstLine="0"/>
        <w:jc w:val="both"/>
        <w:rPr>
          <w:rFonts w:ascii="宋体" w:hAnsi="宋体" w:cs="宋体" w:eastAsia="宋体" w:hint="default"/>
          <w:sz w:val="21"/>
          <w:szCs w:val="21"/>
        </w:rPr>
      </w:pPr>
      <w:r>
        <w:rPr>
          <w:rFonts w:ascii="宋体" w:hAnsi="宋体" w:cs="宋体" w:eastAsia="宋体" w:hint="default"/>
          <w:spacing w:val="-3"/>
          <w:sz w:val="21"/>
          <w:szCs w:val="21"/>
        </w:rPr>
        <w:t>对不同的纳税主体相关，但在未来每一具有重要性的递延所得税资产及负债转回的期</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3"/>
          <w:sz w:val="21"/>
          <w:szCs w:val="21"/>
        </w:rPr>
        <w:t>间内，涉及的纳税主体意图以净额结算当期所得税资产和负债或是同时取得资产、清</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偿负债时，本公司递延所得税资产及递延所得税负债以抵销后的净额列报。</w:t>
      </w:r>
    </w:p>
    <w:p>
      <w:pPr>
        <w:tabs>
          <w:tab w:pos="1539" w:val="left" w:leader="none"/>
        </w:tabs>
        <w:spacing w:before="28"/>
        <w:ind w:left="265" w:right="2206"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二十四</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经营租赁、融资租赁</w:t>
      </w:r>
      <w:r>
        <w:rPr>
          <w:rFonts w:ascii="宋体" w:hAnsi="宋体" w:cs="宋体" w:eastAsia="宋体" w:hint="default"/>
          <w:sz w:val="21"/>
          <w:szCs w:val="21"/>
        </w:rPr>
      </w:r>
    </w:p>
    <w:p>
      <w:pPr>
        <w:spacing w:before="109"/>
        <w:ind w:left="895"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 </w:t>
      </w:r>
      <w:r>
        <w:rPr>
          <w:rFonts w:ascii="宋体" w:hAnsi="宋体" w:cs="宋体" w:eastAsia="宋体" w:hint="default"/>
          <w:b/>
          <w:bCs/>
          <w:spacing w:val="9"/>
          <w:sz w:val="21"/>
          <w:szCs w:val="21"/>
        </w:rPr>
        <w:t> </w:t>
      </w:r>
      <w:r>
        <w:rPr>
          <w:rFonts w:ascii="宋体" w:hAnsi="宋体" w:cs="宋体" w:eastAsia="宋体" w:hint="default"/>
          <w:b/>
          <w:bCs/>
          <w:sz w:val="21"/>
          <w:szCs w:val="21"/>
        </w:rPr>
        <w:t>经营租赁会计处理</w:t>
      </w:r>
      <w:r>
        <w:rPr>
          <w:rFonts w:ascii="宋体" w:hAnsi="宋体" w:cs="宋体" w:eastAsia="宋体" w:hint="default"/>
          <w:sz w:val="21"/>
          <w:szCs w:val="21"/>
        </w:rPr>
      </w:r>
    </w:p>
    <w:p>
      <w:pPr>
        <w:spacing w:line="345" w:lineRule="auto" w:before="110"/>
        <w:ind w:left="1359"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）公司租入资产所支付的租赁费，在不扣除免租期的整个租赁期内，按直线</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2"/>
          <w:sz w:val="21"/>
          <w:szCs w:val="21"/>
        </w:rPr>
        <w:t>法进行分摊，计入当期费用。公司支付的与租赁交易相关的初始直接费用，计</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入当期费用。</w:t>
      </w:r>
      <w:r>
        <w:rPr>
          <w:rFonts w:ascii="宋体" w:hAnsi="宋体" w:cs="宋体" w:eastAsia="宋体" w:hint="default"/>
          <w:sz w:val="21"/>
          <w:szCs w:val="21"/>
        </w:rPr>
        <w:t> </w:t>
      </w:r>
      <w:r>
        <w:rPr>
          <w:rFonts w:ascii="宋体" w:hAnsi="宋体" w:cs="宋体" w:eastAsia="宋体" w:hint="default"/>
          <w:spacing w:val="2"/>
          <w:sz w:val="21"/>
          <w:szCs w:val="21"/>
        </w:rPr>
        <w:t>资产出租方承担了应由公司承担的与租赁相关的费用时，公司将该部分费用从</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租金总额中扣除，按扣除后的租金费用在租赁期内分摊，计入当期费用。</w:t>
      </w:r>
    </w:p>
    <w:p>
      <w:pPr>
        <w:spacing w:line="336" w:lineRule="auto" w:before="22"/>
        <w:ind w:left="1359"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）公司出租资产所收取的租赁费，在不扣除免租期的整个租赁期内，按直线</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2"/>
          <w:sz w:val="21"/>
          <w:szCs w:val="21"/>
        </w:rPr>
        <w:t>法进行分摊，确认为租赁收入。公司支付的与租赁交易相关的初始直接费用，</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计入当期费用；如金额较大的，则予以资本化，在整个租赁期间内按照与租赁</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收入确认相同的基础分期计入当期收益。</w:t>
      </w:r>
      <w:r>
        <w:rPr>
          <w:rFonts w:ascii="宋体" w:hAnsi="宋体" w:cs="宋体" w:eastAsia="宋体" w:hint="default"/>
          <w:sz w:val="21"/>
          <w:szCs w:val="21"/>
        </w:rPr>
        <w:t> </w:t>
      </w:r>
      <w:r>
        <w:rPr>
          <w:rFonts w:ascii="宋体" w:hAnsi="宋体" w:cs="宋体" w:eastAsia="宋体" w:hint="default"/>
          <w:spacing w:val="2"/>
          <w:sz w:val="21"/>
          <w:szCs w:val="21"/>
        </w:rPr>
        <w:t>公司承担了应由承租方承担的与租赁相关的费用时，公司将该部分费用从租金</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收入总额中扣除，按扣除后的租金费用在租赁期内分配。</w:t>
      </w:r>
    </w:p>
    <w:p>
      <w:pPr>
        <w:spacing w:line="240" w:lineRule="auto" w:before="0"/>
        <w:rPr>
          <w:rFonts w:ascii="宋体" w:hAnsi="宋体" w:cs="宋体" w:eastAsia="宋体" w:hint="default"/>
          <w:sz w:val="20"/>
          <w:szCs w:val="20"/>
        </w:rPr>
      </w:pPr>
    </w:p>
    <w:p>
      <w:pPr>
        <w:spacing w:before="159"/>
        <w:ind w:left="895"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 </w:t>
      </w:r>
      <w:r>
        <w:rPr>
          <w:rFonts w:ascii="宋体" w:hAnsi="宋体" w:cs="宋体" w:eastAsia="宋体" w:hint="default"/>
          <w:b/>
          <w:bCs/>
          <w:spacing w:val="9"/>
          <w:sz w:val="21"/>
          <w:szCs w:val="21"/>
        </w:rPr>
        <w:t> </w:t>
      </w:r>
      <w:r>
        <w:rPr>
          <w:rFonts w:ascii="宋体" w:hAnsi="宋体" w:cs="宋体" w:eastAsia="宋体" w:hint="default"/>
          <w:b/>
          <w:bCs/>
          <w:sz w:val="21"/>
          <w:szCs w:val="21"/>
        </w:rPr>
        <w:t>融资租赁会计处理</w:t>
      </w:r>
      <w:r>
        <w:rPr>
          <w:rFonts w:ascii="宋体" w:hAnsi="宋体" w:cs="宋体" w:eastAsia="宋体" w:hint="default"/>
          <w:sz w:val="21"/>
          <w:szCs w:val="21"/>
        </w:rPr>
      </w:r>
    </w:p>
    <w:p>
      <w:pPr>
        <w:spacing w:line="336" w:lineRule="auto" w:before="99"/>
        <w:ind w:left="1360" w:right="133" w:firstLine="0"/>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）融资租入资产：公司在承租开始日，将租赁资产公允价值与最低租赁付款</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2"/>
          <w:sz w:val="21"/>
          <w:szCs w:val="21"/>
        </w:rPr>
        <w:t>额现值两者中较低者作为租入资产的入账价值，将最低租赁付款额作为长期应</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付款的入账价值，其差额作为未确认的融资费用。公司采用实际利率法对未确</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认的融资费用，在资产租赁期间内摊销，计入财务费用。公司发生的初始直接</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费用，计入租入资产价值。</w:t>
      </w:r>
    </w:p>
    <w:p>
      <w:pPr>
        <w:spacing w:line="333" w:lineRule="auto" w:before="31"/>
        <w:ind w:left="1360" w:right="133" w:firstLine="0"/>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）融资租出资产：公司在租赁开始日，将应收融资租赁款，未担保余值之和</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2"/>
          <w:sz w:val="21"/>
          <w:szCs w:val="21"/>
        </w:rPr>
        <w:t>与其现值的差额确认为未实现融资收益，在将来收到租金的各期间内确认为租</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赁收入。公司发生的与出租交易相关的初始直接费用，计入应收融资租赁款的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初始计量中，并减少租赁期内确认的收益金额。</w:t>
      </w:r>
    </w:p>
    <w:p>
      <w:pPr>
        <w:spacing w:line="240" w:lineRule="auto" w:before="0"/>
        <w:rPr>
          <w:rFonts w:ascii="宋体" w:hAnsi="宋体" w:cs="宋体" w:eastAsia="宋体" w:hint="default"/>
          <w:sz w:val="20"/>
          <w:szCs w:val="20"/>
        </w:rPr>
      </w:pPr>
    </w:p>
    <w:p>
      <w:pPr>
        <w:tabs>
          <w:tab w:pos="1539" w:val="left" w:leader="none"/>
        </w:tabs>
        <w:spacing w:line="336" w:lineRule="auto" w:before="171"/>
        <w:ind w:left="895" w:right="137"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二十五</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关联方</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一方控制、共同控制另一方或对另一方施加重大影响，以及两方或两方以上同</w:t>
      </w:r>
      <w:r>
        <w:rPr>
          <w:rFonts w:ascii="宋体" w:hAnsi="宋体" w:cs="宋体" w:eastAsia="宋体" w:hint="default"/>
          <w:spacing w:val="-3"/>
          <w:position w:val="-1"/>
          <w:sz w:val="21"/>
          <w:szCs w:val="21"/>
        </w:rPr>
        <w:t>受一方</w:t>
      </w:r>
      <w:r>
        <w:rPr>
          <w:rFonts w:ascii="宋体" w:hAnsi="宋体" w:cs="宋体" w:eastAsia="宋体" w:hint="default"/>
          <w:position w:val="-1"/>
          <w:sz w:val="21"/>
          <w:szCs w:val="21"/>
        </w:rPr>
        <w:t> </w:t>
      </w:r>
      <w:r>
        <w:rPr>
          <w:rFonts w:ascii="宋体" w:hAnsi="宋体" w:cs="宋体" w:eastAsia="宋体" w:hint="default"/>
          <w:spacing w:val="-3"/>
          <w:sz w:val="21"/>
          <w:szCs w:val="21"/>
        </w:rPr>
        <w:t>控制、共同控制的，构成关联方。关联方可为个人或企业。仅仅同受国家控制而不存</w:t>
      </w:r>
      <w:r>
        <w:rPr>
          <w:rFonts w:ascii="宋体" w:hAnsi="宋体" w:cs="宋体" w:eastAsia="宋体" w:hint="default"/>
          <w:sz w:val="21"/>
          <w:szCs w:val="21"/>
        </w:rPr>
        <w:t> 在其他关联方关系的企业，不构成本公司的关联方。 </w:t>
      </w:r>
      <w:r>
        <w:rPr>
          <w:rFonts w:ascii="宋体" w:hAnsi="宋体" w:cs="宋体" w:eastAsia="宋体" w:hint="default"/>
          <w:position w:val="1"/>
          <w:sz w:val="21"/>
          <w:szCs w:val="21"/>
        </w:rPr>
        <w:t>本</w:t>
      </w:r>
      <w:r>
        <w:rPr>
          <w:rFonts w:ascii="宋体" w:hAnsi="宋体" w:cs="宋体" w:eastAsia="宋体" w:hint="default"/>
          <w:sz w:val="21"/>
          <w:szCs w:val="21"/>
        </w:rPr>
        <w:t>公司的关联方包括但不限于：</w:t>
      </w:r>
    </w:p>
    <w:p>
      <w:pPr>
        <w:spacing w:before="37"/>
        <w:ind w:left="895"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）本公司的母公司；</w:t>
      </w:r>
    </w:p>
    <w:p>
      <w:pPr>
        <w:spacing w:after="0"/>
        <w:jc w:val="both"/>
        <w:rPr>
          <w:rFonts w:ascii="宋体" w:hAnsi="宋体" w:cs="宋体" w:eastAsia="宋体" w:hint="default"/>
          <w:sz w:val="21"/>
          <w:szCs w:val="21"/>
        </w:rPr>
        <w:sectPr>
          <w:footerReference w:type="default" r:id="rId67"/>
          <w:pgSz w:w="11910" w:h="16840"/>
          <w:pgMar w:footer="1270" w:header="686" w:top="1360" w:bottom="1460" w:left="1520" w:right="1660"/>
          <w:pgNumType w:start="120"/>
        </w:sectPr>
      </w:pPr>
    </w:p>
    <w:p>
      <w:pPr>
        <w:spacing w:line="240" w:lineRule="auto" w:before="4"/>
        <w:rPr>
          <w:rFonts w:ascii="宋体" w:hAnsi="宋体" w:cs="宋体" w:eastAsia="宋体" w:hint="default"/>
          <w:sz w:val="26"/>
          <w:szCs w:val="26"/>
        </w:rPr>
      </w:pPr>
    </w:p>
    <w:p>
      <w:pPr>
        <w:spacing w:before="35"/>
        <w:ind w:left="895"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）本公司的子公司；</w:t>
      </w:r>
    </w:p>
    <w:p>
      <w:pPr>
        <w:spacing w:before="109"/>
        <w:ind w:left="895"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）与本公司受同一母公司控制的其他企业；</w:t>
      </w:r>
    </w:p>
    <w:p>
      <w:pPr>
        <w:spacing w:before="110"/>
        <w:ind w:left="895"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）对本公司实施共同控制的投资方；</w:t>
      </w:r>
    </w:p>
    <w:p>
      <w:pPr>
        <w:spacing w:before="109"/>
        <w:ind w:left="895"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）对本公司施加重大影响的投资方；</w:t>
      </w:r>
    </w:p>
    <w:p>
      <w:pPr>
        <w:spacing w:before="109"/>
        <w:ind w:left="895"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）本公司的合营企业，包括合营企业的子公司；</w:t>
      </w:r>
    </w:p>
    <w:p>
      <w:pPr>
        <w:spacing w:before="110"/>
        <w:ind w:left="895"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）本公司的联营企业，包括联营企业的子公司；</w:t>
      </w:r>
    </w:p>
    <w:p>
      <w:pPr>
        <w:spacing w:before="109"/>
        <w:ind w:left="895"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8</w:t>
      </w:r>
      <w:r>
        <w:rPr>
          <w:rFonts w:ascii="宋体" w:hAnsi="宋体" w:cs="宋体" w:eastAsia="宋体" w:hint="default"/>
          <w:sz w:val="21"/>
          <w:szCs w:val="21"/>
        </w:rPr>
        <w:t>）本公司的主要投资者个人及与其关系密切的家庭成员</w:t>
      </w:r>
      <w:r>
        <w:rPr>
          <w:rFonts w:ascii="宋体" w:hAnsi="宋体" w:cs="宋体" w:eastAsia="宋体" w:hint="default"/>
          <w:spacing w:val="1"/>
          <w:sz w:val="21"/>
          <w:szCs w:val="21"/>
        </w:rPr>
        <w:t> </w:t>
      </w:r>
      <w:r>
        <w:rPr>
          <w:rFonts w:ascii="宋体" w:hAnsi="宋体" w:cs="宋体" w:eastAsia="宋体" w:hint="default"/>
          <w:sz w:val="21"/>
          <w:szCs w:val="21"/>
        </w:rPr>
        <w:t>；</w:t>
      </w:r>
    </w:p>
    <w:p>
      <w:pPr>
        <w:spacing w:before="109"/>
        <w:ind w:left="895"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9</w:t>
      </w:r>
      <w:r>
        <w:rPr>
          <w:rFonts w:ascii="宋体" w:hAnsi="宋体" w:cs="宋体" w:eastAsia="宋体" w:hint="default"/>
          <w:sz w:val="21"/>
          <w:szCs w:val="21"/>
        </w:rPr>
        <w:t>）本公司或其母公司的关键管理人员及与其关系密切的家庭成员；</w:t>
      </w:r>
    </w:p>
    <w:p>
      <w:pPr>
        <w:spacing w:line="328" w:lineRule="auto" w:before="110"/>
        <w:ind w:left="895" w:right="108" w:hanging="1"/>
        <w:jc w:val="left"/>
        <w:rPr>
          <w:rFonts w:ascii="宋体" w:hAnsi="宋体" w:cs="宋体" w:eastAsia="宋体" w:hint="default"/>
          <w:sz w:val="21"/>
          <w:szCs w:val="21"/>
        </w:rPr>
      </w:pPr>
      <w:r>
        <w:rPr>
          <w:rFonts w:ascii="宋体" w:hAnsi="宋体" w:cs="宋体" w:eastAsia="宋体" w:hint="default"/>
          <w:spacing w:val="6"/>
          <w:sz w:val="21"/>
          <w:szCs w:val="21"/>
        </w:rPr>
        <w:t>（</w:t>
      </w:r>
      <w:r>
        <w:rPr>
          <w:rFonts w:ascii="Times New Roman" w:hAnsi="Times New Roman" w:cs="Times New Roman" w:eastAsia="Times New Roman" w:hint="default"/>
          <w:spacing w:val="6"/>
          <w:sz w:val="21"/>
          <w:szCs w:val="21"/>
        </w:rPr>
        <w:t>10</w:t>
      </w:r>
      <w:r>
        <w:rPr>
          <w:rFonts w:ascii="宋体" w:hAnsi="宋体" w:cs="宋体" w:eastAsia="宋体" w:hint="default"/>
          <w:spacing w:val="6"/>
          <w:sz w:val="21"/>
          <w:szCs w:val="21"/>
        </w:rPr>
        <w:t>）本公司的主要投资者个人、关键管理人员或与其关系密切的家庭成员控制、</w:t>
      </w:r>
      <w:r>
        <w:rPr>
          <w:rFonts w:ascii="宋体" w:hAnsi="宋体" w:cs="宋体" w:eastAsia="宋体" w:hint="default"/>
          <w:sz w:val="21"/>
          <w:szCs w:val="21"/>
        </w:rPr>
        <w:t> 共同控制的其他企业。</w:t>
      </w:r>
    </w:p>
    <w:p>
      <w:pPr>
        <w:spacing w:line="240" w:lineRule="auto" w:before="6"/>
        <w:rPr>
          <w:rFonts w:ascii="宋体" w:hAnsi="宋体" w:cs="宋体" w:eastAsia="宋体" w:hint="default"/>
          <w:sz w:val="27"/>
          <w:szCs w:val="27"/>
        </w:rPr>
      </w:pPr>
    </w:p>
    <w:p>
      <w:pPr>
        <w:tabs>
          <w:tab w:pos="1434" w:val="left" w:leader="none"/>
        </w:tabs>
        <w:spacing w:line="331" w:lineRule="auto" w:before="0"/>
        <w:ind w:left="895" w:right="4126"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二十六</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主要会计政策、会计估计的变更</w:t>
      </w:r>
      <w:r>
        <w:rPr>
          <w:rFonts w:ascii="宋体" w:hAnsi="宋体" w:cs="宋体" w:eastAsia="宋体" w:hint="default"/>
          <w:b/>
          <w:bCs/>
          <w:spacing w:val="1"/>
          <w:w w:val="99"/>
          <w:sz w:val="21"/>
          <w:szCs w:val="21"/>
        </w:rPr>
        <w:t> </w: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会计政策变更</w:t>
      </w:r>
      <w:r>
        <w:rPr>
          <w:rFonts w:ascii="宋体" w:hAnsi="宋体" w:cs="宋体" w:eastAsia="宋体" w:hint="default"/>
          <w:b/>
          <w:bCs/>
          <w:w w:val="99"/>
          <w:sz w:val="21"/>
          <w:szCs w:val="21"/>
        </w:rPr>
        <w:t> </w:t>
      </w:r>
      <w:r>
        <w:rPr>
          <w:rFonts w:ascii="宋体" w:hAnsi="宋体" w:cs="宋体" w:eastAsia="宋体" w:hint="default"/>
          <w:sz w:val="21"/>
          <w:szCs w:val="21"/>
        </w:rPr>
        <w:t>本报告期公司主要会计政策未发生变更。</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tabs>
          <w:tab w:pos="1434" w:val="left" w:leader="none"/>
        </w:tabs>
        <w:spacing w:line="328" w:lineRule="auto" w:before="0"/>
        <w:ind w:left="895" w:right="4126" w:hanging="1"/>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会计估计变更</w:t>
      </w:r>
      <w:r>
        <w:rPr>
          <w:rFonts w:ascii="宋体" w:hAnsi="宋体" w:cs="宋体" w:eastAsia="宋体" w:hint="default"/>
          <w:b/>
          <w:bCs/>
          <w:w w:val="99"/>
          <w:sz w:val="21"/>
          <w:szCs w:val="21"/>
        </w:rPr>
        <w:t> </w:t>
      </w:r>
      <w:r>
        <w:rPr>
          <w:rFonts w:ascii="宋体" w:hAnsi="宋体" w:cs="宋体" w:eastAsia="宋体" w:hint="default"/>
          <w:sz w:val="21"/>
          <w:szCs w:val="21"/>
        </w:rPr>
        <w:t>本报告期公司主要会计估计未发生变更。</w:t>
      </w:r>
    </w:p>
    <w:p>
      <w:pPr>
        <w:spacing w:line="240" w:lineRule="auto" w:before="6"/>
        <w:rPr>
          <w:rFonts w:ascii="宋体" w:hAnsi="宋体" w:cs="宋体" w:eastAsia="宋体" w:hint="default"/>
          <w:sz w:val="27"/>
          <w:szCs w:val="27"/>
        </w:rPr>
      </w:pPr>
    </w:p>
    <w:p>
      <w:pPr>
        <w:tabs>
          <w:tab w:pos="1539" w:val="left" w:leader="none"/>
        </w:tabs>
        <w:spacing w:before="0"/>
        <w:ind w:left="265" w:right="9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二十七</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前期会计差错更正</w:t>
      </w:r>
      <w:r>
        <w:rPr>
          <w:rFonts w:ascii="宋体" w:hAnsi="宋体" w:cs="宋体" w:eastAsia="宋体" w:hint="default"/>
          <w:sz w:val="21"/>
          <w:szCs w:val="21"/>
        </w:rPr>
      </w:r>
    </w:p>
    <w:p>
      <w:pPr>
        <w:tabs>
          <w:tab w:pos="1434" w:val="left" w:leader="none"/>
        </w:tabs>
        <w:spacing w:line="331" w:lineRule="auto" w:before="109"/>
        <w:ind w:left="895" w:right="2446"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追溯重述法</w:t>
      </w:r>
      <w:r>
        <w:rPr>
          <w:rFonts w:ascii="宋体" w:hAnsi="宋体" w:cs="宋体" w:eastAsia="宋体" w:hint="default"/>
          <w:b/>
          <w:bCs/>
          <w:w w:val="99"/>
          <w:sz w:val="21"/>
          <w:szCs w:val="21"/>
        </w:rPr>
        <w:t> </w:t>
      </w:r>
      <w:r>
        <w:rPr>
          <w:rFonts w:ascii="宋体" w:hAnsi="宋体" w:cs="宋体" w:eastAsia="宋体" w:hint="default"/>
          <w:sz w:val="21"/>
          <w:szCs w:val="21"/>
        </w:rPr>
        <w:t>本报告期未发生采用追溯重述法的前期会计差错更正事项。</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1434" w:val="left" w:leader="none"/>
        </w:tabs>
        <w:spacing w:line="331" w:lineRule="auto" w:before="0"/>
        <w:ind w:left="895" w:right="2446" w:firstLine="0"/>
        <w:jc w:val="left"/>
        <w:rPr>
          <w:rFonts w:ascii="宋体" w:hAnsi="宋体" w:cs="宋体" w:eastAsia="宋体" w:hint="default"/>
          <w:sz w:val="21"/>
          <w:szCs w:val="21"/>
        </w:rPr>
      </w:pPr>
      <w:r>
        <w:rPr/>
        <w:pict>
          <v:group style="position:absolute;margin-left:119.040001pt;margin-top:95.423355pt;width:390.5pt;height:152.2pt;mso-position-horizontal-relative:page;mso-position-vertical-relative:paragraph;z-index:-787792" coordorigin="2381,1908" coordsize="7810,3044">
            <v:shape style="position:absolute;left:4176;top:1908;width:4747;height:448" type="#_x0000_t75" stroked="false">
              <v:imagedata r:id="rId68" o:title=""/>
            </v:shape>
            <v:shape style="position:absolute;left:2381;top:2308;width:7810;height:2644" type="#_x0000_t75" stroked="false">
              <v:imagedata r:id="rId69" o:title=""/>
            </v:shape>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未来适用法</w:t>
      </w:r>
      <w:r>
        <w:rPr>
          <w:rFonts w:ascii="宋体" w:hAnsi="宋体" w:cs="宋体" w:eastAsia="宋体" w:hint="default"/>
          <w:b/>
          <w:bCs/>
          <w:w w:val="99"/>
          <w:sz w:val="21"/>
          <w:szCs w:val="21"/>
        </w:rPr>
        <w:t> </w:t>
      </w:r>
      <w:r>
        <w:rPr>
          <w:rFonts w:ascii="宋体" w:hAnsi="宋体" w:cs="宋体" w:eastAsia="宋体" w:hint="default"/>
          <w:sz w:val="21"/>
          <w:szCs w:val="21"/>
        </w:rPr>
        <w:t>本报告期未发生采用未来适用法的前期会计差错更正事项。</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1"/>
          <w:szCs w:val="11"/>
        </w:rPr>
      </w:pPr>
    </w:p>
    <w:tbl>
      <w:tblPr>
        <w:tblW w:w="0" w:type="auto"/>
        <w:jc w:val="left"/>
        <w:tblInd w:w="230" w:type="dxa"/>
        <w:tblLayout w:type="fixed"/>
        <w:tblCellMar>
          <w:top w:w="0" w:type="dxa"/>
          <w:left w:w="0" w:type="dxa"/>
          <w:bottom w:w="0" w:type="dxa"/>
          <w:right w:w="0" w:type="dxa"/>
        </w:tblCellMar>
        <w:tblLook w:val="01E0"/>
      </w:tblPr>
      <w:tblGrid>
        <w:gridCol w:w="659"/>
        <w:gridCol w:w="6658"/>
        <w:gridCol w:w="649"/>
        <w:gridCol w:w="447"/>
      </w:tblGrid>
      <w:tr>
        <w:trPr>
          <w:trHeight w:val="757"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sz w:val="21"/>
                <w:szCs w:val="21"/>
              </w:rPr>
            </w:r>
          </w:p>
          <w:p>
            <w:pPr>
              <w:pStyle w:val="TableParagraph"/>
              <w:spacing w:line="240" w:lineRule="auto" w:before="126"/>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6658"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4" w:right="0"/>
              <w:jc w:val="left"/>
              <w:rPr>
                <w:rFonts w:ascii="宋体" w:hAnsi="宋体" w:cs="宋体" w:eastAsia="宋体" w:hint="default"/>
                <w:sz w:val="21"/>
                <w:szCs w:val="21"/>
              </w:rPr>
            </w:pPr>
            <w:r>
              <w:rPr>
                <w:rFonts w:ascii="宋体" w:hAnsi="宋体" w:cs="宋体" w:eastAsia="宋体" w:hint="default"/>
                <w:b/>
                <w:bCs/>
                <w:sz w:val="21"/>
                <w:szCs w:val="21"/>
              </w:rPr>
              <w:t>税项</w:t>
            </w:r>
            <w:r>
              <w:rPr>
                <w:rFonts w:ascii="宋体" w:hAnsi="宋体" w:cs="宋体" w:eastAsia="宋体" w:hint="default"/>
                <w:sz w:val="21"/>
                <w:szCs w:val="21"/>
              </w:rPr>
            </w:r>
          </w:p>
          <w:p>
            <w:pPr>
              <w:pStyle w:val="TableParagraph"/>
              <w:spacing w:line="240" w:lineRule="auto" w:before="126"/>
              <w:ind w:left="104" w:right="0"/>
              <w:jc w:val="left"/>
              <w:rPr>
                <w:rFonts w:ascii="宋体" w:hAnsi="宋体" w:cs="宋体" w:eastAsia="宋体" w:hint="default"/>
                <w:sz w:val="21"/>
                <w:szCs w:val="21"/>
              </w:rPr>
            </w:pPr>
            <w:r>
              <w:rPr>
                <w:rFonts w:ascii="宋体" w:hAnsi="宋体" w:cs="宋体" w:eastAsia="宋体" w:hint="default"/>
                <w:b/>
                <w:bCs/>
                <w:sz w:val="21"/>
                <w:szCs w:val="21"/>
              </w:rPr>
              <w:t>公司主要税种和税率</w:t>
            </w:r>
            <w:r>
              <w:rPr>
                <w:rFonts w:ascii="宋体" w:hAnsi="宋体" w:cs="宋体" w:eastAsia="宋体" w:hint="default"/>
                <w:sz w:val="21"/>
                <w:szCs w:val="21"/>
              </w:rPr>
            </w:r>
          </w:p>
        </w:tc>
        <w:tc>
          <w:tcPr>
            <w:tcW w:w="649" w:type="dxa"/>
            <w:tcBorders>
              <w:top w:val="nil" w:sz="6" w:space="0" w:color="auto"/>
              <w:left w:val="nil" w:sz="6" w:space="0" w:color="auto"/>
              <w:bottom w:val="single" w:sz="12" w:space="0" w:color="000000"/>
              <w:right w:val="nil" w:sz="6" w:space="0" w:color="auto"/>
            </w:tcBorders>
          </w:tcPr>
          <w:p>
            <w:pPr/>
          </w:p>
        </w:tc>
        <w:tc>
          <w:tcPr>
            <w:tcW w:w="447" w:type="dxa"/>
            <w:vMerge w:val="restart"/>
            <w:tcBorders>
              <w:top w:val="nil" w:sz="6" w:space="0" w:color="auto"/>
              <w:left w:val="nil" w:sz="6" w:space="0" w:color="auto"/>
              <w:right w:val="nil" w:sz="6" w:space="0" w:color="auto"/>
            </w:tcBorders>
          </w:tcPr>
          <w:p>
            <w:pPr/>
          </w:p>
        </w:tc>
      </w:tr>
      <w:tr>
        <w:trPr>
          <w:trHeight w:val="409" w:hRule="exact"/>
        </w:trPr>
        <w:tc>
          <w:tcPr>
            <w:tcW w:w="659" w:type="dxa"/>
            <w:tcBorders>
              <w:top w:val="nil" w:sz="6" w:space="0" w:color="auto"/>
              <w:left w:val="nil" w:sz="6" w:space="0" w:color="auto"/>
              <w:bottom w:val="nil" w:sz="6" w:space="0" w:color="auto"/>
              <w:right w:val="nil" w:sz="6" w:space="0" w:color="auto"/>
            </w:tcBorders>
          </w:tcPr>
          <w:p>
            <w:pPr/>
          </w:p>
        </w:tc>
        <w:tc>
          <w:tcPr>
            <w:tcW w:w="6658" w:type="dxa"/>
            <w:tcBorders>
              <w:top w:val="single" w:sz="12" w:space="0" w:color="000000"/>
              <w:left w:val="nil" w:sz="6" w:space="0" w:color="auto"/>
              <w:bottom w:val="nil" w:sz="6" w:space="0" w:color="auto"/>
              <w:right w:val="nil" w:sz="6" w:space="0" w:color="auto"/>
            </w:tcBorders>
          </w:tcPr>
          <w:p>
            <w:pPr>
              <w:pStyle w:val="TableParagraph"/>
              <w:tabs>
                <w:tab w:pos="3781" w:val="left" w:leader="none"/>
              </w:tabs>
              <w:spacing w:line="240" w:lineRule="auto" w:before="49"/>
              <w:ind w:left="721" w:right="0"/>
              <w:jc w:val="left"/>
              <w:rPr>
                <w:rFonts w:ascii="宋体" w:hAnsi="宋体" w:cs="宋体" w:eastAsia="宋体" w:hint="default"/>
                <w:sz w:val="18"/>
                <w:szCs w:val="18"/>
              </w:rPr>
            </w:pPr>
            <w:r>
              <w:rPr>
                <w:rFonts w:ascii="宋体" w:hAnsi="宋体" w:cs="宋体" w:eastAsia="宋体" w:hint="default"/>
                <w:sz w:val="18"/>
                <w:szCs w:val="18"/>
              </w:rPr>
              <w:t>税种</w:t>
              <w:tab/>
              <w:t>计税依据</w:t>
            </w:r>
          </w:p>
        </w:tc>
        <w:tc>
          <w:tcPr>
            <w:tcW w:w="649" w:type="dxa"/>
            <w:tcBorders>
              <w:top w:val="single" w:sz="12" w:space="0" w:color="000000"/>
              <w:left w:val="nil" w:sz="6" w:space="0" w:color="auto"/>
              <w:bottom w:val="nil" w:sz="6" w:space="0" w:color="auto"/>
              <w:right w:val="nil" w:sz="6" w:space="0" w:color="auto"/>
            </w:tcBorders>
          </w:tcPr>
          <w:p>
            <w:pPr>
              <w:pStyle w:val="TableParagraph"/>
              <w:spacing w:line="240" w:lineRule="auto" w:before="49"/>
              <w:ind w:left="279" w:right="0"/>
              <w:jc w:val="left"/>
              <w:rPr>
                <w:rFonts w:ascii="宋体" w:hAnsi="宋体" w:cs="宋体" w:eastAsia="宋体" w:hint="default"/>
                <w:sz w:val="18"/>
                <w:szCs w:val="18"/>
              </w:rPr>
            </w:pPr>
            <w:r>
              <w:rPr>
                <w:rFonts w:ascii="宋体" w:hAnsi="宋体" w:cs="宋体" w:eastAsia="宋体" w:hint="default"/>
                <w:sz w:val="18"/>
                <w:szCs w:val="18"/>
              </w:rPr>
              <w:t>税率</w:t>
            </w:r>
          </w:p>
        </w:tc>
        <w:tc>
          <w:tcPr>
            <w:tcW w:w="447" w:type="dxa"/>
            <w:vMerge/>
            <w:tcBorders>
              <w:left w:val="nil" w:sz="6" w:space="0" w:color="auto"/>
              <w:bottom w:val="nil" w:sz="6" w:space="0" w:color="auto"/>
              <w:right w:val="nil" w:sz="6" w:space="0" w:color="auto"/>
            </w:tcBorders>
          </w:tcPr>
          <w:p>
            <w:pPr/>
          </w:p>
        </w:tc>
      </w:tr>
      <w:tr>
        <w:trPr>
          <w:trHeight w:val="399" w:hRule="exact"/>
        </w:trPr>
        <w:tc>
          <w:tcPr>
            <w:tcW w:w="659" w:type="dxa"/>
            <w:tcBorders>
              <w:top w:val="nil" w:sz="6" w:space="0" w:color="auto"/>
              <w:left w:val="nil" w:sz="6" w:space="0" w:color="auto"/>
              <w:bottom w:val="nil" w:sz="6" w:space="0" w:color="auto"/>
              <w:right w:val="nil" w:sz="6" w:space="0" w:color="auto"/>
            </w:tcBorders>
          </w:tcPr>
          <w:p>
            <w:pPr/>
          </w:p>
        </w:tc>
        <w:tc>
          <w:tcPr>
            <w:tcW w:w="6658" w:type="dxa"/>
            <w:tcBorders>
              <w:top w:val="nil" w:sz="6" w:space="0" w:color="auto"/>
              <w:left w:val="nil" w:sz="6" w:space="0" w:color="auto"/>
              <w:bottom w:val="nil" w:sz="6" w:space="0" w:color="auto"/>
              <w:right w:val="nil" w:sz="6" w:space="0" w:color="auto"/>
            </w:tcBorders>
          </w:tcPr>
          <w:p>
            <w:pPr>
              <w:pStyle w:val="TableParagraph"/>
              <w:tabs>
                <w:tab w:pos="1910" w:val="left" w:leader="none"/>
              </w:tabs>
              <w:spacing w:line="240" w:lineRule="auto" w:before="54"/>
              <w:ind w:left="110" w:right="0"/>
              <w:jc w:val="left"/>
              <w:rPr>
                <w:rFonts w:ascii="宋体" w:hAnsi="宋体" w:cs="宋体" w:eastAsia="宋体" w:hint="default"/>
                <w:sz w:val="18"/>
                <w:szCs w:val="18"/>
              </w:rPr>
            </w:pPr>
            <w:r>
              <w:rPr>
                <w:rFonts w:ascii="宋体" w:hAnsi="宋体" w:cs="宋体" w:eastAsia="宋体" w:hint="default"/>
                <w:sz w:val="18"/>
                <w:szCs w:val="18"/>
              </w:rPr>
              <w:t>增值税</w:t>
              <w:tab/>
            </w:r>
            <w:r>
              <w:rPr>
                <w:rFonts w:ascii="宋体" w:hAnsi="宋体" w:cs="宋体" w:eastAsia="宋体" w:hint="default"/>
                <w:spacing w:val="6"/>
                <w:sz w:val="18"/>
                <w:szCs w:val="18"/>
              </w:rPr>
              <w:t>按税法规定计算的销售货物和应税劳务收入为基础计算</w:t>
            </w:r>
            <w:r>
              <w:rPr>
                <w:rFonts w:ascii="宋体" w:hAnsi="宋体" w:cs="宋体" w:eastAsia="宋体" w:hint="default"/>
                <w:sz w:val="18"/>
                <w:szCs w:val="18"/>
              </w:rPr>
            </w:r>
          </w:p>
        </w:tc>
        <w:tc>
          <w:tcPr>
            <w:tcW w:w="649" w:type="dxa"/>
            <w:tcBorders>
              <w:top w:val="nil" w:sz="6" w:space="0" w:color="auto"/>
              <w:left w:val="nil" w:sz="6" w:space="0" w:color="auto"/>
              <w:bottom w:val="nil" w:sz="6" w:space="0" w:color="auto"/>
              <w:right w:val="nil" w:sz="6" w:space="0" w:color="auto"/>
            </w:tcBorders>
          </w:tcPr>
          <w:p>
            <w:pPr/>
          </w:p>
        </w:tc>
        <w:tc>
          <w:tcPr>
            <w:tcW w:w="447"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97"/>
              <w:jc w:val="center"/>
              <w:rPr>
                <w:rFonts w:ascii="Times New Roman" w:hAnsi="Times New Roman" w:cs="Times New Roman" w:eastAsia="Times New Roman" w:hint="default"/>
                <w:sz w:val="18"/>
                <w:szCs w:val="18"/>
              </w:rPr>
            </w:pPr>
            <w:r>
              <w:rPr>
                <w:rFonts w:ascii="Times New Roman"/>
                <w:sz w:val="18"/>
              </w:rPr>
              <w:t>17%</w:t>
            </w:r>
          </w:p>
        </w:tc>
      </w:tr>
      <w:tr>
        <w:trPr>
          <w:trHeight w:val="386" w:hRule="exact"/>
        </w:trPr>
        <w:tc>
          <w:tcPr>
            <w:tcW w:w="659" w:type="dxa"/>
            <w:tcBorders>
              <w:top w:val="nil" w:sz="6" w:space="0" w:color="auto"/>
              <w:left w:val="nil" w:sz="6" w:space="0" w:color="auto"/>
              <w:bottom w:val="nil" w:sz="6" w:space="0" w:color="auto"/>
              <w:right w:val="nil" w:sz="6" w:space="0" w:color="auto"/>
            </w:tcBorders>
          </w:tcPr>
          <w:p>
            <w:pPr/>
          </w:p>
        </w:tc>
        <w:tc>
          <w:tcPr>
            <w:tcW w:w="6658"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908" w:right="0"/>
              <w:jc w:val="left"/>
              <w:rPr>
                <w:rFonts w:ascii="宋体" w:hAnsi="宋体" w:cs="宋体" w:eastAsia="宋体" w:hint="default"/>
                <w:sz w:val="18"/>
                <w:szCs w:val="18"/>
              </w:rPr>
            </w:pPr>
            <w:r>
              <w:rPr>
                <w:rFonts w:ascii="宋体" w:hAnsi="宋体" w:cs="宋体" w:eastAsia="宋体" w:hint="default"/>
                <w:sz w:val="18"/>
                <w:szCs w:val="18"/>
              </w:rPr>
              <w:t>销项税额，在扣除当期允许抵扣的进项税额后，差额部分</w:t>
            </w:r>
          </w:p>
        </w:tc>
        <w:tc>
          <w:tcPr>
            <w:tcW w:w="649" w:type="dxa"/>
            <w:tcBorders>
              <w:top w:val="nil" w:sz="6" w:space="0" w:color="auto"/>
              <w:left w:val="nil" w:sz="6" w:space="0" w:color="auto"/>
              <w:bottom w:val="nil" w:sz="6" w:space="0" w:color="auto"/>
              <w:right w:val="nil" w:sz="6" w:space="0" w:color="auto"/>
            </w:tcBorders>
          </w:tcPr>
          <w:p>
            <w:pPr/>
          </w:p>
        </w:tc>
        <w:tc>
          <w:tcPr>
            <w:tcW w:w="447" w:type="dxa"/>
            <w:tcBorders>
              <w:top w:val="nil" w:sz="6" w:space="0" w:color="auto"/>
              <w:left w:val="nil" w:sz="6" w:space="0" w:color="auto"/>
              <w:bottom w:val="nil" w:sz="6" w:space="0" w:color="auto"/>
              <w:right w:val="nil" w:sz="6" w:space="0" w:color="auto"/>
            </w:tcBorders>
          </w:tcPr>
          <w:p>
            <w:pPr/>
          </w:p>
        </w:tc>
      </w:tr>
      <w:tr>
        <w:trPr>
          <w:trHeight w:val="395" w:hRule="exact"/>
        </w:trPr>
        <w:tc>
          <w:tcPr>
            <w:tcW w:w="659" w:type="dxa"/>
            <w:tcBorders>
              <w:top w:val="nil" w:sz="6" w:space="0" w:color="auto"/>
              <w:left w:val="nil" w:sz="6" w:space="0" w:color="auto"/>
              <w:bottom w:val="nil" w:sz="6" w:space="0" w:color="auto"/>
              <w:right w:val="nil" w:sz="6" w:space="0" w:color="auto"/>
            </w:tcBorders>
          </w:tcPr>
          <w:p>
            <w:pPr/>
          </w:p>
        </w:tc>
        <w:tc>
          <w:tcPr>
            <w:tcW w:w="665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908" w:right="0"/>
              <w:jc w:val="left"/>
              <w:rPr>
                <w:rFonts w:ascii="宋体" w:hAnsi="宋体" w:cs="宋体" w:eastAsia="宋体" w:hint="default"/>
                <w:sz w:val="18"/>
                <w:szCs w:val="18"/>
              </w:rPr>
            </w:pPr>
            <w:r>
              <w:rPr>
                <w:rFonts w:ascii="宋体" w:hAnsi="宋体" w:cs="宋体" w:eastAsia="宋体" w:hint="default"/>
                <w:sz w:val="18"/>
                <w:szCs w:val="18"/>
              </w:rPr>
              <w:t>为应交增值税</w:t>
            </w:r>
          </w:p>
        </w:tc>
        <w:tc>
          <w:tcPr>
            <w:tcW w:w="649" w:type="dxa"/>
            <w:tcBorders>
              <w:top w:val="nil" w:sz="6" w:space="0" w:color="auto"/>
              <w:left w:val="nil" w:sz="6" w:space="0" w:color="auto"/>
              <w:bottom w:val="nil" w:sz="6" w:space="0" w:color="auto"/>
              <w:right w:val="nil" w:sz="6" w:space="0" w:color="auto"/>
            </w:tcBorders>
          </w:tcPr>
          <w:p>
            <w:pPr/>
          </w:p>
        </w:tc>
        <w:tc>
          <w:tcPr>
            <w:tcW w:w="447" w:type="dxa"/>
            <w:tcBorders>
              <w:top w:val="nil" w:sz="6" w:space="0" w:color="auto"/>
              <w:left w:val="nil" w:sz="6" w:space="0" w:color="auto"/>
              <w:bottom w:val="nil" w:sz="6" w:space="0" w:color="auto"/>
              <w:right w:val="nil" w:sz="6" w:space="0" w:color="auto"/>
            </w:tcBorders>
          </w:tcPr>
          <w:p>
            <w:pPr/>
          </w:p>
        </w:tc>
      </w:tr>
      <w:tr>
        <w:trPr>
          <w:trHeight w:val="404" w:hRule="exact"/>
        </w:trPr>
        <w:tc>
          <w:tcPr>
            <w:tcW w:w="659" w:type="dxa"/>
            <w:tcBorders>
              <w:top w:val="nil" w:sz="6" w:space="0" w:color="auto"/>
              <w:left w:val="nil" w:sz="6" w:space="0" w:color="auto"/>
              <w:bottom w:val="nil" w:sz="6" w:space="0" w:color="auto"/>
              <w:right w:val="nil" w:sz="6" w:space="0" w:color="auto"/>
            </w:tcBorders>
          </w:tcPr>
          <w:p>
            <w:pPr/>
          </w:p>
        </w:tc>
        <w:tc>
          <w:tcPr>
            <w:tcW w:w="6658" w:type="dxa"/>
            <w:tcBorders>
              <w:top w:val="nil" w:sz="6" w:space="0" w:color="auto"/>
              <w:left w:val="nil" w:sz="6" w:space="0" w:color="auto"/>
              <w:bottom w:val="nil" w:sz="6" w:space="0" w:color="auto"/>
              <w:right w:val="nil" w:sz="6" w:space="0" w:color="auto"/>
            </w:tcBorders>
          </w:tcPr>
          <w:p>
            <w:pPr>
              <w:pStyle w:val="TableParagraph"/>
              <w:tabs>
                <w:tab w:pos="1910" w:val="left" w:leader="none"/>
              </w:tabs>
              <w:spacing w:line="240" w:lineRule="auto" w:before="55"/>
              <w:ind w:left="110" w:right="0"/>
              <w:jc w:val="left"/>
              <w:rPr>
                <w:rFonts w:ascii="宋体" w:hAnsi="宋体" w:cs="宋体" w:eastAsia="宋体" w:hint="default"/>
                <w:sz w:val="18"/>
                <w:szCs w:val="18"/>
              </w:rPr>
            </w:pPr>
            <w:r>
              <w:rPr>
                <w:rFonts w:ascii="宋体" w:hAnsi="宋体" w:cs="宋体" w:eastAsia="宋体" w:hint="default"/>
                <w:sz w:val="18"/>
                <w:szCs w:val="18"/>
              </w:rPr>
              <w:t>营业税</w:t>
              <w:tab/>
              <w:t>按应税营业收入计征</w:t>
            </w:r>
          </w:p>
        </w:tc>
        <w:tc>
          <w:tcPr>
            <w:tcW w:w="649" w:type="dxa"/>
            <w:tcBorders>
              <w:top w:val="nil" w:sz="6" w:space="0" w:color="auto"/>
              <w:left w:val="nil" w:sz="6" w:space="0" w:color="auto"/>
              <w:bottom w:val="nil" w:sz="6" w:space="0" w:color="auto"/>
              <w:right w:val="nil" w:sz="6" w:space="0" w:color="auto"/>
            </w:tcBorders>
          </w:tcPr>
          <w:p>
            <w:pPr/>
          </w:p>
        </w:tc>
        <w:tc>
          <w:tcPr>
            <w:tcW w:w="447"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7"/>
              <w:jc w:val="center"/>
              <w:rPr>
                <w:rFonts w:ascii="Times New Roman" w:hAnsi="Times New Roman" w:cs="Times New Roman" w:eastAsia="Times New Roman" w:hint="default"/>
                <w:sz w:val="18"/>
                <w:szCs w:val="18"/>
              </w:rPr>
            </w:pPr>
            <w:r>
              <w:rPr>
                <w:rFonts w:ascii="Times New Roman"/>
                <w:sz w:val="18"/>
              </w:rPr>
              <w:t>5%</w:t>
            </w:r>
          </w:p>
        </w:tc>
      </w:tr>
      <w:tr>
        <w:trPr>
          <w:trHeight w:val="380" w:hRule="exact"/>
        </w:trPr>
        <w:tc>
          <w:tcPr>
            <w:tcW w:w="659" w:type="dxa"/>
            <w:tcBorders>
              <w:top w:val="nil" w:sz="6" w:space="0" w:color="auto"/>
              <w:left w:val="nil" w:sz="6" w:space="0" w:color="auto"/>
              <w:bottom w:val="nil" w:sz="6" w:space="0" w:color="auto"/>
              <w:right w:val="nil" w:sz="6" w:space="0" w:color="auto"/>
            </w:tcBorders>
          </w:tcPr>
          <w:p>
            <w:pPr/>
          </w:p>
        </w:tc>
        <w:tc>
          <w:tcPr>
            <w:tcW w:w="6658" w:type="dxa"/>
            <w:tcBorders>
              <w:top w:val="nil" w:sz="6" w:space="0" w:color="auto"/>
              <w:left w:val="nil" w:sz="6" w:space="0" w:color="auto"/>
              <w:bottom w:val="nil" w:sz="6" w:space="0" w:color="auto"/>
              <w:right w:val="nil" w:sz="6" w:space="0" w:color="auto"/>
            </w:tcBorders>
          </w:tcPr>
          <w:p>
            <w:pPr>
              <w:pStyle w:val="TableParagraph"/>
              <w:tabs>
                <w:tab w:pos="1910" w:val="left" w:leader="none"/>
              </w:tabs>
              <w:spacing w:line="240" w:lineRule="auto" w:before="50"/>
              <w:ind w:left="110" w:right="0"/>
              <w:jc w:val="left"/>
              <w:rPr>
                <w:rFonts w:ascii="宋体" w:hAnsi="宋体" w:cs="宋体" w:eastAsia="宋体" w:hint="default"/>
                <w:sz w:val="18"/>
                <w:szCs w:val="18"/>
              </w:rPr>
            </w:pPr>
            <w:r>
              <w:rPr>
                <w:rFonts w:ascii="宋体" w:hAnsi="宋体" w:cs="宋体" w:eastAsia="宋体" w:hint="default"/>
                <w:sz w:val="18"/>
                <w:szCs w:val="18"/>
              </w:rPr>
              <w:t>城市维护建设税</w:t>
              <w:tab/>
              <w:t>按实际缴纳的营业税、增值税及消费税计征</w:t>
            </w:r>
          </w:p>
        </w:tc>
        <w:tc>
          <w:tcPr>
            <w:tcW w:w="649" w:type="dxa"/>
            <w:tcBorders>
              <w:top w:val="nil" w:sz="6" w:space="0" w:color="auto"/>
              <w:left w:val="nil" w:sz="6" w:space="0" w:color="auto"/>
              <w:bottom w:val="nil" w:sz="6" w:space="0" w:color="auto"/>
              <w:right w:val="nil" w:sz="6" w:space="0" w:color="auto"/>
            </w:tcBorders>
          </w:tcPr>
          <w:p>
            <w:pPr/>
          </w:p>
        </w:tc>
        <w:tc>
          <w:tcPr>
            <w:tcW w:w="447"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7"/>
              <w:jc w:val="center"/>
              <w:rPr>
                <w:rFonts w:ascii="Times New Roman" w:hAnsi="Times New Roman" w:cs="Times New Roman" w:eastAsia="Times New Roman" w:hint="default"/>
                <w:sz w:val="18"/>
                <w:szCs w:val="18"/>
              </w:rPr>
            </w:pPr>
            <w:r>
              <w:rPr>
                <w:rFonts w:ascii="Times New Roman"/>
                <w:sz w:val="18"/>
              </w:rPr>
              <w:t>7%</w:t>
            </w:r>
          </w:p>
        </w:tc>
      </w:tr>
      <w:tr>
        <w:trPr>
          <w:trHeight w:val="342" w:hRule="exact"/>
        </w:trPr>
        <w:tc>
          <w:tcPr>
            <w:tcW w:w="659" w:type="dxa"/>
            <w:tcBorders>
              <w:top w:val="nil" w:sz="6" w:space="0" w:color="auto"/>
              <w:left w:val="nil" w:sz="6" w:space="0" w:color="auto"/>
              <w:bottom w:val="nil" w:sz="6" w:space="0" w:color="auto"/>
              <w:right w:val="nil" w:sz="6" w:space="0" w:color="auto"/>
            </w:tcBorders>
          </w:tcPr>
          <w:p>
            <w:pPr/>
          </w:p>
        </w:tc>
        <w:tc>
          <w:tcPr>
            <w:tcW w:w="6658" w:type="dxa"/>
            <w:tcBorders>
              <w:top w:val="nil" w:sz="6" w:space="0" w:color="auto"/>
              <w:left w:val="nil" w:sz="6" w:space="0" w:color="auto"/>
              <w:bottom w:val="nil" w:sz="6" w:space="0" w:color="auto"/>
              <w:right w:val="nil" w:sz="6" w:space="0" w:color="auto"/>
            </w:tcBorders>
          </w:tcPr>
          <w:p>
            <w:pPr>
              <w:pStyle w:val="TableParagraph"/>
              <w:tabs>
                <w:tab w:pos="1910" w:val="left" w:leader="none"/>
              </w:tabs>
              <w:spacing w:line="240" w:lineRule="auto" w:before="31"/>
              <w:ind w:left="110" w:right="0"/>
              <w:jc w:val="left"/>
              <w:rPr>
                <w:rFonts w:ascii="宋体" w:hAnsi="宋体" w:cs="宋体" w:eastAsia="宋体" w:hint="default"/>
                <w:sz w:val="18"/>
                <w:szCs w:val="18"/>
              </w:rPr>
            </w:pPr>
            <w:r>
              <w:rPr>
                <w:rFonts w:ascii="宋体" w:hAnsi="宋体" w:cs="宋体" w:eastAsia="宋体" w:hint="default"/>
                <w:sz w:val="18"/>
                <w:szCs w:val="18"/>
              </w:rPr>
              <w:t>教育费附加</w:t>
              <w:tab/>
              <w:t>按实际缴纳的营业税、增值税及消费税计征</w:t>
            </w:r>
          </w:p>
        </w:tc>
        <w:tc>
          <w:tcPr>
            <w:tcW w:w="649" w:type="dxa"/>
            <w:tcBorders>
              <w:top w:val="nil" w:sz="6" w:space="0" w:color="auto"/>
              <w:left w:val="nil" w:sz="6" w:space="0" w:color="auto"/>
              <w:bottom w:val="nil" w:sz="6" w:space="0" w:color="auto"/>
              <w:right w:val="nil" w:sz="6" w:space="0" w:color="auto"/>
            </w:tcBorders>
          </w:tcPr>
          <w:p>
            <w:pPr/>
          </w:p>
        </w:tc>
        <w:tc>
          <w:tcPr>
            <w:tcW w:w="44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7"/>
              <w:jc w:val="center"/>
              <w:rPr>
                <w:rFonts w:ascii="Times New Roman" w:hAnsi="Times New Roman" w:cs="Times New Roman" w:eastAsia="Times New Roman" w:hint="default"/>
                <w:sz w:val="18"/>
                <w:szCs w:val="18"/>
              </w:rPr>
            </w:pPr>
            <w:r>
              <w:rPr>
                <w:rFonts w:ascii="Times New Roman"/>
                <w:sz w:val="18"/>
              </w:rPr>
              <w:t>3%</w:t>
            </w:r>
          </w:p>
        </w:tc>
      </w:tr>
      <w:tr>
        <w:trPr>
          <w:trHeight w:val="329" w:hRule="exact"/>
        </w:trPr>
        <w:tc>
          <w:tcPr>
            <w:tcW w:w="659" w:type="dxa"/>
            <w:tcBorders>
              <w:top w:val="nil" w:sz="6" w:space="0" w:color="auto"/>
              <w:left w:val="nil" w:sz="6" w:space="0" w:color="auto"/>
              <w:bottom w:val="nil" w:sz="6" w:space="0" w:color="auto"/>
              <w:right w:val="nil" w:sz="6" w:space="0" w:color="auto"/>
            </w:tcBorders>
          </w:tcPr>
          <w:p>
            <w:pPr/>
          </w:p>
        </w:tc>
        <w:tc>
          <w:tcPr>
            <w:tcW w:w="6658" w:type="dxa"/>
            <w:tcBorders>
              <w:top w:val="nil" w:sz="6" w:space="0" w:color="auto"/>
              <w:left w:val="nil" w:sz="6" w:space="0" w:color="auto"/>
              <w:bottom w:val="single" w:sz="12" w:space="0" w:color="000000"/>
              <w:right w:val="nil" w:sz="6" w:space="0" w:color="auto"/>
            </w:tcBorders>
          </w:tcPr>
          <w:p>
            <w:pPr>
              <w:pStyle w:val="TableParagraph"/>
              <w:tabs>
                <w:tab w:pos="1910" w:val="left" w:leader="none"/>
              </w:tabs>
              <w:spacing w:line="240" w:lineRule="auto" w:before="12"/>
              <w:ind w:left="110" w:right="0"/>
              <w:jc w:val="left"/>
              <w:rPr>
                <w:rFonts w:ascii="宋体" w:hAnsi="宋体" w:cs="宋体" w:eastAsia="宋体" w:hint="default"/>
                <w:sz w:val="18"/>
                <w:szCs w:val="18"/>
              </w:rPr>
            </w:pPr>
            <w:r>
              <w:rPr>
                <w:rFonts w:ascii="宋体" w:hAnsi="宋体" w:cs="宋体" w:eastAsia="宋体" w:hint="default"/>
                <w:sz w:val="18"/>
                <w:szCs w:val="18"/>
              </w:rPr>
              <w:t>地方教育费附加</w:t>
              <w:tab/>
              <w:t>按实际缴纳的营业税、增值税及消费税计征</w:t>
            </w:r>
          </w:p>
        </w:tc>
        <w:tc>
          <w:tcPr>
            <w:tcW w:w="649" w:type="dxa"/>
            <w:tcBorders>
              <w:top w:val="nil" w:sz="6" w:space="0" w:color="auto"/>
              <w:left w:val="nil" w:sz="6" w:space="0" w:color="auto"/>
              <w:bottom w:val="single" w:sz="12" w:space="0" w:color="000000"/>
              <w:right w:val="nil" w:sz="6" w:space="0" w:color="auto"/>
            </w:tcBorders>
          </w:tcPr>
          <w:p>
            <w:pPr/>
          </w:p>
        </w:tc>
        <w:tc>
          <w:tcPr>
            <w:tcW w:w="447"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7"/>
              <w:jc w:val="center"/>
              <w:rPr>
                <w:rFonts w:ascii="Times New Roman" w:hAnsi="Times New Roman" w:cs="Times New Roman" w:eastAsia="Times New Roman" w:hint="default"/>
                <w:sz w:val="18"/>
                <w:szCs w:val="18"/>
              </w:rPr>
            </w:pPr>
            <w:r>
              <w:rPr>
                <w:rFonts w:ascii="Times New Roman"/>
                <w:sz w:val="18"/>
              </w:rPr>
              <w:t>2%</w:t>
            </w:r>
          </w:p>
        </w:tc>
      </w:tr>
    </w:tbl>
    <w:p>
      <w:pPr>
        <w:spacing w:after="0" w:line="240" w:lineRule="auto"/>
        <w:jc w:val="center"/>
        <w:rPr>
          <w:rFonts w:ascii="Times New Roman" w:hAnsi="Times New Roman" w:cs="Times New Roman" w:eastAsia="Times New Roman" w:hint="default"/>
          <w:sz w:val="18"/>
          <w:szCs w:val="18"/>
        </w:rPr>
        <w:sectPr>
          <w:pgSz w:w="11910" w:h="16840"/>
          <w:pgMar w:header="686" w:footer="1270" w:top="1360" w:bottom="1460" w:left="1520" w:right="1580"/>
        </w:sectPr>
      </w:pPr>
    </w:p>
    <w:p>
      <w:pPr>
        <w:spacing w:line="240" w:lineRule="auto" w:before="12"/>
        <w:rPr>
          <w:rFonts w:ascii="宋体" w:hAnsi="宋体" w:cs="宋体" w:eastAsia="宋体" w:hint="default"/>
          <w:sz w:val="21"/>
          <w:szCs w:val="21"/>
        </w:rPr>
      </w:pPr>
    </w:p>
    <w:p>
      <w:pPr>
        <w:spacing w:line="372" w:lineRule="exact"/>
        <w:ind w:left="860" w:right="0" w:firstLine="0"/>
        <w:rPr>
          <w:rFonts w:ascii="宋体" w:hAnsi="宋体" w:cs="宋体" w:eastAsia="宋体" w:hint="default"/>
          <w:sz w:val="20"/>
          <w:szCs w:val="20"/>
        </w:rPr>
      </w:pPr>
      <w:r>
        <w:rPr>
          <w:rFonts w:ascii="宋体" w:hAnsi="宋体" w:cs="宋体" w:eastAsia="宋体" w:hint="default"/>
          <w:position w:val="-6"/>
          <w:sz w:val="20"/>
          <w:szCs w:val="20"/>
        </w:rPr>
        <w:pict>
          <v:group style="width:389.9pt;height:18.6pt;mso-position-horizontal-relative:char;mso-position-vertical-relative:line" coordorigin="0,0" coordsize="7798,372">
            <v:group style="position:absolute;left:29;top:15;width:7754;height:2" coordorigin="29,15" coordsize="7754,2">
              <v:shape style="position:absolute;left:29;top:15;width:7754;height:2" coordorigin="29,15" coordsize="7754,0" path="m29,15l7783,15e" filled="false" stroked="true" strokeweight="1.5pt" strokecolor="#000000">
                <v:path arrowok="t"/>
              </v:shape>
            </v:group>
            <v:group style="position:absolute;left:15;top:357;width:1810;height:2" coordorigin="15,357" coordsize="1810,2">
              <v:shape style="position:absolute;left:15;top:357;width:1810;height:2" coordorigin="15,357" coordsize="1810,0" path="m15,357l1825,357e" filled="false" stroked="true" strokeweight="1.5pt" strokecolor="#000000">
                <v:path arrowok="t"/>
              </v:shape>
              <v:shape style="position:absolute;left:1825;top:30;width:10;height:312" type="#_x0000_t75" stroked="false">
                <v:imagedata r:id="rId70" o:title=""/>
              </v:shape>
            </v:group>
            <v:group style="position:absolute;left:1825;top:357;width:4680;height:2" coordorigin="1825,357" coordsize="4680,2">
              <v:shape style="position:absolute;left:1825;top:357;width:4680;height:2" coordorigin="1825,357" coordsize="4680,0" path="m1825,357l6505,357e" filled="false" stroked="true" strokeweight="1.5pt" strokecolor="#000000">
                <v:path arrowok="t"/>
              </v:shape>
              <v:shape style="position:absolute;left:6505;top:30;width:10;height:312" type="#_x0000_t75" stroked="false">
                <v:imagedata r:id="rId70" o:title=""/>
              </v:shape>
            </v:group>
            <v:group style="position:absolute;left:6505;top:357;width:1278;height:2" coordorigin="6505,357" coordsize="1278,2">
              <v:shape style="position:absolute;left:6505;top:357;width:1278;height:2" coordorigin="6505,357" coordsize="1278,0" path="m6505,357l7783,357e" filled="false" stroked="true" strokeweight="1.5pt" strokecolor="#000000">
                <v:path arrowok="t"/>
              </v:shape>
              <v:shape style="position:absolute;left:140;top:9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企业所得税</w:t>
                      </w:r>
                    </w:p>
                  </w:txbxContent>
                </v:textbox>
                <w10:wrap type="none"/>
              </v:shape>
              <v:shape style="position:absolute;left:1940;top:96;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按应纳税所得额计征</w:t>
                      </w:r>
                    </w:p>
                  </w:txbxContent>
                </v:textbox>
                <w10:wrap type="none"/>
              </v:shape>
            </v:group>
          </v:group>
        </w:pict>
      </w:r>
      <w:r>
        <w:rPr>
          <w:rFonts w:ascii="宋体" w:hAnsi="宋体" w:cs="宋体" w:eastAsia="宋体" w:hint="default"/>
          <w:position w:val="-6"/>
          <w:sz w:val="20"/>
          <w:szCs w:val="20"/>
        </w:rPr>
      </w:r>
    </w:p>
    <w:p>
      <w:pPr>
        <w:spacing w:line="336" w:lineRule="auto" w:before="93"/>
        <w:ind w:left="895" w:right="105" w:firstLine="0"/>
        <w:jc w:val="left"/>
        <w:rPr>
          <w:rFonts w:ascii="宋体" w:hAnsi="宋体" w:cs="宋体" w:eastAsia="宋体" w:hint="default"/>
          <w:sz w:val="21"/>
          <w:szCs w:val="21"/>
        </w:rPr>
      </w:pPr>
      <w:r>
        <w:rPr>
          <w:rFonts w:ascii="宋体" w:hAnsi="宋体" w:cs="宋体" w:eastAsia="宋体" w:hint="default"/>
          <w:sz w:val="21"/>
          <w:szCs w:val="21"/>
        </w:rPr>
        <w:t>企业所得税税率说明： </w:t>
      </w:r>
      <w:r>
        <w:rPr>
          <w:rFonts w:ascii="Times New Roman" w:hAnsi="Times New Roman" w:cs="Times New Roman" w:eastAsia="Times New Roman" w:hint="default"/>
          <w:spacing w:val="-8"/>
          <w:sz w:val="21"/>
          <w:szCs w:val="21"/>
        </w:rPr>
        <w:t>1</w:t>
      </w:r>
      <w:r>
        <w:rPr>
          <w:rFonts w:ascii="宋体" w:hAnsi="宋体" w:cs="宋体" w:eastAsia="宋体" w:hint="default"/>
          <w:spacing w:val="-8"/>
          <w:sz w:val="21"/>
          <w:szCs w:val="21"/>
        </w:rPr>
        <w:t>、本公司及本公司之子公司长春高琦聚酰亚胺材料有限公司（以下简称“长春高琦”）</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系国家高新技术企业，根据国家所得税税收优惠政策，享受</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的所得税征收税率。 </w:t>
      </w:r>
      <w:r>
        <w:rPr>
          <w:rFonts w:ascii="Times New Roman" w:hAnsi="Times New Roman" w:cs="Times New Roman" w:eastAsia="Times New Roman" w:hint="default"/>
          <w:sz w:val="21"/>
          <w:szCs w:val="21"/>
        </w:rPr>
        <w:t>2</w:t>
      </w:r>
      <w:r>
        <w:rPr>
          <w:rFonts w:ascii="宋体" w:hAnsi="宋体" w:cs="宋体" w:eastAsia="宋体" w:hint="default"/>
          <w:sz w:val="21"/>
          <w:szCs w:val="21"/>
        </w:rPr>
        <w:t>、本公司之子公司香港惠程有限公司注册地为香港，根据相关法规规定，香港的利</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得税（即企业所得税）为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16.5%</w:t>
      </w:r>
      <w:r>
        <w:rPr>
          <w:rFonts w:ascii="宋体" w:hAnsi="宋体" w:cs="宋体" w:eastAsia="宋体" w:hint="default"/>
          <w:sz w:val="21"/>
          <w:szCs w:val="21"/>
        </w:rPr>
        <w:t>。</w:t>
      </w:r>
    </w:p>
    <w:p>
      <w:pPr>
        <w:spacing w:before="17"/>
        <w:ind w:left="895" w:right="99"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、除上述子公司以外的其他子公司执行</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的所得税率。</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993" w:val="left" w:leader="none"/>
        </w:tabs>
        <w:spacing w:before="0"/>
        <w:ind w:left="265" w:right="9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税收优惠及批文</w:t>
      </w:r>
      <w:r>
        <w:rPr>
          <w:rFonts w:ascii="宋体" w:hAnsi="宋体" w:cs="宋体" w:eastAsia="宋体" w:hint="default"/>
          <w:sz w:val="21"/>
          <w:szCs w:val="21"/>
        </w:rPr>
      </w:r>
    </w:p>
    <w:p>
      <w:pPr>
        <w:spacing w:line="331" w:lineRule="auto" w:before="110"/>
        <w:ind w:left="895" w:right="10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20011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日，本公司接到深圳市科技工贸和信息化委员会、深圳市财政委员 会、深圳市国家税务局和深圳市地方税务局联合批准颁发的高新技术企业证书</w:t>
      </w:r>
      <w:r>
        <w:rPr>
          <w:rFonts w:ascii="Times New Roman" w:hAnsi="Times New Roman" w:cs="Times New Roman" w:eastAsia="Times New Roman" w:hint="default"/>
          <w:sz w:val="21"/>
          <w:szCs w:val="21"/>
        </w:rPr>
        <w:t>,</w:t>
      </w:r>
      <w:r>
        <w:rPr>
          <w:rFonts w:ascii="宋体" w:hAnsi="宋体" w:cs="宋体" w:eastAsia="宋体" w:hint="default"/>
          <w:sz w:val="21"/>
          <w:szCs w:val="21"/>
        </w:rPr>
        <w:t>证书</w:t>
      </w:r>
      <w:r>
        <w:rPr>
          <w:rFonts w:ascii="宋体" w:hAnsi="宋体" w:cs="宋体" w:eastAsia="宋体" w:hint="default"/>
          <w:spacing w:val="-41"/>
          <w:sz w:val="21"/>
          <w:szCs w:val="21"/>
        </w:rPr>
        <w:t> </w:t>
      </w:r>
      <w:r>
        <w:rPr>
          <w:rFonts w:ascii="宋体" w:hAnsi="宋体" w:cs="宋体" w:eastAsia="宋体" w:hint="default"/>
          <w:sz w:val="21"/>
          <w:szCs w:val="21"/>
        </w:rPr>
        <w:t>编号</w:t>
      </w:r>
      <w:r>
        <w:rPr>
          <w:rFonts w:ascii="宋体" w:hAnsi="宋体" w:cs="宋体" w:eastAsia="宋体" w:hint="default"/>
          <w:spacing w:val="-75"/>
          <w:sz w:val="21"/>
          <w:szCs w:val="21"/>
        </w:rPr>
        <w:t> </w:t>
      </w:r>
      <w:r>
        <w:rPr>
          <w:rFonts w:ascii="Times New Roman" w:hAnsi="Times New Roman" w:cs="Times New Roman" w:eastAsia="Times New Roman" w:hint="default"/>
          <w:spacing w:val="-3"/>
          <w:w w:val="99"/>
          <w:sz w:val="21"/>
          <w:szCs w:val="21"/>
        </w:rPr>
        <w:t>GF201144200187,</w:t>
      </w:r>
      <w:r>
        <w:rPr>
          <w:rFonts w:ascii="宋体" w:hAnsi="宋体" w:cs="宋体" w:eastAsia="宋体" w:hint="default"/>
          <w:spacing w:val="-3"/>
          <w:w w:val="99"/>
          <w:sz w:val="21"/>
          <w:szCs w:val="21"/>
        </w:rPr>
        <w:t>本公司已到相关部门备案。根据高新技术企业所得税优惠政策，</w:t>
      </w:r>
      <w:r>
        <w:rPr>
          <w:rFonts w:ascii="宋体" w:hAnsi="宋体" w:cs="宋体" w:eastAsia="宋体" w:hint="default"/>
          <w:spacing w:val="-102"/>
          <w:w w:val="99"/>
          <w:sz w:val="21"/>
          <w:szCs w:val="21"/>
        </w:rPr>
        <w:t> </w:t>
      </w:r>
      <w:r>
        <w:rPr>
          <w:rFonts w:ascii="宋体" w:hAnsi="宋体" w:cs="宋体" w:eastAsia="宋体" w:hint="default"/>
          <w:spacing w:val="-102"/>
          <w:w w:val="99"/>
          <w:sz w:val="21"/>
          <w:szCs w:val="21"/>
        </w:rPr>
      </w:r>
      <w:r>
        <w:rPr>
          <w:rFonts w:ascii="宋体" w:hAnsi="宋体" w:cs="宋体" w:eastAsia="宋体" w:hint="default"/>
          <w:sz w:val="21"/>
          <w:szCs w:val="21"/>
        </w:rPr>
        <w:t>本公司</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年度和</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年度执行企业所得税率为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w:t>
      </w:r>
    </w:p>
    <w:p>
      <w:pPr>
        <w:spacing w:line="336" w:lineRule="auto" w:before="20"/>
        <w:ind w:left="895" w:right="216" w:firstLine="0"/>
        <w:jc w:val="both"/>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pacing w:val="-4"/>
          <w:sz w:val="21"/>
          <w:szCs w:val="21"/>
        </w:rPr>
        <w:t>11 </w:t>
      </w:r>
      <w:r>
        <w:rPr>
          <w:rFonts w:ascii="宋体" w:hAnsi="宋体" w:cs="宋体" w:eastAsia="宋体" w:hint="default"/>
          <w:sz w:val="21"/>
          <w:szCs w:val="21"/>
        </w:rPr>
        <w:t>月 </w:t>
      </w:r>
      <w:r>
        <w:rPr>
          <w:rFonts w:ascii="Times New Roman" w:hAnsi="Times New Roman" w:cs="Times New Roman" w:eastAsia="Times New Roman" w:hint="default"/>
          <w:sz w:val="21"/>
          <w:szCs w:val="21"/>
        </w:rPr>
        <w:t>14</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日，本公司之子公司长春高琦接到吉林省科学技术厅、吉林省财政 </w:t>
      </w:r>
      <w:r>
        <w:rPr>
          <w:rFonts w:ascii="宋体" w:hAnsi="宋体" w:cs="宋体" w:eastAsia="宋体" w:hint="default"/>
          <w:spacing w:val="-3"/>
          <w:sz w:val="21"/>
          <w:szCs w:val="21"/>
        </w:rPr>
        <w:t>厅、吉林省国家税务局和吉林省地方税务局联合批准颁发的高新技术企业证书，证书</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编号</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GR201122000038</w:t>
      </w:r>
      <w:r>
        <w:rPr>
          <w:rFonts w:ascii="宋体" w:hAnsi="宋体" w:cs="宋体" w:eastAsia="宋体" w:hint="default"/>
          <w:sz w:val="21"/>
          <w:szCs w:val="21"/>
        </w:rPr>
        <w:t>，本公司已到相关部门备案。根据高新技术企业所得税优惠政 策，本公司</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年度和</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年度执行企业所得税率为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15%</w:t>
      </w:r>
    </w:p>
    <w:p>
      <w:pPr>
        <w:spacing w:after="0" w:line="336" w:lineRule="auto"/>
        <w:jc w:val="both"/>
        <w:rPr>
          <w:rFonts w:ascii="Times New Roman" w:hAnsi="Times New Roman" w:cs="Times New Roman" w:eastAsia="Times New Roman" w:hint="default"/>
          <w:sz w:val="21"/>
          <w:szCs w:val="21"/>
        </w:rPr>
        <w:sectPr>
          <w:pgSz w:w="11910" w:h="16840"/>
          <w:pgMar w:header="686" w:footer="1270" w:top="1360" w:bottom="1460" w:left="1520" w:right="1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tabs>
          <w:tab w:pos="993" w:val="left" w:leader="none"/>
        </w:tabs>
        <w:spacing w:before="174"/>
        <w:ind w:left="265" w:right="0" w:firstLine="0"/>
        <w:jc w:val="left"/>
        <w:rPr>
          <w:rFonts w:ascii="宋体" w:hAnsi="宋体" w:cs="宋体" w:eastAsia="宋体" w:hint="default"/>
          <w:sz w:val="21"/>
          <w:szCs w:val="21"/>
        </w:rPr>
      </w:pPr>
      <w:r>
        <w:rPr>
          <w:rFonts w:ascii="宋体" w:hAnsi="宋体" w:cs="宋体" w:eastAsia="宋体" w:hint="default"/>
          <w:b/>
          <w:bCs/>
          <w:w w:val="95"/>
          <w:sz w:val="21"/>
          <w:szCs w:val="21"/>
        </w:rPr>
        <w:t>四、</w:t>
        <w:tab/>
      </w:r>
      <w:r>
        <w:rPr>
          <w:rFonts w:ascii="宋体" w:hAnsi="宋体" w:cs="宋体" w:eastAsia="宋体" w:hint="default"/>
          <w:b/>
          <w:bCs/>
          <w:sz w:val="21"/>
          <w:szCs w:val="21"/>
        </w:rPr>
        <w:t>企业合并及合并财务报表</w:t>
      </w:r>
      <w:r>
        <w:rPr>
          <w:rFonts w:ascii="宋体" w:hAnsi="宋体" w:cs="宋体" w:eastAsia="宋体" w:hint="default"/>
          <w:sz w:val="21"/>
          <w:szCs w:val="21"/>
        </w:rPr>
      </w:r>
    </w:p>
    <w:p>
      <w:pPr>
        <w:spacing w:before="126"/>
        <w:ind w:left="895" w:right="0" w:firstLine="0"/>
        <w:jc w:val="left"/>
        <w:rPr>
          <w:rFonts w:ascii="宋体" w:hAnsi="宋体" w:cs="宋体" w:eastAsia="宋体" w:hint="default"/>
          <w:sz w:val="21"/>
          <w:szCs w:val="21"/>
        </w:rPr>
      </w:pPr>
      <w:r>
        <w:rPr>
          <w:rFonts w:ascii="宋体" w:hAnsi="宋体" w:cs="宋体" w:eastAsia="宋体" w:hint="default"/>
          <w:sz w:val="21"/>
          <w:szCs w:val="21"/>
        </w:rPr>
        <w:t>（本节下列表式数据中的金额单位，除非特别注明外均为人民币万元</w:t>
      </w:r>
      <w:r>
        <w:rPr>
          <w:rFonts w:ascii="宋体" w:hAnsi="宋体" w:cs="宋体" w:eastAsia="宋体" w:hint="default"/>
          <w:spacing w:val="-106"/>
          <w:sz w:val="21"/>
          <w:szCs w:val="21"/>
        </w:rPr>
        <w:t>。</w:t>
      </w:r>
      <w:r>
        <w:rPr>
          <w:rFonts w:ascii="宋体" w:hAnsi="宋体" w:cs="宋体" w:eastAsia="宋体" w:hint="default"/>
          <w:sz w:val="21"/>
          <w:szCs w:val="21"/>
        </w:rPr>
        <w:t>）</w:t>
      </w:r>
    </w:p>
    <w:p>
      <w:pPr>
        <w:tabs>
          <w:tab w:pos="993" w:val="left" w:leader="none"/>
        </w:tabs>
        <w:spacing w:before="125"/>
        <w:ind w:left="26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子公司情况</w:t>
      </w:r>
      <w:r>
        <w:rPr>
          <w:rFonts w:ascii="宋体" w:hAnsi="宋体" w:cs="宋体" w:eastAsia="宋体" w:hint="default"/>
          <w:sz w:val="21"/>
          <w:szCs w:val="21"/>
        </w:rPr>
      </w:r>
    </w:p>
    <w:p>
      <w:pPr>
        <w:tabs>
          <w:tab w:pos="1434" w:val="left" w:leader="none"/>
        </w:tabs>
        <w:spacing w:before="109"/>
        <w:ind w:left="89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通过设立或投资等方式取得的子公司</w:t>
      </w:r>
      <w:r>
        <w:rPr>
          <w:rFonts w:ascii="宋体" w:hAnsi="宋体" w:cs="宋体" w:eastAsia="宋体" w:hint="default"/>
          <w:sz w:val="21"/>
          <w:szCs w:val="21"/>
        </w:rPr>
      </w:r>
    </w:p>
    <w:p>
      <w:pPr>
        <w:spacing w:line="6739" w:lineRule="exact"/>
        <w:ind w:left="142" w:right="0" w:firstLine="0"/>
        <w:rPr>
          <w:rFonts w:ascii="宋体" w:hAnsi="宋体" w:cs="宋体" w:eastAsia="宋体" w:hint="default"/>
          <w:sz w:val="20"/>
          <w:szCs w:val="20"/>
        </w:rPr>
      </w:pPr>
      <w:r>
        <w:rPr>
          <w:rFonts w:ascii="宋体" w:hAnsi="宋体" w:cs="宋体" w:eastAsia="宋体" w:hint="default"/>
          <w:position w:val="-134"/>
          <w:sz w:val="20"/>
          <w:szCs w:val="20"/>
        </w:rPr>
        <w:pict>
          <v:group style="width:722.25pt;height:337pt;mso-position-horizontal-relative:char;mso-position-vertical-relative:line" coordorigin="0,0" coordsize="14445,6740">
            <v:group style="position:absolute;left:29;top:15;width:8312;height:2" coordorigin="29,15" coordsize="8312,2">
              <v:shape style="position:absolute;left:29;top:15;width:8312;height:2" coordorigin="29,15" coordsize="8312,0" path="m29,15l8341,15e" filled="false" stroked="true" strokeweight="1.5pt" strokecolor="#000000">
                <v:path arrowok="t"/>
              </v:shape>
            </v:group>
            <v:group style="position:absolute;left:8341;top:15;width:724;height:2" coordorigin="8341,15" coordsize="724,2">
              <v:shape style="position:absolute;left:8341;top:15;width:724;height:2" coordorigin="8341,15" coordsize="724,0" path="m8341,15l9064,15e" filled="false" stroked="true" strokeweight="1.5pt" strokecolor="#000000">
                <v:path arrowok="t"/>
              </v:shape>
            </v:group>
            <v:group style="position:absolute;left:9064;top:15;width:5352;height:2" coordorigin="9064,15" coordsize="5352,2">
              <v:shape style="position:absolute;left:9064;top:15;width:5352;height:2" coordorigin="9064,15" coordsize="5352,0" path="m9064,15l14416,15e" filled="false" stroked="true" strokeweight="1.5pt" strokecolor="#000000">
                <v:path arrowok="t"/>
              </v:shape>
              <v:shape style="position:absolute;left:1298;top:1;width:11170;height:3958" type="#_x0000_t75" stroked="false">
                <v:imagedata r:id="rId73" o:title=""/>
              </v:shape>
            </v:group>
            <v:group style="position:absolute;left:15;top:6724;width:1312;height:2" coordorigin="15,6724" coordsize="1312,2">
              <v:shape style="position:absolute;left:15;top:6724;width:1312;height:2" coordorigin="15,6724" coordsize="1312,0" path="m15,6724l1327,6724e" filled="false" stroked="true" strokeweight="1.5pt" strokecolor="#000000">
                <v:path arrowok="t"/>
              </v:shape>
              <v:shape style="position:absolute;left:1;top:3901;width:14444;height:2837" type="#_x0000_t75" stroked="false">
                <v:imagedata r:id="rId74" o:title=""/>
              </v:shape>
            </v:group>
            <v:group style="position:absolute;left:1327;top:6724;width:720;height:2" coordorigin="1327,6724" coordsize="720,2">
              <v:shape style="position:absolute;left:1327;top:6724;width:720;height:2" coordorigin="1327,6724" coordsize="720,0" path="m1327,6724l2047,6724e" filled="false" stroked="true" strokeweight="1.5pt" strokecolor="#000000">
                <v:path arrowok="t"/>
              </v:shape>
              <v:shape style="position:absolute;left:2018;top:5480;width:67;height:1258" type="#_x0000_t75" stroked="false">
                <v:imagedata r:id="rId75" o:title=""/>
              </v:shape>
            </v:group>
            <v:group style="position:absolute;left:2047;top:6724;width:743;height:2" coordorigin="2047,6724" coordsize="743,2">
              <v:shape style="position:absolute;left:2047;top:6724;width:743;height:2" coordorigin="2047,6724" coordsize="743,0" path="m2047,6724l2789,6724e" filled="false" stroked="true" strokeweight="1.5pt" strokecolor="#000000">
                <v:path arrowok="t"/>
              </v:shape>
              <v:shape style="position:absolute;left:2761;top:5480;width:67;height:1258" type="#_x0000_t75" stroked="false">
                <v:imagedata r:id="rId75" o:title=""/>
              </v:shape>
            </v:group>
            <v:group style="position:absolute;left:2789;top:6724;width:923;height:2" coordorigin="2789,6724" coordsize="923,2">
              <v:shape style="position:absolute;left:2789;top:6724;width:923;height:2" coordorigin="2789,6724" coordsize="923,0" path="m2789,6724l3712,6724e" filled="false" stroked="true" strokeweight="1.5pt" strokecolor="#000000">
                <v:path arrowok="t"/>
              </v:shape>
              <v:shape style="position:absolute;left:3683;top:5480;width:67;height:1258" type="#_x0000_t75" stroked="false">
                <v:imagedata r:id="rId75" o:title=""/>
              </v:shape>
            </v:group>
            <v:group style="position:absolute;left:3712;top:6724;width:1007;height:2" coordorigin="3712,6724" coordsize="1007,2">
              <v:shape style="position:absolute;left:3712;top:6724;width:1007;height:2" coordorigin="3712,6724" coordsize="1007,0" path="m3712,6724l4719,6724e" filled="false" stroked="true" strokeweight="1.5pt" strokecolor="#000000">
                <v:path arrowok="t"/>
              </v:shape>
              <v:shape style="position:absolute;left:4690;top:5480;width:67;height:1248" type="#_x0000_t75" stroked="false">
                <v:imagedata r:id="rId76" o:title=""/>
              </v:shape>
            </v:group>
            <v:group style="position:absolute;left:4719;top:6724;width:1934;height:2" coordorigin="4719,6724" coordsize="1934,2">
              <v:shape style="position:absolute;left:4719;top:6724;width:1934;height:2" coordorigin="4719,6724" coordsize="1934,0" path="m4719,6724l6652,6724e" filled="false" stroked="true" strokeweight="1.5pt" strokecolor="#000000">
                <v:path arrowok="t"/>
              </v:shape>
              <v:shape style="position:absolute;left:6623;top:5480;width:67;height:1258" type="#_x0000_t75" stroked="false">
                <v:imagedata r:id="rId75" o:title=""/>
              </v:shape>
            </v:group>
            <v:group style="position:absolute;left:6652;top:6724;width:994;height:2" coordorigin="6652,6724" coordsize="994,2">
              <v:shape style="position:absolute;left:6652;top:6724;width:994;height:2" coordorigin="6652,6724" coordsize="994,0" path="m6652,6724l7646,6724e" filled="false" stroked="true" strokeweight="1.5pt" strokecolor="#000000">
                <v:path arrowok="t"/>
              </v:shape>
              <v:shape style="position:absolute;left:7617;top:5480;width:67;height:1258" type="#_x0000_t75" stroked="false">
                <v:imagedata r:id="rId75" o:title=""/>
              </v:shape>
            </v:group>
            <v:group style="position:absolute;left:7646;top:6724;width:665;height:2" coordorigin="7646,6724" coordsize="665,2">
              <v:shape style="position:absolute;left:7646;top:6724;width:665;height:2" coordorigin="7646,6724" coordsize="665,0" path="m7646,6724l8311,6724e" filled="false" stroked="true" strokeweight="1.5pt" strokecolor="#000000">
                <v:path arrowok="t"/>
              </v:shape>
              <v:shape style="position:absolute;left:8282;top:5480;width:67;height:1258" type="#_x0000_t75" stroked="false">
                <v:imagedata r:id="rId75" o:title=""/>
              </v:shape>
            </v:group>
            <v:group style="position:absolute;left:8311;top:6724;width:30;height:2" coordorigin="8311,6724" coordsize="30,2">
              <v:shape style="position:absolute;left:8311;top:6724;width:30;height:2" coordorigin="8311,6724" coordsize="30,0" path="m8311,6724l8341,6724e" filled="false" stroked="true" strokeweight="1.5pt" strokecolor="#000000">
                <v:path arrowok="t"/>
              </v:shape>
            </v:group>
            <v:group style="position:absolute;left:8341;top:6724;width:724;height:2" coordorigin="8341,6724" coordsize="724,2">
              <v:shape style="position:absolute;left:8341;top:6724;width:724;height:2" coordorigin="8341,6724" coordsize="724,0" path="m8341,6724l9064,6724e" filled="false" stroked="true" strokeweight="1.5pt" strokecolor="#000000">
                <v:path arrowok="t"/>
              </v:shape>
              <v:shape style="position:absolute;left:9035;top:5480;width:67;height:1258" type="#_x0000_t75" stroked="false">
                <v:imagedata r:id="rId75" o:title=""/>
              </v:shape>
            </v:group>
            <v:group style="position:absolute;left:9064;top:6724;width:850;height:2" coordorigin="9064,6724" coordsize="850,2">
              <v:shape style="position:absolute;left:9064;top:6724;width:850;height:2" coordorigin="9064,6724" coordsize="850,0" path="m9064,6724l9914,6724e" filled="false" stroked="true" strokeweight="1.5pt" strokecolor="#000000">
                <v:path arrowok="t"/>
              </v:shape>
              <v:shape style="position:absolute;left:9885;top:5480;width:67;height:1248" type="#_x0000_t75" stroked="false">
                <v:imagedata r:id="rId76" o:title=""/>
              </v:shape>
            </v:group>
            <v:group style="position:absolute;left:9914;top:6724;width:708;height:2" coordorigin="9914,6724" coordsize="708,2">
              <v:shape style="position:absolute;left:9914;top:6724;width:708;height:2" coordorigin="9914,6724" coordsize="708,0" path="m9914,6724l10622,6724e" filled="false" stroked="true" strokeweight="1.5pt" strokecolor="#000000">
                <v:path arrowok="t"/>
              </v:shape>
              <v:shape style="position:absolute;left:10593;top:5480;width:67;height:1258" type="#_x0000_t75" stroked="false">
                <v:imagedata r:id="rId75" o:title=""/>
              </v:shape>
            </v:group>
            <v:group style="position:absolute;left:10622;top:6724;width:852;height:2" coordorigin="10622,6724" coordsize="852,2">
              <v:shape style="position:absolute;left:10622;top:6724;width:852;height:2" coordorigin="10622,6724" coordsize="852,0" path="m10622,6724l11474,6724e" filled="false" stroked="true" strokeweight="1.5pt" strokecolor="#000000">
                <v:path arrowok="t"/>
              </v:shape>
              <v:shape style="position:absolute;left:11445;top:5480;width:67;height:1258" type="#_x0000_t75" stroked="false">
                <v:imagedata r:id="rId75" o:title=""/>
              </v:shape>
            </v:group>
            <v:group style="position:absolute;left:11474;top:6724;width:956;height:2" coordorigin="11474,6724" coordsize="956,2">
              <v:shape style="position:absolute;left:11474;top:6724;width:956;height:2" coordorigin="11474,6724" coordsize="956,0" path="m11474,6724l12429,6724e" filled="false" stroked="true" strokeweight="1.5pt" strokecolor="#000000">
                <v:path arrowok="t"/>
              </v:shape>
              <v:shape style="position:absolute;left:12400;top:5480;width:67;height:1258" type="#_x0000_t75" stroked="false">
                <v:imagedata r:id="rId75" o:title=""/>
              </v:shape>
            </v:group>
            <v:group style="position:absolute;left:12429;top:6724;width:1988;height:2" coordorigin="12429,6724" coordsize="1988,2">
              <v:shape style="position:absolute;left:12429;top:6724;width:1988;height:2" coordorigin="12429,6724" coordsize="1988,0" path="m12429,6724l14416,6724e" filled="false" stroked="true" strokeweight="1.5pt" strokecolor="#000000">
                <v:path arrowok="t"/>
              </v:shape>
              <v:shape style="position:absolute;left:7803;top:283;width:360;height:1304"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实质</w:t>
                      </w:r>
                    </w:p>
                    <w:p>
                      <w:pPr>
                        <w:spacing w:line="370" w:lineRule="atLeast" w:before="4"/>
                        <w:ind w:left="0" w:right="0" w:firstLine="0"/>
                        <w:jc w:val="both"/>
                        <w:rPr>
                          <w:rFonts w:ascii="宋体" w:hAnsi="宋体" w:cs="宋体" w:eastAsia="宋体" w:hint="default"/>
                          <w:sz w:val="18"/>
                          <w:szCs w:val="18"/>
                        </w:rPr>
                      </w:pPr>
                      <w:r>
                        <w:rPr>
                          <w:rFonts w:ascii="宋体" w:hAnsi="宋体" w:cs="宋体" w:eastAsia="宋体" w:hint="default"/>
                          <w:sz w:val="18"/>
                          <w:szCs w:val="18"/>
                        </w:rPr>
                        <w:t>上构 成对 子公</w:t>
                      </w:r>
                    </w:p>
                  </w:txbxContent>
                </v:textbox>
                <w10:wrap type="none"/>
              </v:shape>
              <v:shape style="position:absolute;left:11595;top:1032;width:2730;height:555" type="#_x0000_t202" filled="false" stroked="false">
                <v:textbox inset="0,0,0,0">
                  <w:txbxContent>
                    <w:p>
                      <w:pPr>
                        <w:spacing w:line="156" w:lineRule="exact" w:before="0"/>
                        <w:ind w:left="930" w:right="0" w:firstLine="0"/>
                        <w:jc w:val="left"/>
                        <w:rPr>
                          <w:rFonts w:ascii="宋体" w:hAnsi="宋体" w:cs="宋体" w:eastAsia="宋体" w:hint="default"/>
                          <w:sz w:val="18"/>
                          <w:szCs w:val="18"/>
                        </w:rPr>
                      </w:pPr>
                      <w:r>
                        <w:rPr>
                          <w:rFonts w:ascii="宋体" w:hAnsi="宋体" w:cs="宋体" w:eastAsia="宋体" w:hint="default"/>
                          <w:sz w:val="18"/>
                          <w:szCs w:val="18"/>
                        </w:rPr>
                        <w:t>从母公司所有者权益冲</w:t>
                      </w:r>
                    </w:p>
                    <w:p>
                      <w:pPr>
                        <w:spacing w:line="18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少数股东</w:t>
                      </w:r>
                    </w:p>
                    <w:p>
                      <w:pPr>
                        <w:spacing w:line="211" w:lineRule="exact" w:before="0"/>
                        <w:ind w:left="930" w:right="0" w:firstLine="0"/>
                        <w:jc w:val="left"/>
                        <w:rPr>
                          <w:rFonts w:ascii="宋体" w:hAnsi="宋体" w:cs="宋体" w:eastAsia="宋体" w:hint="default"/>
                          <w:sz w:val="18"/>
                          <w:szCs w:val="18"/>
                        </w:rPr>
                      </w:pPr>
                      <w:r>
                        <w:rPr>
                          <w:rFonts w:ascii="宋体" w:hAnsi="宋体" w:cs="宋体" w:eastAsia="宋体" w:hint="default"/>
                          <w:sz w:val="18"/>
                          <w:szCs w:val="18"/>
                        </w:rPr>
                        <w:t>减子公司少数股东分担</w:t>
                      </w:r>
                    </w:p>
                  </w:txbxContent>
                </v:textbox>
                <w10:wrap type="none"/>
              </v:shape>
              <v:shape style="position:absolute;left:1420;top:178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w:t>
                      </w:r>
                    </w:p>
                  </w:txbxContent>
                </v:textbox>
                <w10:wrap type="none"/>
              </v:shape>
              <v:shape style="position:absolute;left:6793;top:1781;width:4620;height:180" type="#_x0000_t202" filled="false" stroked="false">
                <v:textbox inset="0,0,0,0">
                  <w:txbxContent>
                    <w:p>
                      <w:pPr>
                        <w:tabs>
                          <w:tab w:pos="1010" w:val="left" w:leader="none"/>
                          <w:tab w:pos="162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期末实际</w:t>
                        <w:tab/>
                        <w:t>司净</w:t>
                        <w:tab/>
                        <w:t>持股比  表决权比  是否合</w:t>
                      </w:r>
                      <w:r>
                        <w:rPr>
                          <w:rFonts w:ascii="宋体" w:hAnsi="宋体" w:cs="宋体" w:eastAsia="宋体" w:hint="default"/>
                          <w:spacing w:val="20"/>
                          <w:sz w:val="18"/>
                          <w:szCs w:val="18"/>
                        </w:rPr>
                        <w:t> </w:t>
                      </w:r>
                      <w:r>
                        <w:rPr>
                          <w:rFonts w:ascii="宋体" w:hAnsi="宋体" w:cs="宋体" w:eastAsia="宋体" w:hint="default"/>
                          <w:sz w:val="18"/>
                          <w:szCs w:val="18"/>
                        </w:rPr>
                        <w:t>少数股东</w:t>
                      </w:r>
                    </w:p>
                  </w:txbxContent>
                </v:textbox>
                <w10:wrap type="none"/>
              </v:shape>
              <v:shape style="position:absolute;left:2895;top:1968;width:3155;height:180" type="#_x0000_t202" filled="false" stroked="false">
                <v:textbox inset="0,0,0,0">
                  <w:txbxContent>
                    <w:p>
                      <w:pPr>
                        <w:tabs>
                          <w:tab w:pos="963" w:val="left" w:leader="none"/>
                          <w:tab w:pos="243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业务性质</w:t>
                        <w:tab/>
                        <w:t>注册资本</w:t>
                        <w:tab/>
                        <w:t>经营范围</w:t>
                      </w:r>
                    </w:p>
                  </w:txbxContent>
                </v:textbox>
                <w10:wrap type="none"/>
              </v:shape>
              <v:shape style="position:absolute;left:11595;top:1594;width:2730;height:555" type="#_x0000_t202" filled="false" stroked="false">
                <v:textbox inset="0,0,0,0">
                  <w:txbxContent>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权益中用</w:t>
                      </w:r>
                    </w:p>
                    <w:p>
                      <w:pPr>
                        <w:spacing w:line="187" w:lineRule="exact" w:before="0"/>
                        <w:ind w:left="930" w:right="0" w:firstLine="0"/>
                        <w:jc w:val="left"/>
                        <w:rPr>
                          <w:rFonts w:ascii="宋体" w:hAnsi="宋体" w:cs="宋体" w:eastAsia="宋体" w:hint="default"/>
                          <w:sz w:val="18"/>
                          <w:szCs w:val="18"/>
                        </w:rPr>
                      </w:pPr>
                      <w:r>
                        <w:rPr>
                          <w:rFonts w:ascii="宋体" w:hAnsi="宋体" w:cs="宋体" w:eastAsia="宋体" w:hint="default"/>
                          <w:sz w:val="18"/>
                          <w:szCs w:val="18"/>
                        </w:rPr>
                        <w:t>的本年亏损超过少数股</w:t>
                      </w:r>
                    </w:p>
                    <w:p>
                      <w:pPr>
                        <w:spacing w:line="211"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于冲减少</w:t>
                      </w:r>
                    </w:p>
                  </w:txbxContent>
                </v:textbox>
                <w10:wrap type="none"/>
              </v:shape>
              <v:shape style="position:absolute;left:230;top:196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2152;top:196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r>
                    </w:p>
                  </w:txbxContent>
                </v:textbox>
                <w10:wrap type="none"/>
              </v:shape>
              <v:shape style="position:absolute;left:1510;top:2155;width:12815;height:1678" type="#_x0000_t202" filled="false" stroked="false">
                <v:textbox inset="0,0,0,0">
                  <w:txbxContent>
                    <w:p>
                      <w:pPr>
                        <w:tabs>
                          <w:tab w:pos="5372" w:val="left" w:leader="none"/>
                          <w:tab w:pos="6292" w:val="left" w:leader="none"/>
                          <w:tab w:pos="6956" w:val="left" w:leader="none"/>
                          <w:tab w:pos="7757" w:val="left" w:leader="none"/>
                          <w:tab w:pos="8492" w:val="left" w:leader="none"/>
                          <w:tab w:pos="9362" w:val="left" w:leader="none"/>
                          <w:tab w:pos="11014" w:val="left" w:leader="none"/>
                        </w:tabs>
                        <w:spacing w:line="180" w:lineRule="auto" w:before="0"/>
                        <w:ind w:left="10084" w:right="0" w:hanging="10085"/>
                        <w:jc w:val="left"/>
                        <w:rPr>
                          <w:rFonts w:ascii="宋体" w:hAnsi="宋体" w:cs="宋体" w:eastAsia="宋体" w:hint="default"/>
                          <w:sz w:val="18"/>
                          <w:szCs w:val="18"/>
                        </w:rPr>
                      </w:pPr>
                      <w:r>
                        <w:rPr>
                          <w:rFonts w:ascii="宋体" w:hAnsi="宋体" w:cs="宋体" w:eastAsia="宋体" w:hint="default"/>
                          <w:sz w:val="18"/>
                          <w:szCs w:val="18"/>
                        </w:rPr>
                        <w:t>类型</w:t>
                        <w:tab/>
                        <w:t>出资额</w:t>
                        <w:tab/>
                        <w:t>投资</w:t>
                        <w:tab/>
                        <w:t>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并报表</w:t>
                        <w:tab/>
                        <w:t>权益</w:t>
                        <w:tab/>
                        <w:tab/>
                        <w:t>东在该子公司期初所有 数股东损</w:t>
                      </w:r>
                    </w:p>
                    <w:p>
                      <w:pPr>
                        <w:tabs>
                          <w:tab w:pos="11014" w:val="left" w:leader="none"/>
                        </w:tabs>
                        <w:spacing w:line="169" w:lineRule="exact" w:before="0"/>
                        <w:ind w:left="6292" w:right="0" w:firstLine="0"/>
                        <w:jc w:val="left"/>
                        <w:rPr>
                          <w:rFonts w:ascii="宋体" w:hAnsi="宋体" w:cs="宋体" w:eastAsia="宋体" w:hint="default"/>
                          <w:sz w:val="18"/>
                          <w:szCs w:val="18"/>
                        </w:rPr>
                      </w:pPr>
                      <w:r>
                        <w:rPr>
                          <w:rFonts w:ascii="宋体" w:hAnsi="宋体" w:cs="宋体" w:eastAsia="宋体" w:hint="default"/>
                          <w:sz w:val="18"/>
                          <w:szCs w:val="18"/>
                        </w:rPr>
                        <w:t>的其</w:t>
                        <w:tab/>
                        <w:t>者权益中所享有份额后</w:t>
                      </w:r>
                    </w:p>
                    <w:p>
                      <w:pPr>
                        <w:spacing w:line="187" w:lineRule="exact" w:before="0"/>
                        <w:ind w:left="0" w:right="2008" w:firstLine="0"/>
                        <w:jc w:val="right"/>
                        <w:rPr>
                          <w:rFonts w:ascii="宋体" w:hAnsi="宋体" w:cs="宋体" w:eastAsia="宋体" w:hint="default"/>
                          <w:sz w:val="18"/>
                          <w:szCs w:val="18"/>
                        </w:rPr>
                      </w:pPr>
                      <w:r>
                        <w:rPr>
                          <w:rFonts w:ascii="宋体" w:hAnsi="宋体" w:cs="宋体" w:eastAsia="宋体" w:hint="default"/>
                          <w:sz w:val="18"/>
                          <w:szCs w:val="18"/>
                        </w:rPr>
                        <w:t>益的金额</w:t>
                      </w:r>
                    </w:p>
                    <w:p>
                      <w:pPr>
                        <w:tabs>
                          <w:tab w:pos="11644" w:val="left" w:leader="none"/>
                        </w:tabs>
                        <w:spacing w:line="211" w:lineRule="exact" w:before="0"/>
                        <w:ind w:left="6292" w:right="0" w:firstLine="0"/>
                        <w:jc w:val="left"/>
                        <w:rPr>
                          <w:rFonts w:ascii="宋体" w:hAnsi="宋体" w:cs="宋体" w:eastAsia="宋体" w:hint="default"/>
                          <w:sz w:val="18"/>
                          <w:szCs w:val="18"/>
                        </w:rPr>
                      </w:pPr>
                      <w:r>
                        <w:rPr>
                          <w:rFonts w:ascii="宋体" w:hAnsi="宋体" w:cs="宋体" w:eastAsia="宋体" w:hint="default"/>
                          <w:sz w:val="18"/>
                          <w:szCs w:val="18"/>
                        </w:rPr>
                        <w:t>他项</w:t>
                        <w:tab/>
                        <w:t>的余额</w:t>
                      </w:r>
                    </w:p>
                    <w:p>
                      <w:pPr>
                        <w:spacing w:line="370" w:lineRule="atLeast" w:before="4"/>
                        <w:ind w:left="6292" w:right="6161" w:firstLine="0"/>
                        <w:jc w:val="center"/>
                        <w:rPr>
                          <w:rFonts w:ascii="宋体" w:hAnsi="宋体" w:cs="宋体" w:eastAsia="宋体" w:hint="default"/>
                          <w:sz w:val="18"/>
                          <w:szCs w:val="18"/>
                        </w:rPr>
                      </w:pPr>
                      <w:r>
                        <w:rPr>
                          <w:rFonts w:ascii="宋体" w:hAnsi="宋体" w:cs="宋体" w:eastAsia="宋体" w:hint="default"/>
                          <w:sz w:val="18"/>
                          <w:szCs w:val="18"/>
                        </w:rPr>
                        <w:t>目余 额</w:t>
                      </w:r>
                    </w:p>
                  </w:txbxContent>
                </v:textbox>
                <w10:wrap type="none"/>
              </v:shape>
              <v:shape style="position:absolute;left:137;top:4006;width:108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吉林高琦聚酰</w:t>
                      </w:r>
                    </w:p>
                  </w:txbxContent>
                </v:textbox>
                <w10:wrap type="none"/>
              </v:shape>
              <v:shape style="position:absolute;left:137;top:4318;width:1160;height:112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亚胺材料有限</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p>
                      <w:pPr>
                        <w:spacing w:line="310" w:lineRule="atLeast" w:before="15"/>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7"/>
                          <w:sz w:val="18"/>
                          <w:szCs w:val="18"/>
                        </w:rPr>
                        <w:t> </w:t>
                      </w:r>
                      <w:r>
                        <w:rPr>
                          <w:rFonts w:ascii="宋体" w:hAnsi="宋体" w:cs="宋体" w:eastAsia="宋体" w:hint="default"/>
                          <w:spacing w:val="48"/>
                          <w:sz w:val="18"/>
                          <w:szCs w:val="18"/>
                        </w:rPr>
                        <w:t>吉林高</w:t>
                      </w:r>
                      <w:r>
                        <w:rPr>
                          <w:rFonts w:ascii="宋体" w:hAnsi="宋体" w:cs="宋体" w:eastAsia="宋体" w:hint="default"/>
                          <w:spacing w:val="-18"/>
                          <w:sz w:val="18"/>
                          <w:szCs w:val="18"/>
                        </w:rPr>
                        <w:t> </w:t>
                      </w:r>
                      <w:r>
                        <w:rPr>
                          <w:rFonts w:ascii="宋体" w:hAnsi="宋体" w:cs="宋体" w:eastAsia="宋体" w:hint="default"/>
                          <w:sz w:val="18"/>
                          <w:szCs w:val="18"/>
                        </w:rPr>
                        <w:t>琦</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p>
                  </w:txbxContent>
                </v:textbox>
                <w10:wrap type="none"/>
              </v:shape>
              <v:shape style="position:absolute;left:1395;top:4517;width:540;height:42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有限公</w:t>
                      </w:r>
                    </w:p>
                    <w:p>
                      <w:pPr>
                        <w:spacing w:before="4"/>
                        <w:ind w:left="0" w:right="0" w:firstLine="0"/>
                        <w:jc w:val="center"/>
                        <w:rPr>
                          <w:rFonts w:ascii="宋体" w:hAnsi="宋体" w:cs="宋体" w:eastAsia="宋体" w:hint="default"/>
                          <w:sz w:val="18"/>
                          <w:szCs w:val="18"/>
                        </w:rPr>
                      </w:pPr>
                      <w:r>
                        <w:rPr>
                          <w:rFonts w:ascii="宋体" w:hAnsi="宋体" w:cs="宋体" w:eastAsia="宋体" w:hint="default"/>
                          <w:sz w:val="18"/>
                          <w:szCs w:val="18"/>
                        </w:rPr>
                        <w:t>司</w:t>
                      </w:r>
                    </w:p>
                  </w:txbxContent>
                </v:textbox>
                <w10:wrap type="none"/>
              </v:shape>
              <v:shape style="position:absolute;left:2242;top:4517;width:360;height:420"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吉林</w:t>
                      </w:r>
                    </w:p>
                    <w:p>
                      <w:pPr>
                        <w:spacing w:before="4"/>
                        <w:ind w:left="90" w:right="0" w:firstLine="0"/>
                        <w:jc w:val="left"/>
                        <w:rPr>
                          <w:rFonts w:ascii="宋体" w:hAnsi="宋体" w:cs="宋体" w:eastAsia="宋体" w:hint="default"/>
                          <w:sz w:val="18"/>
                          <w:szCs w:val="18"/>
                        </w:rPr>
                      </w:pPr>
                      <w:r>
                        <w:rPr>
                          <w:rFonts w:ascii="宋体" w:hAnsi="宋体" w:cs="宋体" w:eastAsia="宋体" w:hint="default"/>
                          <w:sz w:val="18"/>
                          <w:szCs w:val="18"/>
                        </w:rPr>
                        <w:t>市</w:t>
                      </w:r>
                    </w:p>
                  </w:txbxContent>
                </v:textbox>
                <w10:wrap type="none"/>
              </v:shape>
              <v:shape style="position:absolute;left:2985;top:46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制造业</w:t>
                      </w:r>
                    </w:p>
                  </w:txbxContent>
                </v:textbox>
                <w10:wrap type="none"/>
              </v:shape>
              <v:shape style="position:absolute;left:3859;top:4647;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38,140.83</w:t>
                      </w:r>
                    </w:p>
                  </w:txbxContent>
                </v:textbox>
                <w10:wrap type="none"/>
              </v:shape>
              <v:shape style="position:absolute;left:4832;top:4397;width:1730;height:67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筹建聚酰亚胺生产项</w:t>
                      </w:r>
                      <w:r>
                        <w:rPr>
                          <w:rFonts w:ascii="宋体" w:hAnsi="宋体" w:cs="宋体" w:eastAsia="宋体" w:hint="default"/>
                          <w:sz w:val="18"/>
                          <w:szCs w:val="18"/>
                        </w:rPr>
                      </w:r>
                    </w:p>
                    <w:p>
                      <w:pPr>
                        <w:spacing w:line="240" w:lineRule="exact" w:before="22"/>
                        <w:ind w:left="0" w:right="7" w:firstLine="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目</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筹建期间不得生产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经营</w:t>
                      </w:r>
                      <w:r>
                        <w:rPr>
                          <w:rFonts w:ascii="Times New Roman" w:hAnsi="Times New Roman" w:cs="Times New Roman" w:eastAsia="Times New Roman" w:hint="default"/>
                          <w:sz w:val="18"/>
                          <w:szCs w:val="18"/>
                        </w:rPr>
                        <w:t>)</w:t>
                      </w:r>
                    </w:p>
                  </w:txbxContent>
                </v:textbox>
                <w10:wrap type="none"/>
              </v:shape>
              <v:shape style="position:absolute;left:6823;top:4647;width:2919;height:180" type="#_x0000_t202" filled="false" stroked="false">
                <v:textbox inset="0,0,0,0">
                  <w:txbxContent>
                    <w:p>
                      <w:pPr>
                        <w:tabs>
                          <w:tab w:pos="1069" w:val="left" w:leader="none"/>
                          <w:tab w:pos="1622" w:val="left" w:leader="none"/>
                          <w:tab w:pos="242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38,140.83</w:t>
                        <w:tab/>
                        <w:t>---</w:t>
                        <w:tab/>
                        <w:t>100.00</w:t>
                        <w:tab/>
                        <w:t>100.00</w:t>
                      </w:r>
                    </w:p>
                  </w:txbxContent>
                </v:textbox>
                <w10:wrap type="none"/>
              </v:shape>
              <v:shape style="position:absolute;left:10339;top:4630;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11191;top:4637;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2146;top:4637;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4129;top:4637;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5667;width:1088;height:91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江西先材纳米</w:t>
                      </w:r>
                    </w:p>
                    <w:p>
                      <w:pPr>
                        <w:spacing w:line="240" w:lineRule="exact" w:before="22"/>
                        <w:ind w:left="0" w:right="0" w:firstLine="0"/>
                        <w:jc w:val="both"/>
                        <w:rPr>
                          <w:rFonts w:ascii="Times New Roman" w:hAnsi="Times New Roman" w:cs="Times New Roman" w:eastAsia="Times New Roman" w:hint="default"/>
                          <w:sz w:val="18"/>
                          <w:szCs w:val="18"/>
                        </w:rPr>
                      </w:pPr>
                      <w:r>
                        <w:rPr>
                          <w:rFonts w:ascii="宋体" w:hAnsi="宋体" w:cs="宋体" w:eastAsia="宋体" w:hint="default"/>
                          <w:sz w:val="18"/>
                          <w:szCs w:val="18"/>
                        </w:rPr>
                        <w:t>纤维科技有限</w:t>
                      </w:r>
                      <w:r>
                        <w:rPr>
                          <w:rFonts w:ascii="宋体" w:hAnsi="宋体" w:cs="宋体" w:eastAsia="宋体" w:hint="default"/>
                          <w:spacing w:val="-85"/>
                          <w:sz w:val="18"/>
                          <w:szCs w:val="18"/>
                        </w:rPr>
                        <w:t> </w:t>
                      </w:r>
                      <w:r>
                        <w:rPr>
                          <w:rFonts w:ascii="宋体" w:hAnsi="宋体" w:cs="宋体" w:eastAsia="宋体" w:hint="default"/>
                          <w:spacing w:val="-11"/>
                          <w:sz w:val="18"/>
                          <w:szCs w:val="18"/>
                        </w:rPr>
                        <w:t>公司（</w:t>
                      </w:r>
                      <w:r>
                        <w:rPr>
                          <w:rFonts w:ascii="Times New Roman" w:hAnsi="Times New Roman" w:cs="Times New Roman" w:eastAsia="Times New Roman" w:hint="default"/>
                          <w:spacing w:val="-11"/>
                          <w:sz w:val="18"/>
                          <w:szCs w:val="18"/>
                        </w:rPr>
                        <w:t>“</w:t>
                      </w:r>
                      <w:r>
                        <w:rPr>
                          <w:rFonts w:ascii="宋体" w:hAnsi="宋体" w:cs="宋体" w:eastAsia="宋体" w:hint="default"/>
                          <w:spacing w:val="-11"/>
                          <w:sz w:val="18"/>
                          <w:szCs w:val="18"/>
                        </w:rPr>
                        <w:t>江西先</w:t>
                      </w:r>
                      <w:r>
                        <w:rPr>
                          <w:rFonts w:ascii="宋体" w:hAnsi="宋体" w:cs="宋体" w:eastAsia="宋体" w:hint="default"/>
                          <w:sz w:val="18"/>
                          <w:szCs w:val="18"/>
                        </w:rPr>
                        <w:t> 材</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p>
                  </w:txbxContent>
                </v:textbox>
                <w10:wrap type="none"/>
              </v:shape>
              <v:shape style="position:absolute;left:1388;top:5906;width:54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司</w:t>
                      </w:r>
                    </w:p>
                  </w:txbxContent>
                </v:textbox>
                <w10:wrap type="none"/>
              </v:shape>
              <v:shape style="position:absolute;left:2159;top:6026;width:1283;height:180" type="#_x0000_t202" filled="false" stroked="false">
                <v:textbox inset="0,0,0,0">
                  <w:txbxContent>
                    <w:p>
                      <w:pPr>
                        <w:tabs>
                          <w:tab w:pos="74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南昌</w:t>
                        <w:tab/>
                        <w:t>制造业</w:t>
                      </w:r>
                    </w:p>
                  </w:txbxContent>
                </v:textbox>
                <w10:wrap type="none"/>
              </v:shape>
              <v:shape style="position:absolute;left:3985;top:6036;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9,000.00</w:t>
                      </w:r>
                    </w:p>
                  </w:txbxContent>
                </v:textbox>
                <w10:wrap type="none"/>
              </v:shape>
              <v:shape style="position:absolute;left:4832;top:5546;width:1730;height:114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9"/>
                          <w:sz w:val="18"/>
                          <w:szCs w:val="18"/>
                        </w:rPr>
                        <w:t>聚酰亚胺、聚酰胺、聚</w:t>
                      </w:r>
                    </w:p>
                    <w:p>
                      <w:pPr>
                        <w:spacing w:line="244" w:lineRule="auto" w:before="4"/>
                        <w:ind w:left="0" w:right="0" w:firstLine="0"/>
                        <w:jc w:val="both"/>
                        <w:rPr>
                          <w:rFonts w:ascii="宋体" w:hAnsi="宋体" w:cs="宋体" w:eastAsia="宋体" w:hint="default"/>
                          <w:sz w:val="18"/>
                          <w:szCs w:val="18"/>
                        </w:rPr>
                      </w:pPr>
                      <w:r>
                        <w:rPr>
                          <w:rFonts w:ascii="宋体" w:hAnsi="宋体" w:cs="宋体" w:eastAsia="宋体" w:hint="default"/>
                          <w:spacing w:val="-9"/>
                          <w:sz w:val="18"/>
                          <w:szCs w:val="18"/>
                        </w:rPr>
                        <w:t>氨酯、腈纶、聚乳酸聚</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2"/>
                          <w:sz w:val="18"/>
                          <w:szCs w:val="18"/>
                        </w:rPr>
                        <w:t>合物纳米纤维和碳纳</w:t>
                      </w:r>
                      <w:r>
                        <w:rPr>
                          <w:rFonts w:ascii="宋体" w:hAnsi="宋体" w:cs="宋体" w:eastAsia="宋体" w:hint="default"/>
                          <w:spacing w:val="12"/>
                          <w:sz w:val="18"/>
                          <w:szCs w:val="18"/>
                        </w:rPr>
                        <w:t> 米纤维及其纳米纤维 </w:t>
                      </w:r>
                      <w:r>
                        <w:rPr>
                          <w:rFonts w:ascii="宋体" w:hAnsi="宋体" w:cs="宋体" w:eastAsia="宋体" w:hint="default"/>
                          <w:spacing w:val="-9"/>
                          <w:sz w:val="18"/>
                          <w:szCs w:val="18"/>
                        </w:rPr>
                        <w:t>电池隔膜、绝缘膜、过</w:t>
                      </w:r>
                    </w:p>
                  </w:txbxContent>
                </v:textbox>
                <w10:wrap type="none"/>
              </v:shape>
              <v:shape style="position:absolute;left:6911;top:6036;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6,102.00</w:t>
                      </w:r>
                    </w:p>
                  </w:txbxContent>
                </v:textbox>
                <w10:wrap type="none"/>
              </v:shape>
              <v:shape style="position:absolute;left:8027;top:6106;width:936;height:180" type="#_x0000_t202" filled="false" stroked="false">
                <v:textbox inset="0,0,0,0">
                  <w:txbxContent>
                    <w:p>
                      <w:pPr>
                        <w:tabs>
                          <w:tab w:pos="529"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tab/>
                        <w:t>67.80</w:t>
                      </w:r>
                    </w:p>
                  </w:txbxContent>
                </v:textbox>
                <w10:wrap type="none"/>
              </v:shape>
              <v:shape style="position:absolute;left:9405;top:610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67.80</w:t>
                      </w:r>
                    </w:p>
                  </w:txbxContent>
                </v:textbox>
                <w10:wrap type="none"/>
              </v:shape>
              <v:shape style="position:absolute;left:10339;top:608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12146;top:610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4129;top:610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0739;top:6367;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2,830.14</w:t>
                      </w:r>
                    </w:p>
                  </w:txbxContent>
                </v:textbox>
                <w10:wrap type="none"/>
              </v:shape>
            </v:group>
          </v:group>
        </w:pict>
      </w:r>
      <w:r>
        <w:rPr>
          <w:rFonts w:ascii="宋体" w:hAnsi="宋体" w:cs="宋体" w:eastAsia="宋体" w:hint="default"/>
          <w:position w:val="-134"/>
          <w:sz w:val="20"/>
          <w:szCs w:val="20"/>
        </w:rPr>
      </w:r>
    </w:p>
    <w:p>
      <w:pPr>
        <w:spacing w:after="0" w:line="6739" w:lineRule="exact"/>
        <w:rPr>
          <w:rFonts w:ascii="宋体" w:hAnsi="宋体" w:cs="宋体" w:eastAsia="宋体" w:hint="default"/>
          <w:sz w:val="20"/>
          <w:szCs w:val="20"/>
        </w:rPr>
        <w:sectPr>
          <w:headerReference w:type="default" r:id="rId71"/>
          <w:footerReference w:type="default" r:id="rId72"/>
          <w:pgSz w:w="16840" w:h="11910" w:orient="landscape"/>
          <w:pgMar w:header="686" w:footer="1266" w:top="1160" w:bottom="1460" w:left="1160" w:right="980"/>
          <w:pgNumType w:start="123"/>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5"/>
          <w:szCs w:val="15"/>
        </w:rPr>
      </w:pPr>
    </w:p>
    <w:p>
      <w:pPr>
        <w:spacing w:line="381" w:lineRule="auto" w:before="44"/>
        <w:ind w:left="7945" w:right="6392" w:firstLine="0"/>
        <w:jc w:val="center"/>
        <w:rPr>
          <w:rFonts w:ascii="宋体" w:hAnsi="宋体" w:cs="宋体" w:eastAsia="宋体" w:hint="default"/>
          <w:sz w:val="18"/>
          <w:szCs w:val="18"/>
        </w:rPr>
      </w:pPr>
      <w:r>
        <w:rPr>
          <w:rFonts w:ascii="宋体" w:hAnsi="宋体" w:cs="宋体" w:eastAsia="宋体" w:hint="default"/>
          <w:sz w:val="18"/>
          <w:szCs w:val="18"/>
        </w:rPr>
        <w:t>实质 上构</w:t>
      </w:r>
    </w:p>
    <w:p>
      <w:pPr>
        <w:spacing w:after="0" w:line="381" w:lineRule="auto"/>
        <w:jc w:val="center"/>
        <w:rPr>
          <w:rFonts w:ascii="宋体" w:hAnsi="宋体" w:cs="宋体" w:eastAsia="宋体" w:hint="default"/>
          <w:sz w:val="18"/>
          <w:szCs w:val="18"/>
        </w:rPr>
        <w:sectPr>
          <w:pgSz w:w="16840" w:h="11910" w:orient="landscape"/>
          <w:pgMar w:header="686" w:footer="1266" w:top="1160" w:bottom="1460" w:left="1160" w:right="980"/>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20"/>
          <w:szCs w:val="20"/>
        </w:rPr>
      </w:pPr>
    </w:p>
    <w:p>
      <w:pPr>
        <w:spacing w:before="0"/>
        <w:ind w:left="372" w:right="-20" w:firstLine="0"/>
        <w:jc w:val="left"/>
        <w:rPr>
          <w:rFonts w:ascii="宋体" w:hAnsi="宋体" w:cs="宋体" w:eastAsia="宋体" w:hint="default"/>
          <w:sz w:val="18"/>
          <w:szCs w:val="18"/>
        </w:rPr>
      </w:pPr>
      <w:r>
        <w:rPr>
          <w:rFonts w:ascii="宋体" w:hAnsi="宋体" w:cs="宋体" w:eastAsia="宋体" w:hint="default"/>
          <w:sz w:val="18"/>
          <w:szCs w:val="18"/>
        </w:rPr>
        <w:t>子公司全称</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3"/>
          <w:szCs w:val="23"/>
        </w:rPr>
      </w:pPr>
    </w:p>
    <w:p>
      <w:pPr>
        <w:spacing w:line="381" w:lineRule="auto" w:before="0"/>
        <w:ind w:left="340" w:right="-20" w:hanging="90"/>
        <w:jc w:val="left"/>
        <w:rPr>
          <w:rFonts w:ascii="宋体" w:hAnsi="宋体" w:cs="宋体" w:eastAsia="宋体" w:hint="default"/>
          <w:sz w:val="18"/>
          <w:szCs w:val="18"/>
        </w:rPr>
      </w:pPr>
      <w:r>
        <w:rPr>
          <w:rFonts w:ascii="宋体" w:hAnsi="宋体" w:cs="宋体" w:eastAsia="宋体" w:hint="default"/>
          <w:sz w:val="18"/>
          <w:szCs w:val="18"/>
        </w:rPr>
        <w:t>子公司 类型</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20"/>
          <w:szCs w:val="20"/>
        </w:rPr>
      </w:pPr>
    </w:p>
    <w:p>
      <w:pPr>
        <w:tabs>
          <w:tab w:pos="894" w:val="left" w:leader="none"/>
          <w:tab w:pos="1858" w:val="left" w:leader="none"/>
          <w:tab w:pos="3329" w:val="left" w:leader="none"/>
        </w:tabs>
        <w:spacing w:before="0"/>
        <w:ind w:left="152" w:right="-20" w:firstLine="0"/>
        <w:jc w:val="left"/>
        <w:rPr>
          <w:rFonts w:ascii="宋体" w:hAnsi="宋体" w:cs="宋体" w:eastAsia="宋体" w:hint="default"/>
          <w:sz w:val="18"/>
          <w:szCs w:val="18"/>
        </w:rPr>
      </w:pPr>
      <w:r>
        <w:rPr>
          <w:rFonts w:ascii="宋体" w:hAnsi="宋体" w:cs="宋体" w:eastAsia="宋体" w:hint="default"/>
          <w:sz w:val="18"/>
          <w:szCs w:val="18"/>
        </w:rPr>
        <w:t>注册地</w:t>
        <w:tab/>
        <w:t>业务性质</w:t>
        <w:tab/>
        <w:t>注册资本</w:t>
        <w:tab/>
        <w:t>经营范围</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3"/>
          <w:szCs w:val="23"/>
        </w:rPr>
      </w:pPr>
    </w:p>
    <w:p>
      <w:pPr>
        <w:spacing w:line="381" w:lineRule="auto" w:before="0"/>
        <w:ind w:left="462" w:right="-20" w:hanging="90"/>
        <w:jc w:val="left"/>
        <w:rPr>
          <w:rFonts w:ascii="宋体" w:hAnsi="宋体" w:cs="宋体" w:eastAsia="宋体" w:hint="default"/>
          <w:sz w:val="18"/>
          <w:szCs w:val="18"/>
        </w:rPr>
      </w:pPr>
      <w:r>
        <w:rPr>
          <w:rFonts w:ascii="宋体" w:hAnsi="宋体" w:cs="宋体" w:eastAsia="宋体" w:hint="default"/>
          <w:sz w:val="18"/>
          <w:szCs w:val="18"/>
        </w:rPr>
        <w:t>期末实际 出资额</w:t>
      </w:r>
    </w:p>
    <w:p>
      <w:pPr>
        <w:spacing w:line="381" w:lineRule="auto" w:before="32"/>
        <w:ind w:left="250" w:right="779" w:firstLine="0"/>
        <w:jc w:val="left"/>
        <w:rPr>
          <w:rFonts w:ascii="宋体" w:hAnsi="宋体" w:cs="宋体" w:eastAsia="宋体" w:hint="default"/>
          <w:sz w:val="18"/>
          <w:szCs w:val="18"/>
        </w:rPr>
      </w:pPr>
      <w:r>
        <w:rPr/>
        <w:br w:type="column"/>
      </w:r>
      <w:r>
        <w:rPr>
          <w:rFonts w:ascii="宋体" w:hAnsi="宋体" w:cs="宋体" w:eastAsia="宋体" w:hint="default"/>
          <w:sz w:val="18"/>
          <w:szCs w:val="18"/>
        </w:rPr>
        <w:t>成对 子公</w:t>
      </w:r>
    </w:p>
    <w:p>
      <w:pPr>
        <w:tabs>
          <w:tab w:pos="869" w:val="left" w:leader="none"/>
        </w:tabs>
        <w:spacing w:before="32"/>
        <w:ind w:left="250" w:right="-20" w:firstLine="0"/>
        <w:jc w:val="left"/>
        <w:rPr>
          <w:rFonts w:ascii="宋体" w:hAnsi="宋体" w:cs="宋体" w:eastAsia="宋体" w:hint="default"/>
          <w:sz w:val="18"/>
          <w:szCs w:val="18"/>
        </w:rPr>
      </w:pPr>
      <w:r>
        <w:rPr>
          <w:rFonts w:ascii="宋体" w:hAnsi="宋体" w:cs="宋体" w:eastAsia="宋体" w:hint="default"/>
          <w:sz w:val="18"/>
          <w:szCs w:val="18"/>
        </w:rPr>
        <w:t>司净</w:t>
        <w:tab/>
        <w:t>持股比</w:t>
      </w:r>
    </w:p>
    <w:p>
      <w:pPr>
        <w:tabs>
          <w:tab w:pos="913" w:val="left" w:leader="none"/>
        </w:tabs>
        <w:spacing w:line="360" w:lineRule="auto" w:before="139"/>
        <w:ind w:left="250" w:right="43" w:firstLine="0"/>
        <w:jc w:val="left"/>
        <w:rPr>
          <w:rFonts w:ascii="宋体" w:hAnsi="宋体" w:cs="宋体" w:eastAsia="宋体" w:hint="default"/>
          <w:sz w:val="18"/>
          <w:szCs w:val="18"/>
        </w:rPr>
      </w:pPr>
      <w:r>
        <w:rPr>
          <w:rFonts w:ascii="宋体" w:hAnsi="宋体" w:cs="宋体" w:eastAsia="宋体" w:hint="default"/>
          <w:sz w:val="18"/>
          <w:szCs w:val="18"/>
        </w:rPr>
        <w:t>投资</w:t>
        <w:tab/>
        <w:t>例</w:t>
      </w:r>
      <w:r>
        <w:rPr>
          <w:rFonts w:ascii="Times New Roman" w:hAnsi="Times New Roman" w:cs="Times New Roman" w:eastAsia="Times New Roman" w:hint="default"/>
          <w:sz w:val="18"/>
          <w:szCs w:val="18"/>
        </w:rPr>
        <w:t>(%) </w:t>
      </w:r>
      <w:r>
        <w:rPr>
          <w:rFonts w:ascii="宋体" w:hAnsi="宋体" w:cs="宋体" w:eastAsia="宋体" w:hint="default"/>
          <w:sz w:val="18"/>
          <w:szCs w:val="18"/>
        </w:rPr>
        <w:t>的其</w:t>
      </w:r>
    </w:p>
    <w:p>
      <w:pPr>
        <w:spacing w:line="381" w:lineRule="auto" w:before="49"/>
        <w:ind w:left="250" w:right="779" w:firstLine="0"/>
        <w:jc w:val="left"/>
        <w:rPr>
          <w:rFonts w:ascii="宋体" w:hAnsi="宋体" w:cs="宋体" w:eastAsia="宋体" w:hint="default"/>
          <w:sz w:val="18"/>
          <w:szCs w:val="18"/>
        </w:rPr>
      </w:pPr>
      <w:r>
        <w:rPr>
          <w:rFonts w:ascii="宋体" w:hAnsi="宋体" w:cs="宋体" w:eastAsia="宋体" w:hint="default"/>
          <w:sz w:val="18"/>
          <w:szCs w:val="18"/>
        </w:rPr>
        <w:t>他项 目余</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3"/>
          <w:szCs w:val="23"/>
        </w:rPr>
      </w:pPr>
    </w:p>
    <w:p>
      <w:pPr>
        <w:spacing w:line="381" w:lineRule="auto" w:before="0"/>
        <w:ind w:left="265" w:right="-19" w:hanging="136"/>
        <w:jc w:val="left"/>
        <w:rPr>
          <w:rFonts w:ascii="Times New Roman" w:hAnsi="Times New Roman" w:cs="Times New Roman" w:eastAsia="Times New Roman" w:hint="default"/>
          <w:sz w:val="18"/>
          <w:szCs w:val="18"/>
        </w:rPr>
      </w:pPr>
      <w:r>
        <w:rPr>
          <w:rFonts w:ascii="宋体" w:hAnsi="宋体" w:cs="宋体" w:eastAsia="宋体" w:hint="default"/>
          <w:sz w:val="18"/>
          <w:szCs w:val="18"/>
        </w:rPr>
        <w:t>表决权比 例</w:t>
      </w:r>
      <w:r>
        <w:rPr>
          <w:rFonts w:ascii="Times New Roman" w:hAnsi="Times New Roman" w:cs="Times New Roman" w:eastAsia="Times New Roman" w:hint="default"/>
          <w:sz w:val="18"/>
          <w:szCs w:val="18"/>
        </w:rPr>
        <w:t>(%)</w:t>
      </w:r>
    </w:p>
    <w:p>
      <w:pPr>
        <w:spacing w:line="240" w:lineRule="auto" w:before="0"/>
        <w:rPr>
          <w:rFonts w:ascii="Times New Roman" w:hAnsi="Times New Roman" w:cs="Times New Roman" w:eastAsia="Times New Roman" w:hint="default"/>
          <w:sz w:val="18"/>
          <w:szCs w:val="18"/>
        </w:rPr>
      </w:pPr>
      <w:r>
        <w:rPr/>
        <w:br w:type="column"/>
      </w:r>
      <w:r>
        <w:rPr>
          <w:rFonts w:ascii="Times New Roman"/>
          <w:sz w:val="18"/>
        </w:rPr>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381" w:lineRule="auto" w:before="160"/>
        <w:ind w:left="109" w:right="-19" w:firstLine="0"/>
        <w:jc w:val="left"/>
        <w:rPr>
          <w:rFonts w:ascii="宋体" w:hAnsi="宋体" w:cs="宋体" w:eastAsia="宋体" w:hint="default"/>
          <w:sz w:val="18"/>
          <w:szCs w:val="18"/>
        </w:rPr>
      </w:pPr>
      <w:r>
        <w:rPr>
          <w:rFonts w:ascii="宋体" w:hAnsi="宋体" w:cs="宋体" w:eastAsia="宋体" w:hint="default"/>
          <w:sz w:val="18"/>
          <w:szCs w:val="18"/>
        </w:rPr>
        <w:t>是否合 并报表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3"/>
          <w:szCs w:val="23"/>
        </w:rPr>
      </w:pPr>
    </w:p>
    <w:p>
      <w:pPr>
        <w:spacing w:line="381" w:lineRule="auto" w:before="0"/>
        <w:ind w:left="289" w:right="-19" w:hanging="180"/>
        <w:jc w:val="left"/>
        <w:rPr>
          <w:rFonts w:ascii="宋体" w:hAnsi="宋体" w:cs="宋体" w:eastAsia="宋体" w:hint="default"/>
          <w:sz w:val="18"/>
          <w:szCs w:val="18"/>
        </w:rPr>
      </w:pPr>
      <w:r>
        <w:rPr>
          <w:rFonts w:ascii="宋体" w:hAnsi="宋体" w:cs="宋体" w:eastAsia="宋体" w:hint="default"/>
          <w:sz w:val="18"/>
          <w:szCs w:val="18"/>
        </w:rPr>
        <w:t>少数股东 权益</w:t>
      </w:r>
    </w:p>
    <w:p>
      <w:pPr>
        <w:spacing w:line="240" w:lineRule="auto" w:before="10"/>
        <w:rPr>
          <w:rFonts w:ascii="宋体" w:hAnsi="宋体" w:cs="宋体" w:eastAsia="宋体" w:hint="default"/>
          <w:sz w:val="16"/>
          <w:szCs w:val="16"/>
        </w:rPr>
      </w:pPr>
      <w:r>
        <w:rPr/>
        <w:br w:type="column"/>
      </w:r>
      <w:r>
        <w:rPr>
          <w:rFonts w:ascii="宋体"/>
          <w:sz w:val="16"/>
        </w:rPr>
      </w:r>
    </w:p>
    <w:p>
      <w:pPr>
        <w:spacing w:line="381" w:lineRule="auto" w:before="0"/>
        <w:ind w:left="142" w:right="0" w:firstLine="0"/>
        <w:jc w:val="both"/>
        <w:rPr>
          <w:rFonts w:ascii="宋体" w:hAnsi="宋体" w:cs="宋体" w:eastAsia="宋体" w:hint="default"/>
          <w:sz w:val="18"/>
          <w:szCs w:val="18"/>
        </w:rPr>
      </w:pPr>
      <w:r>
        <w:rPr>
          <w:rFonts w:ascii="宋体" w:hAnsi="宋体" w:cs="宋体" w:eastAsia="宋体" w:hint="default"/>
          <w:sz w:val="18"/>
          <w:szCs w:val="18"/>
        </w:rPr>
        <w:t>少数股东 权益中用 于冲减少 数股东损 益的金额</w:t>
      </w:r>
    </w:p>
    <w:p>
      <w:pPr>
        <w:spacing w:line="381" w:lineRule="auto" w:before="32"/>
        <w:ind w:left="170" w:right="230" w:firstLine="0"/>
        <w:jc w:val="center"/>
        <w:rPr>
          <w:rFonts w:ascii="宋体" w:hAnsi="宋体" w:cs="宋体" w:eastAsia="宋体" w:hint="default"/>
          <w:sz w:val="18"/>
          <w:szCs w:val="18"/>
        </w:rPr>
      </w:pPr>
      <w:r>
        <w:rPr/>
        <w:br w:type="column"/>
      </w:r>
      <w:r>
        <w:rPr>
          <w:rFonts w:ascii="宋体" w:hAnsi="宋体" w:cs="宋体" w:eastAsia="宋体" w:hint="default"/>
          <w:sz w:val="18"/>
          <w:szCs w:val="18"/>
        </w:rPr>
        <w:t>从母公司所有者权益冲 减子公司少数股东分担 的本年亏损超过少数股 东在该子公司期初所有 者权益中所享有份额后 的余额</w:t>
      </w:r>
    </w:p>
    <w:p>
      <w:pPr>
        <w:spacing w:after="0" w:line="381" w:lineRule="auto"/>
        <w:jc w:val="center"/>
        <w:rPr>
          <w:rFonts w:ascii="宋体" w:hAnsi="宋体" w:cs="宋体" w:eastAsia="宋体" w:hint="default"/>
          <w:sz w:val="18"/>
          <w:szCs w:val="18"/>
        </w:rPr>
        <w:sectPr>
          <w:type w:val="continuous"/>
          <w:pgSz w:w="16840" w:h="11910" w:orient="landscape"/>
          <w:pgMar w:top="900" w:bottom="1460" w:left="1160" w:right="980"/>
          <w:cols w:num="10" w:equalWidth="0">
            <w:col w:w="1273" w:space="40"/>
            <w:col w:w="791" w:space="40"/>
            <w:col w:w="4050" w:space="370"/>
            <w:col w:w="1093" w:space="40"/>
            <w:col w:w="1410" w:space="40"/>
            <w:col w:w="851" w:space="40"/>
            <w:col w:w="650" w:space="40"/>
            <w:col w:w="830" w:space="40"/>
            <w:col w:w="863" w:space="40"/>
            <w:col w:w="2199"/>
          </w:cols>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7"/>
          <w:szCs w:val="17"/>
        </w:rPr>
      </w:pPr>
    </w:p>
    <w:p>
      <w:pPr>
        <w:spacing w:line="316" w:lineRule="auto" w:before="0"/>
        <w:ind w:left="279" w:right="69" w:firstLine="0"/>
        <w:jc w:val="both"/>
        <w:rPr>
          <w:rFonts w:ascii="宋体" w:hAnsi="宋体" w:cs="宋体" w:eastAsia="宋体" w:hint="default"/>
          <w:sz w:val="18"/>
          <w:szCs w:val="18"/>
        </w:rPr>
      </w:pPr>
      <w:r>
        <w:rPr>
          <w:rFonts w:ascii="宋体" w:hAnsi="宋体" w:cs="宋体" w:eastAsia="宋体" w:hint="default"/>
          <w:sz w:val="18"/>
          <w:szCs w:val="18"/>
        </w:rPr>
        <w:t>深圳市惠程高</w:t>
      </w:r>
      <w:r>
        <w:rPr>
          <w:rFonts w:ascii="宋体" w:hAnsi="宋体" w:cs="宋体" w:eastAsia="宋体" w:hint="default"/>
          <w:spacing w:val="-85"/>
          <w:sz w:val="18"/>
          <w:szCs w:val="18"/>
        </w:rPr>
        <w:t> </w:t>
      </w:r>
      <w:r>
        <w:rPr>
          <w:rFonts w:ascii="宋体" w:hAnsi="宋体" w:cs="宋体" w:eastAsia="宋体" w:hint="default"/>
          <w:sz w:val="18"/>
          <w:szCs w:val="18"/>
        </w:rPr>
        <w:t>能能源科技有</w:t>
      </w:r>
      <w:r>
        <w:rPr>
          <w:rFonts w:ascii="宋体" w:hAnsi="宋体" w:cs="宋体" w:eastAsia="宋体" w:hint="default"/>
          <w:spacing w:val="-85"/>
          <w:sz w:val="18"/>
          <w:szCs w:val="18"/>
        </w:rPr>
        <w:t> </w:t>
      </w:r>
      <w:r>
        <w:rPr>
          <w:rFonts w:ascii="宋体" w:hAnsi="宋体" w:cs="宋体" w:eastAsia="宋体" w:hint="default"/>
          <w:sz w:val="18"/>
          <w:szCs w:val="18"/>
        </w:rPr>
        <w:t>限公司</w:t>
      </w:r>
    </w:p>
    <w:p>
      <w:pPr>
        <w:spacing w:line="300" w:lineRule="auto" w:before="19"/>
        <w:ind w:left="279" w:right="0" w:firstLine="0"/>
        <w:jc w:val="both"/>
        <w:rPr>
          <w:rFonts w:ascii="Times New Roman" w:hAnsi="Times New Roman" w:cs="Times New Roman" w:eastAsia="Times New Roman"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8"/>
          <w:sz w:val="18"/>
          <w:szCs w:val="18"/>
        </w:rPr>
        <w:t> </w:t>
      </w:r>
      <w:r>
        <w:rPr>
          <w:rFonts w:ascii="宋体" w:hAnsi="宋体" w:cs="宋体" w:eastAsia="宋体" w:hint="default"/>
          <w:spacing w:val="48"/>
          <w:sz w:val="18"/>
          <w:szCs w:val="18"/>
        </w:rPr>
        <w:t>惠程高</w:t>
      </w:r>
      <w:r>
        <w:rPr>
          <w:rFonts w:ascii="宋体" w:hAnsi="宋体" w:cs="宋体" w:eastAsia="宋体" w:hint="default"/>
          <w:spacing w:val="-18"/>
          <w:sz w:val="18"/>
          <w:szCs w:val="18"/>
        </w:rPr>
        <w:t> </w:t>
      </w:r>
      <w:r>
        <w:rPr>
          <w:rFonts w:ascii="宋体" w:hAnsi="宋体" w:cs="宋体" w:eastAsia="宋体" w:hint="default"/>
          <w:sz w:val="18"/>
          <w:szCs w:val="18"/>
        </w:rPr>
        <w:t>能</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316" w:lineRule="auto" w:before="124"/>
        <w:ind w:left="279" w:right="69" w:firstLine="0"/>
        <w:jc w:val="both"/>
        <w:rPr>
          <w:rFonts w:ascii="宋体" w:hAnsi="宋体" w:cs="宋体" w:eastAsia="宋体" w:hint="default"/>
          <w:sz w:val="18"/>
          <w:szCs w:val="18"/>
        </w:rPr>
      </w:pPr>
      <w:r>
        <w:rPr>
          <w:rFonts w:ascii="宋体" w:hAnsi="宋体" w:cs="宋体" w:eastAsia="宋体" w:hint="default"/>
          <w:sz w:val="18"/>
          <w:szCs w:val="18"/>
        </w:rPr>
        <w:t>长春聚明光电</w:t>
      </w:r>
      <w:r>
        <w:rPr>
          <w:rFonts w:ascii="宋体" w:hAnsi="宋体" w:cs="宋体" w:eastAsia="宋体" w:hint="default"/>
          <w:spacing w:val="-85"/>
          <w:sz w:val="18"/>
          <w:szCs w:val="18"/>
        </w:rPr>
        <w:t> </w:t>
      </w:r>
      <w:r>
        <w:rPr>
          <w:rFonts w:ascii="宋体" w:hAnsi="宋体" w:cs="宋体" w:eastAsia="宋体" w:hint="default"/>
          <w:sz w:val="18"/>
          <w:szCs w:val="18"/>
        </w:rPr>
        <w:t>材料有限公司</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0"/>
          <w:szCs w:val="20"/>
        </w:rPr>
      </w:pPr>
    </w:p>
    <w:p>
      <w:pPr>
        <w:tabs>
          <w:tab w:pos="905" w:val="left" w:leader="none"/>
        </w:tabs>
        <w:spacing w:before="0"/>
        <w:ind w:left="58" w:right="0" w:firstLine="0"/>
        <w:jc w:val="center"/>
        <w:rPr>
          <w:rFonts w:ascii="宋体" w:hAnsi="宋体" w:cs="宋体" w:eastAsia="宋体" w:hint="default"/>
          <w:sz w:val="18"/>
          <w:szCs w:val="18"/>
        </w:rPr>
      </w:pPr>
      <w:r>
        <w:rPr>
          <w:rFonts w:ascii="宋体" w:hAnsi="宋体" w:cs="宋体" w:eastAsia="宋体" w:hint="default"/>
          <w:sz w:val="18"/>
          <w:szCs w:val="18"/>
        </w:rPr>
        <w:t>有限公</w:t>
        <w:tab/>
        <w:t>深圳</w:t>
      </w:r>
    </w:p>
    <w:p>
      <w:pPr>
        <w:tabs>
          <w:tab w:pos="905" w:val="left" w:leader="none"/>
        </w:tabs>
        <w:spacing w:before="4"/>
        <w:ind w:left="148" w:right="0" w:firstLine="0"/>
        <w:jc w:val="center"/>
        <w:rPr>
          <w:rFonts w:ascii="宋体" w:hAnsi="宋体" w:cs="宋体" w:eastAsia="宋体" w:hint="default"/>
          <w:sz w:val="18"/>
          <w:szCs w:val="18"/>
        </w:rPr>
      </w:pPr>
      <w:r>
        <w:rPr>
          <w:rFonts w:ascii="宋体" w:hAnsi="宋体" w:cs="宋体" w:eastAsia="宋体" w:hint="default"/>
          <w:sz w:val="18"/>
          <w:szCs w:val="18"/>
        </w:rPr>
        <w:t>司</w:t>
        <w:tab/>
        <w:t>市</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tabs>
          <w:tab w:pos="771" w:val="left" w:leader="none"/>
        </w:tabs>
        <w:spacing w:before="0"/>
        <w:ind w:left="0" w:right="29" w:firstLine="0"/>
        <w:jc w:val="center"/>
        <w:rPr>
          <w:rFonts w:ascii="宋体" w:hAnsi="宋体" w:cs="宋体" w:eastAsia="宋体" w:hint="default"/>
          <w:sz w:val="18"/>
          <w:szCs w:val="18"/>
        </w:rPr>
      </w:pPr>
      <w:r>
        <w:rPr>
          <w:rFonts w:ascii="宋体" w:hAnsi="宋体" w:cs="宋体" w:eastAsia="宋体" w:hint="default"/>
          <w:sz w:val="18"/>
          <w:szCs w:val="18"/>
        </w:rPr>
        <w:t>有限公</w:t>
        <w:tab/>
        <w:t>长春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tabs>
          <w:tab w:pos="1329" w:val="left" w:leader="none"/>
        </w:tabs>
        <w:spacing w:before="158"/>
        <w:ind w:left="342" w:right="-2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制造业</w:t>
      </w:r>
      <w:r>
        <w:rPr>
          <w:rFonts w:ascii="Times New Roman" w:hAnsi="Times New Roman" w:cs="Times New Roman" w:eastAsia="Times New Roman" w:hint="default"/>
          <w:sz w:val="18"/>
          <w:szCs w:val="18"/>
        </w:rPr>
        <w:tab/>
        <w:t>500.00</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2"/>
        <w:rPr>
          <w:rFonts w:ascii="Times New Roman" w:hAnsi="Times New Roman" w:cs="Times New Roman" w:eastAsia="Times New Roman" w:hint="default"/>
          <w:sz w:val="20"/>
          <w:szCs w:val="20"/>
        </w:rPr>
      </w:pPr>
    </w:p>
    <w:p>
      <w:pPr>
        <w:tabs>
          <w:tab w:pos="1329" w:val="left" w:leader="none"/>
        </w:tabs>
        <w:spacing w:line="176" w:lineRule="exact" w:before="0"/>
        <w:ind w:left="260" w:right="-2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制造业</w:t>
      </w:r>
      <w:r>
        <w:rPr>
          <w:rFonts w:ascii="Times New Roman" w:hAnsi="Times New Roman" w:cs="Times New Roman" w:eastAsia="Times New Roman" w:hint="default"/>
          <w:sz w:val="18"/>
          <w:szCs w:val="18"/>
        </w:rPr>
        <w:tab/>
        <w:t>200.00</w:t>
      </w:r>
    </w:p>
    <w:p>
      <w:pPr>
        <w:spacing w:line="240" w:lineRule="auto" w:before="0"/>
        <w:rPr>
          <w:rFonts w:ascii="Times New Roman" w:hAnsi="Times New Roman" w:cs="Times New Roman" w:eastAsia="Times New Roman" w:hint="default"/>
          <w:sz w:val="18"/>
          <w:szCs w:val="18"/>
        </w:rPr>
      </w:pPr>
      <w:r>
        <w:rPr/>
        <w:br w:type="column"/>
      </w:r>
      <w:r>
        <w:rPr>
          <w:rFonts w:ascii="Times New Roman"/>
          <w:sz w:val="18"/>
        </w:rPr>
      </w:r>
    </w:p>
    <w:p>
      <w:pPr>
        <w:spacing w:line="244" w:lineRule="auto" w:before="151"/>
        <w:ind w:left="279" w:right="70" w:firstLine="0"/>
        <w:jc w:val="left"/>
        <w:rPr>
          <w:rFonts w:ascii="宋体" w:hAnsi="宋体" w:cs="宋体" w:eastAsia="宋体" w:hint="default"/>
          <w:sz w:val="18"/>
          <w:szCs w:val="18"/>
        </w:rPr>
      </w:pPr>
      <w:r>
        <w:rPr>
          <w:rFonts w:ascii="宋体" w:hAnsi="宋体" w:cs="宋体" w:eastAsia="宋体" w:hint="default"/>
          <w:spacing w:val="-9"/>
          <w:sz w:val="18"/>
          <w:szCs w:val="18"/>
        </w:rPr>
        <w:t>滤膜、纳米纤维布的销</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售。</w:t>
      </w:r>
    </w:p>
    <w:p>
      <w:pPr>
        <w:spacing w:line="242" w:lineRule="auto" w:before="10"/>
        <w:ind w:left="279" w:right="-20" w:firstLine="0"/>
        <w:jc w:val="left"/>
        <w:rPr>
          <w:rFonts w:ascii="宋体" w:hAnsi="宋体" w:cs="宋体" w:eastAsia="宋体" w:hint="default"/>
          <w:sz w:val="18"/>
          <w:szCs w:val="18"/>
        </w:rPr>
      </w:pPr>
      <w:r>
        <w:rPr>
          <w:rFonts w:ascii="宋体" w:hAnsi="宋体" w:cs="宋体" w:eastAsia="宋体" w:hint="default"/>
          <w:spacing w:val="12"/>
          <w:sz w:val="18"/>
          <w:szCs w:val="18"/>
        </w:rPr>
        <w:t>超级电容器、高能电 </w:t>
      </w:r>
      <w:r>
        <w:rPr>
          <w:rFonts w:ascii="宋体" w:hAnsi="宋体" w:cs="宋体" w:eastAsia="宋体" w:hint="default"/>
          <w:spacing w:val="-9"/>
          <w:sz w:val="18"/>
          <w:szCs w:val="18"/>
        </w:rPr>
        <w:t>容、电池储能组件、电</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2"/>
          <w:sz w:val="18"/>
          <w:szCs w:val="18"/>
        </w:rPr>
        <w:t>动车及工具用动力电</w:t>
      </w:r>
      <w:r>
        <w:rPr>
          <w:rFonts w:ascii="宋体" w:hAnsi="宋体" w:cs="宋体" w:eastAsia="宋体" w:hint="default"/>
          <w:spacing w:val="12"/>
          <w:sz w:val="18"/>
          <w:szCs w:val="18"/>
        </w:rPr>
        <w:t> </w:t>
      </w:r>
      <w:r>
        <w:rPr>
          <w:rFonts w:ascii="宋体" w:hAnsi="宋体" w:cs="宋体" w:eastAsia="宋体" w:hint="default"/>
          <w:spacing w:val="-9"/>
          <w:sz w:val="18"/>
          <w:szCs w:val="18"/>
        </w:rPr>
        <w:t>容、光伏太阳能路灯组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件、</w:t>
      </w:r>
      <w:r>
        <w:rPr>
          <w:rFonts w:ascii="Times New Roman" w:hAnsi="Times New Roman" w:cs="Times New Roman" w:eastAsia="Times New Roman" w:hint="default"/>
          <w:sz w:val="18"/>
          <w:szCs w:val="18"/>
        </w:rPr>
        <w:t>UPS </w:t>
      </w:r>
      <w:r>
        <w:rPr>
          <w:rFonts w:ascii="宋体" w:hAnsi="宋体" w:cs="宋体" w:eastAsia="宋体" w:hint="default"/>
          <w:spacing w:val="4"/>
          <w:sz w:val="18"/>
          <w:szCs w:val="18"/>
        </w:rPr>
        <w:t>用中继电容</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及材料的研发、购销：</w:t>
      </w:r>
      <w:r>
        <w:rPr>
          <w:rFonts w:ascii="宋体" w:hAnsi="宋体" w:cs="宋体" w:eastAsia="宋体" w:hint="default"/>
          <w:sz w:val="18"/>
          <w:szCs w:val="18"/>
        </w:rPr>
        <w:t> </w:t>
      </w:r>
      <w:r>
        <w:rPr>
          <w:rFonts w:ascii="宋体" w:hAnsi="宋体" w:cs="宋体" w:eastAsia="宋体" w:hint="default"/>
          <w:spacing w:val="-9"/>
          <w:sz w:val="18"/>
          <w:szCs w:val="18"/>
        </w:rPr>
        <w:t>信息咨询（不含人才中</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2"/>
          <w:sz w:val="18"/>
          <w:szCs w:val="18"/>
        </w:rPr>
        <w:t>介服务及其他限制项</w:t>
      </w:r>
      <w:r>
        <w:rPr>
          <w:rFonts w:ascii="宋体" w:hAnsi="宋体" w:cs="宋体" w:eastAsia="宋体" w:hint="default"/>
          <w:spacing w:val="12"/>
          <w:sz w:val="18"/>
          <w:szCs w:val="18"/>
        </w:rPr>
        <w:t> </w:t>
      </w:r>
      <w:r>
        <w:rPr>
          <w:rFonts w:ascii="宋体" w:hAnsi="宋体" w:cs="宋体" w:eastAsia="宋体" w:hint="default"/>
          <w:sz w:val="18"/>
          <w:szCs w:val="18"/>
        </w:rPr>
        <w:t>目）</w:t>
      </w:r>
    </w:p>
    <w:p>
      <w:pPr>
        <w:spacing w:line="240" w:lineRule="exact" w:before="30"/>
        <w:ind w:left="279" w:right="68" w:firstLine="0"/>
        <w:jc w:val="both"/>
        <w:rPr>
          <w:rFonts w:ascii="宋体" w:hAnsi="宋体" w:cs="宋体" w:eastAsia="宋体" w:hint="default"/>
          <w:sz w:val="18"/>
          <w:szCs w:val="18"/>
        </w:rPr>
      </w:pPr>
      <w:r>
        <w:rPr>
          <w:rFonts w:ascii="宋体" w:hAnsi="宋体" w:cs="宋体" w:eastAsia="宋体" w:hint="default"/>
          <w:spacing w:val="12"/>
          <w:sz w:val="18"/>
          <w:szCs w:val="18"/>
        </w:rPr>
        <w:t>柔性透明聚酰亚胺薄 </w:t>
      </w:r>
      <w:r>
        <w:rPr>
          <w:rFonts w:ascii="宋体" w:hAnsi="宋体" w:cs="宋体" w:eastAsia="宋体" w:hint="default"/>
          <w:spacing w:val="-9"/>
          <w:sz w:val="18"/>
          <w:szCs w:val="18"/>
        </w:rPr>
        <w:t>膜及相关制品，可用于</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Times New Roman" w:hAnsi="Times New Roman" w:cs="Times New Roman" w:eastAsia="Times New Roman" w:hint="default"/>
          <w:sz w:val="18"/>
          <w:szCs w:val="18"/>
        </w:rPr>
        <w:t>OLED</w:t>
      </w:r>
      <w:r>
        <w:rPr>
          <w:rFonts w:ascii="Times New Roman" w:hAnsi="Times New Roman" w:cs="Times New Roman" w:eastAsia="Times New Roman" w:hint="default"/>
          <w:spacing w:val="-1"/>
          <w:sz w:val="18"/>
          <w:szCs w:val="18"/>
        </w:rPr>
        <w:t> </w:t>
      </w:r>
      <w:r>
        <w:rPr>
          <w:rFonts w:ascii="宋体" w:hAnsi="宋体" w:cs="宋体" w:eastAsia="宋体" w:hint="default"/>
          <w:spacing w:val="-10"/>
          <w:sz w:val="18"/>
          <w:szCs w:val="18"/>
        </w:rPr>
        <w:t>白光照明、薄膜</w:t>
      </w:r>
      <w:r>
        <w:rPr>
          <w:rFonts w:ascii="宋体" w:hAnsi="宋体" w:cs="宋体" w:eastAsia="宋体" w:hint="default"/>
          <w:sz w:val="18"/>
          <w:szCs w:val="18"/>
        </w:rPr>
        <w:t> </w:t>
      </w:r>
      <w:r>
        <w:rPr>
          <w:rFonts w:ascii="宋体" w:hAnsi="宋体" w:cs="宋体" w:eastAsia="宋体" w:hint="default"/>
          <w:spacing w:val="-9"/>
          <w:sz w:val="18"/>
          <w:szCs w:val="18"/>
        </w:rPr>
        <w:t>太阳能电池、防电磁辐</w:t>
      </w:r>
    </w:p>
    <w:p>
      <w:pPr>
        <w:spacing w:before="32"/>
        <w:ind w:left="1124"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额</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6"/>
          <w:szCs w:val="26"/>
        </w:rPr>
      </w:pPr>
    </w:p>
    <w:p>
      <w:pPr>
        <w:tabs>
          <w:tab w:pos="1258" w:val="left" w:leader="none"/>
          <w:tab w:pos="1698" w:val="left" w:leader="none"/>
          <w:tab w:pos="2546" w:val="left" w:leader="none"/>
          <w:tab w:pos="3570" w:val="left" w:leader="none"/>
          <w:tab w:pos="4422" w:val="left" w:leader="none"/>
          <w:tab w:pos="5377" w:val="left" w:leader="none"/>
          <w:tab w:pos="7360" w:val="left" w:leader="none"/>
        </w:tabs>
        <w:spacing w:before="0"/>
        <w:ind w:left="279"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500.00</w:t>
        <w:tab/>
      </w:r>
      <w:r>
        <w:rPr>
          <w:rFonts w:ascii="Times New Roman" w:hAnsi="Times New Roman" w:cs="Times New Roman" w:eastAsia="Times New Roman" w:hint="default"/>
          <w:position w:val="1"/>
          <w:sz w:val="18"/>
          <w:szCs w:val="18"/>
        </w:rPr>
        <w:t>---</w:t>
        <w:tab/>
        <w:t>100.00</w:t>
        <w:tab/>
        <w:t>100.00</w:t>
        <w:tab/>
      </w:r>
      <w:r>
        <w:rPr>
          <w:rFonts w:ascii="宋体" w:hAnsi="宋体" w:cs="宋体" w:eastAsia="宋体" w:hint="default"/>
          <w:position w:val="1"/>
          <w:sz w:val="18"/>
          <w:szCs w:val="18"/>
        </w:rPr>
        <w:t>是</w:t>
        <w:tab/>
      </w:r>
      <w:r>
        <w:rPr>
          <w:rFonts w:ascii="Times New Roman" w:hAnsi="Times New Roman" w:cs="Times New Roman" w:eastAsia="Times New Roman" w:hint="default"/>
          <w:position w:val="1"/>
          <w:sz w:val="18"/>
          <w:szCs w:val="18"/>
        </w:rPr>
        <w:t>---</w:t>
        <w:tab/>
        <w:t>---</w:t>
        <w:tab/>
        <w:t>---</w:t>
      </w:r>
      <w:r>
        <w:rPr>
          <w:rFonts w:ascii="Times New Roman" w:hAnsi="Times New Roman" w:cs="Times New Roman" w:eastAsia="Times New Roman" w:hint="default"/>
          <w:sz w:val="18"/>
          <w:szCs w:val="18"/>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5"/>
          <w:szCs w:val="25"/>
        </w:rPr>
      </w:pPr>
    </w:p>
    <w:p>
      <w:pPr>
        <w:tabs>
          <w:tab w:pos="1258" w:val="left" w:leader="none"/>
          <w:tab w:pos="1788" w:val="left" w:leader="none"/>
          <w:tab w:pos="2636" w:val="left" w:leader="none"/>
          <w:tab w:pos="3570" w:val="left" w:leader="none"/>
          <w:tab w:pos="4197" w:val="left" w:leader="none"/>
          <w:tab w:pos="5377" w:val="left" w:leader="none"/>
          <w:tab w:pos="7360" w:val="left" w:leader="none"/>
        </w:tabs>
        <w:spacing w:line="186" w:lineRule="exact" w:before="0"/>
        <w:ind w:left="279"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180.00</w:t>
        <w:tab/>
      </w:r>
      <w:r>
        <w:rPr>
          <w:rFonts w:ascii="Times New Roman" w:hAnsi="Times New Roman" w:cs="Times New Roman" w:eastAsia="Times New Roman" w:hint="default"/>
          <w:position w:val="1"/>
          <w:sz w:val="18"/>
          <w:szCs w:val="18"/>
        </w:rPr>
        <w:t>---</w:t>
        <w:tab/>
        <w:t>90.00</w:t>
        <w:tab/>
        <w:t>90.00</w:t>
        <w:tab/>
      </w:r>
      <w:r>
        <w:rPr>
          <w:rFonts w:ascii="宋体" w:hAnsi="宋体" w:cs="宋体" w:eastAsia="宋体" w:hint="default"/>
          <w:position w:val="1"/>
          <w:sz w:val="18"/>
          <w:szCs w:val="18"/>
        </w:rPr>
        <w:t>是</w:t>
        <w:tab/>
      </w:r>
      <w:r>
        <w:rPr>
          <w:rFonts w:ascii="Times New Roman" w:hAnsi="Times New Roman" w:cs="Times New Roman" w:eastAsia="Times New Roman" w:hint="default"/>
          <w:position w:val="1"/>
          <w:sz w:val="18"/>
          <w:szCs w:val="18"/>
        </w:rPr>
        <w:t>19.90</w:t>
        <w:tab/>
        <w:t>---</w:t>
        <w:tab/>
        <w:t>---</w:t>
      </w:r>
      <w:r>
        <w:rPr>
          <w:rFonts w:ascii="Times New Roman" w:hAnsi="Times New Roman" w:cs="Times New Roman" w:eastAsia="Times New Roman" w:hint="default"/>
          <w:sz w:val="18"/>
          <w:szCs w:val="18"/>
        </w:rPr>
      </w:r>
    </w:p>
    <w:p>
      <w:pPr>
        <w:spacing w:after="0" w:line="186" w:lineRule="exact"/>
        <w:jc w:val="left"/>
        <w:rPr>
          <w:rFonts w:ascii="Times New Roman" w:hAnsi="Times New Roman" w:cs="Times New Roman" w:eastAsia="Times New Roman" w:hint="default"/>
          <w:sz w:val="18"/>
          <w:szCs w:val="18"/>
        </w:rPr>
        <w:sectPr>
          <w:type w:val="continuous"/>
          <w:pgSz w:w="16840" w:h="11910" w:orient="landscape"/>
          <w:pgMar w:top="900" w:bottom="1460" w:left="1160" w:right="980"/>
          <w:cols w:num="5" w:equalWidth="0">
            <w:col w:w="1440" w:space="40"/>
            <w:col w:w="1266" w:space="40"/>
            <w:col w:w="1825" w:space="84"/>
            <w:col w:w="2080" w:space="136"/>
            <w:col w:w="7789"/>
          </w:cols>
        </w:sectPr>
      </w:pPr>
    </w:p>
    <w:p>
      <w:pPr>
        <w:tabs>
          <w:tab w:pos="2301" w:val="left" w:leader="none"/>
        </w:tabs>
        <w:spacing w:line="140" w:lineRule="exact" w:before="0"/>
        <w:ind w:left="279" w:right="-20" w:firstLine="0"/>
        <w:jc w:val="left"/>
        <w:rPr>
          <w:rFonts w:ascii="宋体" w:hAnsi="宋体" w:cs="宋体" w:eastAsia="宋体" w:hint="default"/>
          <w:sz w:val="18"/>
          <w:szCs w:val="18"/>
        </w:rPr>
      </w:pPr>
      <w:r>
        <w:rPr/>
        <w:pict>
          <v:group style="position:absolute;margin-left:65.121002pt;margin-top:85.080002pt;width:722.25pt;height:415.5pt;mso-position-horizontal-relative:page;mso-position-vertical-relative:page;z-index:-786880" coordorigin="1302,1702" coordsize="14445,8310">
            <v:group style="position:absolute;left:1332;top:1717;width:8312;height:2" coordorigin="1332,1717" coordsize="8312,2">
              <v:shape style="position:absolute;left:1332;top:1717;width:8312;height:2" coordorigin="1332,1717" coordsize="8312,0" path="m1332,1717l9643,1717e" filled="false" stroked="true" strokeweight="1.5pt" strokecolor="#000000">
                <v:path arrowok="t"/>
              </v:shape>
            </v:group>
            <v:group style="position:absolute;left:9643;top:1717;width:724;height:2" coordorigin="9643,1717" coordsize="724,2">
              <v:shape style="position:absolute;left:9643;top:1717;width:724;height:2" coordorigin="9643,1717" coordsize="724,0" path="m9643,1717l10367,1717e" filled="false" stroked="true" strokeweight="1.5pt" strokecolor="#000000">
                <v:path arrowok="t"/>
              </v:shape>
            </v:group>
            <v:group style="position:absolute;left:10367;top:1717;width:5352;height:2" coordorigin="10367,1717" coordsize="5352,2">
              <v:shape style="position:absolute;left:10367;top:1717;width:5352;height:2" coordorigin="10367,1717" coordsize="5352,0" path="m10367,1717l15719,1717e" filled="false" stroked="true" strokeweight="1.5pt" strokecolor="#000000">
                <v:path arrowok="t"/>
              </v:shape>
              <v:shape style="position:absolute;left:2600;top:1703;width:11170;height:3958" type="#_x0000_t75" stroked="false">
                <v:imagedata r:id="rId77" o:title=""/>
              </v:shape>
            </v:group>
            <v:group style="position:absolute;left:1317;top:9997;width:1312;height:2" coordorigin="1317,9997" coordsize="1312,2">
              <v:shape style="position:absolute;left:1317;top:9997;width:1312;height:2" coordorigin="1317,9997" coordsize="1312,0" path="m1317,9997l2629,9997e" filled="false" stroked="true" strokeweight="1.5pt" strokecolor="#000000">
                <v:path arrowok="t"/>
              </v:shape>
              <v:shape style="position:absolute;left:1303;top:5603;width:14444;height:4408" type="#_x0000_t75" stroked="false">
                <v:imagedata r:id="rId78" o:title=""/>
              </v:shape>
            </v:group>
            <v:group style="position:absolute;left:2629;top:9997;width:720;height:2" coordorigin="2629,9997" coordsize="720,2">
              <v:shape style="position:absolute;left:2629;top:9997;width:720;height:2" coordorigin="2629,9997" coordsize="720,0" path="m2629,9997l3349,9997e" filled="false" stroked="true" strokeweight="1.5pt" strokecolor="#000000">
                <v:path arrowok="t"/>
              </v:shape>
              <v:shape style="position:absolute;left:3320;top:8273;width:67;height:1738" type="#_x0000_t75" stroked="false">
                <v:imagedata r:id="rId79" o:title=""/>
              </v:shape>
            </v:group>
            <v:group style="position:absolute;left:3349;top:9997;width:743;height:2" coordorigin="3349,9997" coordsize="743,2">
              <v:shape style="position:absolute;left:3349;top:9997;width:743;height:2" coordorigin="3349,9997" coordsize="743,0" path="m3349,9997l4092,9997e" filled="false" stroked="true" strokeweight="1.5pt" strokecolor="#000000">
                <v:path arrowok="t"/>
              </v:shape>
              <v:shape style="position:absolute;left:4063;top:8273;width:67;height:1728" type="#_x0000_t75" stroked="false">
                <v:imagedata r:id="rId80" o:title=""/>
              </v:shape>
            </v:group>
            <v:group style="position:absolute;left:4092;top:9997;width:923;height:2" coordorigin="4092,9997" coordsize="923,2">
              <v:shape style="position:absolute;left:4092;top:9997;width:923;height:2" coordorigin="4092,9997" coordsize="923,0" path="m4092,9997l5015,9997e" filled="false" stroked="true" strokeweight="1.5pt" strokecolor="#000000">
                <v:path arrowok="t"/>
              </v:shape>
              <v:shape style="position:absolute;left:4986;top:8273;width:67;height:1738" type="#_x0000_t75" stroked="false">
                <v:imagedata r:id="rId79" o:title=""/>
              </v:shape>
            </v:group>
            <v:group style="position:absolute;left:5015;top:9997;width:1007;height:2" coordorigin="5015,9997" coordsize="1007,2">
              <v:shape style="position:absolute;left:5015;top:9997;width:1007;height:2" coordorigin="5015,9997" coordsize="1007,0" path="m5015,9997l6021,9997e" filled="false" stroked="true" strokeweight="1.5pt" strokecolor="#000000">
                <v:path arrowok="t"/>
              </v:shape>
              <v:shape style="position:absolute;left:5993;top:8273;width:67;height:1738" type="#_x0000_t75" stroked="false">
                <v:imagedata r:id="rId79" o:title=""/>
              </v:shape>
            </v:group>
            <v:group style="position:absolute;left:6021;top:9997;width:1934;height:2" coordorigin="6021,9997" coordsize="1934,2">
              <v:shape style="position:absolute;left:6021;top:9997;width:1934;height:2" coordorigin="6021,9997" coordsize="1934,0" path="m6021,9997l7955,9997e" filled="false" stroked="true" strokeweight="1.5pt" strokecolor="#000000">
                <v:path arrowok="t"/>
              </v:shape>
              <v:shape style="position:absolute;left:7926;top:8273;width:67;height:1738" type="#_x0000_t75" stroked="false">
                <v:imagedata r:id="rId79" o:title=""/>
              </v:shape>
            </v:group>
            <v:group style="position:absolute;left:7955;top:9997;width:994;height:2" coordorigin="7955,9997" coordsize="994,2">
              <v:shape style="position:absolute;left:7955;top:9997;width:994;height:2" coordorigin="7955,9997" coordsize="994,0" path="m7955,9997l8948,9997e" filled="false" stroked="true" strokeweight="1.5pt" strokecolor="#000000">
                <v:path arrowok="t"/>
              </v:shape>
              <v:shape style="position:absolute;left:8919;top:8273;width:67;height:1728" type="#_x0000_t75" stroked="false">
                <v:imagedata r:id="rId80" o:title=""/>
              </v:shape>
            </v:group>
            <v:group style="position:absolute;left:8948;top:9997;width:665;height:2" coordorigin="8948,9997" coordsize="665,2">
              <v:shape style="position:absolute;left:8948;top:9997;width:665;height:2" coordorigin="8948,9997" coordsize="665,0" path="m8948,9997l9613,9997e" filled="false" stroked="true" strokeweight="1.5pt" strokecolor="#000000">
                <v:path arrowok="t"/>
              </v:shape>
              <v:shape style="position:absolute;left:9584;top:8273;width:67;height:1738" type="#_x0000_t75" stroked="false">
                <v:imagedata r:id="rId79" o:title=""/>
              </v:shape>
            </v:group>
            <v:group style="position:absolute;left:9613;top:9997;width:30;height:2" coordorigin="9613,9997" coordsize="30,2">
              <v:shape style="position:absolute;left:9613;top:9997;width:30;height:2" coordorigin="9613,9997" coordsize="30,0" path="m9613,9997l9643,9997e" filled="false" stroked="true" strokeweight="1.5pt" strokecolor="#000000">
                <v:path arrowok="t"/>
              </v:shape>
            </v:group>
            <v:group style="position:absolute;left:9643;top:9997;width:724;height:2" coordorigin="9643,9997" coordsize="724,2">
              <v:shape style="position:absolute;left:9643;top:9997;width:724;height:2" coordorigin="9643,9997" coordsize="724,0" path="m9643,9997l10367,9997e" filled="false" stroked="true" strokeweight="1.5pt" strokecolor="#000000">
                <v:path arrowok="t"/>
              </v:shape>
              <v:shape style="position:absolute;left:10338;top:8273;width:67;height:1738" type="#_x0000_t75" stroked="false">
                <v:imagedata r:id="rId79" o:title=""/>
              </v:shape>
            </v:group>
            <v:group style="position:absolute;left:10367;top:9997;width:850;height:2" coordorigin="10367,9997" coordsize="850,2">
              <v:shape style="position:absolute;left:10367;top:9997;width:850;height:2" coordorigin="10367,9997" coordsize="850,0" path="m10367,9997l11216,9997e" filled="false" stroked="true" strokeweight="1.5pt" strokecolor="#000000">
                <v:path arrowok="t"/>
              </v:shape>
              <v:shape style="position:absolute;left:11187;top:8273;width:67;height:1738" type="#_x0000_t75" stroked="false">
                <v:imagedata r:id="rId79" o:title=""/>
              </v:shape>
            </v:group>
            <v:group style="position:absolute;left:11216;top:9997;width:708;height:2" coordorigin="11216,9997" coordsize="708,2">
              <v:shape style="position:absolute;left:11216;top:9997;width:708;height:2" coordorigin="11216,9997" coordsize="708,0" path="m11216,9997l11924,9997e" filled="false" stroked="true" strokeweight="1.5pt" strokecolor="#000000">
                <v:path arrowok="t"/>
              </v:shape>
              <v:shape style="position:absolute;left:11895;top:8273;width:67;height:1728" type="#_x0000_t75" stroked="false">
                <v:imagedata r:id="rId80" o:title=""/>
              </v:shape>
            </v:group>
            <v:group style="position:absolute;left:11924;top:9997;width:852;height:2" coordorigin="11924,9997" coordsize="852,2">
              <v:shape style="position:absolute;left:11924;top:9997;width:852;height:2" coordorigin="11924,9997" coordsize="852,0" path="m11924,9997l12776,9997e" filled="false" stroked="true" strokeweight="1.5pt" strokecolor="#000000">
                <v:path arrowok="t"/>
              </v:shape>
              <v:shape style="position:absolute;left:12747;top:8273;width:67;height:1738" type="#_x0000_t75" stroked="false">
                <v:imagedata r:id="rId79" o:title=""/>
              </v:shape>
            </v:group>
            <v:group style="position:absolute;left:12776;top:9997;width:956;height:2" coordorigin="12776,9997" coordsize="956,2">
              <v:shape style="position:absolute;left:12776;top:9997;width:956;height:2" coordorigin="12776,9997" coordsize="956,0" path="m12776,9997l13731,9997e" filled="false" stroked="true" strokeweight="1.5pt" strokecolor="#000000">
                <v:path arrowok="t"/>
              </v:shape>
              <v:shape style="position:absolute;left:13703;top:8273;width:67;height:1738" type="#_x0000_t75" stroked="false">
                <v:imagedata r:id="rId79" o:title=""/>
              </v:shape>
            </v:group>
            <v:group style="position:absolute;left:13731;top:9997;width:1988;height:2" coordorigin="13731,9997" coordsize="1988,2">
              <v:shape style="position:absolute;left:13731;top:9997;width:1988;height:2" coordorigin="13731,9997" coordsize="1988,0" path="m13731,9997l15719,9997e" filled="false" stroked="true" strokeweight="1.5pt" strokecolor="#000000">
                <v:path arrowok="t"/>
              </v:shape>
            </v:group>
            <w10:wrap type="none"/>
          </v:group>
        </w:pict>
      </w:r>
      <w:r>
        <w:rPr>
          <w:rFonts w:ascii="宋体" w:hAnsi="宋体" w:cs="宋体" w:eastAsia="宋体" w:hint="default"/>
          <w:sz w:val="18"/>
          <w:szCs w:val="18"/>
        </w:rPr>
        <w:t>（ </w:t>
      </w:r>
      <w:r>
        <w:rPr>
          <w:rFonts w:ascii="Times New Roman" w:hAnsi="Times New Roman" w:cs="Times New Roman" w:eastAsia="Times New Roman" w:hint="default"/>
          <w:sz w:val="18"/>
          <w:szCs w:val="18"/>
        </w:rPr>
        <w:t>”  </w:t>
      </w:r>
      <w:r>
        <w:rPr>
          <w:rFonts w:ascii="宋体" w:hAnsi="宋体" w:cs="宋体" w:eastAsia="宋体" w:hint="default"/>
          <w:spacing w:val="48"/>
          <w:sz w:val="18"/>
          <w:szCs w:val="18"/>
        </w:rPr>
        <w:t>长春聚</w:t>
      </w:r>
      <w:r>
        <w:rPr>
          <w:rFonts w:ascii="宋体" w:hAnsi="宋体" w:cs="宋体" w:eastAsia="宋体" w:hint="default"/>
          <w:spacing w:val="36"/>
          <w:sz w:val="18"/>
          <w:szCs w:val="18"/>
        </w:rPr>
        <w:t> </w:t>
      </w:r>
      <w:r>
        <w:rPr>
          <w:rFonts w:ascii="宋体" w:hAnsi="宋体" w:cs="宋体" w:eastAsia="宋体" w:hint="default"/>
          <w:position w:val="3"/>
          <w:sz w:val="18"/>
          <w:szCs w:val="18"/>
        </w:rPr>
        <w:t>司</w:t>
        <w:tab/>
        <w:t>市</w:t>
      </w:r>
      <w:r>
        <w:rPr>
          <w:rFonts w:ascii="宋体" w:hAnsi="宋体" w:cs="宋体" w:eastAsia="宋体" w:hint="default"/>
          <w:sz w:val="18"/>
          <w:szCs w:val="18"/>
        </w:rPr>
      </w:r>
    </w:p>
    <w:p>
      <w:pPr>
        <w:spacing w:before="63"/>
        <w:ind w:left="279" w:right="-2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明</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p>
    <w:p>
      <w:pPr>
        <w:spacing w:line="240" w:lineRule="exact" w:before="0"/>
        <w:ind w:left="279" w:right="7994" w:firstLine="0"/>
        <w:jc w:val="both"/>
        <w:rPr>
          <w:rFonts w:ascii="宋体" w:hAnsi="宋体" w:cs="宋体" w:eastAsia="宋体" w:hint="default"/>
          <w:sz w:val="18"/>
          <w:szCs w:val="18"/>
        </w:rPr>
      </w:pPr>
      <w:r>
        <w:rPr>
          <w:spacing w:val="-9"/>
        </w:rPr>
        <w:br w:type="column"/>
      </w:r>
      <w:r>
        <w:rPr>
          <w:rFonts w:ascii="宋体" w:hAnsi="宋体" w:cs="宋体" w:eastAsia="宋体" w:hint="default"/>
          <w:spacing w:val="-9"/>
          <w:sz w:val="18"/>
          <w:szCs w:val="18"/>
        </w:rPr>
        <w:t>射透明薄膜、射频电路</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9"/>
          <w:sz w:val="18"/>
          <w:szCs w:val="18"/>
        </w:rPr>
        <w:t>板、触摸屏等领域，具</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2"/>
          <w:sz w:val="18"/>
          <w:szCs w:val="18"/>
        </w:rPr>
        <w:t>体经营范围以营业执</w:t>
      </w:r>
      <w:r>
        <w:rPr>
          <w:rFonts w:ascii="宋体" w:hAnsi="宋体" w:cs="宋体" w:eastAsia="宋体" w:hint="default"/>
          <w:sz w:val="18"/>
          <w:szCs w:val="18"/>
        </w:rPr>
      </w:r>
    </w:p>
    <w:p>
      <w:pPr>
        <w:spacing w:after="0" w:line="240" w:lineRule="exact"/>
        <w:jc w:val="both"/>
        <w:rPr>
          <w:rFonts w:ascii="宋体" w:hAnsi="宋体" w:cs="宋体" w:eastAsia="宋体" w:hint="default"/>
          <w:sz w:val="18"/>
          <w:szCs w:val="18"/>
        </w:rPr>
        <w:sectPr>
          <w:type w:val="continuous"/>
          <w:pgSz w:w="16840" w:h="11910" w:orient="landscape"/>
          <w:pgMar w:top="900" w:bottom="1460" w:left="1160" w:right="980"/>
          <w:cols w:num="2" w:equalWidth="0">
            <w:col w:w="2482" w:space="2212"/>
            <w:col w:w="10006"/>
          </w:cols>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p>
      <w:pPr>
        <w:spacing w:line="6698" w:lineRule="exact"/>
        <w:ind w:left="142" w:right="0" w:firstLine="0"/>
        <w:rPr>
          <w:rFonts w:ascii="宋体" w:hAnsi="宋体" w:cs="宋体" w:eastAsia="宋体" w:hint="default"/>
          <w:sz w:val="20"/>
          <w:szCs w:val="20"/>
        </w:rPr>
      </w:pPr>
      <w:r>
        <w:rPr>
          <w:rFonts w:ascii="宋体" w:hAnsi="宋体" w:cs="宋体" w:eastAsia="宋体" w:hint="default"/>
          <w:position w:val="-133"/>
          <w:sz w:val="20"/>
          <w:szCs w:val="20"/>
        </w:rPr>
        <w:pict>
          <v:group style="width:721.8pt;height:334.95pt;mso-position-horizontal-relative:char;mso-position-vertical-relative:line" coordorigin="0,0" coordsize="14436,6699">
            <v:group style="position:absolute;left:29;top:15;width:8312;height:2" coordorigin="29,15" coordsize="8312,2">
              <v:shape style="position:absolute;left:29;top:15;width:8312;height:2" coordorigin="29,15" coordsize="8312,0" path="m29,15l8341,15e" filled="false" stroked="true" strokeweight="1.5pt" strokecolor="#000000">
                <v:path arrowok="t"/>
              </v:shape>
            </v:group>
            <v:group style="position:absolute;left:8341;top:15;width:724;height:2" coordorigin="8341,15" coordsize="724,2">
              <v:shape style="position:absolute;left:8341;top:15;width:724;height:2" coordorigin="8341,15" coordsize="724,0" path="m8341,15l9064,15e" filled="false" stroked="true" strokeweight="1.5pt" strokecolor="#000000">
                <v:path arrowok="t"/>
              </v:shape>
            </v:group>
            <v:group style="position:absolute;left:9064;top:15;width:5352;height:2" coordorigin="9064,15" coordsize="5352,2">
              <v:shape style="position:absolute;left:9064;top:15;width:5352;height:2" coordorigin="9064,15" coordsize="5352,0" path="m9064,15l14416,15e" filled="false" stroked="true" strokeweight="1.5pt" strokecolor="#000000">
                <v:path arrowok="t"/>
              </v:shape>
              <v:shape style="position:absolute;left:1298;top:1;width:11170;height:3958" type="#_x0000_t75" stroked="false">
                <v:imagedata r:id="rId77" o:title=""/>
              </v:shape>
            </v:group>
            <v:group style="position:absolute;left:15;top:6683;width:1312;height:2" coordorigin="15,6683" coordsize="1312,2">
              <v:shape style="position:absolute;left:15;top:6683;width:1312;height:2" coordorigin="15,6683" coordsize="1312,0" path="m15,6683l1327,6683e" filled="false" stroked="true" strokeweight="1.5pt" strokecolor="#000000">
                <v:path arrowok="t"/>
              </v:shape>
              <v:shape style="position:absolute;left:1;top:3911;width:14435;height:2786" type="#_x0000_t75" stroked="false">
                <v:imagedata r:id="rId81" o:title=""/>
              </v:shape>
            </v:group>
            <v:group style="position:absolute;left:1327;top:6683;width:720;height:2" coordorigin="1327,6683" coordsize="720,2">
              <v:shape style="position:absolute;left:1327;top:6683;width:720;height:2" coordorigin="1327,6683" coordsize="720,0" path="m1327,6683l2047,6683e" filled="false" stroked="true" strokeweight="1.5pt" strokecolor="#000000">
                <v:path arrowok="t"/>
              </v:shape>
              <v:shape style="position:absolute;left:2018;top:5141;width:67;height:1556" type="#_x0000_t75" stroked="false">
                <v:imagedata r:id="rId82" o:title=""/>
              </v:shape>
            </v:group>
            <v:group style="position:absolute;left:2047;top:6683;width:743;height:2" coordorigin="2047,6683" coordsize="743,2">
              <v:shape style="position:absolute;left:2047;top:6683;width:743;height:2" coordorigin="2047,6683" coordsize="743,0" path="m2047,6683l2789,6683e" filled="false" stroked="true" strokeweight="1.5pt" strokecolor="#000000">
                <v:path arrowok="t"/>
              </v:shape>
              <v:shape style="position:absolute;left:2761;top:5141;width:67;height:1556" type="#_x0000_t75" stroked="false">
                <v:imagedata r:id="rId82" o:title=""/>
              </v:shape>
            </v:group>
            <v:group style="position:absolute;left:2789;top:6683;width:923;height:2" coordorigin="2789,6683" coordsize="923,2">
              <v:shape style="position:absolute;left:2789;top:6683;width:923;height:2" coordorigin="2789,6683" coordsize="923,0" path="m2789,6683l3712,6683e" filled="false" stroked="true" strokeweight="1.5pt" strokecolor="#000000">
                <v:path arrowok="t"/>
              </v:shape>
              <v:shape style="position:absolute;left:3683;top:5141;width:67;height:1555" type="#_x0000_t75" stroked="false">
                <v:imagedata r:id="rId83" o:title=""/>
              </v:shape>
            </v:group>
            <v:group style="position:absolute;left:3712;top:6683;width:1007;height:2" coordorigin="3712,6683" coordsize="1007,2">
              <v:shape style="position:absolute;left:3712;top:6683;width:1007;height:2" coordorigin="3712,6683" coordsize="1007,0" path="m3712,6683l4719,6683e" filled="false" stroked="true" strokeweight="1.5pt" strokecolor="#000000">
                <v:path arrowok="t"/>
              </v:shape>
              <v:shape style="position:absolute;left:4690;top:5141;width:67;height:1556" type="#_x0000_t75" stroked="false">
                <v:imagedata r:id="rId82" o:title=""/>
              </v:shape>
            </v:group>
            <v:group style="position:absolute;left:4719;top:6683;width:1934;height:2" coordorigin="4719,6683" coordsize="1934,2">
              <v:shape style="position:absolute;left:4719;top:6683;width:1934;height:2" coordorigin="4719,6683" coordsize="1934,0" path="m4719,6683l6652,6683e" filled="false" stroked="true" strokeweight="1.5pt" strokecolor="#000000">
                <v:path arrowok="t"/>
              </v:shape>
              <v:shape style="position:absolute;left:6623;top:5141;width:67;height:1556" type="#_x0000_t75" stroked="false">
                <v:imagedata r:id="rId82" o:title=""/>
              </v:shape>
            </v:group>
            <v:group style="position:absolute;left:6652;top:6683;width:994;height:2" coordorigin="6652,6683" coordsize="994,2">
              <v:shape style="position:absolute;left:6652;top:6683;width:994;height:2" coordorigin="6652,6683" coordsize="994,0" path="m6652,6683l7646,6683e" filled="false" stroked="true" strokeweight="1.5pt" strokecolor="#000000">
                <v:path arrowok="t"/>
              </v:shape>
              <v:shape style="position:absolute;left:7617;top:5141;width:67;height:1556" type="#_x0000_t75" stroked="false">
                <v:imagedata r:id="rId82" o:title=""/>
              </v:shape>
            </v:group>
            <v:group style="position:absolute;left:7646;top:6683;width:665;height:2" coordorigin="7646,6683" coordsize="665,2">
              <v:shape style="position:absolute;left:7646;top:6683;width:665;height:2" coordorigin="7646,6683" coordsize="665,0" path="m7646,6683l8311,6683e" filled="false" stroked="true" strokeweight="1.5pt" strokecolor="#000000">
                <v:path arrowok="t"/>
              </v:shape>
              <v:shape style="position:absolute;left:8282;top:5141;width:67;height:1555" type="#_x0000_t75" stroked="false">
                <v:imagedata r:id="rId83" o:title=""/>
              </v:shape>
            </v:group>
            <v:group style="position:absolute;left:8311;top:6683;width:30;height:2" coordorigin="8311,6683" coordsize="30,2">
              <v:shape style="position:absolute;left:8311;top:6683;width:30;height:2" coordorigin="8311,6683" coordsize="30,0" path="m8311,6683l8341,6683e" filled="false" stroked="true" strokeweight="1.5pt" strokecolor="#000000">
                <v:path arrowok="t"/>
              </v:shape>
            </v:group>
            <v:group style="position:absolute;left:8341;top:6683;width:724;height:2" coordorigin="8341,6683" coordsize="724,2">
              <v:shape style="position:absolute;left:8341;top:6683;width:724;height:2" coordorigin="8341,6683" coordsize="724,0" path="m8341,6683l9064,6683e" filled="false" stroked="true" strokeweight="1.5pt" strokecolor="#000000">
                <v:path arrowok="t"/>
              </v:shape>
              <v:shape style="position:absolute;left:9035;top:5141;width:67;height:1556" type="#_x0000_t75" stroked="false">
                <v:imagedata r:id="rId82" o:title=""/>
              </v:shape>
            </v:group>
            <v:group style="position:absolute;left:9064;top:6683;width:850;height:2" coordorigin="9064,6683" coordsize="850,2">
              <v:shape style="position:absolute;left:9064;top:6683;width:850;height:2" coordorigin="9064,6683" coordsize="850,0" path="m9064,6683l9914,6683e" filled="false" stroked="true" strokeweight="1.5pt" strokecolor="#000000">
                <v:path arrowok="t"/>
              </v:shape>
              <v:shape style="position:absolute;left:9885;top:5141;width:67;height:1556" type="#_x0000_t75" stroked="false">
                <v:imagedata r:id="rId82" o:title=""/>
              </v:shape>
            </v:group>
            <v:group style="position:absolute;left:9914;top:6683;width:708;height:2" coordorigin="9914,6683" coordsize="708,2">
              <v:shape style="position:absolute;left:9914;top:6683;width:708;height:2" coordorigin="9914,6683" coordsize="708,0" path="m9914,6683l10622,6683e" filled="false" stroked="true" strokeweight="1.5pt" strokecolor="#000000">
                <v:path arrowok="t"/>
              </v:shape>
              <v:shape style="position:absolute;left:10593;top:5141;width:67;height:1556" type="#_x0000_t75" stroked="false">
                <v:imagedata r:id="rId82" o:title=""/>
              </v:shape>
            </v:group>
            <v:group style="position:absolute;left:10622;top:6683;width:852;height:2" coordorigin="10622,6683" coordsize="852,2">
              <v:shape style="position:absolute;left:10622;top:6683;width:852;height:2" coordorigin="10622,6683" coordsize="852,0" path="m10622,6683l11474,6683e" filled="false" stroked="true" strokeweight="1.5pt" strokecolor="#000000">
                <v:path arrowok="t"/>
              </v:shape>
              <v:shape style="position:absolute;left:11445;top:5141;width:67;height:1555" type="#_x0000_t75" stroked="false">
                <v:imagedata r:id="rId83" o:title=""/>
              </v:shape>
            </v:group>
            <v:group style="position:absolute;left:11474;top:6683;width:956;height:2" coordorigin="11474,6683" coordsize="956,2">
              <v:shape style="position:absolute;left:11474;top:6683;width:956;height:2" coordorigin="11474,6683" coordsize="956,0" path="m11474,6683l12429,6683e" filled="false" stroked="true" strokeweight="1.5pt" strokecolor="#000000">
                <v:path arrowok="t"/>
              </v:shape>
              <v:shape style="position:absolute;left:12400;top:5141;width:67;height:1556" type="#_x0000_t75" stroked="false">
                <v:imagedata r:id="rId82" o:title=""/>
              </v:shape>
            </v:group>
            <v:group style="position:absolute;left:12429;top:6683;width:1988;height:2" coordorigin="12429,6683" coordsize="1988,2">
              <v:shape style="position:absolute;left:12429;top:6683;width:1988;height:2" coordorigin="12429,6683" coordsize="1988,0" path="m12429,6683l14416,6683e" filled="false" stroked="true" strokeweight="1.5pt" strokecolor="#000000">
                <v:path arrowok="t"/>
              </v:shape>
              <v:shape style="position:absolute;left:7803;top:283;width:360;height:92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实质</w:t>
                      </w:r>
                    </w:p>
                    <w:p>
                      <w:pPr>
                        <w:spacing w:line="370" w:lineRule="atLeas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上构 成对</w:t>
                      </w:r>
                    </w:p>
                  </w:txbxContent>
                </v:textbox>
                <w10:wrap type="none"/>
              </v:shape>
              <v:shape style="position:absolute;left:12525;top:1032;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从母公司所有者权益冲</w:t>
                      </w:r>
                    </w:p>
                  </w:txbxContent>
                </v:textbox>
                <w10:wrap type="none"/>
              </v:shape>
              <v:shape style="position:absolute;left:11595;top:12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少数股东</w:t>
                      </w:r>
                    </w:p>
                  </w:txbxContent>
                </v:textbox>
                <w10:wrap type="none"/>
              </v:shape>
              <v:shape style="position:absolute;left:7803;top:140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w:t>
                      </w:r>
                    </w:p>
                  </w:txbxContent>
                </v:textbox>
                <w10:wrap type="none"/>
              </v:shape>
              <v:shape style="position:absolute;left:12525;top:1407;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减子公司少数股东分担</w:t>
                      </w:r>
                    </w:p>
                  </w:txbxContent>
                </v:textbox>
                <w10:wrap type="none"/>
              </v:shape>
              <v:shape style="position:absolute;left:1420;top:178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w:t>
                      </w:r>
                    </w:p>
                  </w:txbxContent>
                </v:textbox>
                <w10:wrap type="none"/>
              </v:shape>
              <v:shape style="position:absolute;left:6793;top:1781;width:4620;height:180" type="#_x0000_t202" filled="false" stroked="false">
                <v:textbox inset="0,0,0,0">
                  <w:txbxContent>
                    <w:p>
                      <w:pPr>
                        <w:tabs>
                          <w:tab w:pos="1010" w:val="left" w:leader="none"/>
                          <w:tab w:pos="162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期末实际</w:t>
                        <w:tab/>
                        <w:t>司净</w:t>
                        <w:tab/>
                        <w:t>持股比  表决权比  是否合</w:t>
                      </w:r>
                      <w:r>
                        <w:rPr>
                          <w:rFonts w:ascii="宋体" w:hAnsi="宋体" w:cs="宋体" w:eastAsia="宋体" w:hint="default"/>
                          <w:spacing w:val="20"/>
                          <w:sz w:val="18"/>
                          <w:szCs w:val="18"/>
                        </w:rPr>
                        <w:t> </w:t>
                      </w:r>
                      <w:r>
                        <w:rPr>
                          <w:rFonts w:ascii="宋体" w:hAnsi="宋体" w:cs="宋体" w:eastAsia="宋体" w:hint="default"/>
                          <w:sz w:val="18"/>
                          <w:szCs w:val="18"/>
                        </w:rPr>
                        <w:t>少数股东</w:t>
                      </w:r>
                    </w:p>
                  </w:txbxContent>
                </v:textbox>
                <w10:wrap type="none"/>
              </v:shape>
              <v:shape style="position:absolute;left:2152;top:1968;width:3898;height:180" type="#_x0000_t202" filled="false" stroked="false">
                <v:textbox inset="0,0,0,0">
                  <w:txbxContent>
                    <w:p>
                      <w:pPr>
                        <w:tabs>
                          <w:tab w:pos="742" w:val="left" w:leader="none"/>
                          <w:tab w:pos="1706" w:val="left" w:leader="none"/>
                          <w:tab w:pos="317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tab/>
                        <w:t>业务性质</w:t>
                        <w:tab/>
                        <w:t>注册资本</w:t>
                        <w:tab/>
                        <w:t>经营范围</w:t>
                      </w:r>
                    </w:p>
                  </w:txbxContent>
                </v:textbox>
                <w10:wrap type="none"/>
              </v:shape>
              <v:shape style="position:absolute;left:11595;top:1594;width:2730;height:555" type="#_x0000_t202" filled="false" stroked="false">
                <v:textbox inset="0,0,0,0">
                  <w:txbxContent>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权益中用</w:t>
                      </w:r>
                    </w:p>
                    <w:p>
                      <w:pPr>
                        <w:spacing w:line="187" w:lineRule="exact" w:before="0"/>
                        <w:ind w:left="930" w:right="0" w:firstLine="0"/>
                        <w:jc w:val="left"/>
                        <w:rPr>
                          <w:rFonts w:ascii="宋体" w:hAnsi="宋体" w:cs="宋体" w:eastAsia="宋体" w:hint="default"/>
                          <w:sz w:val="18"/>
                          <w:szCs w:val="18"/>
                        </w:rPr>
                      </w:pPr>
                      <w:r>
                        <w:rPr>
                          <w:rFonts w:ascii="宋体" w:hAnsi="宋体" w:cs="宋体" w:eastAsia="宋体" w:hint="default"/>
                          <w:sz w:val="18"/>
                          <w:szCs w:val="18"/>
                        </w:rPr>
                        <w:t>的本年亏损超过少数股</w:t>
                      </w:r>
                    </w:p>
                    <w:p>
                      <w:pPr>
                        <w:spacing w:line="211"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于冲减少</w:t>
                      </w:r>
                    </w:p>
                  </w:txbxContent>
                </v:textbox>
                <w10:wrap type="none"/>
              </v:shape>
              <v:shape style="position:absolute;left:230;top:196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1510;top:2155;width:12815;height:2003" type="#_x0000_t202" filled="false" stroked="false">
                <v:textbox inset="0,0,0,0">
                  <w:txbxContent>
                    <w:p>
                      <w:pPr>
                        <w:tabs>
                          <w:tab w:pos="5372" w:val="left" w:leader="none"/>
                          <w:tab w:pos="6292" w:val="left" w:leader="none"/>
                          <w:tab w:pos="6956" w:val="left" w:leader="none"/>
                          <w:tab w:pos="7757" w:val="left" w:leader="none"/>
                          <w:tab w:pos="8492" w:val="left" w:leader="none"/>
                          <w:tab w:pos="9362" w:val="left" w:leader="none"/>
                          <w:tab w:pos="11014" w:val="left" w:leader="none"/>
                        </w:tabs>
                        <w:spacing w:line="180" w:lineRule="auto" w:before="0"/>
                        <w:ind w:left="10084" w:right="0" w:hanging="10085"/>
                        <w:jc w:val="left"/>
                        <w:rPr>
                          <w:rFonts w:ascii="宋体" w:hAnsi="宋体" w:cs="宋体" w:eastAsia="宋体" w:hint="default"/>
                          <w:sz w:val="18"/>
                          <w:szCs w:val="18"/>
                        </w:rPr>
                      </w:pPr>
                      <w:r>
                        <w:rPr>
                          <w:rFonts w:ascii="宋体" w:hAnsi="宋体" w:cs="宋体" w:eastAsia="宋体" w:hint="default"/>
                          <w:sz w:val="18"/>
                          <w:szCs w:val="18"/>
                        </w:rPr>
                        <w:t>类型</w:t>
                        <w:tab/>
                        <w:t>出资额</w:t>
                        <w:tab/>
                        <w:t>投资</w:t>
                        <w:tab/>
                        <w:t>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并报表</w:t>
                        <w:tab/>
                        <w:t>权益</w:t>
                        <w:tab/>
                        <w:tab/>
                        <w:t>东在该子公司期初所有 数股东损</w:t>
                      </w:r>
                    </w:p>
                    <w:p>
                      <w:pPr>
                        <w:tabs>
                          <w:tab w:pos="11014" w:val="left" w:leader="none"/>
                        </w:tabs>
                        <w:spacing w:line="169" w:lineRule="exact" w:before="0"/>
                        <w:ind w:left="6292" w:right="0" w:firstLine="0"/>
                        <w:jc w:val="left"/>
                        <w:rPr>
                          <w:rFonts w:ascii="宋体" w:hAnsi="宋体" w:cs="宋体" w:eastAsia="宋体" w:hint="default"/>
                          <w:sz w:val="18"/>
                          <w:szCs w:val="18"/>
                        </w:rPr>
                      </w:pPr>
                      <w:r>
                        <w:rPr>
                          <w:rFonts w:ascii="宋体" w:hAnsi="宋体" w:cs="宋体" w:eastAsia="宋体" w:hint="default"/>
                          <w:sz w:val="18"/>
                          <w:szCs w:val="18"/>
                        </w:rPr>
                        <w:t>的其</w:t>
                        <w:tab/>
                        <w:t>者权益中所享有份额后</w:t>
                      </w:r>
                    </w:p>
                    <w:p>
                      <w:pPr>
                        <w:spacing w:line="187" w:lineRule="exact" w:before="0"/>
                        <w:ind w:left="0" w:right="2008" w:firstLine="0"/>
                        <w:jc w:val="right"/>
                        <w:rPr>
                          <w:rFonts w:ascii="宋体" w:hAnsi="宋体" w:cs="宋体" w:eastAsia="宋体" w:hint="default"/>
                          <w:sz w:val="18"/>
                          <w:szCs w:val="18"/>
                        </w:rPr>
                      </w:pPr>
                      <w:r>
                        <w:rPr>
                          <w:rFonts w:ascii="宋体" w:hAnsi="宋体" w:cs="宋体" w:eastAsia="宋体" w:hint="default"/>
                          <w:sz w:val="18"/>
                          <w:szCs w:val="18"/>
                        </w:rPr>
                        <w:t>益的金额</w:t>
                      </w:r>
                    </w:p>
                    <w:p>
                      <w:pPr>
                        <w:tabs>
                          <w:tab w:pos="11644" w:val="left" w:leader="none"/>
                        </w:tabs>
                        <w:spacing w:line="211" w:lineRule="exact" w:before="0"/>
                        <w:ind w:left="6292" w:right="0" w:firstLine="0"/>
                        <w:jc w:val="left"/>
                        <w:rPr>
                          <w:rFonts w:ascii="宋体" w:hAnsi="宋体" w:cs="宋体" w:eastAsia="宋体" w:hint="default"/>
                          <w:sz w:val="18"/>
                          <w:szCs w:val="18"/>
                        </w:rPr>
                      </w:pPr>
                      <w:r>
                        <w:rPr>
                          <w:rFonts w:ascii="宋体" w:hAnsi="宋体" w:cs="宋体" w:eastAsia="宋体" w:hint="default"/>
                          <w:sz w:val="18"/>
                          <w:szCs w:val="18"/>
                        </w:rPr>
                        <w:t>他项</w:t>
                        <w:tab/>
                        <w:t>的余额</w:t>
                      </w:r>
                    </w:p>
                    <w:p>
                      <w:pPr>
                        <w:spacing w:line="381" w:lineRule="auto" w:before="139"/>
                        <w:ind w:left="6292" w:right="6161" w:firstLine="0"/>
                        <w:jc w:val="center"/>
                        <w:rPr>
                          <w:rFonts w:ascii="宋体" w:hAnsi="宋体" w:cs="宋体" w:eastAsia="宋体" w:hint="default"/>
                          <w:sz w:val="18"/>
                          <w:szCs w:val="18"/>
                        </w:rPr>
                      </w:pPr>
                      <w:r>
                        <w:rPr>
                          <w:rFonts w:ascii="宋体" w:hAnsi="宋体" w:cs="宋体" w:eastAsia="宋体" w:hint="default"/>
                          <w:sz w:val="18"/>
                          <w:szCs w:val="18"/>
                        </w:rPr>
                        <w:t>目余 额</w:t>
                      </w:r>
                    </w:p>
                    <w:p>
                      <w:pPr>
                        <w:spacing w:line="219" w:lineRule="exact" w:before="0"/>
                        <w:ind w:left="3321" w:right="0" w:firstLine="0"/>
                        <w:jc w:val="left"/>
                        <w:rPr>
                          <w:rFonts w:ascii="宋体" w:hAnsi="宋体" w:cs="宋体" w:eastAsia="宋体" w:hint="default"/>
                          <w:sz w:val="18"/>
                          <w:szCs w:val="18"/>
                        </w:rPr>
                      </w:pPr>
                      <w:r>
                        <w:rPr>
                          <w:rFonts w:ascii="宋体" w:hAnsi="宋体" w:cs="宋体" w:eastAsia="宋体" w:hint="default"/>
                          <w:sz w:val="18"/>
                          <w:szCs w:val="18"/>
                        </w:rPr>
                        <w:t>照为准。</w:t>
                      </w:r>
                    </w:p>
                  </w:txbxContent>
                </v:textbox>
                <w10:wrap type="none"/>
              </v:shape>
              <v:shape style="position:absolute;left:137;top:5268;width:1662;height:55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北京高航复合</w:t>
                      </w:r>
                    </w:p>
                    <w:p>
                      <w:pPr>
                        <w:tabs>
                          <w:tab w:pos="1301" w:val="left" w:leader="none"/>
                        </w:tabs>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材料有限公司</w:t>
                        <w:tab/>
                        <w:t>有限</w:t>
                      </w:r>
                    </w:p>
                  </w:txbxContent>
                </v:textbox>
                <w10:wrap type="none"/>
              </v:shape>
              <v:shape style="position:absolute;left:2159;top:5830;width:1283;height:180" type="#_x0000_t202" filled="false" stroked="false">
                <v:textbox inset="0,0,0,0">
                  <w:txbxContent>
                    <w:p>
                      <w:pPr>
                        <w:tabs>
                          <w:tab w:pos="74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w:t>
                        <w:tab/>
                        <w:t>制造业</w:t>
                      </w:r>
                    </w:p>
                  </w:txbxContent>
                </v:textbox>
                <w10:wrap type="none"/>
              </v:shape>
              <v:shape style="position:absolute;left:3985;top:5830;width:2468;height:188" type="#_x0000_t202" filled="false" stroked="false">
                <v:textbox inset="0,0,0,0">
                  <w:txbxContent>
                    <w:p>
                      <w:pPr>
                        <w:tabs>
                          <w:tab w:pos="847" w:val="left" w:leader="none"/>
                        </w:tabs>
                        <w:spacing w:line="187"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1,000.00</w:t>
                        <w:tab/>
                      </w:r>
                      <w:r>
                        <w:rPr>
                          <w:rFonts w:ascii="宋体" w:hAnsi="宋体" w:cs="宋体" w:eastAsia="宋体" w:hint="default"/>
                          <w:sz w:val="18"/>
                          <w:szCs w:val="18"/>
                        </w:rPr>
                        <w:t>销售高分子复合材料</w:t>
                      </w:r>
                    </w:p>
                  </w:txbxContent>
                </v:textbox>
                <w10:wrap type="none"/>
              </v:shape>
              <v:shape style="position:absolute;left:7048;top:5837;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630.00</w:t>
                      </w:r>
                    </w:p>
                  </w:txbxContent>
                </v:textbox>
                <w10:wrap type="none"/>
              </v:shape>
              <v:shape style="position:absolute;left:8027;top:5837;width:935;height:180" type="#_x0000_t202" filled="false" stroked="false">
                <v:textbox inset="0,0,0,0">
                  <w:txbxContent>
                    <w:p>
                      <w:pPr>
                        <w:tabs>
                          <w:tab w:pos="529"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tab/>
                        <w:t>63.00</w:t>
                      </w:r>
                    </w:p>
                  </w:txbxContent>
                </v:textbox>
                <w10:wrap type="none"/>
              </v:shape>
              <v:shape style="position:absolute;left:9405;top:5837;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63.00</w:t>
                      </w:r>
                    </w:p>
                  </w:txbxContent>
                </v:textbox>
                <w10:wrap type="none"/>
              </v:shape>
              <v:shape style="position:absolute;left:10339;top:5830;width:1034;height:188" type="#_x0000_t202" filled="false" stroked="false">
                <v:textbox inset="0,0,0,0">
                  <w:txbxContent>
                    <w:p>
                      <w:pPr>
                        <w:tabs>
                          <w:tab w:pos="537" w:val="left" w:leader="none"/>
                        </w:tabs>
                        <w:spacing w:line="187"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是</w:t>
                        <w:tab/>
                      </w:r>
                      <w:r>
                        <w:rPr>
                          <w:rFonts w:ascii="Times New Roman" w:hAnsi="Times New Roman" w:cs="Times New Roman" w:eastAsia="Times New Roman" w:hint="default"/>
                          <w:sz w:val="18"/>
                          <w:szCs w:val="18"/>
                        </w:rPr>
                        <w:t>339.02</w:t>
                      </w:r>
                    </w:p>
                  </w:txbxContent>
                </v:textbox>
                <w10:wrap type="none"/>
              </v:shape>
              <v:shape style="position:absolute;left:12146;top:5837;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4129;top:5837;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6017;width:1662;height:565" type="#_x0000_t202" filled="false" stroked="false">
                <v:textbox inset="0,0,0,0">
                  <w:txbxContent>
                    <w:p>
                      <w:pPr>
                        <w:tabs>
                          <w:tab w:pos="1301" w:val="left" w:leader="none"/>
                        </w:tabs>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7"/>
                          <w:sz w:val="18"/>
                          <w:szCs w:val="18"/>
                        </w:rPr>
                        <w:t> </w:t>
                      </w:r>
                      <w:r>
                        <w:rPr>
                          <w:rFonts w:ascii="宋体" w:hAnsi="宋体" w:cs="宋体" w:eastAsia="宋体" w:hint="default"/>
                          <w:spacing w:val="48"/>
                          <w:sz w:val="18"/>
                          <w:szCs w:val="18"/>
                        </w:rPr>
                        <w:t>北京高</w:t>
                        <w:tab/>
                      </w:r>
                      <w:r>
                        <w:rPr>
                          <w:rFonts w:ascii="宋体" w:hAnsi="宋体" w:cs="宋体" w:eastAsia="宋体" w:hint="default"/>
                          <w:sz w:val="18"/>
                          <w:szCs w:val="18"/>
                        </w:rPr>
                        <w:t>公司</w:t>
                      </w:r>
                    </w:p>
                    <w:p>
                      <w:pPr>
                        <w:spacing w:line="245" w:lineRule="exact" w:before="125"/>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航</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p>
                  </w:txbxContent>
                </v:textbox>
                <w10:wrap type="none"/>
              </v:shape>
            </v:group>
          </v:group>
        </w:pict>
      </w:r>
      <w:r>
        <w:rPr>
          <w:rFonts w:ascii="宋体" w:hAnsi="宋体" w:cs="宋体" w:eastAsia="宋体" w:hint="default"/>
          <w:position w:val="-133"/>
          <w:sz w:val="20"/>
          <w:szCs w:val="20"/>
        </w:rPr>
      </w:r>
    </w:p>
    <w:p>
      <w:pPr>
        <w:spacing w:line="328" w:lineRule="auto" w:before="93"/>
        <w:ind w:left="1359" w:right="42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吉林高琦聚酰亚胺材料有限公司，系由控股子公司长春应化特种工程塑料有限公司与中国科学院长春应用化学科技总公司共同出资组建， 于</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日成立。公司注册资本</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2,500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万，实收资本现为</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2,200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万元，根据协议、章程规定此注册资本分期于</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日之前</w:t>
      </w:r>
    </w:p>
    <w:p>
      <w:pPr>
        <w:spacing w:before="23"/>
        <w:ind w:left="1359" w:right="424" w:firstLine="0"/>
        <w:jc w:val="left"/>
        <w:rPr>
          <w:rFonts w:ascii="宋体" w:hAnsi="宋体" w:cs="宋体" w:eastAsia="宋体" w:hint="default"/>
          <w:sz w:val="21"/>
          <w:szCs w:val="21"/>
        </w:rPr>
      </w:pPr>
      <w:r>
        <w:rPr>
          <w:rFonts w:ascii="宋体" w:hAnsi="宋体" w:cs="宋体" w:eastAsia="宋体" w:hint="default"/>
          <w:sz w:val="21"/>
          <w:szCs w:val="21"/>
        </w:rPr>
        <w:t>缴足，长春高琦应投资</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 </w:t>
      </w:r>
      <w:r>
        <w:rPr>
          <w:rFonts w:ascii="宋体" w:hAnsi="宋体" w:cs="宋体" w:eastAsia="宋体" w:hint="default"/>
          <w:sz w:val="21"/>
          <w:szCs w:val="21"/>
        </w:rPr>
        <w:t>万元（</w:t>
      </w:r>
      <w:r>
        <w:rPr>
          <w:rFonts w:ascii="宋体" w:hAnsi="宋体" w:cs="宋体" w:eastAsia="宋体" w:hint="default"/>
          <w:spacing w:val="-2"/>
          <w:sz w:val="21"/>
          <w:szCs w:val="21"/>
        </w:rPr>
        <w:t>截</w:t>
      </w:r>
      <w:r>
        <w:rPr>
          <w:rFonts w:ascii="宋体" w:hAnsi="宋体" w:cs="宋体" w:eastAsia="宋体" w:hint="default"/>
          <w:sz w:val="21"/>
          <w:szCs w:val="21"/>
        </w:rPr>
        <w:t>止目前已实际投入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93</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w:t>
      </w:r>
      <w:r>
        <w:rPr>
          <w:rFonts w:ascii="宋体" w:hAnsi="宋体" w:cs="宋体" w:eastAsia="宋体" w:hint="default"/>
          <w:spacing w:val="-105"/>
          <w:sz w:val="21"/>
          <w:szCs w:val="21"/>
        </w:rPr>
        <w:t>）</w:t>
      </w:r>
      <w:r>
        <w:rPr>
          <w:rFonts w:ascii="宋体" w:hAnsi="宋体" w:cs="宋体" w:eastAsia="宋体" w:hint="default"/>
          <w:sz w:val="21"/>
          <w:szCs w:val="21"/>
        </w:rPr>
        <w:t>，占</w:t>
      </w:r>
      <w:r>
        <w:rPr>
          <w:rFonts w:ascii="宋体" w:hAnsi="宋体" w:cs="宋体" w:eastAsia="宋体" w:hint="default"/>
          <w:spacing w:val="-2"/>
          <w:sz w:val="21"/>
          <w:szCs w:val="21"/>
        </w:rPr>
        <w:t>总</w:t>
      </w:r>
      <w:r>
        <w:rPr>
          <w:rFonts w:ascii="宋体" w:hAnsi="宋体" w:cs="宋体" w:eastAsia="宋体" w:hint="default"/>
          <w:sz w:val="21"/>
          <w:szCs w:val="21"/>
        </w:rPr>
        <w:t>股本的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8%</w:t>
      </w:r>
      <w:r>
        <w:rPr>
          <w:rFonts w:ascii="宋体" w:hAnsi="宋体" w:cs="宋体" w:eastAsia="宋体" w:hint="default"/>
          <w:sz w:val="21"/>
          <w:szCs w:val="21"/>
        </w:rPr>
        <w:t>。</w:t>
      </w:r>
    </w:p>
    <w:p>
      <w:pPr>
        <w:spacing w:before="110"/>
        <w:ind w:left="1359" w:right="0" w:firstLine="0"/>
        <w:jc w:val="left"/>
        <w:rPr>
          <w:rFonts w:ascii="宋体" w:hAnsi="宋体" w:cs="宋体" w:eastAsia="宋体" w:hint="default"/>
          <w:sz w:val="21"/>
          <w:szCs w:val="21"/>
        </w:rPr>
      </w:pPr>
      <w:r>
        <w:rPr>
          <w:rFonts w:ascii="宋体" w:hAnsi="宋体" w:cs="宋体" w:eastAsia="宋体" w:hint="default"/>
          <w:sz w:val="21"/>
          <w:szCs w:val="21"/>
        </w:rPr>
        <w:t>根据</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日长春高琦与长春应化科技签订的《吉林高琦出资转让协议</w:t>
      </w:r>
      <w:r>
        <w:rPr>
          <w:rFonts w:ascii="宋体" w:hAnsi="宋体" w:cs="宋体" w:eastAsia="宋体" w:hint="default"/>
          <w:spacing w:val="-105"/>
          <w:sz w:val="21"/>
          <w:szCs w:val="21"/>
        </w:rPr>
        <w:t>》</w:t>
      </w:r>
      <w:r>
        <w:rPr>
          <w:rFonts w:ascii="宋体" w:hAnsi="宋体" w:cs="宋体" w:eastAsia="宋体" w:hint="default"/>
          <w:sz w:val="21"/>
          <w:szCs w:val="21"/>
        </w:rPr>
        <w:t>，长春</w:t>
      </w:r>
      <w:r>
        <w:rPr>
          <w:rFonts w:ascii="宋体" w:hAnsi="宋体" w:cs="宋体" w:eastAsia="宋体" w:hint="default"/>
          <w:spacing w:val="-2"/>
          <w:sz w:val="21"/>
          <w:szCs w:val="21"/>
        </w:rPr>
        <w:t>应</w:t>
      </w:r>
      <w:r>
        <w:rPr>
          <w:rFonts w:ascii="宋体" w:hAnsi="宋体" w:cs="宋体" w:eastAsia="宋体" w:hint="default"/>
          <w:sz w:val="21"/>
          <w:szCs w:val="21"/>
        </w:rPr>
        <w:t>化科技将其持有的吉林高琦的股权</w:t>
      </w:r>
      <w:r>
        <w:rPr>
          <w:rFonts w:ascii="宋体" w:hAnsi="宋体" w:cs="宋体" w:eastAsia="宋体" w:hint="default"/>
          <w:spacing w:val="-44"/>
          <w:sz w:val="21"/>
          <w:szCs w:val="21"/>
        </w:rPr>
        <w:t> </w:t>
      </w:r>
      <w:r>
        <w:rPr>
          <w:rFonts w:ascii="Times New Roman" w:hAnsi="Times New Roman" w:cs="Times New Roman" w:eastAsia="Times New Roman" w:hint="default"/>
          <w:spacing w:val="-1"/>
          <w:sz w:val="21"/>
          <w:szCs w:val="21"/>
        </w:rPr>
        <w:t>3</w:t>
      </w:r>
      <w:r>
        <w:rPr>
          <w:rFonts w:ascii="Times New Roman" w:hAnsi="Times New Roman" w:cs="Times New Roman" w:eastAsia="Times New Roman" w:hint="default"/>
          <w:sz w:val="21"/>
          <w:szCs w:val="21"/>
        </w:rPr>
        <w:t>00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万元（出</w:t>
      </w:r>
    </w:p>
    <w:p>
      <w:pPr>
        <w:spacing w:after="0"/>
        <w:jc w:val="left"/>
        <w:rPr>
          <w:rFonts w:ascii="宋体" w:hAnsi="宋体" w:cs="宋体" w:eastAsia="宋体" w:hint="default"/>
          <w:sz w:val="21"/>
          <w:szCs w:val="21"/>
        </w:rPr>
        <w:sectPr>
          <w:pgSz w:w="16840" w:h="11910" w:orient="landscape"/>
          <w:pgMar w:header="686" w:footer="1266" w:top="1160" w:bottom="1460" w:left="1160" w:right="100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spacing w:before="35"/>
        <w:ind w:left="1359" w:right="0" w:firstLine="0"/>
        <w:jc w:val="left"/>
        <w:rPr>
          <w:rFonts w:ascii="宋体" w:hAnsi="宋体" w:cs="宋体" w:eastAsia="宋体" w:hint="default"/>
          <w:sz w:val="21"/>
          <w:szCs w:val="21"/>
        </w:rPr>
      </w:pPr>
      <w:r>
        <w:rPr>
          <w:rFonts w:ascii="宋体" w:hAnsi="宋体" w:cs="宋体" w:eastAsia="宋体" w:hint="default"/>
          <w:sz w:val="21"/>
          <w:szCs w:val="21"/>
        </w:rPr>
        <w:t>资未到位）无偿转让给长春高琦，因此剩余注册资本由长春高琦在规定期限内缴足。</w:t>
      </w:r>
    </w:p>
    <w:p>
      <w:pPr>
        <w:spacing w:before="126"/>
        <w:ind w:left="1359" w:right="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月，长春高琦缴足剩余</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万元注册资本，缴足后共投入注册资本</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2,500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万元，占总的注册资本</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p>
    <w:p>
      <w:pPr>
        <w:spacing w:before="109"/>
        <w:ind w:left="135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月，长春高琦对吉林高琦增资</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2,500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万元，增资后吉林高琦注册资本</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万元，全部由长春高琦投入。</w:t>
      </w:r>
    </w:p>
    <w:p>
      <w:pPr>
        <w:spacing w:before="109"/>
        <w:ind w:left="1359" w:right="0"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月，长春高琦对吉林高琦增资</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33,140.83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万元，增资后吉林高琦注册资本</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38,140.83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万元，全部由长春高琦投入。</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before="0"/>
        <w:ind w:left="135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江西先材纳米纤维科技有限公司，系由控股子公司长春高琦与江西师范大学、候豪情共同出资组建，于</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1"/>
          <w:sz w:val="21"/>
          <w:szCs w:val="21"/>
        </w:rPr>
        <w:t> </w:t>
      </w:r>
      <w:r>
        <w:rPr>
          <w:rFonts w:ascii="宋体" w:hAnsi="宋体" w:cs="宋体" w:eastAsia="宋体" w:hint="default"/>
          <w:spacing w:val="-3"/>
          <w:sz w:val="21"/>
          <w:szCs w:val="21"/>
        </w:rPr>
        <w:t>日成立。公司注册资</w:t>
      </w:r>
    </w:p>
    <w:p>
      <w:pPr>
        <w:spacing w:line="331" w:lineRule="auto" w:before="109"/>
        <w:ind w:left="1359" w:right="217" w:hanging="1"/>
        <w:jc w:val="left"/>
        <w:rPr>
          <w:rFonts w:ascii="宋体" w:hAnsi="宋体" w:cs="宋体" w:eastAsia="宋体" w:hint="default"/>
          <w:sz w:val="21"/>
          <w:szCs w:val="21"/>
        </w:rPr>
      </w:pPr>
      <w:r>
        <w:rPr>
          <w:rFonts w:ascii="宋体" w:hAnsi="宋体" w:cs="宋体" w:eastAsia="宋体" w:hint="default"/>
          <w:sz w:val="21"/>
          <w:szCs w:val="21"/>
        </w:rPr>
        <w:t>本</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750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万，实收资本</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750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万元，长春应化特种工程塑料有限公司出资</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450</w:t>
      </w:r>
      <w:r>
        <w:rPr>
          <w:rFonts w:ascii="Times New Roman" w:hAnsi="Times New Roman" w:cs="Times New Roman" w:eastAsia="Times New Roman" w:hint="default"/>
          <w:spacing w:val="-6"/>
          <w:sz w:val="21"/>
          <w:szCs w:val="21"/>
        </w:rPr>
        <w:t> </w:t>
      </w:r>
      <w:r>
        <w:rPr>
          <w:rFonts w:ascii="宋体" w:hAnsi="宋体" w:cs="宋体" w:eastAsia="宋体" w:hint="default"/>
          <w:spacing w:val="-4"/>
          <w:sz w:val="21"/>
          <w:szCs w:val="21"/>
        </w:rPr>
        <w:t>万，占</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60%</w:t>
      </w:r>
      <w:r>
        <w:rPr>
          <w:rFonts w:ascii="宋体" w:hAnsi="宋体" w:cs="宋体" w:eastAsia="宋体" w:hint="default"/>
          <w:sz w:val="21"/>
          <w:szCs w:val="21"/>
        </w:rPr>
        <w:t>的持股比例，江西师范大学和候豪情以</w:t>
      </w:r>
      <w:r>
        <w:rPr>
          <w:rFonts w:ascii="Times New Roman" w:hAnsi="Times New Roman" w:cs="Times New Roman" w:eastAsia="Times New Roman" w:hint="default"/>
          <w:sz w:val="21"/>
          <w:szCs w:val="21"/>
        </w:rPr>
        <w:t>“</w:t>
      </w:r>
      <w:r>
        <w:rPr>
          <w:rFonts w:ascii="宋体" w:hAnsi="宋体" w:cs="宋体" w:eastAsia="宋体" w:hint="default"/>
          <w:sz w:val="21"/>
          <w:szCs w:val="21"/>
        </w:rPr>
        <w:t>高速制备聚合物 纳米纤维新方法及高性能纳米纤维布形成</w:t>
      </w:r>
      <w:r>
        <w:rPr>
          <w:rFonts w:ascii="Times New Roman" w:hAnsi="Times New Roman" w:cs="Times New Roman" w:eastAsia="Times New Roman" w:hint="default"/>
          <w:sz w:val="21"/>
          <w:szCs w:val="21"/>
        </w:rPr>
        <w:t>”</w:t>
      </w:r>
      <w:r>
        <w:rPr>
          <w:rFonts w:ascii="宋体" w:hAnsi="宋体" w:cs="宋体" w:eastAsia="宋体" w:hint="default"/>
          <w:sz w:val="21"/>
          <w:szCs w:val="21"/>
        </w:rPr>
        <w:t>等相关知识产权评估作价</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万出资，占</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40%</w:t>
      </w:r>
      <w:r>
        <w:rPr>
          <w:rFonts w:ascii="宋体" w:hAnsi="宋体" w:cs="宋体" w:eastAsia="宋体" w:hint="default"/>
          <w:sz w:val="21"/>
          <w:szCs w:val="21"/>
        </w:rPr>
        <w:t>的持股比例。</w:t>
      </w:r>
    </w:p>
    <w:p>
      <w:pPr>
        <w:spacing w:before="20"/>
        <w:ind w:left="135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2010.4.30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长春高琦购买候豪情</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24%</w:t>
      </w:r>
      <w:r>
        <w:rPr>
          <w:rFonts w:ascii="宋体" w:hAnsi="宋体" w:cs="宋体" w:eastAsia="宋体" w:hint="default"/>
          <w:sz w:val="21"/>
          <w:szCs w:val="21"/>
        </w:rPr>
        <w:t>股权，购买价格为初始投资成本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180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万元，股权转让后长春高琦持有江西先材</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84%</w:t>
      </w:r>
      <w:r>
        <w:rPr>
          <w:rFonts w:ascii="宋体" w:hAnsi="宋体" w:cs="宋体" w:eastAsia="宋体" w:hint="default"/>
          <w:sz w:val="21"/>
          <w:szCs w:val="21"/>
        </w:rPr>
        <w:t>的股权。</w:t>
      </w:r>
    </w:p>
    <w:p>
      <w:pPr>
        <w:spacing w:before="109"/>
        <w:ind w:left="135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2010.9.24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长春高琦第二届董事会第十四次会议通过现金增资江西先材</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750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万，其中长春高琦现金投入人民币</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527.5</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万元，江西师大现金投入</w:t>
      </w:r>
    </w:p>
    <w:p>
      <w:pPr>
        <w:spacing w:line="328" w:lineRule="auto" w:before="110"/>
        <w:ind w:left="1359" w:right="214" w:firstLine="0"/>
        <w:jc w:val="left"/>
        <w:rPr>
          <w:rFonts w:ascii="宋体" w:hAnsi="宋体" w:cs="宋体" w:eastAsia="宋体" w:hint="default"/>
          <w:sz w:val="21"/>
          <w:szCs w:val="21"/>
        </w:rPr>
      </w:pPr>
      <w:r>
        <w:rPr>
          <w:rFonts w:ascii="宋体" w:hAnsi="宋体" w:cs="宋体" w:eastAsia="宋体" w:hint="default"/>
          <w:sz w:val="21"/>
          <w:szCs w:val="21"/>
        </w:rPr>
        <w:t>人民币</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22.5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万元，丁孟贤先生现金投入人民币</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万元，高连勋先生现金投入人民币</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万元，侯豪情先生现金投入人民币</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150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万元，程楚云 先生现金投入人民币</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万元。增资后长春高琦持股比例为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77.17%</w:t>
      </w:r>
      <w:r>
        <w:rPr>
          <w:rFonts w:ascii="宋体" w:hAnsi="宋体" w:cs="宋体" w:eastAsia="宋体" w:hint="default"/>
          <w:sz w:val="21"/>
          <w:szCs w:val="21"/>
        </w:rPr>
        <w:t>。</w:t>
      </w:r>
    </w:p>
    <w:p>
      <w:pPr>
        <w:spacing w:line="331" w:lineRule="auto" w:before="23"/>
        <w:ind w:left="1359" w:right="220"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日，本公司第三届董事会第二十六次会议通过现金增资江西先材</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4,752</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万元，同时其他股东增资</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2,748</w:t>
      </w:r>
      <w:r>
        <w:rPr>
          <w:rFonts w:ascii="Times New Roman" w:hAnsi="Times New Roman" w:cs="Times New Roman" w:eastAsia="Times New Roman" w:hint="default"/>
          <w:spacing w:val="-4"/>
          <w:sz w:val="21"/>
          <w:szCs w:val="21"/>
        </w:rPr>
        <w:t> </w:t>
      </w:r>
      <w:r>
        <w:rPr>
          <w:rFonts w:ascii="宋体" w:hAnsi="宋体" w:cs="宋体" w:eastAsia="宋体" w:hint="default"/>
          <w:spacing w:val="-3"/>
          <w:sz w:val="21"/>
          <w:szCs w:val="21"/>
        </w:rPr>
        <w:t>万元。增资后本公司持</w:t>
      </w:r>
      <w:r>
        <w:rPr>
          <w:rFonts w:ascii="宋体" w:hAnsi="宋体" w:cs="宋体" w:eastAsia="宋体" w:hint="default"/>
          <w:sz w:val="21"/>
          <w:szCs w:val="21"/>
        </w:rPr>
        <w:t> 股比例为</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52.80%</w:t>
      </w:r>
      <w:r>
        <w:rPr>
          <w:rFonts w:ascii="宋体" w:hAnsi="宋体" w:cs="宋体" w:eastAsia="宋体" w:hint="default"/>
          <w:sz w:val="21"/>
          <w:szCs w:val="21"/>
        </w:rPr>
        <w:t>，成为控股股东，长春高琦的持股比例为</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15.00%</w:t>
      </w:r>
      <w:r>
        <w:rPr>
          <w:rFonts w:ascii="宋体" w:hAnsi="宋体" w:cs="宋体" w:eastAsia="宋体" w:hint="default"/>
          <w:sz w:val="21"/>
          <w:szCs w:val="21"/>
        </w:rPr>
        <w:t>，本公司合计持有该公司</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67.80%</w:t>
      </w:r>
      <w:r>
        <w:rPr>
          <w:rFonts w:ascii="宋体" w:hAnsi="宋体" w:cs="宋体" w:eastAsia="宋体" w:hint="default"/>
          <w:sz w:val="21"/>
          <w:szCs w:val="21"/>
        </w:rPr>
        <w:t>的股权。</w:t>
      </w:r>
    </w:p>
    <w:p>
      <w:pPr>
        <w:spacing w:line="240" w:lineRule="auto" w:before="1"/>
        <w:rPr>
          <w:rFonts w:ascii="宋体" w:hAnsi="宋体" w:cs="宋体" w:eastAsia="宋体" w:hint="default"/>
          <w:sz w:val="32"/>
          <w:szCs w:val="32"/>
        </w:rPr>
      </w:pPr>
    </w:p>
    <w:p>
      <w:pPr>
        <w:spacing w:before="0"/>
        <w:ind w:left="135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深圳市惠程高能能源科技有限公司，系公司与王斌共同出资组建，于</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日成立。公司注册资本</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500</w:t>
      </w:r>
      <w:r>
        <w:rPr>
          <w:rFonts w:ascii="Times New Roman" w:hAnsi="Times New Roman" w:cs="Times New Roman" w:eastAsia="Times New Roman" w:hint="default"/>
          <w:spacing w:val="-7"/>
          <w:sz w:val="21"/>
          <w:szCs w:val="21"/>
        </w:rPr>
        <w:t> </w:t>
      </w:r>
      <w:r>
        <w:rPr>
          <w:rFonts w:ascii="宋体" w:hAnsi="宋体" w:cs="宋体" w:eastAsia="宋体" w:hint="default"/>
          <w:spacing w:val="-4"/>
          <w:sz w:val="21"/>
          <w:szCs w:val="21"/>
        </w:rPr>
        <w:t>万，分次缴足，实收资本</w:t>
      </w:r>
    </w:p>
    <w:p>
      <w:pPr>
        <w:spacing w:before="110"/>
        <w:ind w:left="1359" w:right="0" w:firstLine="0"/>
        <w:jc w:val="left"/>
        <w:rPr>
          <w:rFonts w:ascii="宋体" w:hAnsi="宋体" w:cs="宋体" w:eastAsia="宋体" w:hint="default"/>
          <w:sz w:val="21"/>
          <w:szCs w:val="21"/>
        </w:rPr>
      </w:pPr>
      <w:r>
        <w:rPr>
          <w:rFonts w:ascii="宋体" w:hAnsi="宋体" w:cs="宋体" w:eastAsia="宋体" w:hint="default"/>
          <w:sz w:val="21"/>
          <w:szCs w:val="21"/>
        </w:rPr>
        <w:t>现为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万元，本公司出资</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450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万，占</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90%</w:t>
      </w:r>
      <w:r>
        <w:rPr>
          <w:rFonts w:ascii="宋体" w:hAnsi="宋体" w:cs="宋体" w:eastAsia="宋体" w:hint="default"/>
          <w:sz w:val="21"/>
          <w:szCs w:val="21"/>
        </w:rPr>
        <w:t>的持股比例，王斌出资</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万，占</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的持股比例。</w:t>
      </w:r>
    </w:p>
    <w:p>
      <w:pPr>
        <w:spacing w:before="109"/>
        <w:ind w:left="135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号，深圳惠程第三届董事会第十八次会议通过《关于拟与控股子公司深圳市惠程高能能源科技有限公司股东王斌</w:t>
      </w:r>
    </w:p>
    <w:p>
      <w:pPr>
        <w:spacing w:line="331" w:lineRule="auto" w:before="109"/>
        <w:ind w:left="1359" w:right="0" w:firstLine="0"/>
        <w:jc w:val="left"/>
        <w:rPr>
          <w:rFonts w:ascii="宋体" w:hAnsi="宋体" w:cs="宋体" w:eastAsia="宋体" w:hint="default"/>
          <w:sz w:val="21"/>
          <w:szCs w:val="21"/>
        </w:rPr>
      </w:pPr>
      <w:r>
        <w:rPr>
          <w:rFonts w:ascii="宋体" w:hAnsi="宋体" w:cs="宋体" w:eastAsia="宋体" w:hint="default"/>
          <w:spacing w:val="-8"/>
          <w:sz w:val="21"/>
          <w:szCs w:val="21"/>
        </w:rPr>
        <w:t>先生签订协议购买其出资的议案》，根据该决议，</w:t>
      </w:r>
      <w:r>
        <w:rPr>
          <w:rFonts w:ascii="Times New Roman" w:hAnsi="Times New Roman" w:cs="Times New Roman" w:eastAsia="Times New Roman" w:hint="default"/>
          <w:spacing w:val="-8"/>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月，本公司购买王斌持有的惠程高能的</w:t>
      </w:r>
      <w:r>
        <w:rPr>
          <w:rFonts w:ascii="宋体" w:hAnsi="宋体" w:cs="宋体" w:eastAsia="宋体" w:hint="default"/>
          <w:spacing w:val="-52"/>
          <w:sz w:val="21"/>
          <w:szCs w:val="21"/>
        </w:rPr>
        <w:t> </w:t>
      </w:r>
      <w:r>
        <w:rPr>
          <w:rFonts w:ascii="Times New Roman" w:hAnsi="Times New Roman" w:cs="Times New Roman" w:eastAsia="Times New Roman" w:hint="default"/>
          <w:spacing w:val="-1"/>
          <w:sz w:val="21"/>
          <w:szCs w:val="21"/>
        </w:rPr>
        <w:t>50</w:t>
      </w:r>
      <w:r>
        <w:rPr>
          <w:rFonts w:ascii="Times New Roman" w:hAnsi="Times New Roman" w:cs="Times New Roman" w:eastAsia="Times New Roman" w:hint="default"/>
          <w:spacing w:val="1"/>
          <w:sz w:val="21"/>
          <w:szCs w:val="21"/>
        </w:rPr>
        <w:t> </w:t>
      </w:r>
      <w:r>
        <w:rPr>
          <w:rFonts w:ascii="宋体" w:hAnsi="宋体" w:cs="宋体" w:eastAsia="宋体" w:hint="default"/>
          <w:spacing w:val="-4"/>
          <w:sz w:val="21"/>
          <w:szCs w:val="21"/>
        </w:rPr>
        <w:t>万元人民币的出资，购买价格为</w:t>
      </w:r>
      <w:r>
        <w:rPr>
          <w:rFonts w:ascii="宋体" w:hAnsi="宋体" w:cs="宋体" w:eastAsia="宋体" w:hint="default"/>
          <w:spacing w:val="-52"/>
          <w:sz w:val="21"/>
          <w:szCs w:val="21"/>
        </w:rPr>
        <w:t> </w:t>
      </w:r>
      <w:r>
        <w:rPr>
          <w:rFonts w:ascii="Times New Roman" w:hAnsi="Times New Roman" w:cs="Times New Roman" w:eastAsia="Times New Roman" w:hint="default"/>
          <w:spacing w:val="-1"/>
          <w:sz w:val="21"/>
          <w:szCs w:val="21"/>
        </w:rPr>
        <w:t>50</w:t>
      </w:r>
      <w:r>
        <w:rPr>
          <w:rFonts w:ascii="Times New Roman" w:hAnsi="Times New Roman" w:cs="Times New Roman" w:eastAsia="Times New Roman" w:hint="default"/>
          <w:spacing w:val="1"/>
          <w:sz w:val="21"/>
          <w:szCs w:val="21"/>
        </w:rPr>
        <w:t> </w:t>
      </w:r>
      <w:r>
        <w:rPr>
          <w:rFonts w:ascii="宋体" w:hAnsi="宋体" w:cs="宋体" w:eastAsia="宋体" w:hint="default"/>
          <w:spacing w:val="-1"/>
          <w:sz w:val="21"/>
          <w:szCs w:val="21"/>
        </w:rPr>
        <w:t>万元，</w:t>
      </w:r>
      <w:r>
        <w:rPr>
          <w:rFonts w:ascii="宋体" w:hAnsi="宋体" w:cs="宋体" w:eastAsia="宋体" w:hint="default"/>
          <w:sz w:val="21"/>
          <w:szCs w:val="21"/>
        </w:rPr>
        <w:t> 购买后公司持股比例上升为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w:t>
      </w:r>
    </w:p>
    <w:p>
      <w:pPr>
        <w:spacing w:before="20"/>
        <w:ind w:left="135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 </w:t>
      </w:r>
      <w:r>
        <w:rPr>
          <w:rFonts w:ascii="宋体" w:hAnsi="宋体" w:cs="宋体" w:eastAsia="宋体" w:hint="default"/>
          <w:spacing w:val="-4"/>
          <w:sz w:val="21"/>
          <w:szCs w:val="21"/>
        </w:rPr>
        <w:t>长春聚明光电材料有限公司，系由控股子公司长春高琦聚酰亚胺材料有限公司与方省众、屠国力共同出资组建，于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日成立。</w:t>
      </w:r>
    </w:p>
    <w:p>
      <w:pPr>
        <w:spacing w:after="0"/>
        <w:jc w:val="left"/>
        <w:rPr>
          <w:rFonts w:ascii="宋体" w:hAnsi="宋体" w:cs="宋体" w:eastAsia="宋体" w:hint="default"/>
          <w:sz w:val="21"/>
          <w:szCs w:val="21"/>
        </w:rPr>
        <w:sectPr>
          <w:footerReference w:type="default" r:id="rId84"/>
          <w:pgSz w:w="16840" w:h="11910" w:orient="landscape"/>
          <w:pgMar w:footer="1266" w:header="686" w:top="1160" w:bottom="1460" w:left="1160" w:right="1220"/>
          <w:pgNumType w:start="126"/>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spacing w:line="331" w:lineRule="auto" w:before="35"/>
        <w:ind w:left="2519" w:right="219" w:hanging="1"/>
        <w:jc w:val="both"/>
        <w:rPr>
          <w:rFonts w:ascii="宋体" w:hAnsi="宋体" w:cs="宋体" w:eastAsia="宋体" w:hint="default"/>
          <w:sz w:val="21"/>
          <w:szCs w:val="21"/>
        </w:rPr>
      </w:pPr>
      <w:r>
        <w:rPr>
          <w:rFonts w:ascii="宋体" w:hAnsi="宋体" w:cs="宋体" w:eastAsia="宋体" w:hint="default"/>
          <w:sz w:val="21"/>
          <w:szCs w:val="21"/>
        </w:rPr>
        <w:t>公司注册资本</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200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万，实收资本现为</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200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万元，长春高琦聚酰亚胺材料有限公司出资</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180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万，持有该公司</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90%</w:t>
      </w:r>
      <w:r>
        <w:rPr>
          <w:rFonts w:ascii="宋体" w:hAnsi="宋体" w:cs="宋体" w:eastAsia="宋体" w:hint="default"/>
          <w:sz w:val="21"/>
          <w:szCs w:val="21"/>
        </w:rPr>
        <w:t>的的股权，方省众和屠国力分 别出资</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万，分别持有该公司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的股权。</w:t>
      </w:r>
    </w:p>
    <w:p>
      <w:pPr>
        <w:spacing w:line="240" w:lineRule="auto" w:before="1"/>
        <w:rPr>
          <w:rFonts w:ascii="宋体" w:hAnsi="宋体" w:cs="宋体" w:eastAsia="宋体" w:hint="default"/>
          <w:sz w:val="32"/>
          <w:szCs w:val="32"/>
        </w:rPr>
      </w:pPr>
    </w:p>
    <w:p>
      <w:pPr>
        <w:spacing w:line="331" w:lineRule="auto" w:before="0"/>
        <w:ind w:left="2519" w:right="149"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北京高航复合材料有限公司，系公司与何峰、王凯、詹茂盛共同出资组建，于</w:t>
      </w:r>
      <w:r>
        <w:rPr>
          <w:rFonts w:ascii="宋体" w:hAnsi="宋体" w:cs="宋体" w:eastAsia="宋体" w:hint="default"/>
          <w:spacing w:val="-51"/>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日成立。公司注册资本</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万，实收资本 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万元，本公司出资</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630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万，持有该公司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63%</w:t>
      </w:r>
      <w:r>
        <w:rPr>
          <w:rFonts w:ascii="宋体" w:hAnsi="宋体" w:cs="宋体" w:eastAsia="宋体" w:hint="default"/>
          <w:sz w:val="21"/>
          <w:szCs w:val="21"/>
        </w:rPr>
        <w:t>的股权，何峰、王凯、詹茂盛分别出资</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w:t>
      </w:r>
      <w:r>
        <w:rPr>
          <w:rFonts w:ascii="Times New Roman" w:hAnsi="Times New Roman" w:cs="Times New Roman" w:eastAsia="Times New Roman" w:hint="default"/>
          <w:sz w:val="21"/>
          <w:szCs w:val="21"/>
        </w:rPr>
        <w:t>17.5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w:t>
      </w:r>
      <w:r>
        <w:rPr>
          <w:rFonts w:ascii="Times New Roman" w:hAnsi="Times New Roman" w:cs="Times New Roman" w:eastAsia="Times New Roman" w:hint="default"/>
          <w:sz w:val="21"/>
          <w:szCs w:val="21"/>
        </w:rPr>
        <w:t>52.5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万，分别持有该公司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w:t>
      </w:r>
      <w:r>
        <w:rPr>
          <w:rFonts w:ascii="宋体" w:hAnsi="宋体" w:cs="宋体" w:eastAsia="宋体" w:hint="default"/>
          <w:sz w:val="21"/>
          <w:szCs w:val="21"/>
        </w:rPr>
        <w:t>、 </w:t>
      </w:r>
      <w:r>
        <w:rPr>
          <w:rFonts w:ascii="Times New Roman" w:hAnsi="Times New Roman" w:cs="Times New Roman" w:eastAsia="Times New Roman" w:hint="default"/>
          <w:sz w:val="21"/>
          <w:szCs w:val="21"/>
        </w:rPr>
        <w:t>1.75%</w:t>
      </w:r>
      <w:r>
        <w:rPr>
          <w:rFonts w:ascii="宋体" w:hAnsi="宋体" w:cs="宋体" w:eastAsia="宋体" w:hint="default"/>
          <w:sz w:val="21"/>
          <w:szCs w:val="21"/>
        </w:rPr>
        <w:t>、</w:t>
      </w:r>
      <w:r>
        <w:rPr>
          <w:rFonts w:ascii="Times New Roman" w:hAnsi="Times New Roman" w:cs="Times New Roman" w:eastAsia="Times New Roman" w:hint="default"/>
          <w:sz w:val="21"/>
          <w:szCs w:val="21"/>
        </w:rPr>
        <w:t>5.25%</w:t>
      </w:r>
      <w:r>
        <w:rPr>
          <w:rFonts w:ascii="宋体" w:hAnsi="宋体" w:cs="宋体" w:eastAsia="宋体" w:hint="default"/>
          <w:sz w:val="21"/>
          <w:szCs w:val="21"/>
        </w:rPr>
        <w:t>的持股比例。</w:t>
      </w:r>
    </w:p>
    <w:p>
      <w:pPr>
        <w:spacing w:before="20"/>
        <w:ind w:left="2519" w:right="0" w:firstLine="0"/>
        <w:jc w:val="both"/>
        <w:rPr>
          <w:rFonts w:ascii="宋体" w:hAnsi="宋体" w:cs="宋体" w:eastAsia="宋体" w:hint="default"/>
          <w:sz w:val="21"/>
          <w:szCs w:val="21"/>
        </w:rPr>
      </w:pPr>
      <w:r>
        <w:rPr/>
        <w:pict>
          <v:group style="position:absolute;margin-left:101.000999pt;margin-top:16.38233pt;width:674.45pt;height:247pt;mso-position-horizontal-relative:page;mso-position-vertical-relative:paragraph;z-index:-785608" coordorigin="2020,328" coordsize="13489,4940">
            <v:group style="position:absolute;left:2049;top:343;width:13424;height:2" coordorigin="2049,343" coordsize="13424,2">
              <v:shape style="position:absolute;left:2049;top:343;width:13424;height:2" coordorigin="2049,343" coordsize="13424,0" path="m2049,343l15473,343e" filled="false" stroked="true" strokeweight="1.5pt" strokecolor="#000000">
                <v:path arrowok="t"/>
              </v:shape>
              <v:shape style="position:absolute;left:3205;top:338;width:10480;height:2258" type="#_x0000_t75" stroked="false">
                <v:imagedata r:id="rId85" o:title=""/>
              </v:shape>
            </v:group>
            <v:group style="position:absolute;left:2035;top:5252;width:1190;height:2" coordorigin="2035,5252" coordsize="1190,2">
              <v:shape style="position:absolute;left:2035;top:5252;width:1190;height:2" coordorigin="2035,5252" coordsize="1190,0" path="m2035,5252l3224,5252e" filled="false" stroked="true" strokeweight="1.5pt" strokecolor="#000000">
                <v:path arrowok="t"/>
              </v:shape>
              <v:shape style="position:absolute;left:2021;top:2549;width:13488;height:2717" type="#_x0000_t75" stroked="false">
                <v:imagedata r:id="rId86" o:title=""/>
              </v:shape>
            </v:group>
            <v:group style="position:absolute;left:3224;top:5252;width:636;height:2" coordorigin="3224,5252" coordsize="636,2">
              <v:shape style="position:absolute;left:3224;top:5252;width:636;height:2" coordorigin="3224,5252" coordsize="636,0" path="m3224,5252l3860,5252e" filled="false" stroked="true" strokeweight="1.5pt" strokecolor="#000000">
                <v:path arrowok="t"/>
              </v:shape>
              <v:shape style="position:absolute;left:3831;top:4008;width:67;height:1258" type="#_x0000_t75" stroked="false">
                <v:imagedata r:id="rId87" o:title=""/>
              </v:shape>
            </v:group>
            <v:group style="position:absolute;left:3860;top:5252;width:658;height:2" coordorigin="3860,5252" coordsize="658,2">
              <v:shape style="position:absolute;left:3860;top:5252;width:658;height:2" coordorigin="3860,5252" coordsize="658,0" path="m3860,5252l4518,5252e" filled="false" stroked="true" strokeweight="1.5pt" strokecolor="#000000">
                <v:path arrowok="t"/>
              </v:shape>
              <v:shape style="position:absolute;left:4489;top:4008;width:67;height:1258" type="#_x0000_t75" stroked="false">
                <v:imagedata r:id="rId87" o:title=""/>
              </v:shape>
            </v:group>
            <v:group style="position:absolute;left:4518;top:5252;width:827;height:2" coordorigin="4518,5252" coordsize="827,2">
              <v:shape style="position:absolute;left:4518;top:5252;width:827;height:2" coordorigin="4518,5252" coordsize="827,0" path="m4518,5252l5345,5252e" filled="false" stroked="true" strokeweight="1.5pt" strokecolor="#000000">
                <v:path arrowok="t"/>
              </v:shape>
              <v:shape style="position:absolute;left:5316;top:4008;width:67;height:1258" type="#_x0000_t75" stroked="false">
                <v:imagedata r:id="rId87" o:title=""/>
              </v:shape>
            </v:group>
            <v:group style="position:absolute;left:5345;top:5252;width:938;height:2" coordorigin="5345,5252" coordsize="938,2">
              <v:shape style="position:absolute;left:5345;top:5252;width:938;height:2" coordorigin="5345,5252" coordsize="938,0" path="m5345,5252l6282,5252e" filled="false" stroked="true" strokeweight="1.5pt" strokecolor="#000000">
                <v:path arrowok="t"/>
              </v:shape>
              <v:shape style="position:absolute;left:6253;top:4008;width:67;height:1248" type="#_x0000_t75" stroked="false">
                <v:imagedata r:id="rId88" o:title=""/>
              </v:shape>
            </v:group>
            <v:group style="position:absolute;left:6282;top:5252;width:1181;height:2" coordorigin="6282,5252" coordsize="1181,2">
              <v:shape style="position:absolute;left:6282;top:5252;width:1181;height:2" coordorigin="6282,5252" coordsize="1181,0" path="m6282,5252l7463,5252e" filled="false" stroked="true" strokeweight="1.5pt" strokecolor="#000000">
                <v:path arrowok="t"/>
              </v:shape>
              <v:shape style="position:absolute;left:7434;top:4008;width:67;height:1258" type="#_x0000_t75" stroked="false">
                <v:imagedata r:id="rId87" o:title=""/>
              </v:shape>
            </v:group>
            <v:group style="position:absolute;left:7463;top:5252;width:1024;height:2" coordorigin="7463,5252" coordsize="1024,2">
              <v:shape style="position:absolute;left:7463;top:5252;width:1024;height:2" coordorigin="7463,5252" coordsize="1024,0" path="m7463,5252l8486,5252e" filled="false" stroked="true" strokeweight="1.5pt" strokecolor="#000000">
                <v:path arrowok="t"/>
              </v:shape>
              <v:shape style="position:absolute;left:8457;top:4008;width:67;height:1258" type="#_x0000_t75" stroked="false">
                <v:imagedata r:id="rId89" o:title=""/>
              </v:shape>
            </v:group>
            <v:group style="position:absolute;left:8486;top:5252;width:1005;height:2" coordorigin="8486,5252" coordsize="1005,2">
              <v:shape style="position:absolute;left:8486;top:5252;width:1005;height:2" coordorigin="8486,5252" coordsize="1005,0" path="m8486,5252l9491,5252e" filled="false" stroked="true" strokeweight="1.5pt" strokecolor="#000000">
                <v:path arrowok="t"/>
              </v:shape>
              <v:shape style="position:absolute;left:9462;top:4008;width:67;height:1258" type="#_x0000_t75" stroked="false">
                <v:imagedata r:id="rId87" o:title=""/>
              </v:shape>
            </v:group>
            <v:group style="position:absolute;left:9491;top:5252;width:711;height:2" coordorigin="9491,5252" coordsize="711,2">
              <v:shape style="position:absolute;left:9491;top:5252;width:711;height:2" coordorigin="9491,5252" coordsize="711,0" path="m9491,5252l10201,5252e" filled="false" stroked="true" strokeweight="1.5pt" strokecolor="#000000">
                <v:path arrowok="t"/>
              </v:shape>
              <v:shape style="position:absolute;left:10172;top:4008;width:67;height:1258" type="#_x0000_t75" stroked="false">
                <v:imagedata r:id="rId87" o:title=""/>
              </v:shape>
            </v:group>
            <v:group style="position:absolute;left:10201;top:5252;width:712;height:2" coordorigin="10201,5252" coordsize="712,2">
              <v:shape style="position:absolute;left:10201;top:5252;width:712;height:2" coordorigin="10201,5252" coordsize="712,0" path="m10201,5252l10913,5252e" filled="false" stroked="true" strokeweight="1.5pt" strokecolor="#000000">
                <v:path arrowok="t"/>
              </v:shape>
              <v:shape style="position:absolute;left:10884;top:4008;width:67;height:1248" type="#_x0000_t75" stroked="false">
                <v:imagedata r:id="rId88" o:title=""/>
              </v:shape>
            </v:group>
            <v:group style="position:absolute;left:10913;top:5252;width:591;height:2" coordorigin="10913,5252" coordsize="591,2">
              <v:shape style="position:absolute;left:10913;top:5252;width:591;height:2" coordorigin="10913,5252" coordsize="591,0" path="m10913,5252l11503,5252e" filled="false" stroked="true" strokeweight="1.5pt" strokecolor="#000000">
                <v:path arrowok="t"/>
              </v:shape>
              <v:shape style="position:absolute;left:11474;top:4008;width:67;height:1258" type="#_x0000_t75" stroked="false">
                <v:imagedata r:id="rId87" o:title=""/>
              </v:shape>
            </v:group>
            <v:group style="position:absolute;left:11503;top:5252;width:1252;height:2" coordorigin="11503,5252" coordsize="1252,2">
              <v:shape style="position:absolute;left:11503;top:5252;width:1252;height:2" coordorigin="11503,5252" coordsize="1252,0" path="m11503,5252l12755,5252e" filled="false" stroked="true" strokeweight="1.5pt" strokecolor="#000000">
                <v:path arrowok="t"/>
              </v:shape>
              <v:shape style="position:absolute;left:12726;top:4008;width:67;height:1258" type="#_x0000_t75" stroked="false">
                <v:imagedata r:id="rId87" o:title=""/>
              </v:shape>
            </v:group>
            <v:group style="position:absolute;left:12755;top:5252;width:902;height:2" coordorigin="12755,5252" coordsize="902,2">
              <v:shape style="position:absolute;left:12755;top:5252;width:902;height:2" coordorigin="12755,5252" coordsize="902,0" path="m12755,5252l13656,5252e" filled="false" stroked="true" strokeweight="1.5pt" strokecolor="#000000">
                <v:path arrowok="t"/>
              </v:shape>
              <v:shape style="position:absolute;left:13627;top:4008;width:67;height:1258" type="#_x0000_t75" stroked="false">
                <v:imagedata r:id="rId87" o:title=""/>
              </v:shape>
            </v:group>
            <v:group style="position:absolute;left:13656;top:5252;width:1817;height:2" coordorigin="13656,5252" coordsize="1817,2">
              <v:shape style="position:absolute;left:13656;top:5252;width:1817;height:2" coordorigin="13656,5252" coordsize="1817,0" path="m13656,5252l15473,5252e" filled="false" stroked="true" strokeweight="1.5pt" strokecolor="#000000">
                <v:path arrowok="t"/>
              </v:shape>
              <v:shape style="position:absolute;left:3367;top:107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w:t>
                      </w:r>
                    </w:p>
                  </w:txbxContent>
                </v:textbox>
                <w10:wrap type="none"/>
              </v:shape>
              <v:shape style="position:absolute;left:8633;top:705;width:720;height:5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实质上构</w:t>
                      </w:r>
                    </w:p>
                    <w:p>
                      <w:pPr>
                        <w:spacing w:before="134"/>
                        <w:ind w:left="0" w:right="0" w:firstLine="0"/>
                        <w:jc w:val="left"/>
                        <w:rPr>
                          <w:rFonts w:ascii="宋体" w:hAnsi="宋体" w:cs="宋体" w:eastAsia="宋体" w:hint="default"/>
                          <w:sz w:val="18"/>
                          <w:szCs w:val="18"/>
                        </w:rPr>
                      </w:pPr>
                      <w:r>
                        <w:rPr>
                          <w:rFonts w:ascii="宋体" w:hAnsi="宋体" w:cs="宋体" w:eastAsia="宋体" w:hint="default"/>
                          <w:sz w:val="18"/>
                          <w:szCs w:val="18"/>
                        </w:rPr>
                        <w:t>成对子公</w:t>
                      </w:r>
                    </w:p>
                  </w:txbxContent>
                </v:textbox>
                <w10:wrap type="none"/>
              </v:shape>
              <v:shape style="position:absolute;left:10291;top:1074;width:1102;height:180" type="#_x0000_t202" filled="false" stroked="false">
                <v:textbox inset="0,0,0,0">
                  <w:txbxContent>
                    <w:p>
                      <w:pPr>
                        <w:tabs>
                          <w:tab w:pos="74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表决权</w:t>
                        <w:tab/>
                        <w:t>是否</w:t>
                      </w:r>
                    </w:p>
                  </w:txbxContent>
                </v:textbox>
                <w10:wrap type="none"/>
              </v:shape>
              <v:shape style="position:absolute;left:12848;top:705;width:720;height:5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少数股东</w:t>
                      </w:r>
                    </w:p>
                    <w:p>
                      <w:pPr>
                        <w:spacing w:before="134"/>
                        <w:ind w:left="0" w:right="0" w:firstLine="0"/>
                        <w:jc w:val="left"/>
                        <w:rPr>
                          <w:rFonts w:ascii="宋体" w:hAnsi="宋体" w:cs="宋体" w:eastAsia="宋体" w:hint="default"/>
                          <w:sz w:val="18"/>
                          <w:szCs w:val="18"/>
                        </w:rPr>
                      </w:pPr>
                      <w:r>
                        <w:rPr>
                          <w:rFonts w:ascii="宋体" w:hAnsi="宋体" w:cs="宋体" w:eastAsia="宋体" w:hint="default"/>
                          <w:sz w:val="18"/>
                          <w:szCs w:val="18"/>
                        </w:rPr>
                        <w:t>权益中用</w:t>
                      </w:r>
                    </w:p>
                  </w:txbxContent>
                </v:textbox>
                <w10:wrap type="none"/>
              </v:shape>
              <v:shape style="position:absolute;left:4014;top:1259;width:6106;height:180" type="#_x0000_t202" filled="false" stroked="false">
                <v:textbox inset="0,0,0,0">
                  <w:txbxContent>
                    <w:p>
                      <w:pPr>
                        <w:tabs>
                          <w:tab w:pos="651" w:val="left" w:leader="none"/>
                          <w:tab w:pos="3604" w:val="left" w:leader="none"/>
                          <w:tab w:pos="556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w:t>
                        <w:tab/>
                        <w:t>业务性</w:t>
                        <w:tab/>
                        <w:t>期末实际</w:t>
                        <w:tab/>
                        <w:t>持股比</w:t>
                      </w:r>
                    </w:p>
                  </w:txbxContent>
                </v:textbox>
                <w10:wrap type="none"/>
              </v:shape>
              <v:shape style="position:absolute;left:13757;top:520;width:1620;height:9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从母公司所有者权益</w:t>
                      </w:r>
                    </w:p>
                    <w:p>
                      <w:pPr>
                        <w:spacing w:line="370" w:lineRule="atLeas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冲减子公司少数股东 分担的本年亏损超过</w:t>
                      </w:r>
                    </w:p>
                  </w:txbxContent>
                </v:textbox>
                <w10:wrap type="none"/>
              </v:shape>
              <v:shape style="position:absolute;left:2189;top:144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3367;top:1445;width:360;height:550"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司类</w:t>
                      </w:r>
                    </w:p>
                    <w:p>
                      <w:pPr>
                        <w:spacing w:before="134"/>
                        <w:ind w:left="90" w:right="0" w:firstLine="0"/>
                        <w:jc w:val="left"/>
                        <w:rPr>
                          <w:rFonts w:ascii="宋体" w:hAnsi="宋体" w:cs="宋体" w:eastAsia="宋体" w:hint="default"/>
                          <w:sz w:val="18"/>
                          <w:szCs w:val="18"/>
                        </w:rPr>
                      </w:pPr>
                      <w:r>
                        <w:rPr>
                          <w:rFonts w:ascii="宋体" w:hAnsi="宋体" w:cs="宋体" w:eastAsia="宋体" w:hint="default"/>
                          <w:sz w:val="18"/>
                          <w:szCs w:val="18"/>
                        </w:rPr>
                        <w:t>型</w:t>
                      </w:r>
                    </w:p>
                  </w:txbxContent>
                </v:textbox>
                <w10:wrap type="none"/>
              </v:shape>
              <v:shape style="position:absolute;left:5457;top:1445;width:1780;height:180" type="#_x0000_t202" filled="false" stroked="false">
                <v:textbox inset="0,0,0,0">
                  <w:txbxContent>
                    <w:p>
                      <w:pPr>
                        <w:tabs>
                          <w:tab w:pos="105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tab/>
                        <w:t>经营范围</w:t>
                      </w:r>
                    </w:p>
                  </w:txbxContent>
                </v:textbox>
                <w10:wrap type="none"/>
              </v:shape>
              <v:shape style="position:absolute;left:4104;top:1630;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地</w:t>
                      </w:r>
                    </w:p>
                  </w:txbxContent>
                </v:textbox>
                <w10:wrap type="none"/>
              </v:shape>
              <v:shape style="position:absolute;left:4845;top:1630;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质</w:t>
                      </w:r>
                    </w:p>
                  </w:txbxContent>
                </v:textbox>
                <w10:wrap type="none"/>
              </v:shape>
              <v:shape style="position:absolute;left:7709;top:163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出资额</w:t>
                      </w:r>
                    </w:p>
                  </w:txbxContent>
                </v:textbox>
                <w10:wrap type="none"/>
              </v:shape>
              <v:shape style="position:absolute;left:8633;top:1445;width:720;height:5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司净投资</w:t>
                      </w:r>
                    </w:p>
                    <w:p>
                      <w:pPr>
                        <w:spacing w:before="134"/>
                        <w:ind w:left="0" w:right="0" w:firstLine="0"/>
                        <w:jc w:val="left"/>
                        <w:rPr>
                          <w:rFonts w:ascii="宋体" w:hAnsi="宋体" w:cs="宋体" w:eastAsia="宋体" w:hint="default"/>
                          <w:sz w:val="18"/>
                          <w:szCs w:val="18"/>
                        </w:rPr>
                      </w:pPr>
                      <w:r>
                        <w:rPr>
                          <w:rFonts w:ascii="宋体" w:hAnsi="宋体" w:cs="宋体" w:eastAsia="宋体" w:hint="default"/>
                          <w:sz w:val="18"/>
                          <w:szCs w:val="18"/>
                        </w:rPr>
                        <w:t>的其他项</w:t>
                      </w:r>
                    </w:p>
                  </w:txbxContent>
                </v:textbox>
                <w10:wrap type="none"/>
              </v:shape>
              <v:shape style="position:absolute;left:10381;top:144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9624;top:1630;width:45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txbxContent>
                </v:textbox>
                <w10:wrap type="none"/>
              </v:shape>
              <v:shape style="position:absolute;left:10425;top:1834;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1033;top:1445;width:4344;height:735" type="#_x0000_t202" filled="false" stroked="false">
                <v:textbox inset="0,0,0,0">
                  <w:txbxContent>
                    <w:p>
                      <w:pPr>
                        <w:tabs>
                          <w:tab w:pos="560" w:val="left" w:leader="none"/>
                        </w:tabs>
                        <w:spacing w:line="15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合并</w:t>
                        <w:tab/>
                        <w:t>少数股东权益</w:t>
                      </w:r>
                      <w:r>
                        <w:rPr>
                          <w:rFonts w:ascii="宋体" w:hAnsi="宋体" w:cs="宋体" w:eastAsia="宋体" w:hint="default"/>
                          <w:spacing w:val="85"/>
                          <w:sz w:val="18"/>
                          <w:szCs w:val="18"/>
                        </w:rPr>
                        <w:t> </w:t>
                      </w:r>
                      <w:r>
                        <w:rPr>
                          <w:rFonts w:ascii="宋体" w:hAnsi="宋体" w:cs="宋体" w:eastAsia="宋体" w:hint="default"/>
                          <w:sz w:val="18"/>
                          <w:szCs w:val="18"/>
                        </w:rPr>
                        <w:t>于冲减少</w:t>
                      </w:r>
                    </w:p>
                    <w:p>
                      <w:pPr>
                        <w:spacing w:line="185" w:lineRule="exact" w:before="0"/>
                        <w:ind w:left="2723" w:right="0" w:firstLine="0"/>
                        <w:jc w:val="left"/>
                        <w:rPr>
                          <w:rFonts w:ascii="宋体" w:hAnsi="宋体" w:cs="宋体" w:eastAsia="宋体" w:hint="default"/>
                          <w:sz w:val="18"/>
                          <w:szCs w:val="18"/>
                        </w:rPr>
                      </w:pPr>
                      <w:r>
                        <w:rPr>
                          <w:rFonts w:ascii="宋体" w:hAnsi="宋体" w:cs="宋体" w:eastAsia="宋体" w:hint="default"/>
                          <w:sz w:val="18"/>
                          <w:szCs w:val="18"/>
                        </w:rPr>
                        <w:t>少数股东在该子公司</w:t>
                      </w:r>
                    </w:p>
                    <w:p>
                      <w:pPr>
                        <w:tabs>
                          <w:tab w:pos="1815" w:val="left" w:leader="none"/>
                        </w:tabs>
                        <w:spacing w:line="18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报表</w:t>
                        <w:tab/>
                        <w:t>数股东损</w:t>
                      </w:r>
                    </w:p>
                    <w:p>
                      <w:pPr>
                        <w:spacing w:line="210" w:lineRule="exact" w:before="0"/>
                        <w:ind w:left="2723" w:right="0" w:firstLine="0"/>
                        <w:jc w:val="left"/>
                        <w:rPr>
                          <w:rFonts w:ascii="宋体" w:hAnsi="宋体" w:cs="宋体" w:eastAsia="宋体" w:hint="default"/>
                          <w:sz w:val="18"/>
                          <w:szCs w:val="18"/>
                        </w:rPr>
                      </w:pPr>
                      <w:r>
                        <w:rPr>
                          <w:rFonts w:ascii="宋体" w:hAnsi="宋体" w:cs="宋体" w:eastAsia="宋体" w:hint="default"/>
                          <w:sz w:val="18"/>
                          <w:szCs w:val="18"/>
                        </w:rPr>
                        <w:t>期初所有者权益中所</w:t>
                      </w:r>
                    </w:p>
                  </w:txbxContent>
                </v:textbox>
                <w10:wrap type="none"/>
              </v:shape>
              <v:shape style="position:absolute;left:8723;top:2184;width:4846;height:180" type="#_x0000_t202" filled="false" stroked="false">
                <v:textbox inset="0,0,0,0">
                  <w:txbxContent>
                    <w:p>
                      <w:pPr>
                        <w:tabs>
                          <w:tab w:pos="412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目余额</w:t>
                        <w:tab/>
                        <w:t>益的金额</w:t>
                      </w:r>
                    </w:p>
                  </w:txbxContent>
                </v:textbox>
                <w10:wrap type="none"/>
              </v:shape>
              <v:shape style="position:absolute;left:13847;top:2369;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享有份额后的余额</w:t>
                      </w:r>
                    </w:p>
                  </w:txbxContent>
                </v:textbox>
                <w10:wrap type="none"/>
              </v:shape>
              <v:shape style="position:absolute;left:2157;top:2745;width:1042;height:11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长春高琦聚</w:t>
                      </w:r>
                      <w:r>
                        <w:rPr>
                          <w:rFonts w:ascii="宋体" w:hAnsi="宋体" w:cs="宋体" w:eastAsia="宋体" w:hint="default"/>
                          <w:sz w:val="18"/>
                          <w:szCs w:val="18"/>
                        </w:rPr>
                      </w:r>
                    </w:p>
                    <w:p>
                      <w:pPr>
                        <w:spacing w:line="244" w:lineRule="auto" w:before="4"/>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酰亚胺材料 </w:t>
                      </w:r>
                      <w:r>
                        <w:rPr>
                          <w:rFonts w:ascii="宋体" w:hAnsi="宋体" w:cs="宋体" w:eastAsia="宋体" w:hint="default"/>
                          <w:spacing w:val="60"/>
                          <w:sz w:val="18"/>
                          <w:szCs w:val="18"/>
                        </w:rPr>
                        <w:t>有限公司</w:t>
                      </w:r>
                      <w:r>
                        <w:rPr>
                          <w:rFonts w:ascii="宋体" w:hAnsi="宋体" w:cs="宋体" w:eastAsia="宋体" w:hint="default"/>
                          <w:spacing w:val="-10"/>
                          <w:sz w:val="18"/>
                          <w:szCs w:val="18"/>
                        </w:rPr>
                        <w:t> </w:t>
                      </w:r>
                      <w:r>
                        <w:rPr>
                          <w:rFonts w:ascii="宋体" w:hAnsi="宋体" w:cs="宋体" w:eastAsia="宋体" w:hint="default"/>
                          <w:sz w:val="18"/>
                          <w:szCs w:val="18"/>
                        </w:rPr>
                      </w:r>
                    </w:p>
                    <w:p>
                      <w:pPr>
                        <w:spacing w:line="240" w:lineRule="exact" w:before="19"/>
                        <w:ind w:left="0" w:right="3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5"/>
                          <w:sz w:val="18"/>
                          <w:szCs w:val="18"/>
                        </w:rPr>
                        <w:t> </w:t>
                      </w:r>
                      <w:r>
                        <w:rPr>
                          <w:rFonts w:ascii="宋体" w:hAnsi="宋体" w:cs="宋体" w:eastAsia="宋体" w:hint="default"/>
                          <w:spacing w:val="26"/>
                          <w:sz w:val="18"/>
                          <w:szCs w:val="18"/>
                        </w:rPr>
                        <w:t>长春高</w:t>
                      </w:r>
                      <w:r>
                        <w:rPr>
                          <w:rFonts w:ascii="宋体" w:hAnsi="宋体" w:cs="宋体" w:eastAsia="宋体" w:hint="default"/>
                          <w:spacing w:val="-50"/>
                          <w:sz w:val="18"/>
                          <w:szCs w:val="18"/>
                        </w:rPr>
                        <w:t> </w:t>
                      </w:r>
                      <w:r>
                        <w:rPr>
                          <w:rFonts w:ascii="宋体" w:hAnsi="宋体" w:cs="宋体" w:eastAsia="宋体" w:hint="default"/>
                          <w:sz w:val="18"/>
                          <w:szCs w:val="18"/>
                        </w:rPr>
                        <w:t>琦</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p>
                  </w:txbxContent>
                </v:textbox>
                <w10:wrap type="none"/>
              </v:shape>
              <v:shape style="position:absolute;left:3285;top:3105;width:36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3973;top:3105;width:36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长春</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市</w:t>
                      </w:r>
                    </w:p>
                  </w:txbxContent>
                </v:textbox>
                <w10:wrap type="none"/>
              </v:shape>
              <v:shape style="position:absolute;left:4631;top:322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制造业</w:t>
                      </w:r>
                    </w:p>
                  </w:txbxContent>
                </v:textbox>
                <w10:wrap type="none"/>
              </v:shape>
              <v:shape style="position:absolute;left:5549;top:3234;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9,759.62</w:t>
                      </w:r>
                    </w:p>
                  </w:txbxContent>
                </v:textbox>
                <w10:wrap type="none"/>
              </v:shape>
              <v:shape style="position:absolute;left:6395;top:2625;width:1047;height:25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1"/>
                          <w:sz w:val="18"/>
                          <w:szCs w:val="18"/>
                        </w:rPr>
                        <w:t>高分子</w:t>
                      </w:r>
                      <w:r>
                        <w:rPr>
                          <w:rFonts w:ascii="宋体" w:hAnsi="宋体" w:cs="宋体" w:eastAsia="宋体" w:hint="default"/>
                          <w:sz w:val="18"/>
                          <w:szCs w:val="18"/>
                        </w:rPr>
                        <w:t>材</w:t>
                      </w:r>
                      <w:r>
                        <w:rPr>
                          <w:rFonts w:ascii="宋体" w:hAnsi="宋体" w:cs="宋体" w:eastAsia="宋体" w:hint="default"/>
                          <w:spacing w:val="-9"/>
                          <w:sz w:val="18"/>
                          <w:szCs w:val="18"/>
                        </w:rPr>
                        <w:t> </w:t>
                      </w:r>
                      <w:r>
                        <w:rPr>
                          <w:rFonts w:ascii="宋体" w:hAnsi="宋体" w:cs="宋体" w:eastAsia="宋体" w:hint="default"/>
                          <w:sz w:val="18"/>
                          <w:szCs w:val="18"/>
                        </w:rPr>
                      </w:r>
                    </w:p>
                    <w:p>
                      <w:pPr>
                        <w:spacing w:line="244" w:lineRule="auto" w:before="4"/>
                        <w:ind w:left="0" w:right="61" w:firstLine="0"/>
                        <w:jc w:val="left"/>
                        <w:rPr>
                          <w:rFonts w:ascii="宋体" w:hAnsi="宋体" w:cs="宋体" w:eastAsia="宋体" w:hint="default"/>
                          <w:sz w:val="18"/>
                          <w:szCs w:val="18"/>
                        </w:rPr>
                      </w:pPr>
                      <w:r>
                        <w:rPr>
                          <w:rFonts w:ascii="宋体" w:hAnsi="宋体" w:cs="宋体" w:eastAsia="宋体" w:hint="default"/>
                          <w:spacing w:val="12"/>
                          <w:sz w:val="18"/>
                          <w:szCs w:val="18"/>
                        </w:rPr>
                        <w:t>料、无石棉</w:t>
                      </w:r>
                      <w:r>
                        <w:rPr>
                          <w:rFonts w:ascii="宋体" w:hAnsi="宋体" w:cs="宋体" w:eastAsia="宋体" w:hint="default"/>
                          <w:spacing w:val="-87"/>
                          <w:sz w:val="18"/>
                          <w:szCs w:val="18"/>
                        </w:rPr>
                        <w:t> </w:t>
                      </w:r>
                      <w:r>
                        <w:rPr>
                          <w:rFonts w:ascii="宋体" w:hAnsi="宋体" w:cs="宋体" w:eastAsia="宋体" w:hint="default"/>
                          <w:spacing w:val="12"/>
                          <w:sz w:val="18"/>
                          <w:szCs w:val="18"/>
                        </w:rPr>
                        <w:t>摩擦材料、</w:t>
                      </w:r>
                      <w:r>
                        <w:rPr>
                          <w:rFonts w:ascii="宋体" w:hAnsi="宋体" w:cs="宋体" w:eastAsia="宋体" w:hint="default"/>
                          <w:spacing w:val="-87"/>
                          <w:sz w:val="18"/>
                          <w:szCs w:val="18"/>
                        </w:rPr>
                        <w:t> </w:t>
                      </w:r>
                      <w:r>
                        <w:rPr>
                          <w:rFonts w:ascii="宋体" w:hAnsi="宋体" w:cs="宋体" w:eastAsia="宋体" w:hint="default"/>
                          <w:spacing w:val="12"/>
                          <w:sz w:val="18"/>
                          <w:szCs w:val="18"/>
                        </w:rPr>
                        <w:t>特种工程塑</w:t>
                      </w:r>
                      <w:r>
                        <w:rPr>
                          <w:rFonts w:ascii="宋体" w:hAnsi="宋体" w:cs="宋体" w:eastAsia="宋体" w:hint="default"/>
                          <w:spacing w:val="-87"/>
                          <w:sz w:val="18"/>
                          <w:szCs w:val="18"/>
                        </w:rPr>
                        <w:t> </w:t>
                      </w:r>
                      <w:r>
                        <w:rPr>
                          <w:rFonts w:ascii="宋体" w:hAnsi="宋体" w:cs="宋体" w:eastAsia="宋体" w:hint="default"/>
                          <w:spacing w:val="12"/>
                          <w:sz w:val="18"/>
                          <w:szCs w:val="18"/>
                        </w:rPr>
                        <w:t>料制品加工</w:t>
                      </w:r>
                      <w:r>
                        <w:rPr>
                          <w:rFonts w:ascii="宋体" w:hAnsi="宋体" w:cs="宋体" w:eastAsia="宋体" w:hint="default"/>
                          <w:spacing w:val="-87"/>
                          <w:sz w:val="18"/>
                          <w:szCs w:val="18"/>
                        </w:rPr>
                        <w:t> </w:t>
                      </w:r>
                      <w:r>
                        <w:rPr>
                          <w:rFonts w:ascii="宋体" w:hAnsi="宋体" w:cs="宋体" w:eastAsia="宋体" w:hint="default"/>
                          <w:sz w:val="18"/>
                          <w:szCs w:val="18"/>
                        </w:rPr>
                        <w:t>及技术咨询</w:t>
                      </w:r>
                      <w:r>
                        <w:rPr>
                          <w:rFonts w:ascii="宋体" w:hAnsi="宋体" w:cs="宋体" w:eastAsia="宋体" w:hint="default"/>
                          <w:sz w:val="18"/>
                          <w:szCs w:val="18"/>
                        </w:rPr>
                        <w:t> </w:t>
                      </w:r>
                      <w:r>
                        <w:rPr>
                          <w:rFonts w:ascii="宋体" w:hAnsi="宋体" w:cs="宋体" w:eastAsia="宋体" w:hint="default"/>
                          <w:spacing w:val="12"/>
                          <w:sz w:val="18"/>
                          <w:szCs w:val="18"/>
                        </w:rPr>
                        <w:t>电力设备及</w:t>
                      </w:r>
                      <w:r>
                        <w:rPr>
                          <w:rFonts w:ascii="宋体" w:hAnsi="宋体" w:cs="宋体" w:eastAsia="宋体" w:hint="default"/>
                          <w:spacing w:val="-87"/>
                          <w:sz w:val="18"/>
                          <w:szCs w:val="18"/>
                        </w:rPr>
                        <w:t> </w:t>
                      </w:r>
                      <w:r>
                        <w:rPr>
                          <w:rFonts w:ascii="宋体" w:hAnsi="宋体" w:cs="宋体" w:eastAsia="宋体" w:hint="default"/>
                          <w:spacing w:val="12"/>
                          <w:sz w:val="18"/>
                          <w:szCs w:val="18"/>
                        </w:rPr>
                        <w:t>相关配件产</w:t>
                      </w:r>
                      <w:r>
                        <w:rPr>
                          <w:rFonts w:ascii="宋体" w:hAnsi="宋体" w:cs="宋体" w:eastAsia="宋体" w:hint="default"/>
                          <w:spacing w:val="-87"/>
                          <w:sz w:val="18"/>
                          <w:szCs w:val="18"/>
                        </w:rPr>
                        <w:t> </w:t>
                      </w:r>
                      <w:r>
                        <w:rPr>
                          <w:rFonts w:ascii="宋体" w:hAnsi="宋体" w:cs="宋体" w:eastAsia="宋体" w:hint="default"/>
                          <w:spacing w:val="12"/>
                          <w:sz w:val="18"/>
                          <w:szCs w:val="18"/>
                        </w:rPr>
                        <w:t>品的销售、</w:t>
                      </w:r>
                      <w:r>
                        <w:rPr>
                          <w:rFonts w:ascii="宋体" w:hAnsi="宋体" w:cs="宋体" w:eastAsia="宋体" w:hint="default"/>
                          <w:spacing w:val="-87"/>
                          <w:sz w:val="18"/>
                          <w:szCs w:val="18"/>
                        </w:rPr>
                        <w:t> </w:t>
                      </w:r>
                      <w:r>
                        <w:rPr>
                          <w:rFonts w:ascii="宋体" w:hAnsi="宋体" w:cs="宋体" w:eastAsia="宋体" w:hint="default"/>
                          <w:spacing w:val="12"/>
                          <w:sz w:val="18"/>
                          <w:szCs w:val="18"/>
                        </w:rPr>
                        <w:t>提供技术支</w:t>
                      </w:r>
                      <w:r>
                        <w:rPr>
                          <w:rFonts w:ascii="宋体" w:hAnsi="宋体" w:cs="宋体" w:eastAsia="宋体" w:hint="default"/>
                          <w:spacing w:val="-87"/>
                          <w:sz w:val="18"/>
                          <w:szCs w:val="18"/>
                        </w:rPr>
                        <w:t> </w:t>
                      </w:r>
                      <w:r>
                        <w:rPr>
                          <w:rFonts w:ascii="宋体" w:hAnsi="宋体" w:cs="宋体" w:eastAsia="宋体" w:hint="default"/>
                          <w:sz w:val="18"/>
                          <w:szCs w:val="18"/>
                        </w:rPr>
                        <w:t>持服务</w:t>
                      </w:r>
                    </w:p>
                  </w:txbxContent>
                </v:textbox>
                <w10:wrap type="none"/>
              </v:shape>
              <v:shape style="position:absolute;left:7663;top:3234;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39,696.00</w:t>
                      </w:r>
                    </w:p>
                  </w:txbxContent>
                </v:textbox>
                <w10:wrap type="none"/>
              </v:shape>
              <v:shape style="position:absolute;left:2157;top:4314;width:979;height:67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香港惠程有</w:t>
                      </w:r>
                      <w:r>
                        <w:rPr>
                          <w:rFonts w:ascii="宋体" w:hAnsi="宋体" w:cs="宋体" w:eastAsia="宋体" w:hint="default"/>
                          <w:sz w:val="18"/>
                          <w:szCs w:val="18"/>
                        </w:rPr>
                      </w:r>
                    </w:p>
                    <w:p>
                      <w:pPr>
                        <w:spacing w:line="240" w:lineRule="exact" w:before="22"/>
                        <w:ind w:left="0" w:right="12" w:firstLine="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限公司（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香</w:t>
                      </w:r>
                      <w:r>
                        <w:rPr>
                          <w:rFonts w:ascii="宋体" w:hAnsi="宋体" w:cs="宋体" w:eastAsia="宋体" w:hint="default"/>
                          <w:sz w:val="18"/>
                          <w:szCs w:val="18"/>
                        </w:rPr>
                        <w:t> </w:t>
                      </w:r>
                      <w:r>
                        <w:rPr>
                          <w:rFonts w:ascii="宋体" w:hAnsi="宋体" w:cs="宋体" w:eastAsia="宋体" w:hint="default"/>
                          <w:spacing w:val="-3"/>
                          <w:sz w:val="18"/>
                          <w:szCs w:val="18"/>
                        </w:rPr>
                        <w:t>港惠程</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p>
                  </w:txbxContent>
                </v:textbox>
                <w10:wrap type="none"/>
              </v:shape>
              <v:shape style="position:absolute;left:3285;top:4434;width:36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3973;top:4554;width:2205;height:190" type="#_x0000_t202" filled="false" stroked="false">
                <v:textbox inset="0,0,0,0">
                  <w:txbxContent>
                    <w:p>
                      <w:pPr>
                        <w:tabs>
                          <w:tab w:pos="657" w:val="left" w:leader="none"/>
                          <w:tab w:pos="1501"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香港</w:t>
                        <w:tab/>
                        <w:t>贸易业</w:t>
                        <w:tab/>
                      </w:r>
                      <w:r>
                        <w:rPr>
                          <w:rFonts w:ascii="Times New Roman" w:hAnsi="Times New Roman" w:cs="Times New Roman" w:eastAsia="Times New Roman" w:hint="default"/>
                          <w:sz w:val="18"/>
                          <w:szCs w:val="18"/>
                        </w:rPr>
                        <w:t>HKD1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w:t>
                      </w:r>
                    </w:p>
                  </w:txbxContent>
                </v:textbox>
                <w10:wrap type="none"/>
              </v:shape>
              <v:shape style="position:absolute;left:7663;top:4564;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170.95.00</w:t>
                      </w:r>
                    </w:p>
                  </w:txbxContent>
                </v:textbox>
                <w10:wrap type="none"/>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     </w:t>
      </w:r>
      <w:r>
        <w:rPr>
          <w:rFonts w:ascii="宋体" w:hAnsi="宋体" w:cs="宋体" w:eastAsia="宋体" w:hint="default"/>
          <w:b/>
          <w:bCs/>
          <w:spacing w:val="65"/>
          <w:sz w:val="21"/>
          <w:szCs w:val="21"/>
        </w:rPr>
        <w:t> </w:t>
      </w:r>
      <w:r>
        <w:rPr>
          <w:rFonts w:ascii="宋体" w:hAnsi="宋体" w:cs="宋体" w:eastAsia="宋体" w:hint="default"/>
          <w:b/>
          <w:bCs/>
          <w:sz w:val="21"/>
          <w:szCs w:val="21"/>
        </w:rPr>
        <w:t>通过非同一控制下企业合并取得的子公司</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8"/>
          <w:szCs w:val="28"/>
        </w:rPr>
      </w:pPr>
    </w:p>
    <w:tbl>
      <w:tblPr>
        <w:tblW w:w="0" w:type="auto"/>
        <w:jc w:val="left"/>
        <w:tblInd w:w="9172" w:type="dxa"/>
        <w:tblLayout w:type="fixed"/>
        <w:tblCellMar>
          <w:top w:w="0" w:type="dxa"/>
          <w:left w:w="0" w:type="dxa"/>
          <w:bottom w:w="0" w:type="dxa"/>
          <w:right w:w="0" w:type="dxa"/>
        </w:tblCellMar>
        <w:tblLook w:val="01E0"/>
      </w:tblPr>
      <w:tblGrid>
        <w:gridCol w:w="323"/>
        <w:gridCol w:w="712"/>
        <w:gridCol w:w="809"/>
        <w:gridCol w:w="695"/>
        <w:gridCol w:w="1301"/>
        <w:gridCol w:w="1357"/>
        <w:gridCol w:w="1031"/>
      </w:tblGrid>
      <w:tr>
        <w:trPr>
          <w:trHeight w:val="745" w:hRule="exact"/>
        </w:trPr>
        <w:tc>
          <w:tcPr>
            <w:tcW w:w="323" w:type="dxa"/>
            <w:tcBorders>
              <w:top w:val="nil" w:sz="6" w:space="0" w:color="auto"/>
              <w:left w:val="nil" w:sz="6" w:space="0" w:color="auto"/>
              <w:bottom w:val="nil" w:sz="6" w:space="0" w:color="auto"/>
              <w:right w:val="nil" w:sz="6" w:space="0" w:color="auto"/>
            </w:tcBorders>
          </w:tcPr>
          <w:p>
            <w:pPr>
              <w:pStyle w:val="TableParagraph"/>
              <w:spacing w:line="184" w:lineRule="exact"/>
              <w:ind w:left="35" w:right="0"/>
              <w:jc w:val="left"/>
              <w:rPr>
                <w:rFonts w:ascii="Times New Roman" w:hAnsi="Times New Roman" w:cs="Times New Roman" w:eastAsia="Times New Roman" w:hint="default"/>
                <w:sz w:val="18"/>
                <w:szCs w:val="18"/>
              </w:rPr>
            </w:pPr>
            <w:r>
              <w:rPr>
                <w:rFonts w:ascii="Times New Roman"/>
                <w:sz w:val="18"/>
              </w:rPr>
              <w:t>---</w:t>
            </w:r>
          </w:p>
        </w:tc>
        <w:tc>
          <w:tcPr>
            <w:tcW w:w="712" w:type="dxa"/>
            <w:tcBorders>
              <w:top w:val="nil" w:sz="6" w:space="0" w:color="auto"/>
              <w:left w:val="nil" w:sz="6" w:space="0" w:color="auto"/>
              <w:bottom w:val="nil" w:sz="6" w:space="0" w:color="auto"/>
              <w:right w:val="nil" w:sz="6" w:space="0" w:color="auto"/>
            </w:tcBorders>
          </w:tcPr>
          <w:p>
            <w:pPr>
              <w:pStyle w:val="TableParagraph"/>
              <w:spacing w:line="184" w:lineRule="exact"/>
              <w:ind w:right="105"/>
              <w:jc w:val="right"/>
              <w:rPr>
                <w:rFonts w:ascii="Times New Roman" w:hAnsi="Times New Roman" w:cs="Times New Roman" w:eastAsia="Times New Roman" w:hint="default"/>
                <w:sz w:val="18"/>
                <w:szCs w:val="18"/>
              </w:rPr>
            </w:pPr>
            <w:r>
              <w:rPr>
                <w:rFonts w:ascii="Times New Roman"/>
                <w:sz w:val="18"/>
              </w:rPr>
              <w:t>84.63</w:t>
            </w:r>
          </w:p>
        </w:tc>
        <w:tc>
          <w:tcPr>
            <w:tcW w:w="809" w:type="dxa"/>
            <w:tcBorders>
              <w:top w:val="nil" w:sz="6" w:space="0" w:color="auto"/>
              <w:left w:val="nil" w:sz="6" w:space="0" w:color="auto"/>
              <w:bottom w:val="nil" w:sz="6" w:space="0" w:color="auto"/>
              <w:right w:val="nil" w:sz="6" w:space="0" w:color="auto"/>
            </w:tcBorders>
          </w:tcPr>
          <w:p>
            <w:pPr>
              <w:pStyle w:val="TableParagraph"/>
              <w:spacing w:line="184" w:lineRule="exact"/>
              <w:ind w:right="203"/>
              <w:jc w:val="right"/>
              <w:rPr>
                <w:rFonts w:ascii="Times New Roman" w:hAnsi="Times New Roman" w:cs="Times New Roman" w:eastAsia="Times New Roman" w:hint="default"/>
                <w:sz w:val="18"/>
                <w:szCs w:val="18"/>
              </w:rPr>
            </w:pPr>
            <w:r>
              <w:rPr>
                <w:rFonts w:ascii="Times New Roman"/>
                <w:sz w:val="18"/>
              </w:rPr>
              <w:t>84.63</w:t>
            </w:r>
          </w:p>
        </w:tc>
        <w:tc>
          <w:tcPr>
            <w:tcW w:w="695" w:type="dxa"/>
            <w:tcBorders>
              <w:top w:val="nil" w:sz="6" w:space="0" w:color="auto"/>
              <w:left w:val="nil" w:sz="6" w:space="0" w:color="auto"/>
              <w:bottom w:val="nil" w:sz="6" w:space="0" w:color="auto"/>
              <w:right w:val="nil" w:sz="6" w:space="0" w:color="auto"/>
            </w:tcBorders>
          </w:tcPr>
          <w:p>
            <w:pPr>
              <w:pStyle w:val="TableParagraph"/>
              <w:spacing w:line="161" w:lineRule="exact"/>
              <w:ind w:left="205"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301" w:type="dxa"/>
            <w:tcBorders>
              <w:top w:val="nil" w:sz="6" w:space="0" w:color="auto"/>
              <w:left w:val="nil" w:sz="6" w:space="0" w:color="auto"/>
              <w:bottom w:val="nil" w:sz="6" w:space="0" w:color="auto"/>
              <w:right w:val="nil" w:sz="6" w:space="0" w:color="auto"/>
            </w:tcBorders>
          </w:tcPr>
          <w:p>
            <w:pPr>
              <w:pStyle w:val="TableParagraph"/>
              <w:spacing w:line="184" w:lineRule="exact"/>
              <w:ind w:right="358"/>
              <w:jc w:val="right"/>
              <w:rPr>
                <w:rFonts w:ascii="Times New Roman" w:hAnsi="Times New Roman" w:cs="Times New Roman" w:eastAsia="Times New Roman" w:hint="default"/>
                <w:sz w:val="18"/>
                <w:szCs w:val="18"/>
              </w:rPr>
            </w:pPr>
            <w:r>
              <w:rPr>
                <w:rFonts w:ascii="Times New Roman"/>
                <w:sz w:val="18"/>
              </w:rPr>
              <w:t>6,978.00</w:t>
            </w:r>
          </w:p>
        </w:tc>
        <w:tc>
          <w:tcPr>
            <w:tcW w:w="1357" w:type="dxa"/>
            <w:tcBorders>
              <w:top w:val="nil" w:sz="6" w:space="0" w:color="auto"/>
              <w:left w:val="nil" w:sz="6" w:space="0" w:color="auto"/>
              <w:bottom w:val="nil" w:sz="6" w:space="0" w:color="auto"/>
              <w:right w:val="nil" w:sz="6" w:space="0" w:color="auto"/>
            </w:tcBorders>
          </w:tcPr>
          <w:p>
            <w:pPr>
              <w:pStyle w:val="TableParagraph"/>
              <w:spacing w:line="184" w:lineRule="exact"/>
              <w:ind w:left="360" w:right="0"/>
              <w:jc w:val="left"/>
              <w:rPr>
                <w:rFonts w:ascii="Times New Roman" w:hAnsi="Times New Roman" w:cs="Times New Roman" w:eastAsia="Times New Roman" w:hint="default"/>
                <w:sz w:val="18"/>
                <w:szCs w:val="18"/>
              </w:rPr>
            </w:pPr>
            <w:r>
              <w:rPr>
                <w:rFonts w:ascii="Times New Roman"/>
                <w:sz w:val="18"/>
              </w:rPr>
              <w:t>---</w:t>
            </w:r>
          </w:p>
        </w:tc>
        <w:tc>
          <w:tcPr>
            <w:tcW w:w="1031"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Times New Roman" w:hAnsi="Times New Roman" w:cs="Times New Roman" w:eastAsia="Times New Roman" w:hint="default"/>
                <w:sz w:val="18"/>
                <w:szCs w:val="18"/>
              </w:rPr>
            </w:pPr>
            <w:r>
              <w:rPr>
                <w:rFonts w:ascii="Times New Roman"/>
                <w:sz w:val="18"/>
              </w:rPr>
              <w:t>---</w:t>
            </w:r>
          </w:p>
        </w:tc>
      </w:tr>
      <w:tr>
        <w:trPr>
          <w:trHeight w:val="765" w:hRule="exact"/>
        </w:trPr>
        <w:tc>
          <w:tcPr>
            <w:tcW w:w="3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w:t>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100.00</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right="203"/>
              <w:jc w:val="right"/>
              <w:rPr>
                <w:rFonts w:ascii="Times New Roman" w:hAnsi="Times New Roman" w:cs="Times New Roman" w:eastAsia="Times New Roman" w:hint="default"/>
                <w:sz w:val="18"/>
                <w:szCs w:val="18"/>
              </w:rPr>
            </w:pPr>
            <w:r>
              <w:rPr>
                <w:rFonts w:ascii="Times New Roman"/>
                <w:sz w:val="18"/>
              </w:rPr>
              <w:t>100.00</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205"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right="358"/>
              <w:jc w:val="right"/>
              <w:rPr>
                <w:rFonts w:ascii="Times New Roman" w:hAnsi="Times New Roman" w:cs="Times New Roman" w:eastAsia="Times New Roman" w:hint="default"/>
                <w:sz w:val="18"/>
                <w:szCs w:val="18"/>
              </w:rPr>
            </w:pPr>
            <w:r>
              <w:rPr>
                <w:rFonts w:ascii="Times New Roman"/>
                <w:sz w:val="18"/>
              </w:rPr>
              <w:t>---</w:t>
            </w:r>
          </w:p>
        </w:tc>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left="360" w:right="0"/>
              <w:jc w:val="left"/>
              <w:rPr>
                <w:rFonts w:ascii="Times New Roman" w:hAnsi="Times New Roman" w:cs="Times New Roman" w:eastAsia="Times New Roman" w:hint="default"/>
                <w:sz w:val="18"/>
                <w:szCs w:val="18"/>
              </w:rPr>
            </w:pPr>
            <w:r>
              <w:rPr>
                <w:rFonts w:ascii="Times New Roman"/>
                <w:sz w:val="18"/>
              </w:rPr>
              <w:t>---</w:t>
            </w:r>
          </w:p>
        </w:tc>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9"/>
          <w:szCs w:val="19"/>
        </w:rPr>
      </w:pPr>
    </w:p>
    <w:p>
      <w:pPr>
        <w:spacing w:before="35"/>
        <w:ind w:left="251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长春高琦原名</w:t>
      </w:r>
      <w:r>
        <w:rPr>
          <w:rFonts w:ascii="Times New Roman" w:hAnsi="Times New Roman" w:cs="Times New Roman" w:eastAsia="Times New Roman" w:hint="default"/>
          <w:sz w:val="21"/>
          <w:szCs w:val="21"/>
        </w:rPr>
        <w:t>“</w:t>
      </w:r>
      <w:r>
        <w:rPr>
          <w:rFonts w:ascii="宋体" w:hAnsi="宋体" w:cs="宋体" w:eastAsia="宋体" w:hint="default"/>
          <w:sz w:val="21"/>
          <w:szCs w:val="21"/>
        </w:rPr>
        <w:t>长春应化特种工程塑料有限公司</w:t>
      </w:r>
      <w:r>
        <w:rPr>
          <w:rFonts w:ascii="Times New Roman" w:hAnsi="Times New Roman" w:cs="Times New Roman" w:eastAsia="Times New Roman" w:hint="default"/>
          <w:sz w:val="21"/>
          <w:szCs w:val="21"/>
        </w:rPr>
        <w:t>”</w:t>
      </w:r>
      <w:r>
        <w:rPr>
          <w:rFonts w:ascii="宋体" w:hAnsi="宋体" w:cs="宋体" w:eastAsia="宋体" w:hint="default"/>
          <w:sz w:val="21"/>
          <w:szCs w:val="21"/>
        </w:rPr>
        <w:t>，系自然人丁孟贤、高连勋等人共同出资，于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2004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日成立，注册资本为</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180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w:t>
      </w:r>
    </w:p>
    <w:p>
      <w:pPr>
        <w:spacing w:after="0"/>
        <w:jc w:val="left"/>
        <w:rPr>
          <w:rFonts w:ascii="宋体" w:hAnsi="宋体" w:cs="宋体" w:eastAsia="宋体" w:hint="default"/>
          <w:sz w:val="21"/>
          <w:szCs w:val="21"/>
        </w:rPr>
        <w:sectPr>
          <w:pgSz w:w="16840" w:h="11910" w:orient="landscape"/>
          <w:pgMar w:header="686" w:footer="1266" w:top="1160" w:bottom="1460" w:left="0" w:right="122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spacing w:before="35"/>
        <w:ind w:left="1359" w:right="0" w:firstLine="0"/>
        <w:jc w:val="left"/>
        <w:rPr>
          <w:rFonts w:ascii="宋体" w:hAnsi="宋体" w:cs="宋体" w:eastAsia="宋体" w:hint="default"/>
          <w:sz w:val="21"/>
          <w:szCs w:val="21"/>
        </w:rPr>
      </w:pPr>
      <w:r>
        <w:rPr>
          <w:rFonts w:ascii="宋体" w:hAnsi="宋体" w:cs="宋体" w:eastAsia="宋体" w:hint="default"/>
          <w:sz w:val="21"/>
          <w:szCs w:val="21"/>
        </w:rPr>
        <w:t>元。</w:t>
      </w:r>
    </w:p>
    <w:p>
      <w:pPr>
        <w:spacing w:before="126"/>
        <w:ind w:left="135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年本公司投入</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2,600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万元，长春高琦的注册资本变更为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1,125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万元，本公司持有股权为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52%</w:t>
      </w:r>
      <w:r>
        <w:rPr>
          <w:rFonts w:ascii="宋体" w:hAnsi="宋体" w:cs="宋体" w:eastAsia="宋体" w:hint="default"/>
          <w:sz w:val="21"/>
          <w:szCs w:val="21"/>
        </w:rPr>
        <w:t>。</w:t>
      </w:r>
    </w:p>
    <w:p>
      <w:pPr>
        <w:spacing w:before="109"/>
        <w:ind w:left="135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 </w:t>
      </w:r>
      <w:r>
        <w:rPr>
          <w:rFonts w:ascii="宋体" w:hAnsi="宋体" w:cs="宋体" w:eastAsia="宋体" w:hint="default"/>
          <w:spacing w:val="-4"/>
          <w:sz w:val="21"/>
          <w:szCs w:val="21"/>
        </w:rPr>
        <w:t>日，本公司、中国科学院长春应用化学科技总公司、杨诚等</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25 </w:t>
      </w:r>
      <w:r>
        <w:rPr>
          <w:rFonts w:ascii="宋体" w:hAnsi="宋体" w:cs="宋体" w:eastAsia="宋体" w:hint="default"/>
          <w:sz w:val="21"/>
          <w:szCs w:val="21"/>
        </w:rPr>
        <w:t>位自然人股东分别出资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2,200 </w:t>
      </w:r>
      <w:r>
        <w:rPr>
          <w:rFonts w:ascii="宋体" w:hAnsi="宋体" w:cs="宋体" w:eastAsia="宋体" w:hint="default"/>
          <w:spacing w:val="-6"/>
          <w:sz w:val="21"/>
          <w:szCs w:val="21"/>
        </w:rPr>
        <w:t>万元、</w:t>
      </w:r>
      <w:r>
        <w:rPr>
          <w:rFonts w:ascii="Times New Roman" w:hAnsi="Times New Roman" w:cs="Times New Roman" w:eastAsia="Times New Roman" w:hint="default"/>
          <w:spacing w:val="-6"/>
          <w:sz w:val="21"/>
          <w:szCs w:val="21"/>
        </w:rPr>
        <w:t>300</w:t>
      </w:r>
      <w:r>
        <w:rPr>
          <w:rFonts w:ascii="Times New Roman" w:hAnsi="Times New Roman" w:cs="Times New Roman" w:eastAsia="Times New Roman" w:hint="default"/>
          <w:sz w:val="21"/>
          <w:szCs w:val="21"/>
        </w:rPr>
        <w:t> </w:t>
      </w:r>
      <w:r>
        <w:rPr>
          <w:rFonts w:ascii="宋体" w:hAnsi="宋体" w:cs="宋体" w:eastAsia="宋体" w:hint="default"/>
          <w:spacing w:val="-5"/>
          <w:sz w:val="21"/>
          <w:szCs w:val="21"/>
        </w:rPr>
        <w:t>万元、</w:t>
      </w:r>
      <w:r>
        <w:rPr>
          <w:rFonts w:ascii="Times New Roman" w:hAnsi="Times New Roman" w:cs="Times New Roman" w:eastAsia="Times New Roman" w:hint="default"/>
          <w:spacing w:val="-5"/>
          <w:sz w:val="21"/>
          <w:szCs w:val="21"/>
        </w:rPr>
        <w:t>2,600</w:t>
      </w:r>
      <w:r>
        <w:rPr>
          <w:rFonts w:ascii="Times New Roman" w:hAnsi="Times New Roman" w:cs="Times New Roman" w:eastAsia="Times New Roman" w:hint="default"/>
          <w:spacing w:val="1"/>
          <w:sz w:val="21"/>
          <w:szCs w:val="21"/>
        </w:rPr>
        <w:t> </w:t>
      </w:r>
      <w:r>
        <w:rPr>
          <w:rFonts w:ascii="宋体" w:hAnsi="宋体" w:cs="宋体" w:eastAsia="宋体" w:hint="default"/>
          <w:spacing w:val="-6"/>
          <w:sz w:val="21"/>
          <w:szCs w:val="21"/>
        </w:rPr>
        <w:t>万元，其中：</w:t>
      </w:r>
    </w:p>
    <w:p>
      <w:pPr>
        <w:spacing w:line="331" w:lineRule="auto" w:before="109"/>
        <w:ind w:left="135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495</w:t>
      </w:r>
      <w:r>
        <w:rPr>
          <w:rFonts w:ascii="Times New Roman" w:hAnsi="Times New Roman" w:cs="Times New Roman" w:eastAsia="Times New Roman" w:hint="default"/>
          <w:spacing w:val="-11"/>
          <w:sz w:val="21"/>
          <w:szCs w:val="21"/>
        </w:rPr>
        <w:t> </w:t>
      </w:r>
      <w:r>
        <w:rPr>
          <w:rFonts w:ascii="宋体" w:hAnsi="宋体" w:cs="宋体" w:eastAsia="宋体" w:hint="default"/>
          <w:spacing w:val="-3"/>
          <w:sz w:val="21"/>
          <w:szCs w:val="21"/>
        </w:rPr>
        <w:t>万元、</w:t>
      </w:r>
      <w:r>
        <w:rPr>
          <w:rFonts w:ascii="Times New Roman" w:hAnsi="Times New Roman" w:cs="Times New Roman" w:eastAsia="Times New Roman" w:hint="default"/>
          <w:spacing w:val="-3"/>
          <w:sz w:val="21"/>
          <w:szCs w:val="21"/>
        </w:rPr>
        <w:t>67.5</w:t>
      </w:r>
      <w:r>
        <w:rPr>
          <w:rFonts w:ascii="Times New Roman" w:hAnsi="Times New Roman" w:cs="Times New Roman" w:eastAsia="Times New Roman" w:hint="default"/>
          <w:spacing w:val="-11"/>
          <w:sz w:val="21"/>
          <w:szCs w:val="21"/>
        </w:rPr>
        <w:t> </w:t>
      </w:r>
      <w:r>
        <w:rPr>
          <w:rFonts w:ascii="宋体" w:hAnsi="宋体" w:cs="宋体" w:eastAsia="宋体" w:hint="default"/>
          <w:spacing w:val="-3"/>
          <w:sz w:val="21"/>
          <w:szCs w:val="21"/>
        </w:rPr>
        <w:t>万元、</w:t>
      </w:r>
      <w:r>
        <w:rPr>
          <w:rFonts w:ascii="Times New Roman" w:hAnsi="Times New Roman" w:cs="Times New Roman" w:eastAsia="Times New Roman" w:hint="default"/>
          <w:spacing w:val="-3"/>
          <w:sz w:val="21"/>
          <w:szCs w:val="21"/>
        </w:rPr>
        <w:t>585</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万元计入注册资本，</w:t>
      </w:r>
      <w:r>
        <w:rPr>
          <w:rFonts w:ascii="Times New Roman" w:hAnsi="Times New Roman" w:cs="Times New Roman" w:eastAsia="Times New Roman" w:hint="default"/>
          <w:sz w:val="21"/>
          <w:szCs w:val="21"/>
        </w:rPr>
        <w:t>3,952.50</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万元计入资本公积。增资后，长春高琦的注册资本变更为</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2,272.5</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万元，本公司持有股 权变更为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47.52%</w:t>
      </w:r>
      <w:r>
        <w:rPr>
          <w:rFonts w:ascii="宋体" w:hAnsi="宋体" w:cs="宋体" w:eastAsia="宋体" w:hint="default"/>
          <w:sz w:val="21"/>
          <w:szCs w:val="21"/>
        </w:rPr>
        <w:t>。</w:t>
      </w:r>
    </w:p>
    <w:p>
      <w:pPr>
        <w:spacing w:line="331" w:lineRule="auto" w:before="20"/>
        <w:ind w:left="135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日，本公司、中国科学院长春应用化学科技总公司、侯豪情等</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位自然人股东分别现金出资</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455</w:t>
      </w:r>
      <w:r>
        <w:rPr>
          <w:rFonts w:ascii="Times New Roman" w:hAnsi="Times New Roman" w:cs="Times New Roman" w:eastAsia="Times New Roman" w:hint="default"/>
          <w:spacing w:val="-4"/>
          <w:sz w:val="21"/>
          <w:szCs w:val="21"/>
        </w:rPr>
        <w:t> </w:t>
      </w:r>
      <w:r>
        <w:rPr>
          <w:rFonts w:ascii="宋体" w:hAnsi="宋体" w:cs="宋体" w:eastAsia="宋体" w:hint="default"/>
          <w:spacing w:val="-4"/>
          <w:sz w:val="21"/>
          <w:szCs w:val="21"/>
        </w:rPr>
        <w:t>万元、</w:t>
      </w:r>
      <w:r>
        <w:rPr>
          <w:rFonts w:ascii="Times New Roman" w:hAnsi="Times New Roman" w:cs="Times New Roman" w:eastAsia="Times New Roman" w:hint="default"/>
          <w:spacing w:val="-4"/>
          <w:sz w:val="21"/>
          <w:szCs w:val="21"/>
        </w:rPr>
        <w:t>300 </w:t>
      </w:r>
      <w:r>
        <w:rPr>
          <w:rFonts w:ascii="宋体" w:hAnsi="宋体" w:cs="宋体" w:eastAsia="宋体" w:hint="default"/>
          <w:spacing w:val="-4"/>
          <w:sz w:val="21"/>
          <w:szCs w:val="21"/>
        </w:rPr>
        <w:t>万元、</w:t>
      </w:r>
      <w:r>
        <w:rPr>
          <w:rFonts w:ascii="Times New Roman" w:hAnsi="Times New Roman" w:cs="Times New Roman" w:eastAsia="Times New Roman" w:hint="default"/>
          <w:spacing w:val="-4"/>
          <w:sz w:val="21"/>
          <w:szCs w:val="21"/>
        </w:rPr>
        <w:t>245 </w:t>
      </w:r>
      <w:r>
        <w:rPr>
          <w:rFonts w:ascii="宋体" w:hAnsi="宋体" w:cs="宋体" w:eastAsia="宋体" w:hint="default"/>
          <w:sz w:val="21"/>
          <w:szCs w:val="21"/>
        </w:rPr>
        <w:t>万元</w:t>
      </w:r>
      <w:r>
        <w:rPr>
          <w:rFonts w:ascii="宋体" w:hAnsi="宋体" w:cs="宋体" w:eastAsia="宋体" w:hint="default"/>
          <w:spacing w:val="-8"/>
          <w:sz w:val="21"/>
          <w:szCs w:val="21"/>
        </w:rPr>
        <w:t> </w:t>
      </w:r>
      <w:r>
        <w:rPr>
          <w:rFonts w:ascii="宋体" w:hAnsi="宋体" w:cs="宋体" w:eastAsia="宋体" w:hint="default"/>
          <w:sz w:val="21"/>
          <w:szCs w:val="21"/>
        </w:rPr>
        <w:t>，</w:t>
      </w:r>
      <w:r>
        <w:rPr>
          <w:rFonts w:ascii="宋体" w:hAnsi="宋体" w:cs="宋体" w:eastAsia="宋体" w:hint="default"/>
          <w:sz w:val="21"/>
          <w:szCs w:val="21"/>
        </w:rPr>
        <w:t> 中国科学院宁波材料技术与工程研究所和方省众以知识产权专有技术出资</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400</w:t>
      </w:r>
      <w:r>
        <w:rPr>
          <w:rFonts w:ascii="Times New Roman" w:hAnsi="Times New Roman" w:cs="Times New Roman" w:eastAsia="Times New Roman" w:hint="default"/>
          <w:spacing w:val="2"/>
          <w:sz w:val="21"/>
          <w:szCs w:val="21"/>
        </w:rPr>
        <w:t> </w:t>
      </w:r>
      <w:r>
        <w:rPr>
          <w:rFonts w:ascii="宋体" w:hAnsi="宋体" w:cs="宋体" w:eastAsia="宋体" w:hint="default"/>
          <w:spacing w:val="-4"/>
          <w:sz w:val="21"/>
          <w:szCs w:val="21"/>
        </w:rPr>
        <w:t>万元，其中：</w:t>
      </w:r>
      <w:r>
        <w:rPr>
          <w:rFonts w:ascii="Times New Roman" w:hAnsi="Times New Roman" w:cs="Times New Roman" w:eastAsia="Times New Roman" w:hint="default"/>
          <w:spacing w:val="-4"/>
          <w:sz w:val="21"/>
          <w:szCs w:val="21"/>
        </w:rPr>
        <w:t>102.375</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万元、</w:t>
      </w:r>
      <w:r>
        <w:rPr>
          <w:rFonts w:ascii="Times New Roman" w:hAnsi="Times New Roman" w:cs="Times New Roman" w:eastAsia="Times New Roman" w:hint="default"/>
          <w:spacing w:val="-3"/>
          <w:sz w:val="21"/>
          <w:szCs w:val="21"/>
        </w:rPr>
        <w:t>67.5</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万元、</w:t>
      </w:r>
      <w:r>
        <w:rPr>
          <w:rFonts w:ascii="Times New Roman" w:hAnsi="Times New Roman" w:cs="Times New Roman" w:eastAsia="Times New Roman" w:hint="default"/>
          <w:spacing w:val="-3"/>
          <w:sz w:val="21"/>
          <w:szCs w:val="21"/>
        </w:rPr>
        <w:t>55.125</w:t>
      </w:r>
      <w:r>
        <w:rPr>
          <w:rFonts w:ascii="Times New Roman" w:hAnsi="Times New Roman" w:cs="Times New Roman" w:eastAsia="Times New Roman" w:hint="default"/>
          <w:spacing w:val="3"/>
          <w:sz w:val="21"/>
          <w:szCs w:val="21"/>
        </w:rPr>
        <w:t> </w:t>
      </w:r>
      <w:r>
        <w:rPr>
          <w:rFonts w:ascii="宋体" w:hAnsi="宋体" w:cs="宋体" w:eastAsia="宋体" w:hint="default"/>
          <w:spacing w:val="-4"/>
          <w:sz w:val="21"/>
          <w:szCs w:val="21"/>
        </w:rPr>
        <w:t>万元、</w:t>
      </w:r>
      <w:r>
        <w:rPr>
          <w:rFonts w:ascii="Times New Roman" w:hAnsi="Times New Roman" w:cs="Times New Roman" w:eastAsia="Times New Roman" w:hint="default"/>
          <w:spacing w:val="-4"/>
          <w:sz w:val="21"/>
          <w:szCs w:val="21"/>
        </w:rPr>
        <w:t>90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万元计</w:t>
      </w:r>
      <w:r>
        <w:rPr>
          <w:rFonts w:ascii="宋体" w:hAnsi="宋体" w:cs="宋体" w:eastAsia="宋体" w:hint="default"/>
          <w:spacing w:val="-100"/>
          <w:sz w:val="21"/>
          <w:szCs w:val="21"/>
        </w:rPr>
        <w:t> </w:t>
      </w:r>
      <w:r>
        <w:rPr>
          <w:rFonts w:ascii="宋体" w:hAnsi="宋体" w:cs="宋体" w:eastAsia="宋体" w:hint="default"/>
          <w:sz w:val="21"/>
          <w:szCs w:val="21"/>
        </w:rPr>
        <w:t>入注册资本，</w:t>
      </w:r>
      <w:r>
        <w:rPr>
          <w:rFonts w:ascii="Times New Roman" w:hAnsi="Times New Roman" w:cs="Times New Roman" w:eastAsia="Times New Roman" w:hint="default"/>
          <w:sz w:val="21"/>
          <w:szCs w:val="21"/>
        </w:rPr>
        <w:t>1,085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万元计入资本公积。增资后，长春高琦的注册资本变更为</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2,587.5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万元，本公司持有股权变更为</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45.696%</w:t>
      </w:r>
      <w:r>
        <w:rPr>
          <w:rFonts w:ascii="宋体" w:hAnsi="宋体" w:cs="宋体" w:eastAsia="宋体" w:hint="default"/>
          <w:sz w:val="21"/>
          <w:szCs w:val="21"/>
        </w:rPr>
        <w:t>。</w:t>
      </w:r>
    </w:p>
    <w:p>
      <w:pPr>
        <w:spacing w:before="20"/>
        <w:ind w:left="135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日，何芳、匡晓明分别将所持有的</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5.304%</w:t>
      </w:r>
      <w:r>
        <w:rPr>
          <w:rFonts w:ascii="宋体" w:hAnsi="宋体" w:cs="宋体" w:eastAsia="宋体" w:hint="default"/>
          <w:sz w:val="21"/>
          <w:szCs w:val="21"/>
        </w:rPr>
        <w:t>、</w:t>
      </w:r>
      <w:r>
        <w:rPr>
          <w:rFonts w:ascii="Times New Roman" w:hAnsi="Times New Roman" w:cs="Times New Roman" w:eastAsia="Times New Roman" w:hint="default"/>
          <w:sz w:val="21"/>
          <w:szCs w:val="21"/>
        </w:rPr>
        <w:t>3.260%</w:t>
      </w:r>
      <w:r>
        <w:rPr>
          <w:rFonts w:ascii="宋体" w:hAnsi="宋体" w:cs="宋体" w:eastAsia="宋体" w:hint="default"/>
          <w:sz w:val="21"/>
          <w:szCs w:val="21"/>
        </w:rPr>
        <w:t>股权转让给本公司。转让后，本公司持有股权变更为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54.26%</w:t>
      </w:r>
      <w:r>
        <w:rPr>
          <w:rFonts w:ascii="宋体" w:hAnsi="宋体" w:cs="宋体" w:eastAsia="宋体" w:hint="default"/>
          <w:sz w:val="21"/>
          <w:szCs w:val="21"/>
        </w:rPr>
        <w:t>。</w:t>
      </w:r>
    </w:p>
    <w:p>
      <w:pPr>
        <w:spacing w:before="109"/>
        <w:ind w:left="1359" w:right="0"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 </w:t>
      </w:r>
      <w:r>
        <w:rPr>
          <w:rFonts w:ascii="宋体" w:hAnsi="宋体" w:cs="宋体" w:eastAsia="宋体" w:hint="default"/>
          <w:sz w:val="21"/>
          <w:szCs w:val="21"/>
        </w:rPr>
        <w:t>日</w:t>
      </w:r>
      <w:r>
        <w:rPr>
          <w:rFonts w:ascii="Times New Roman" w:hAnsi="Times New Roman" w:cs="Times New Roman" w:eastAsia="Times New Roman" w:hint="default"/>
          <w:sz w:val="21"/>
          <w:szCs w:val="21"/>
        </w:rPr>
        <w:t>,</w:t>
      </w:r>
      <w:r>
        <w:rPr>
          <w:rFonts w:ascii="宋体" w:hAnsi="宋体" w:cs="宋体" w:eastAsia="宋体" w:hint="default"/>
          <w:sz w:val="21"/>
          <w:szCs w:val="21"/>
        </w:rPr>
        <w:t>本公司用募集资金人民币</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33,140.83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万元和自有资金人民币</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315.17</w:t>
      </w:r>
      <w:r>
        <w:rPr>
          <w:rFonts w:ascii="Times New Roman" w:hAnsi="Times New Roman" w:cs="Times New Roman" w:eastAsia="Times New Roman" w:hint="default"/>
          <w:spacing w:val="-1"/>
          <w:sz w:val="21"/>
          <w:szCs w:val="21"/>
        </w:rPr>
        <w:t> </w:t>
      </w:r>
      <w:r>
        <w:rPr>
          <w:rFonts w:ascii="宋体" w:hAnsi="宋体" w:cs="宋体" w:eastAsia="宋体" w:hint="default"/>
          <w:spacing w:val="-6"/>
          <w:sz w:val="21"/>
          <w:szCs w:val="21"/>
        </w:rPr>
        <w:t>万元，合计人民币</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33,456.00 </w:t>
      </w:r>
      <w:r>
        <w:rPr>
          <w:rFonts w:ascii="宋体" w:hAnsi="宋体" w:cs="宋体" w:eastAsia="宋体" w:hint="default"/>
          <w:spacing w:val="-4"/>
          <w:sz w:val="21"/>
          <w:szCs w:val="21"/>
        </w:rPr>
        <w:t>万元对长春高琦进行增资，长</w:t>
      </w:r>
    </w:p>
    <w:p>
      <w:pPr>
        <w:spacing w:before="110"/>
        <w:ind w:left="1359" w:right="0" w:firstLine="0"/>
        <w:jc w:val="left"/>
        <w:rPr>
          <w:rFonts w:ascii="宋体" w:hAnsi="宋体" w:cs="宋体" w:eastAsia="宋体" w:hint="default"/>
          <w:sz w:val="21"/>
          <w:szCs w:val="21"/>
        </w:rPr>
      </w:pPr>
      <w:r>
        <w:rPr>
          <w:rFonts w:ascii="宋体" w:hAnsi="宋体" w:cs="宋体" w:eastAsia="宋体" w:hint="default"/>
          <w:sz w:val="21"/>
          <w:szCs w:val="21"/>
        </w:rPr>
        <w:t>春高琦其他股东以人民币</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1,544.00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万元现金增资到长春高琦，合计长春高琦本次增资总额为人民币</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35,000.00</w:t>
      </w:r>
      <w:r>
        <w:rPr>
          <w:rFonts w:ascii="Times New Roman" w:hAnsi="Times New Roman" w:cs="Times New Roman" w:eastAsia="Times New Roman" w:hint="default"/>
          <w:spacing w:val="-5"/>
          <w:sz w:val="21"/>
          <w:szCs w:val="21"/>
        </w:rPr>
        <w:t> </w:t>
      </w:r>
      <w:r>
        <w:rPr>
          <w:rFonts w:ascii="宋体" w:hAnsi="宋体" w:cs="宋体" w:eastAsia="宋体" w:hint="default"/>
          <w:spacing w:val="-4"/>
          <w:sz w:val="21"/>
          <w:szCs w:val="21"/>
        </w:rPr>
        <w:t>万元。其中</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7,172.13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万元作为长</w:t>
      </w:r>
    </w:p>
    <w:p>
      <w:pPr>
        <w:spacing w:before="109"/>
        <w:ind w:left="1359" w:right="0" w:firstLine="0"/>
        <w:jc w:val="left"/>
        <w:rPr>
          <w:rFonts w:ascii="宋体" w:hAnsi="宋体" w:cs="宋体" w:eastAsia="宋体" w:hint="default"/>
          <w:sz w:val="21"/>
          <w:szCs w:val="21"/>
        </w:rPr>
      </w:pPr>
      <w:r>
        <w:rPr>
          <w:rFonts w:ascii="宋体" w:hAnsi="宋体" w:cs="宋体" w:eastAsia="宋体" w:hint="default"/>
          <w:sz w:val="21"/>
          <w:szCs w:val="21"/>
        </w:rPr>
        <w:t>春高琦新增注册资本，余下 </w:t>
      </w:r>
      <w:r>
        <w:rPr>
          <w:rFonts w:ascii="Times New Roman" w:hAnsi="Times New Roman" w:cs="Times New Roman" w:eastAsia="Times New Roman" w:hint="default"/>
          <w:sz w:val="21"/>
          <w:szCs w:val="21"/>
        </w:rPr>
        <w:t>27,827.87  </w:t>
      </w:r>
      <w:r>
        <w:rPr>
          <w:rFonts w:ascii="宋体" w:hAnsi="宋体" w:cs="宋体" w:eastAsia="宋体" w:hint="default"/>
          <w:sz w:val="21"/>
          <w:szCs w:val="21"/>
        </w:rPr>
        <w:t>万元计入长春高琦的资本公积，长春高琦的注册资本增加到 </w:t>
      </w:r>
      <w:r>
        <w:rPr>
          <w:rFonts w:ascii="Times New Roman" w:hAnsi="Times New Roman" w:cs="Times New Roman" w:eastAsia="Times New Roman" w:hint="default"/>
          <w:sz w:val="21"/>
          <w:szCs w:val="21"/>
        </w:rPr>
        <w:t>9,759.62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万元人民币，本公司持有该公司</w:t>
      </w:r>
    </w:p>
    <w:p>
      <w:pPr>
        <w:spacing w:before="109"/>
        <w:ind w:left="135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84.63%</w:t>
      </w:r>
      <w:r>
        <w:rPr>
          <w:rFonts w:ascii="宋体" w:hAnsi="宋体" w:cs="宋体" w:eastAsia="宋体" w:hint="default"/>
          <w:sz w:val="21"/>
          <w:szCs w:val="21"/>
        </w:rPr>
        <w:t>的股权。</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before="0"/>
        <w:ind w:left="1359" w:right="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香港惠程成立于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日，由品勉有限公司（</w:t>
      </w:r>
      <w:r>
        <w:rPr>
          <w:rFonts w:ascii="Times New Roman" w:hAnsi="Times New Roman" w:cs="Times New Roman" w:eastAsia="Times New Roman" w:hint="default"/>
          <w:sz w:val="21"/>
          <w:szCs w:val="21"/>
        </w:rPr>
        <w:t>BEMAC</w:t>
      </w:r>
      <w:r>
        <w:rPr>
          <w:rFonts w:ascii="Times New Roman" w:hAnsi="Times New Roman" w:cs="Times New Roman" w:eastAsia="Times New Roman" w:hint="default"/>
          <w:spacing w:val="45"/>
          <w:sz w:val="21"/>
          <w:szCs w:val="21"/>
        </w:rPr>
        <w:t> </w:t>
      </w:r>
      <w:r>
        <w:rPr>
          <w:rFonts w:ascii="Times New Roman" w:hAnsi="Times New Roman" w:cs="Times New Roman" w:eastAsia="Times New Roman" w:hint="default"/>
          <w:spacing w:val="-3"/>
          <w:sz w:val="21"/>
          <w:szCs w:val="21"/>
        </w:rPr>
        <w:t>COMPANY</w:t>
      </w:r>
      <w:r>
        <w:rPr>
          <w:rFonts w:ascii="Times New Roman" w:hAnsi="Times New Roman" w:cs="Times New Roman" w:eastAsia="Times New Roman" w:hint="default"/>
          <w:spacing w:val="38"/>
          <w:sz w:val="21"/>
          <w:szCs w:val="21"/>
        </w:rPr>
        <w:t> </w:t>
      </w:r>
      <w:r>
        <w:rPr>
          <w:rFonts w:ascii="Times New Roman" w:hAnsi="Times New Roman" w:cs="Times New Roman" w:eastAsia="Times New Roman" w:hint="default"/>
          <w:sz w:val="21"/>
          <w:szCs w:val="21"/>
        </w:rPr>
        <w:t>LIMITED)</w:t>
      </w:r>
      <w:r>
        <w:rPr>
          <w:rFonts w:ascii="宋体" w:hAnsi="宋体" w:cs="宋体" w:eastAsia="宋体" w:hint="default"/>
          <w:sz w:val="21"/>
          <w:szCs w:val="21"/>
        </w:rPr>
        <w:t>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元港币注册成立，</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年转让给本公司。</w:t>
      </w:r>
      <w:r>
        <w:rPr>
          <w:rFonts w:ascii="Times New Roman" w:hAnsi="Times New Roman" w:cs="Times New Roman" w:eastAsia="Times New Roman" w:hint="default"/>
          <w:sz w:val="21"/>
          <w:szCs w:val="21"/>
        </w:rPr>
        <w:t>2008</w:t>
      </w:r>
    </w:p>
    <w:p>
      <w:pPr>
        <w:spacing w:before="109"/>
        <w:ind w:left="1359"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年香港惠程再发行</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9</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w:t>
      </w:r>
      <w:r>
        <w:rPr>
          <w:rFonts w:ascii="宋体" w:hAnsi="宋体" w:cs="宋体" w:eastAsia="宋体" w:hint="default"/>
          <w:spacing w:val="-102"/>
          <w:sz w:val="21"/>
          <w:szCs w:val="21"/>
        </w:rPr>
        <w:t>，</w:t>
      </w:r>
      <w:r>
        <w:rPr>
          <w:rFonts w:ascii="宋体" w:hAnsi="宋体" w:cs="宋体" w:eastAsia="宋体" w:hint="default"/>
          <w:sz w:val="21"/>
          <w:szCs w:val="21"/>
        </w:rPr>
        <w:t>每股</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pacing w:val="-2"/>
          <w:sz w:val="21"/>
          <w:szCs w:val="21"/>
        </w:rPr>
        <w:t>元</w:t>
      </w:r>
      <w:r>
        <w:rPr>
          <w:rFonts w:ascii="宋体" w:hAnsi="宋体" w:cs="宋体" w:eastAsia="宋体" w:hint="default"/>
          <w:spacing w:val="-102"/>
          <w:sz w:val="21"/>
          <w:szCs w:val="21"/>
        </w:rPr>
        <w:t>，</w:t>
      </w:r>
      <w:r>
        <w:rPr>
          <w:rFonts w:ascii="宋体" w:hAnsi="宋体" w:cs="宋体" w:eastAsia="宋体" w:hint="default"/>
          <w:sz w:val="21"/>
          <w:szCs w:val="21"/>
        </w:rPr>
        <w:t>全部由本公司认购</w:t>
      </w:r>
      <w:r>
        <w:rPr>
          <w:rFonts w:ascii="宋体" w:hAnsi="宋体" w:cs="宋体" w:eastAsia="宋体" w:hint="default"/>
          <w:spacing w:val="-102"/>
          <w:sz w:val="21"/>
          <w:szCs w:val="21"/>
        </w:rPr>
        <w:t>，</w:t>
      </w:r>
      <w:r>
        <w:rPr>
          <w:rFonts w:ascii="宋体" w:hAnsi="宋体" w:cs="宋体" w:eastAsia="宋体" w:hint="default"/>
          <w:sz w:val="21"/>
          <w:szCs w:val="21"/>
        </w:rPr>
        <w:t>该公司注册资本变为港币</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w:t>
      </w:r>
      <w:r>
        <w:rPr>
          <w:rFonts w:ascii="宋体" w:hAnsi="宋体" w:cs="宋体" w:eastAsia="宋体" w:hint="default"/>
          <w:spacing w:val="-102"/>
          <w:sz w:val="21"/>
          <w:szCs w:val="21"/>
        </w:rPr>
        <w:t>，</w:t>
      </w:r>
      <w:r>
        <w:rPr>
          <w:rFonts w:ascii="宋体" w:hAnsi="宋体" w:cs="宋体" w:eastAsia="宋体" w:hint="default"/>
          <w:sz w:val="21"/>
          <w:szCs w:val="21"/>
        </w:rPr>
        <w:t>本公司共投入了</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万美</w:t>
      </w:r>
      <w:r>
        <w:rPr>
          <w:rFonts w:ascii="宋体" w:hAnsi="宋体" w:cs="宋体" w:eastAsia="宋体" w:hint="default"/>
          <w:spacing w:val="-102"/>
          <w:sz w:val="21"/>
          <w:szCs w:val="21"/>
        </w:rPr>
        <w:t>元</w:t>
      </w:r>
      <w:r>
        <w:rPr>
          <w:rFonts w:ascii="宋体" w:hAnsi="宋体" w:cs="宋体" w:eastAsia="宋体" w:hint="default"/>
          <w:sz w:val="21"/>
          <w:szCs w:val="21"/>
        </w:rPr>
        <w:t>（折合港币</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5</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00</w:t>
      </w:r>
      <w:r>
        <w:rPr>
          <w:rFonts w:ascii="Times New Roman" w:hAnsi="Times New Roman" w:cs="Times New Roman" w:eastAsia="Times New Roman" w:hint="default"/>
          <w:sz w:val="21"/>
          <w:szCs w:val="21"/>
        </w:rPr>
        <w:t>0.00</w:t>
      </w:r>
    </w:p>
    <w:p>
      <w:pPr>
        <w:spacing w:line="328" w:lineRule="auto" w:before="110"/>
        <w:ind w:left="1359" w:right="0" w:hanging="1"/>
        <w:jc w:val="left"/>
        <w:rPr>
          <w:rFonts w:ascii="宋体" w:hAnsi="宋体" w:cs="宋体" w:eastAsia="宋体" w:hint="default"/>
          <w:sz w:val="21"/>
          <w:szCs w:val="21"/>
        </w:rPr>
      </w:pPr>
      <w:r>
        <w:rPr>
          <w:rFonts w:ascii="宋体" w:hAnsi="宋体" w:cs="宋体" w:eastAsia="宋体" w:hint="default"/>
          <w:sz w:val="21"/>
          <w:szCs w:val="21"/>
        </w:rPr>
        <w:t>元，人民币</w:t>
      </w:r>
      <w:r>
        <w:rPr>
          <w:rFonts w:ascii="宋体" w:hAnsi="宋体" w:cs="宋体" w:eastAsia="宋体" w:hint="default"/>
          <w:spacing w:val="-43"/>
          <w:sz w:val="21"/>
          <w:szCs w:val="21"/>
        </w:rPr>
        <w:t> </w:t>
      </w:r>
      <w:r>
        <w:rPr>
          <w:rFonts w:ascii="Times New Roman" w:hAnsi="Times New Roman" w:cs="Times New Roman" w:eastAsia="Times New Roman" w:hint="default"/>
          <w:spacing w:val="-1"/>
          <w:sz w:val="21"/>
          <w:szCs w:val="21"/>
        </w:rPr>
        <w:t>1,709,525.00</w:t>
      </w:r>
      <w:r>
        <w:rPr>
          <w:rFonts w:ascii="Times New Roman" w:hAnsi="Times New Roman" w:cs="Times New Roman" w:eastAsia="Times New Roman" w:hint="default"/>
          <w:spacing w:val="9"/>
          <w:sz w:val="21"/>
          <w:szCs w:val="21"/>
        </w:rPr>
        <w:t> </w:t>
      </w:r>
      <w:r>
        <w:rPr>
          <w:rFonts w:ascii="宋体" w:hAnsi="宋体" w:cs="宋体" w:eastAsia="宋体" w:hint="default"/>
          <w:spacing w:val="-16"/>
          <w:sz w:val="21"/>
          <w:szCs w:val="21"/>
        </w:rPr>
        <w:t>元），其中港币</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万元（折合人民币</w:t>
      </w:r>
      <w:r>
        <w:rPr>
          <w:rFonts w:ascii="宋体" w:hAnsi="宋体" w:cs="宋体" w:eastAsia="宋体" w:hint="default"/>
          <w:spacing w:val="-43"/>
          <w:sz w:val="21"/>
          <w:szCs w:val="21"/>
        </w:rPr>
        <w:t> </w:t>
      </w:r>
      <w:r>
        <w:rPr>
          <w:rFonts w:ascii="Times New Roman" w:hAnsi="Times New Roman" w:cs="Times New Roman" w:eastAsia="Times New Roman" w:hint="default"/>
          <w:spacing w:val="-1"/>
          <w:sz w:val="21"/>
          <w:szCs w:val="21"/>
        </w:rPr>
        <w:t>8,764.70</w:t>
      </w:r>
      <w:r>
        <w:rPr>
          <w:rFonts w:ascii="Times New Roman" w:hAnsi="Times New Roman" w:cs="Times New Roman" w:eastAsia="Times New Roman" w:hint="default"/>
          <w:spacing w:val="10"/>
          <w:sz w:val="21"/>
          <w:szCs w:val="21"/>
        </w:rPr>
        <w:t> </w:t>
      </w:r>
      <w:r>
        <w:rPr>
          <w:rFonts w:ascii="宋体" w:hAnsi="宋体" w:cs="宋体" w:eastAsia="宋体" w:hint="default"/>
          <w:spacing w:val="-1"/>
          <w:sz w:val="21"/>
          <w:szCs w:val="21"/>
        </w:rPr>
        <w:t>元）作为股本，港币</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194</w:t>
      </w:r>
      <w:r>
        <w:rPr>
          <w:rFonts w:ascii="Times New Roman" w:hAnsi="Times New Roman" w:cs="Times New Roman" w:eastAsia="Times New Roman" w:hint="default"/>
          <w:spacing w:val="10"/>
          <w:sz w:val="21"/>
          <w:szCs w:val="21"/>
        </w:rPr>
        <w:t> </w:t>
      </w:r>
      <w:r>
        <w:rPr>
          <w:rFonts w:ascii="宋体" w:hAnsi="宋体" w:cs="宋体" w:eastAsia="宋体" w:hint="default"/>
          <w:spacing w:val="-1"/>
          <w:sz w:val="21"/>
          <w:szCs w:val="21"/>
        </w:rPr>
        <w:t>万元（折合人民币</w:t>
      </w:r>
      <w:r>
        <w:rPr>
          <w:rFonts w:ascii="宋体" w:hAnsi="宋体" w:cs="宋体" w:eastAsia="宋体" w:hint="default"/>
          <w:spacing w:val="-43"/>
          <w:sz w:val="21"/>
          <w:szCs w:val="21"/>
        </w:rPr>
        <w:t> </w:t>
      </w:r>
      <w:r>
        <w:rPr>
          <w:rFonts w:ascii="Times New Roman" w:hAnsi="Times New Roman" w:cs="Times New Roman" w:eastAsia="Times New Roman" w:hint="default"/>
          <w:spacing w:val="-1"/>
          <w:sz w:val="21"/>
          <w:szCs w:val="21"/>
        </w:rPr>
        <w:t>1,700,760.30</w:t>
      </w:r>
      <w:r>
        <w:rPr>
          <w:rFonts w:ascii="Times New Roman" w:hAnsi="Times New Roman" w:cs="Times New Roman" w:eastAsia="Times New Roman" w:hint="default"/>
          <w:spacing w:val="10"/>
          <w:sz w:val="21"/>
          <w:szCs w:val="21"/>
        </w:rPr>
        <w:t> </w:t>
      </w:r>
      <w:r>
        <w:rPr>
          <w:rFonts w:ascii="宋体" w:hAnsi="宋体" w:cs="宋体" w:eastAsia="宋体" w:hint="default"/>
          <w:spacing w:val="-1"/>
          <w:sz w:val="21"/>
          <w:szCs w:val="21"/>
        </w:rPr>
        <w:t>元）计入资本</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公积。</w:t>
      </w:r>
    </w:p>
    <w:p>
      <w:pPr>
        <w:spacing w:after="0" w:line="328" w:lineRule="auto"/>
        <w:jc w:val="left"/>
        <w:rPr>
          <w:rFonts w:ascii="宋体" w:hAnsi="宋体" w:cs="宋体" w:eastAsia="宋体" w:hint="default"/>
          <w:sz w:val="21"/>
          <w:szCs w:val="21"/>
        </w:rPr>
        <w:sectPr>
          <w:pgSz w:w="16840" w:h="11910" w:orient="landscape"/>
          <w:pgMar w:header="686" w:footer="1266" w:top="1160" w:bottom="1460" w:left="1160" w:right="1220"/>
        </w:sectPr>
      </w:pPr>
    </w:p>
    <w:p>
      <w:pPr>
        <w:spacing w:line="240" w:lineRule="auto" w:before="10"/>
        <w:rPr>
          <w:rFonts w:ascii="宋体" w:hAnsi="宋体" w:cs="宋体" w:eastAsia="宋体" w:hint="default"/>
          <w:sz w:val="24"/>
          <w:szCs w:val="24"/>
        </w:rPr>
      </w:pPr>
    </w:p>
    <w:p>
      <w:pPr>
        <w:tabs>
          <w:tab w:pos="1513" w:val="left" w:leader="none"/>
        </w:tabs>
        <w:spacing w:before="35"/>
        <w:ind w:left="785" w:right="796"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合并范围发生变更的说明</w:t>
      </w:r>
      <w:r>
        <w:rPr>
          <w:rFonts w:ascii="宋体" w:hAnsi="宋体" w:cs="宋体" w:eastAsia="宋体" w:hint="default"/>
          <w:sz w:val="21"/>
          <w:szCs w:val="21"/>
        </w:rPr>
      </w:r>
    </w:p>
    <w:p>
      <w:pPr>
        <w:tabs>
          <w:tab w:pos="2073" w:val="left" w:leader="none"/>
        </w:tabs>
        <w:spacing w:line="312" w:lineRule="auto" w:before="89"/>
        <w:ind w:left="1954" w:right="797" w:hanging="539"/>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与上期相比本期新增合并单位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17"/>
          <w:sz w:val="21"/>
          <w:szCs w:val="21"/>
        </w:rPr>
        <w:t> </w:t>
      </w:r>
      <w:r>
        <w:rPr>
          <w:rFonts w:ascii="宋体" w:hAnsi="宋体" w:cs="宋体" w:eastAsia="宋体" w:hint="default"/>
          <w:b/>
          <w:bCs/>
          <w:sz w:val="21"/>
          <w:szCs w:val="21"/>
        </w:rPr>
        <w:t>家，原因为：本公司新设立北京高航复合材</w:t>
      </w:r>
      <w:r>
        <w:rPr>
          <w:rFonts w:ascii="宋体" w:hAnsi="宋体" w:cs="宋体" w:eastAsia="宋体" w:hint="default"/>
          <w:b/>
          <w:bCs/>
          <w:w w:val="99"/>
          <w:sz w:val="21"/>
          <w:szCs w:val="21"/>
        </w:rPr>
        <w:t> </w:t>
      </w:r>
      <w:r>
        <w:rPr>
          <w:rFonts w:ascii="宋体" w:hAnsi="宋体" w:cs="宋体" w:eastAsia="宋体" w:hint="default"/>
          <w:b/>
          <w:bCs/>
          <w:sz w:val="21"/>
          <w:szCs w:val="21"/>
        </w:rPr>
        <w:t>料有限公司。</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1513" w:val="left" w:leader="none"/>
        </w:tabs>
        <w:spacing w:before="161"/>
        <w:ind w:left="785" w:right="796"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本期新纳入合并范围的主体和本期不再纳入合并范围的主体</w:t>
      </w:r>
      <w:r>
        <w:rPr>
          <w:rFonts w:ascii="宋体" w:hAnsi="宋体" w:cs="宋体" w:eastAsia="宋体" w:hint="default"/>
          <w:sz w:val="21"/>
          <w:szCs w:val="21"/>
        </w:rPr>
      </w:r>
    </w:p>
    <w:p>
      <w:pPr>
        <w:tabs>
          <w:tab w:pos="1954" w:val="left" w:leader="none"/>
        </w:tabs>
        <w:spacing w:line="314" w:lineRule="auto" w:before="88"/>
        <w:ind w:left="1954" w:right="796" w:hanging="539"/>
        <w:jc w:val="left"/>
        <w:rPr>
          <w:rFonts w:ascii="宋体" w:hAnsi="宋体" w:cs="宋体" w:eastAsia="宋体" w:hint="default"/>
          <w:sz w:val="21"/>
          <w:szCs w:val="21"/>
        </w:rPr>
      </w:pPr>
      <w:r>
        <w:rPr/>
        <w:pict>
          <v:group style="position:absolute;margin-left:119.010002pt;margin-top:38.803978pt;width:412.2pt;height:45.2pt;mso-position-horizontal-relative:page;mso-position-vertical-relative:paragraph;z-index:-785488" coordorigin="2380,776" coordsize="8244,904">
            <v:group style="position:absolute;left:2410;top:791;width:5979;height:2" coordorigin="2410,791" coordsize="5979,2">
              <v:shape style="position:absolute;left:2410;top:791;width:5979;height:2" coordorigin="2410,791" coordsize="5979,0" path="m2410,791l8388,791e" filled="false" stroked="true" strokeweight="1.5pt" strokecolor="#000000">
                <v:path arrowok="t"/>
              </v:shape>
            </v:group>
            <v:group style="position:absolute;left:8388;top:791;width:2218;height:2" coordorigin="8388,791" coordsize="2218,2">
              <v:shape style="position:absolute;left:8388;top:791;width:2218;height:2" coordorigin="8388,791" coordsize="2218,0" path="m8388,791l10606,791e" filled="false" stroked="true" strokeweight="1.5pt" strokecolor="#000000">
                <v:path arrowok="t"/>
              </v:shape>
            </v:group>
            <v:group style="position:absolute;left:2395;top:1665;width:3556;height:2" coordorigin="2395,1665" coordsize="3556,2">
              <v:shape style="position:absolute;left:2395;top:1665;width:3556;height:2" coordorigin="2395,1665" coordsize="3556,0" path="m2395,1665l5951,1665e" filled="false" stroked="true" strokeweight="1.5pt" strokecolor="#000000">
                <v:path arrowok="t"/>
              </v:shape>
            </v:group>
            <v:group style="position:absolute;left:5951;top:1665;width:2408;height:2" coordorigin="5951,1665" coordsize="2408,2">
              <v:shape style="position:absolute;left:5951;top:1665;width:2408;height:2" coordorigin="5951,1665" coordsize="2408,0" path="m5951,1665l8358,1665e" filled="false" stroked="true" strokeweight="1.5pt" strokecolor="#000000">
                <v:path arrowok="t"/>
              </v:shape>
              <v:shape style="position:absolute;left:2381;top:786;width:8243;height:863" type="#_x0000_t75" stroked="false">
                <v:imagedata r:id="rId92" o:title=""/>
              </v:shape>
            </v:group>
            <v:group style="position:absolute;left:8358;top:1665;width:30;height:2" coordorigin="8358,1665" coordsize="30,2">
              <v:shape style="position:absolute;left:8358;top:1665;width:30;height:2" coordorigin="8358,1665" coordsize="30,0" path="m8358,1665l8388,1665e" filled="false" stroked="true" strokeweight="1.5pt" strokecolor="#000000">
                <v:path arrowok="t"/>
              </v:shape>
            </v:group>
            <v:group style="position:absolute;left:8388;top:1665;width:2218;height:2" coordorigin="8388,1665" coordsize="2218,2">
              <v:shape style="position:absolute;left:8388;top:1665;width:2218;height:2" coordorigin="8388,1665" coordsize="2218,0" path="m8388,1665l10606,1665e" filled="false" stroked="true" strokeweight="1.5pt" strokecolor="#000000">
                <v:path arrowok="t"/>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本期新纳入合并范围的子公司、特殊目的主体、通过受托经营或承租等方式形</w:t>
      </w:r>
      <w:r>
        <w:rPr>
          <w:rFonts w:ascii="宋体" w:hAnsi="宋体" w:cs="宋体" w:eastAsia="宋体" w:hint="default"/>
          <w:b/>
          <w:bCs/>
          <w:spacing w:val="32"/>
          <w:w w:val="95"/>
          <w:sz w:val="21"/>
          <w:szCs w:val="21"/>
        </w:rPr>
        <w:t> </w:t>
      </w:r>
      <w:r>
        <w:rPr>
          <w:rFonts w:ascii="宋体" w:hAnsi="宋体" w:cs="宋体" w:eastAsia="宋体" w:hint="default"/>
          <w:b/>
          <w:bCs/>
          <w:spacing w:val="32"/>
          <w:w w:val="95"/>
          <w:sz w:val="21"/>
          <w:szCs w:val="21"/>
        </w:rPr>
      </w:r>
      <w:r>
        <w:rPr>
          <w:rFonts w:ascii="宋体" w:hAnsi="宋体" w:cs="宋体" w:eastAsia="宋体" w:hint="default"/>
          <w:b/>
          <w:bCs/>
          <w:sz w:val="21"/>
          <w:szCs w:val="21"/>
        </w:rPr>
        <w:t>成控制权的经营实体</w:t>
      </w:r>
      <w:r>
        <w:rPr>
          <w:rFonts w:ascii="宋体" w:hAnsi="宋体" w:cs="宋体" w:eastAsia="宋体" w:hint="default"/>
          <w:sz w:val="21"/>
          <w:szCs w:val="21"/>
        </w:rPr>
      </w:r>
    </w:p>
    <w:tbl>
      <w:tblPr>
        <w:tblW w:w="0" w:type="auto"/>
        <w:jc w:val="left"/>
        <w:tblInd w:w="1485" w:type="dxa"/>
        <w:tblLayout w:type="fixed"/>
        <w:tblCellMar>
          <w:top w:w="0" w:type="dxa"/>
          <w:left w:w="0" w:type="dxa"/>
          <w:bottom w:w="0" w:type="dxa"/>
          <w:right w:w="0" w:type="dxa"/>
        </w:tblCellMar>
        <w:tblLook w:val="01E0"/>
      </w:tblPr>
      <w:tblGrid>
        <w:gridCol w:w="1137"/>
        <w:gridCol w:w="1904"/>
        <w:gridCol w:w="2808"/>
        <w:gridCol w:w="1636"/>
      </w:tblGrid>
      <w:tr>
        <w:trPr>
          <w:trHeight w:val="404" w:hRule="exact"/>
        </w:trPr>
        <w:tc>
          <w:tcPr>
            <w:tcW w:w="1137" w:type="dxa"/>
            <w:tcBorders>
              <w:top w:val="nil" w:sz="6" w:space="0" w:color="auto"/>
              <w:left w:val="nil" w:sz="6" w:space="0" w:color="auto"/>
              <w:bottom w:val="nil" w:sz="6" w:space="0" w:color="auto"/>
              <w:right w:val="nil" w:sz="6" w:space="0" w:color="auto"/>
            </w:tcBorders>
          </w:tcPr>
          <w:p>
            <w:pP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81" w:right="0"/>
              <w:jc w:val="left"/>
              <w:rPr>
                <w:rFonts w:ascii="宋体" w:hAnsi="宋体" w:cs="宋体" w:eastAsia="宋体" w:hint="default"/>
                <w:sz w:val="18"/>
                <w:szCs w:val="18"/>
              </w:rPr>
            </w:pPr>
            <w:r>
              <w:rPr>
                <w:rFonts w:ascii="宋体" w:hAnsi="宋体" w:cs="宋体" w:eastAsia="宋体" w:hint="default"/>
                <w:sz w:val="18"/>
                <w:szCs w:val="18"/>
              </w:rPr>
              <w:t>名称</w:t>
            </w:r>
          </w:p>
        </w:tc>
        <w:tc>
          <w:tcPr>
            <w:tcW w:w="280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722"/>
              <w:jc w:val="right"/>
              <w:rPr>
                <w:rFonts w:ascii="宋体" w:hAnsi="宋体" w:cs="宋体" w:eastAsia="宋体" w:hint="default"/>
                <w:sz w:val="18"/>
                <w:szCs w:val="18"/>
              </w:rPr>
            </w:pPr>
            <w:r>
              <w:rPr>
                <w:rFonts w:ascii="宋体" w:hAnsi="宋体" w:cs="宋体" w:eastAsia="宋体" w:hint="default"/>
                <w:sz w:val="18"/>
                <w:szCs w:val="18"/>
              </w:rPr>
              <w:t>期末净资产</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hAnsi="宋体" w:cs="宋体" w:eastAsia="宋体" w:hint="default"/>
                <w:sz w:val="18"/>
                <w:szCs w:val="18"/>
              </w:rPr>
              <w:t>本期净利润</w:t>
            </w:r>
          </w:p>
        </w:tc>
      </w:tr>
      <w:tr>
        <w:trPr>
          <w:trHeight w:val="410" w:hRule="exact"/>
        </w:trPr>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68"/>
              <w:ind w:left="35" w:right="0"/>
              <w:jc w:val="left"/>
              <w:rPr>
                <w:rFonts w:ascii="宋体" w:hAnsi="宋体" w:cs="宋体" w:eastAsia="宋体" w:hint="default"/>
                <w:sz w:val="18"/>
                <w:szCs w:val="18"/>
              </w:rPr>
            </w:pPr>
            <w:r>
              <w:rPr>
                <w:rFonts w:ascii="宋体" w:hAnsi="宋体" w:cs="宋体" w:eastAsia="宋体" w:hint="default"/>
                <w:sz w:val="18"/>
                <w:szCs w:val="18"/>
              </w:rPr>
              <w:t>北京高航</w:t>
            </w:r>
          </w:p>
        </w:tc>
        <w:tc>
          <w:tcPr>
            <w:tcW w:w="1904" w:type="dxa"/>
            <w:tcBorders>
              <w:top w:val="nil" w:sz="6" w:space="0" w:color="auto"/>
              <w:left w:val="nil" w:sz="6" w:space="0" w:color="auto"/>
              <w:bottom w:val="nil" w:sz="6" w:space="0" w:color="auto"/>
              <w:right w:val="nil" w:sz="6" w:space="0" w:color="auto"/>
            </w:tcBorders>
          </w:tcPr>
          <w:p>
            <w:pPr/>
          </w:p>
        </w:tc>
        <w:tc>
          <w:tcPr>
            <w:tcW w:w="280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698"/>
              <w:jc w:val="right"/>
              <w:rPr>
                <w:rFonts w:ascii="Times New Roman" w:hAnsi="Times New Roman" w:cs="Times New Roman" w:eastAsia="Times New Roman" w:hint="default"/>
                <w:sz w:val="18"/>
                <w:szCs w:val="18"/>
              </w:rPr>
            </w:pPr>
            <w:r>
              <w:rPr>
                <w:rFonts w:ascii="Times New Roman"/>
                <w:spacing w:val="-1"/>
                <w:sz w:val="18"/>
              </w:rPr>
              <w:t>9,162,804.14</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7"/>
              <w:jc w:val="right"/>
              <w:rPr>
                <w:rFonts w:ascii="Times New Roman" w:hAnsi="Times New Roman" w:cs="Times New Roman" w:eastAsia="Times New Roman" w:hint="default"/>
                <w:sz w:val="18"/>
                <w:szCs w:val="18"/>
              </w:rPr>
            </w:pPr>
            <w:r>
              <w:rPr>
                <w:rFonts w:ascii="Times New Roman"/>
                <w:w w:val="95"/>
                <w:sz w:val="18"/>
              </w:rPr>
              <w:t>-837,195.86</w:t>
            </w:r>
            <w:r>
              <w:rPr>
                <w:rFonts w:ascii="Times New Roman"/>
                <w:sz w:val="18"/>
              </w:rPr>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5"/>
          <w:szCs w:val="15"/>
        </w:rPr>
      </w:pPr>
    </w:p>
    <w:p>
      <w:pPr>
        <w:tabs>
          <w:tab w:pos="1513" w:val="left" w:leader="none"/>
        </w:tabs>
        <w:spacing w:line="345" w:lineRule="auto" w:before="35"/>
        <w:ind w:left="1415" w:right="796"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境外经营实体主要报表项目的折算汇率（</w:t>
      </w:r>
      <w:r>
        <w:rPr>
          <w:rFonts w:ascii="Times New Roman" w:hAnsi="Times New Roman" w:cs="Times New Roman" w:eastAsia="Times New Roman" w:hint="default"/>
          <w:b/>
          <w:bCs/>
          <w:sz w:val="21"/>
          <w:szCs w:val="21"/>
        </w:rPr>
        <w:t>HKD/RMB</w:t>
      </w:r>
      <w:r>
        <w:rPr>
          <w:rFonts w:ascii="宋体" w:hAnsi="宋体" w:cs="宋体" w:eastAsia="宋体" w:hint="default"/>
          <w:b/>
          <w:bCs/>
          <w:sz w:val="21"/>
          <w:szCs w:val="21"/>
        </w:rPr>
        <w:t>）</w:t>
      </w:r>
      <w:r>
        <w:rPr>
          <w:rFonts w:ascii="宋体" w:hAnsi="宋体" w:cs="宋体" w:eastAsia="宋体" w:hint="default"/>
          <w:b/>
          <w:bCs/>
          <w:w w:val="99"/>
          <w:sz w:val="21"/>
          <w:szCs w:val="21"/>
        </w:rPr>
        <w:t> </w:t>
      </w:r>
      <w:r>
        <w:rPr>
          <w:rFonts w:ascii="宋体" w:hAnsi="宋体" w:cs="宋体" w:eastAsia="宋体" w:hint="default"/>
          <w:spacing w:val="-3"/>
          <w:sz w:val="21"/>
          <w:szCs w:val="21"/>
        </w:rPr>
        <w:t>资产负债表中的资产和负债项目，采用资产负债表日的即期汇率折算；所有者权益项</w:t>
      </w:r>
      <w:r>
        <w:rPr>
          <w:rFonts w:ascii="宋体" w:hAnsi="宋体" w:cs="宋体" w:eastAsia="宋体" w:hint="default"/>
          <w:sz w:val="21"/>
          <w:szCs w:val="21"/>
        </w:rPr>
        <w:t> </w:t>
      </w:r>
      <w:r>
        <w:rPr>
          <w:rFonts w:ascii="宋体" w:hAnsi="宋体" w:cs="宋体" w:eastAsia="宋体" w:hint="default"/>
          <w:spacing w:val="-3"/>
          <w:sz w:val="21"/>
          <w:szCs w:val="21"/>
        </w:rPr>
        <w:t>目除“未分配利润”项目外，其他项目采用发生时的即期汇率折算。利润表中的收入</w:t>
      </w:r>
      <w:r>
        <w:rPr>
          <w:rFonts w:ascii="宋体" w:hAnsi="宋体" w:cs="宋体" w:eastAsia="宋体" w:hint="default"/>
          <w:sz w:val="21"/>
          <w:szCs w:val="21"/>
        </w:rPr>
        <w:t> </w:t>
      </w:r>
      <w:r>
        <w:rPr>
          <w:rFonts w:ascii="宋体" w:hAnsi="宋体" w:cs="宋体" w:eastAsia="宋体" w:hint="default"/>
          <w:spacing w:val="-3"/>
          <w:sz w:val="21"/>
          <w:szCs w:val="21"/>
        </w:rPr>
        <w:t>和费用项目，采用交易发生日的即期汇率折算。按照上述折算产生的外币财务报表折</w:t>
      </w:r>
      <w:r>
        <w:rPr>
          <w:rFonts w:ascii="宋体" w:hAnsi="宋体" w:cs="宋体" w:eastAsia="宋体" w:hint="default"/>
          <w:sz w:val="21"/>
          <w:szCs w:val="21"/>
        </w:rPr>
        <w:t> 算差额，在资产负债表所有者权益项目下单独列示。</w:t>
      </w:r>
    </w:p>
    <w:p>
      <w:pPr>
        <w:spacing w:line="240" w:lineRule="auto" w:before="3"/>
        <w:rPr>
          <w:rFonts w:ascii="宋体" w:hAnsi="宋体" w:cs="宋体" w:eastAsia="宋体" w:hint="default"/>
          <w:sz w:val="29"/>
          <w:szCs w:val="29"/>
        </w:rPr>
      </w:pPr>
    </w:p>
    <w:p>
      <w:pPr>
        <w:tabs>
          <w:tab w:pos="1513" w:val="left" w:leader="none"/>
        </w:tabs>
        <w:spacing w:before="0"/>
        <w:ind w:left="785" w:right="796" w:firstLine="0"/>
        <w:jc w:val="left"/>
        <w:rPr>
          <w:rFonts w:ascii="宋体" w:hAnsi="宋体" w:cs="宋体" w:eastAsia="宋体" w:hint="default"/>
          <w:sz w:val="21"/>
          <w:szCs w:val="21"/>
        </w:rPr>
      </w:pPr>
      <w:r>
        <w:rPr>
          <w:rFonts w:ascii="宋体" w:hAnsi="宋体" w:cs="宋体" w:eastAsia="宋体" w:hint="default"/>
          <w:b/>
          <w:bCs/>
          <w:w w:val="95"/>
          <w:sz w:val="21"/>
          <w:szCs w:val="21"/>
        </w:rPr>
        <w:t>五、</w:t>
        <w:tab/>
      </w:r>
      <w:r>
        <w:rPr>
          <w:rFonts w:ascii="宋体" w:hAnsi="宋体" w:cs="宋体" w:eastAsia="宋体" w:hint="default"/>
          <w:b/>
          <w:bCs/>
          <w:sz w:val="21"/>
          <w:szCs w:val="21"/>
        </w:rPr>
        <w:t>合并财务报表主要项目注释</w:t>
      </w:r>
      <w:r>
        <w:rPr>
          <w:rFonts w:ascii="宋体" w:hAnsi="宋体" w:cs="宋体" w:eastAsia="宋体" w:hint="default"/>
          <w:sz w:val="21"/>
          <w:szCs w:val="21"/>
        </w:rPr>
      </w:r>
    </w:p>
    <w:p>
      <w:pPr>
        <w:tabs>
          <w:tab w:pos="1514" w:val="left" w:leader="none"/>
        </w:tabs>
        <w:spacing w:line="350" w:lineRule="auto" w:before="74"/>
        <w:ind w:left="785" w:right="4076" w:firstLine="630"/>
        <w:jc w:val="left"/>
        <w:rPr>
          <w:rFonts w:ascii="宋体" w:hAnsi="宋体" w:cs="宋体" w:eastAsia="宋体" w:hint="default"/>
          <w:sz w:val="21"/>
          <w:szCs w:val="21"/>
        </w:rPr>
      </w:pPr>
      <w:r>
        <w:rPr/>
        <w:pict>
          <v:group style="position:absolute;margin-left:118.559998pt;margin-top:39.062168pt;width:413.35pt;height:258.6pt;mso-position-horizontal-relative:page;mso-position-vertical-relative:paragraph;z-index:-785392" coordorigin="2371,781" coordsize="8267,5172">
            <v:group style="position:absolute;left:2400;top:796;width:8207;height:2" coordorigin="2400,796" coordsize="8207,2">
              <v:shape style="position:absolute;left:2400;top:796;width:8207;height:2" coordorigin="2400,796" coordsize="8207,0" path="m2400,796l10607,796e" filled="false" stroked="true" strokeweight="1.5pt" strokecolor="#000000">
                <v:path arrowok="t"/>
              </v:shape>
              <v:shape style="position:absolute;left:3804;top:782;width:3416;height:370" type="#_x0000_t75" stroked="false">
                <v:imagedata r:id="rId93" o:title=""/>
              </v:shape>
              <v:shape style="position:absolute;left:3804;top:1094;width:6834;height:380" type="#_x0000_t75" stroked="false">
                <v:imagedata r:id="rId94" o:title=""/>
              </v:shape>
              <v:shape style="position:absolute;left:2371;top:1417;width:8267;height:4536" type="#_x0000_t75" stroked="false">
                <v:imagedata r:id="rId95" o:title=""/>
              </v:shape>
              <v:shape style="position:absolute;left:5152;top:87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8537;top:87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939;top:103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group>
            <w10:wrap type="none"/>
          </v:group>
        </w:pict>
      </w:r>
      <w:r>
        <w:rPr>
          <w:rFonts w:ascii="宋体" w:hAnsi="宋体" w:cs="宋体" w:eastAsia="宋体" w:hint="default"/>
          <w:sz w:val="21"/>
          <w:szCs w:val="21"/>
        </w:rPr>
        <w:t>（以下金额单位若未特别注明者均为人民币元） </w:t>
      </w:r>
      <w:r>
        <w:rPr>
          <w:rFonts w:ascii="宋体" w:hAnsi="宋体" w:cs="宋体" w:eastAsia="宋体" w:hint="default"/>
          <w:b/>
          <w:bCs/>
          <w:w w:val="95"/>
          <w:sz w:val="21"/>
          <w:szCs w:val="21"/>
        </w:rPr>
        <w:t>(一)</w:t>
        <w:tab/>
      </w:r>
      <w:r>
        <w:rPr>
          <w:rFonts w:ascii="宋体" w:hAnsi="宋体" w:cs="宋体" w:eastAsia="宋体" w:hint="default"/>
          <w:b/>
          <w:bCs/>
          <w:sz w:val="21"/>
          <w:szCs w:val="21"/>
        </w:rPr>
        <w:t>货币资金</w:t>
      </w:r>
      <w:r>
        <w:rPr>
          <w:rFonts w:ascii="宋体" w:hAnsi="宋体" w:cs="宋体" w:eastAsia="宋体" w:hint="default"/>
          <w:sz w:val="21"/>
          <w:szCs w:val="21"/>
        </w:rPr>
      </w:r>
    </w:p>
    <w:p>
      <w:pPr>
        <w:spacing w:line="240" w:lineRule="auto" w:before="1"/>
        <w:rPr>
          <w:rFonts w:ascii="宋体" w:hAnsi="宋体" w:cs="宋体" w:eastAsia="宋体" w:hint="default"/>
          <w:b/>
          <w:bCs/>
          <w:sz w:val="27"/>
          <w:szCs w:val="27"/>
        </w:rPr>
      </w:pPr>
    </w:p>
    <w:tbl>
      <w:tblPr>
        <w:tblW w:w="0" w:type="auto"/>
        <w:jc w:val="left"/>
        <w:tblInd w:w="1385" w:type="dxa"/>
        <w:tblLayout w:type="fixed"/>
        <w:tblCellMar>
          <w:top w:w="0" w:type="dxa"/>
          <w:left w:w="0" w:type="dxa"/>
          <w:bottom w:w="0" w:type="dxa"/>
          <w:right w:w="0" w:type="dxa"/>
        </w:tblCellMar>
        <w:tblLook w:val="01E0"/>
      </w:tblPr>
      <w:tblGrid>
        <w:gridCol w:w="1354"/>
        <w:gridCol w:w="1203"/>
        <w:gridCol w:w="865"/>
        <w:gridCol w:w="1429"/>
        <w:gridCol w:w="1099"/>
        <w:gridCol w:w="865"/>
        <w:gridCol w:w="1406"/>
      </w:tblGrid>
      <w:tr>
        <w:trPr>
          <w:trHeight w:val="898" w:hRule="exact"/>
        </w:trPr>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20"/>
                <w:szCs w:val="20"/>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现金</w:t>
            </w:r>
          </w:p>
          <w:p>
            <w:pPr>
              <w:pStyle w:val="TableParagraph"/>
              <w:spacing w:line="240" w:lineRule="auto" w:before="86"/>
              <w:ind w:left="30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203" w:type="dxa"/>
            <w:tcBorders>
              <w:top w:val="nil" w:sz="6" w:space="0" w:color="auto"/>
              <w:left w:val="nil" w:sz="6" w:space="0" w:color="auto"/>
              <w:bottom w:val="nil" w:sz="6" w:space="0" w:color="auto"/>
              <w:right w:val="nil" w:sz="6" w:space="0" w:color="auto"/>
            </w:tcBorders>
          </w:tcPr>
          <w:p>
            <w:pPr>
              <w:pStyle w:val="TableParagraph"/>
              <w:spacing w:line="180" w:lineRule="exact"/>
              <w:ind w:left="277"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865" w:type="dxa"/>
            <w:tcBorders>
              <w:top w:val="nil" w:sz="6" w:space="0" w:color="auto"/>
              <w:left w:val="nil" w:sz="6" w:space="0" w:color="auto"/>
              <w:bottom w:val="nil" w:sz="6" w:space="0" w:color="auto"/>
              <w:right w:val="nil" w:sz="6" w:space="0" w:color="auto"/>
            </w:tcBorders>
          </w:tcPr>
          <w:p>
            <w:pPr>
              <w:pStyle w:val="TableParagraph"/>
              <w:spacing w:line="180" w:lineRule="exact"/>
              <w:ind w:right="192"/>
              <w:jc w:val="right"/>
              <w:rPr>
                <w:rFonts w:ascii="宋体" w:hAnsi="宋体" w:cs="宋体" w:eastAsia="宋体" w:hint="default"/>
                <w:sz w:val="18"/>
                <w:szCs w:val="18"/>
              </w:rPr>
            </w:pPr>
            <w:r>
              <w:rPr>
                <w:rFonts w:ascii="宋体" w:hAnsi="宋体" w:cs="宋体" w:eastAsia="宋体" w:hint="default"/>
                <w:sz w:val="18"/>
                <w:szCs w:val="18"/>
              </w:rPr>
              <w:t>折算率</w:t>
            </w:r>
          </w:p>
        </w:tc>
        <w:tc>
          <w:tcPr>
            <w:tcW w:w="1429" w:type="dxa"/>
            <w:tcBorders>
              <w:top w:val="nil" w:sz="6" w:space="0" w:color="auto"/>
              <w:left w:val="nil" w:sz="6" w:space="0" w:color="auto"/>
              <w:bottom w:val="nil" w:sz="6" w:space="0" w:color="auto"/>
              <w:right w:val="nil" w:sz="6" w:space="0" w:color="auto"/>
            </w:tcBorders>
          </w:tcPr>
          <w:p>
            <w:pPr>
              <w:pStyle w:val="TableParagraph"/>
              <w:spacing w:line="180" w:lineRule="exact"/>
              <w:ind w:left="219" w:right="0"/>
              <w:jc w:val="left"/>
              <w:rPr>
                <w:rFonts w:ascii="宋体" w:hAnsi="宋体" w:cs="宋体" w:eastAsia="宋体" w:hint="default"/>
                <w:sz w:val="18"/>
                <w:szCs w:val="18"/>
              </w:rPr>
            </w:pPr>
            <w:r>
              <w:rPr>
                <w:rFonts w:ascii="宋体" w:hAnsi="宋体" w:cs="宋体" w:eastAsia="宋体" w:hint="default"/>
                <w:sz w:val="18"/>
                <w:szCs w:val="18"/>
              </w:rPr>
              <w:t>人民币金额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460" w:right="0"/>
              <w:jc w:val="left"/>
              <w:rPr>
                <w:rFonts w:ascii="Times New Roman" w:hAnsi="Times New Roman" w:cs="Times New Roman" w:eastAsia="Times New Roman" w:hint="default"/>
                <w:sz w:val="18"/>
                <w:szCs w:val="18"/>
              </w:rPr>
            </w:pPr>
            <w:r>
              <w:rPr>
                <w:rFonts w:ascii="Times New Roman"/>
                <w:sz w:val="18"/>
              </w:rPr>
              <w:t>121,534.39</w:t>
            </w:r>
          </w:p>
        </w:tc>
        <w:tc>
          <w:tcPr>
            <w:tcW w:w="1099" w:type="dxa"/>
            <w:tcBorders>
              <w:top w:val="nil" w:sz="6" w:space="0" w:color="auto"/>
              <w:left w:val="nil" w:sz="6" w:space="0" w:color="auto"/>
              <w:bottom w:val="nil" w:sz="6" w:space="0" w:color="auto"/>
              <w:right w:val="nil" w:sz="6" w:space="0" w:color="auto"/>
            </w:tcBorders>
          </w:tcPr>
          <w:p>
            <w:pPr>
              <w:pStyle w:val="TableParagraph"/>
              <w:spacing w:line="180" w:lineRule="exact"/>
              <w:ind w:left="156"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865" w:type="dxa"/>
            <w:tcBorders>
              <w:top w:val="nil" w:sz="6" w:space="0" w:color="auto"/>
              <w:left w:val="nil" w:sz="6" w:space="0" w:color="auto"/>
              <w:bottom w:val="nil" w:sz="6" w:space="0" w:color="auto"/>
              <w:right w:val="nil" w:sz="6" w:space="0" w:color="auto"/>
            </w:tcBorders>
          </w:tcPr>
          <w:p>
            <w:pPr>
              <w:pStyle w:val="TableParagraph"/>
              <w:spacing w:line="180" w:lineRule="exact"/>
              <w:ind w:right="201"/>
              <w:jc w:val="right"/>
              <w:rPr>
                <w:rFonts w:ascii="宋体" w:hAnsi="宋体" w:cs="宋体" w:eastAsia="宋体" w:hint="default"/>
                <w:sz w:val="18"/>
                <w:szCs w:val="18"/>
              </w:rPr>
            </w:pPr>
            <w:r>
              <w:rPr>
                <w:rFonts w:ascii="宋体" w:hAnsi="宋体" w:cs="宋体" w:eastAsia="宋体" w:hint="default"/>
                <w:sz w:val="18"/>
                <w:szCs w:val="18"/>
              </w:rPr>
              <w:t>折算率</w:t>
            </w:r>
          </w:p>
        </w:tc>
        <w:tc>
          <w:tcPr>
            <w:tcW w:w="1406" w:type="dxa"/>
            <w:tcBorders>
              <w:top w:val="nil" w:sz="6" w:space="0" w:color="auto"/>
              <w:left w:val="nil" w:sz="6" w:space="0" w:color="auto"/>
              <w:bottom w:val="nil" w:sz="6" w:space="0" w:color="auto"/>
              <w:right w:val="nil" w:sz="6" w:space="0" w:color="auto"/>
            </w:tcBorders>
          </w:tcPr>
          <w:p>
            <w:pPr>
              <w:pStyle w:val="TableParagraph"/>
              <w:spacing w:line="180" w:lineRule="exact"/>
              <w:ind w:left="218" w:right="0"/>
              <w:jc w:val="left"/>
              <w:rPr>
                <w:rFonts w:ascii="宋体" w:hAnsi="宋体" w:cs="宋体" w:eastAsia="宋体" w:hint="default"/>
                <w:sz w:val="18"/>
                <w:szCs w:val="18"/>
              </w:rPr>
            </w:pPr>
            <w:r>
              <w:rPr>
                <w:rFonts w:ascii="宋体" w:hAnsi="宋体" w:cs="宋体" w:eastAsia="宋体" w:hint="default"/>
                <w:sz w:val="18"/>
                <w:szCs w:val="18"/>
              </w:rPr>
              <w:t>人民币金额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487" w:right="0"/>
              <w:jc w:val="left"/>
              <w:rPr>
                <w:rFonts w:ascii="Times New Roman" w:hAnsi="Times New Roman" w:cs="Times New Roman" w:eastAsia="Times New Roman" w:hint="default"/>
                <w:sz w:val="18"/>
                <w:szCs w:val="18"/>
              </w:rPr>
            </w:pPr>
            <w:r>
              <w:rPr>
                <w:rFonts w:ascii="Times New Roman"/>
                <w:sz w:val="18"/>
              </w:rPr>
              <w:t>109,127.03</w:t>
            </w:r>
          </w:p>
        </w:tc>
      </w:tr>
      <w:tr>
        <w:trPr>
          <w:trHeight w:val="322" w:hRule="exact"/>
        </w:trPr>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0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203"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4"/>
              <w:jc w:val="right"/>
              <w:rPr>
                <w:rFonts w:ascii="Times New Roman" w:hAnsi="Times New Roman" w:cs="Times New Roman" w:eastAsia="Times New Roman" w:hint="default"/>
                <w:sz w:val="18"/>
                <w:szCs w:val="18"/>
              </w:rPr>
            </w:pPr>
            <w:r>
              <w:rPr>
                <w:rFonts w:ascii="Times New Roman"/>
                <w:sz w:val="18"/>
              </w:rPr>
              <w:t>121,534.39</w:t>
            </w:r>
          </w:p>
        </w:tc>
        <w:tc>
          <w:tcPr>
            <w:tcW w:w="1099"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109,127.03</w:t>
            </w:r>
          </w:p>
        </w:tc>
      </w:tr>
      <w:tr>
        <w:trPr>
          <w:trHeight w:val="318" w:hRule="exact"/>
        </w:trPr>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203"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
        </w:tc>
      </w:tr>
      <w:tr>
        <w:trPr>
          <w:trHeight w:val="325" w:hRule="exact"/>
        </w:trPr>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63"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203"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4"/>
              <w:jc w:val="right"/>
              <w:rPr>
                <w:rFonts w:ascii="Times New Roman" w:hAnsi="Times New Roman" w:cs="Times New Roman" w:eastAsia="Times New Roman" w:hint="default"/>
                <w:sz w:val="18"/>
                <w:szCs w:val="18"/>
              </w:rPr>
            </w:pPr>
            <w:r>
              <w:rPr>
                <w:rFonts w:ascii="Times New Roman"/>
                <w:spacing w:val="-1"/>
                <w:sz w:val="18"/>
              </w:rPr>
              <w:t>486,053,445.28</w:t>
            </w:r>
          </w:p>
        </w:tc>
        <w:tc>
          <w:tcPr>
            <w:tcW w:w="1099"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624,504,251.32</w:t>
            </w:r>
          </w:p>
        </w:tc>
      </w:tr>
      <w:tr>
        <w:trPr>
          <w:trHeight w:val="322" w:hRule="exact"/>
        </w:trPr>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5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30"/>
              <w:jc w:val="right"/>
              <w:rPr>
                <w:rFonts w:ascii="Times New Roman" w:hAnsi="Times New Roman" w:cs="Times New Roman" w:eastAsia="Times New Roman" w:hint="default"/>
                <w:sz w:val="18"/>
                <w:szCs w:val="18"/>
              </w:rPr>
            </w:pPr>
            <w:r>
              <w:rPr>
                <w:rFonts w:ascii="Times New Roman"/>
                <w:spacing w:val="-2"/>
                <w:sz w:val="18"/>
              </w:rPr>
              <w:t>4,111.22</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4"/>
              <w:jc w:val="right"/>
              <w:rPr>
                <w:rFonts w:ascii="Times New Roman" w:hAnsi="Times New Roman" w:cs="Times New Roman" w:eastAsia="Times New Roman" w:hint="default"/>
                <w:sz w:val="18"/>
                <w:szCs w:val="18"/>
              </w:rPr>
            </w:pPr>
            <w:r>
              <w:rPr>
                <w:rFonts w:ascii="Times New Roman"/>
                <w:sz w:val="18"/>
              </w:rPr>
              <w:t>0.8107</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4"/>
              <w:jc w:val="right"/>
              <w:rPr>
                <w:rFonts w:ascii="Times New Roman" w:hAnsi="Times New Roman" w:cs="Times New Roman" w:eastAsia="Times New Roman" w:hint="default"/>
                <w:sz w:val="18"/>
                <w:szCs w:val="18"/>
              </w:rPr>
            </w:pPr>
            <w:r>
              <w:rPr>
                <w:rFonts w:ascii="Times New Roman"/>
                <w:sz w:val="18"/>
              </w:rPr>
              <w:t>3,332.97</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9"/>
              <w:jc w:val="right"/>
              <w:rPr>
                <w:rFonts w:ascii="Times New Roman" w:hAnsi="Times New Roman" w:cs="Times New Roman" w:eastAsia="Times New Roman" w:hint="default"/>
                <w:sz w:val="18"/>
                <w:szCs w:val="18"/>
              </w:rPr>
            </w:pPr>
            <w:r>
              <w:rPr>
                <w:rFonts w:ascii="Times New Roman"/>
                <w:sz w:val="18"/>
              </w:rPr>
              <w:t>891.23</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71"/>
              <w:jc w:val="right"/>
              <w:rPr>
                <w:rFonts w:ascii="Times New Roman" w:hAnsi="Times New Roman" w:cs="Times New Roman" w:eastAsia="Times New Roman" w:hint="default"/>
                <w:sz w:val="18"/>
                <w:szCs w:val="18"/>
              </w:rPr>
            </w:pPr>
            <w:r>
              <w:rPr>
                <w:rFonts w:ascii="Times New Roman"/>
                <w:sz w:val="18"/>
              </w:rPr>
              <w:t>0.8509</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758.37</w:t>
            </w:r>
          </w:p>
        </w:tc>
      </w:tr>
      <w:tr>
        <w:trPr>
          <w:trHeight w:val="322" w:hRule="exact"/>
        </w:trPr>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53"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28"/>
              <w:jc w:val="right"/>
              <w:rPr>
                <w:rFonts w:ascii="Times New Roman" w:hAnsi="Times New Roman" w:cs="Times New Roman" w:eastAsia="Times New Roman" w:hint="default"/>
                <w:sz w:val="18"/>
                <w:szCs w:val="18"/>
              </w:rPr>
            </w:pPr>
            <w:r>
              <w:rPr>
                <w:rFonts w:ascii="Times New Roman"/>
                <w:sz w:val="18"/>
              </w:rPr>
              <w:t>102,261.00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44"/>
              <w:jc w:val="right"/>
              <w:rPr>
                <w:rFonts w:ascii="Times New Roman" w:hAnsi="Times New Roman" w:cs="Times New Roman" w:eastAsia="Times New Roman" w:hint="default"/>
                <w:sz w:val="18"/>
                <w:szCs w:val="18"/>
              </w:rPr>
            </w:pPr>
            <w:r>
              <w:rPr>
                <w:rFonts w:ascii="Times New Roman"/>
                <w:sz w:val="18"/>
              </w:rPr>
              <w:t>6.3072</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55"/>
              <w:jc w:val="right"/>
              <w:rPr>
                <w:rFonts w:ascii="Times New Roman" w:hAnsi="Times New Roman" w:cs="Times New Roman" w:eastAsia="Times New Roman" w:hint="default"/>
                <w:sz w:val="18"/>
                <w:szCs w:val="18"/>
              </w:rPr>
            </w:pPr>
            <w:r>
              <w:rPr>
                <w:rFonts w:ascii="Times New Roman"/>
                <w:sz w:val="18"/>
              </w:rPr>
              <w:t>644,978.87</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20"/>
              <w:jc w:val="right"/>
              <w:rPr>
                <w:rFonts w:ascii="Times New Roman" w:hAnsi="Times New Roman" w:cs="Times New Roman" w:eastAsia="Times New Roman" w:hint="default"/>
                <w:sz w:val="18"/>
                <w:szCs w:val="18"/>
              </w:rPr>
            </w:pPr>
            <w:r>
              <w:rPr>
                <w:rFonts w:ascii="Times New Roman"/>
                <w:sz w:val="18"/>
              </w:rPr>
              <w:t>91,905.97</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71"/>
              <w:jc w:val="right"/>
              <w:rPr>
                <w:rFonts w:ascii="Times New Roman" w:hAnsi="Times New Roman" w:cs="Times New Roman" w:eastAsia="Times New Roman" w:hint="default"/>
                <w:sz w:val="18"/>
                <w:szCs w:val="18"/>
              </w:rPr>
            </w:pPr>
            <w:r>
              <w:rPr>
                <w:rFonts w:ascii="Times New Roman"/>
                <w:sz w:val="18"/>
              </w:rPr>
              <w:t>6.6227</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z w:val="18"/>
              </w:rPr>
              <w:t>608,665.68</w:t>
            </w:r>
          </w:p>
        </w:tc>
      </w:tr>
      <w:tr>
        <w:trPr>
          <w:trHeight w:val="322" w:hRule="exact"/>
        </w:trPr>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5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8"/>
              <w:jc w:val="right"/>
              <w:rPr>
                <w:rFonts w:ascii="Times New Roman" w:hAnsi="Times New Roman" w:cs="Times New Roman" w:eastAsia="Times New Roman" w:hint="default"/>
                <w:sz w:val="18"/>
                <w:szCs w:val="18"/>
              </w:rPr>
            </w:pPr>
            <w:r>
              <w:rPr>
                <w:rFonts w:ascii="Times New Roman"/>
                <w:sz w:val="18"/>
              </w:rPr>
              <w:t>68,812.92</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4"/>
              <w:jc w:val="right"/>
              <w:rPr>
                <w:rFonts w:ascii="Times New Roman" w:hAnsi="Times New Roman" w:cs="Times New Roman" w:eastAsia="Times New Roman" w:hint="default"/>
                <w:sz w:val="18"/>
                <w:szCs w:val="18"/>
              </w:rPr>
            </w:pPr>
            <w:r>
              <w:rPr>
                <w:rFonts w:ascii="Times New Roman"/>
                <w:sz w:val="18"/>
              </w:rPr>
              <w:t>8.1668</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4"/>
              <w:jc w:val="right"/>
              <w:rPr>
                <w:rFonts w:ascii="Times New Roman" w:hAnsi="Times New Roman" w:cs="Times New Roman" w:eastAsia="Times New Roman" w:hint="default"/>
                <w:sz w:val="18"/>
                <w:szCs w:val="18"/>
              </w:rPr>
            </w:pPr>
            <w:r>
              <w:rPr>
                <w:rFonts w:ascii="Times New Roman"/>
                <w:sz w:val="18"/>
              </w:rPr>
              <w:t>561,982.63</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9"/>
              <w:jc w:val="right"/>
              <w:rPr>
                <w:rFonts w:ascii="Times New Roman" w:hAnsi="Times New Roman" w:cs="Times New Roman" w:eastAsia="Times New Roman" w:hint="default"/>
                <w:sz w:val="18"/>
                <w:szCs w:val="18"/>
              </w:rPr>
            </w:pPr>
            <w:r>
              <w:rPr>
                <w:rFonts w:ascii="Times New Roman"/>
                <w:sz w:val="18"/>
              </w:rPr>
              <w:t>897.45</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71"/>
              <w:jc w:val="right"/>
              <w:rPr>
                <w:rFonts w:ascii="Times New Roman" w:hAnsi="Times New Roman" w:cs="Times New Roman" w:eastAsia="Times New Roman" w:hint="default"/>
                <w:sz w:val="18"/>
                <w:szCs w:val="18"/>
              </w:rPr>
            </w:pPr>
            <w:r>
              <w:rPr>
                <w:rFonts w:ascii="Times New Roman"/>
                <w:sz w:val="18"/>
              </w:rPr>
              <w:t>8.8065</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7,903.40</w:t>
            </w:r>
          </w:p>
        </w:tc>
      </w:tr>
      <w:tr>
        <w:trPr>
          <w:trHeight w:val="641" w:hRule="exact"/>
        </w:trPr>
        <w:tc>
          <w:tcPr>
            <w:tcW w:w="1354" w:type="dxa"/>
            <w:tcBorders>
              <w:top w:val="nil" w:sz="6" w:space="0" w:color="auto"/>
              <w:left w:val="nil" w:sz="6" w:space="0" w:color="auto"/>
              <w:bottom w:val="nil" w:sz="6" w:space="0" w:color="auto"/>
              <w:right w:val="nil" w:sz="6" w:space="0" w:color="auto"/>
            </w:tcBorders>
          </w:tcPr>
          <w:p>
            <w:pPr>
              <w:pStyle w:val="TableParagraph"/>
              <w:spacing w:line="328" w:lineRule="auto" w:before="11"/>
              <w:ind w:left="122" w:right="149" w:firstLine="180"/>
              <w:jc w:val="left"/>
              <w:rPr>
                <w:rFonts w:ascii="宋体" w:hAnsi="宋体" w:cs="宋体" w:eastAsia="宋体" w:hint="default"/>
                <w:sz w:val="18"/>
                <w:szCs w:val="18"/>
              </w:rPr>
            </w:pPr>
            <w:r>
              <w:rPr>
                <w:rFonts w:ascii="宋体" w:hAnsi="宋体" w:cs="宋体" w:eastAsia="宋体" w:hint="default"/>
                <w:sz w:val="18"/>
                <w:szCs w:val="18"/>
              </w:rPr>
              <w:t>小计 其他货币资金</w:t>
            </w:r>
          </w:p>
        </w:tc>
        <w:tc>
          <w:tcPr>
            <w:tcW w:w="1203"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4"/>
              <w:jc w:val="right"/>
              <w:rPr>
                <w:rFonts w:ascii="Times New Roman" w:hAnsi="Times New Roman" w:cs="Times New Roman" w:eastAsia="Times New Roman" w:hint="default"/>
                <w:sz w:val="18"/>
                <w:szCs w:val="18"/>
              </w:rPr>
            </w:pPr>
            <w:r>
              <w:rPr>
                <w:rFonts w:ascii="Times New Roman"/>
                <w:spacing w:val="-1"/>
                <w:sz w:val="18"/>
              </w:rPr>
              <w:t>487,263,739.75</w:t>
            </w:r>
          </w:p>
        </w:tc>
        <w:tc>
          <w:tcPr>
            <w:tcW w:w="1099"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625,121,578.77</w:t>
            </w:r>
          </w:p>
        </w:tc>
      </w:tr>
      <w:tr>
        <w:trPr>
          <w:trHeight w:val="325" w:hRule="exact"/>
        </w:trPr>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553"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349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5"/>
              <w:ind w:right="154"/>
              <w:jc w:val="right"/>
              <w:rPr>
                <w:rFonts w:ascii="Times New Roman" w:hAnsi="Times New Roman" w:cs="Times New Roman" w:eastAsia="Times New Roman" w:hint="default"/>
                <w:sz w:val="18"/>
                <w:szCs w:val="18"/>
              </w:rPr>
            </w:pPr>
            <w:r>
              <w:rPr>
                <w:rFonts w:ascii="Times New Roman"/>
                <w:spacing w:val="-1"/>
                <w:sz w:val="18"/>
              </w:rPr>
              <w:t>1,759,227.94</w:t>
            </w:r>
          </w:p>
        </w:tc>
        <w:tc>
          <w:tcPr>
            <w:tcW w:w="1099"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8,839,713.64</w:t>
            </w:r>
          </w:p>
        </w:tc>
      </w:tr>
      <w:tr>
        <w:trPr>
          <w:trHeight w:val="322" w:hRule="exact"/>
        </w:trPr>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53"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349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1"/>
              <w:ind w:right="155"/>
              <w:jc w:val="right"/>
              <w:rPr>
                <w:rFonts w:ascii="Times New Roman" w:hAnsi="Times New Roman" w:cs="Times New Roman" w:eastAsia="Times New Roman" w:hint="default"/>
                <w:sz w:val="18"/>
                <w:szCs w:val="18"/>
              </w:rPr>
            </w:pPr>
            <w:r>
              <w:rPr>
                <w:rFonts w:ascii="Times New Roman"/>
                <w:sz w:val="18"/>
              </w:rPr>
              <w:t>---</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9"/>
              <w:jc w:val="right"/>
              <w:rPr>
                <w:rFonts w:ascii="Times New Roman" w:hAnsi="Times New Roman" w:cs="Times New Roman" w:eastAsia="Times New Roman" w:hint="default"/>
                <w:sz w:val="18"/>
                <w:szCs w:val="18"/>
              </w:rPr>
            </w:pPr>
            <w:r>
              <w:rPr>
                <w:rFonts w:ascii="Times New Roman"/>
                <w:sz w:val="18"/>
              </w:rPr>
              <w:t>15.57</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71"/>
              <w:jc w:val="right"/>
              <w:rPr>
                <w:rFonts w:ascii="Times New Roman" w:hAnsi="Times New Roman" w:cs="Times New Roman" w:eastAsia="Times New Roman" w:hint="default"/>
                <w:sz w:val="18"/>
                <w:szCs w:val="18"/>
              </w:rPr>
            </w:pPr>
            <w:r>
              <w:rPr>
                <w:rFonts w:ascii="Times New Roman"/>
                <w:sz w:val="18"/>
              </w:rPr>
              <w:t>6.6227</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103.12</w:t>
            </w:r>
          </w:p>
        </w:tc>
      </w:tr>
      <w:tr>
        <w:trPr>
          <w:trHeight w:val="322" w:hRule="exact"/>
        </w:trPr>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0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349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2"/>
              <w:ind w:right="154"/>
              <w:jc w:val="right"/>
              <w:rPr>
                <w:rFonts w:ascii="Times New Roman" w:hAnsi="Times New Roman" w:cs="Times New Roman" w:eastAsia="Times New Roman" w:hint="default"/>
                <w:sz w:val="18"/>
                <w:szCs w:val="18"/>
              </w:rPr>
            </w:pPr>
            <w:r>
              <w:rPr>
                <w:rFonts w:ascii="Times New Roman"/>
                <w:spacing w:val="-1"/>
                <w:sz w:val="18"/>
              </w:rPr>
              <w:t>1,759,227.94</w:t>
            </w:r>
          </w:p>
        </w:tc>
        <w:tc>
          <w:tcPr>
            <w:tcW w:w="1099"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8,839,816.76</w:t>
            </w:r>
          </w:p>
        </w:tc>
      </w:tr>
      <w:tr>
        <w:trPr>
          <w:trHeight w:val="328" w:hRule="exact"/>
        </w:trPr>
        <w:tc>
          <w:tcPr>
            <w:tcW w:w="1354"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6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497" w:type="dxa"/>
            <w:gridSpan w:val="3"/>
            <w:tcBorders>
              <w:top w:val="nil" w:sz="6" w:space="0" w:color="auto"/>
              <w:left w:val="nil" w:sz="6" w:space="0" w:color="auto"/>
              <w:bottom w:val="single" w:sz="12" w:space="0" w:color="000000"/>
              <w:right w:val="nil" w:sz="6" w:space="0" w:color="auto"/>
            </w:tcBorders>
          </w:tcPr>
          <w:p>
            <w:pPr>
              <w:pStyle w:val="TableParagraph"/>
              <w:spacing w:line="240" w:lineRule="auto" w:before="51"/>
              <w:ind w:left="2214" w:right="0"/>
              <w:jc w:val="left"/>
              <w:rPr>
                <w:rFonts w:ascii="Times New Roman" w:hAnsi="Times New Roman" w:cs="Times New Roman" w:eastAsia="Times New Roman" w:hint="default"/>
                <w:sz w:val="18"/>
                <w:szCs w:val="18"/>
              </w:rPr>
            </w:pPr>
            <w:r>
              <w:rPr>
                <w:rFonts w:ascii="Times New Roman"/>
                <w:sz w:val="18"/>
              </w:rPr>
              <w:t>489,144,502.08</w:t>
            </w:r>
          </w:p>
        </w:tc>
        <w:tc>
          <w:tcPr>
            <w:tcW w:w="1099" w:type="dxa"/>
            <w:tcBorders>
              <w:top w:val="nil" w:sz="6" w:space="0" w:color="auto"/>
              <w:left w:val="nil" w:sz="6" w:space="0" w:color="auto"/>
              <w:bottom w:val="single" w:sz="12" w:space="0" w:color="000000"/>
              <w:right w:val="nil" w:sz="6" w:space="0" w:color="auto"/>
            </w:tcBorders>
          </w:tcPr>
          <w:p>
            <w:pPr/>
          </w:p>
        </w:tc>
        <w:tc>
          <w:tcPr>
            <w:tcW w:w="865" w:type="dxa"/>
            <w:tcBorders>
              <w:top w:val="nil" w:sz="6" w:space="0" w:color="auto"/>
              <w:left w:val="nil" w:sz="6" w:space="0" w:color="auto"/>
              <w:bottom w:val="single" w:sz="12" w:space="0" w:color="000000"/>
              <w:right w:val="nil" w:sz="6" w:space="0" w:color="auto"/>
            </w:tcBorders>
          </w:tcPr>
          <w:p>
            <w:pPr/>
          </w:p>
        </w:tc>
        <w:tc>
          <w:tcPr>
            <w:tcW w:w="1406"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634,070,522.56</w:t>
            </w:r>
          </w:p>
        </w:tc>
      </w:tr>
    </w:tbl>
    <w:p>
      <w:pPr>
        <w:spacing w:line="240" w:lineRule="auto" w:before="11"/>
        <w:rPr>
          <w:rFonts w:ascii="宋体" w:hAnsi="宋体" w:cs="宋体" w:eastAsia="宋体" w:hint="default"/>
          <w:b/>
          <w:bCs/>
          <w:sz w:val="21"/>
          <w:szCs w:val="21"/>
        </w:rPr>
      </w:pPr>
    </w:p>
    <w:p>
      <w:pPr>
        <w:spacing w:before="35"/>
        <w:ind w:left="1407" w:right="796" w:firstLine="0"/>
        <w:jc w:val="left"/>
        <w:rPr>
          <w:rFonts w:ascii="宋体" w:hAnsi="宋体" w:cs="宋体" w:eastAsia="宋体" w:hint="default"/>
          <w:sz w:val="21"/>
          <w:szCs w:val="21"/>
        </w:rPr>
      </w:pPr>
      <w:r>
        <w:rPr>
          <w:rFonts w:ascii="宋体" w:hAnsi="宋体" w:cs="宋体" w:eastAsia="宋体" w:hint="default"/>
          <w:sz w:val="21"/>
          <w:szCs w:val="21"/>
        </w:rPr>
        <w:t>其中受限制的货币资金明细如下：</w:t>
      </w:r>
    </w:p>
    <w:p>
      <w:pPr>
        <w:spacing w:line="240" w:lineRule="auto" w:before="13"/>
        <w:rPr>
          <w:rFonts w:ascii="宋体" w:hAnsi="宋体" w:cs="宋体" w:eastAsia="宋体" w:hint="default"/>
          <w:sz w:val="3"/>
          <w:szCs w:val="3"/>
        </w:rPr>
      </w:pPr>
    </w:p>
    <w:p>
      <w:pPr>
        <w:spacing w:line="372" w:lineRule="exact"/>
        <w:ind w:left="103" w:right="0" w:firstLine="0"/>
        <w:rPr>
          <w:rFonts w:ascii="宋体" w:hAnsi="宋体" w:cs="宋体" w:eastAsia="宋体" w:hint="default"/>
          <w:sz w:val="20"/>
          <w:szCs w:val="20"/>
        </w:rPr>
      </w:pPr>
      <w:r>
        <w:rPr>
          <w:rFonts w:ascii="宋体" w:hAnsi="宋体" w:cs="宋体" w:eastAsia="宋体" w:hint="default"/>
          <w:position w:val="-6"/>
          <w:sz w:val="20"/>
          <w:szCs w:val="20"/>
        </w:rPr>
        <w:pict>
          <v:group style="width:484.3pt;height:18.6pt;mso-position-horizontal-relative:char;mso-position-vertical-relative:line" coordorigin="0,0" coordsize="9686,372">
            <v:group style="position:absolute;left:29;top:15;width:9641;height:2" coordorigin="29,15" coordsize="9641,2">
              <v:shape style="position:absolute;left:29;top:15;width:9641;height:2" coordorigin="29,15" coordsize="9641,0" path="m29,15l9670,15e" filled="false" stroked="true" strokeweight="1.5pt" strokecolor="#000000">
                <v:path arrowok="t"/>
              </v:shape>
            </v:group>
            <v:group style="position:absolute;left:15;top:357;width:4730;height:2" coordorigin="15,357" coordsize="4730,2">
              <v:shape style="position:absolute;left:15;top:357;width:4730;height:2" coordorigin="15,357" coordsize="4730,0" path="m15,357l4744,357e" filled="false" stroked="true" strokeweight="1.5pt" strokecolor="#000000">
                <v:path arrowok="t"/>
              </v:shape>
              <v:shape style="position:absolute;left:4744;top:30;width:10;height:312" type="#_x0000_t75" stroked="false">
                <v:imagedata r:id="rId96" o:title=""/>
              </v:shape>
            </v:group>
            <v:group style="position:absolute;left:4744;top:357;width:2405;height:2" coordorigin="4744,357" coordsize="2405,2">
              <v:shape style="position:absolute;left:4744;top:357;width:2405;height:2" coordorigin="4744,357" coordsize="2405,0" path="m4744,357l7149,357e" filled="false" stroked="true" strokeweight="1.5pt" strokecolor="#000000">
                <v:path arrowok="t"/>
              </v:shape>
              <v:shape style="position:absolute;left:7149;top:30;width:10;height:312" type="#_x0000_t75" stroked="false">
                <v:imagedata r:id="rId96" o:title=""/>
              </v:shape>
            </v:group>
            <v:group style="position:absolute;left:7149;top:357;width:2522;height:2" coordorigin="7149,357" coordsize="2522,2">
              <v:shape style="position:absolute;left:7149;top:357;width:2522;height:2" coordorigin="7149,357" coordsize="2522,0" path="m7149,357l9670,357e" filled="false" stroked="true" strokeweight="1.5pt" strokecolor="#000000">
                <v:path arrowok="t"/>
              </v:shape>
              <v:shape style="position:absolute;left:2209;top:9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5591;top: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8051;top: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v:group>
        </w:pict>
      </w:r>
      <w:r>
        <w:rPr>
          <w:rFonts w:ascii="宋体" w:hAnsi="宋体" w:cs="宋体" w:eastAsia="宋体" w:hint="default"/>
          <w:position w:val="-6"/>
          <w:sz w:val="20"/>
          <w:szCs w:val="20"/>
        </w:rPr>
      </w:r>
    </w:p>
    <w:p>
      <w:pPr>
        <w:spacing w:after="0" w:line="372" w:lineRule="exact"/>
        <w:rPr>
          <w:rFonts w:ascii="宋体" w:hAnsi="宋体" w:cs="宋体" w:eastAsia="宋体" w:hint="default"/>
          <w:sz w:val="20"/>
          <w:szCs w:val="20"/>
        </w:rPr>
        <w:sectPr>
          <w:headerReference w:type="default" r:id="rId90"/>
          <w:footerReference w:type="default" r:id="rId91"/>
          <w:pgSz w:w="11910" w:h="16840"/>
          <w:pgMar w:header="686" w:footer="1270" w:top="1360" w:bottom="1460" w:left="1000" w:right="1000"/>
          <w:pgNumType w:start="129"/>
        </w:sectPr>
      </w:pPr>
    </w:p>
    <w:p>
      <w:pPr>
        <w:spacing w:line="240" w:lineRule="auto" w:before="1"/>
        <w:rPr>
          <w:rFonts w:ascii="宋体" w:hAnsi="宋体" w:cs="宋体" w:eastAsia="宋体" w:hint="default"/>
          <w:sz w:val="23"/>
          <w:szCs w:val="23"/>
        </w:rPr>
      </w:pPr>
    </w:p>
    <w:tbl>
      <w:tblPr>
        <w:tblW w:w="0" w:type="auto"/>
        <w:jc w:val="left"/>
        <w:tblInd w:w="132" w:type="dxa"/>
        <w:tblLayout w:type="fixed"/>
        <w:tblCellMar>
          <w:top w:w="0" w:type="dxa"/>
          <w:left w:w="0" w:type="dxa"/>
          <w:bottom w:w="0" w:type="dxa"/>
          <w:right w:w="0" w:type="dxa"/>
        </w:tblCellMar>
        <w:tblLook w:val="01E0"/>
      </w:tblPr>
      <w:tblGrid>
        <w:gridCol w:w="1684"/>
        <w:gridCol w:w="2622"/>
        <w:gridCol w:w="3564"/>
        <w:gridCol w:w="1771"/>
      </w:tblGrid>
      <w:tr>
        <w:trPr>
          <w:trHeight w:val="336" w:hRule="exact"/>
        </w:trPr>
        <w:tc>
          <w:tcPr>
            <w:tcW w:w="1684"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保函保证金</w:t>
            </w:r>
          </w:p>
        </w:tc>
        <w:tc>
          <w:tcPr>
            <w:tcW w:w="2622" w:type="dxa"/>
            <w:tcBorders>
              <w:top w:val="single" w:sz="12" w:space="0" w:color="000000"/>
              <w:left w:val="nil" w:sz="6" w:space="0" w:color="auto"/>
              <w:bottom w:val="nil" w:sz="6" w:space="0" w:color="auto"/>
              <w:right w:val="nil" w:sz="6" w:space="0" w:color="auto"/>
            </w:tcBorders>
          </w:tcPr>
          <w:p>
            <w:pPr/>
          </w:p>
        </w:tc>
        <w:tc>
          <w:tcPr>
            <w:tcW w:w="3564"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right="850"/>
              <w:jc w:val="right"/>
              <w:rPr>
                <w:rFonts w:ascii="Times New Roman" w:hAnsi="Times New Roman" w:cs="Times New Roman" w:eastAsia="Times New Roman" w:hint="default"/>
                <w:sz w:val="18"/>
                <w:szCs w:val="18"/>
              </w:rPr>
            </w:pPr>
            <w:r>
              <w:rPr>
                <w:rFonts w:ascii="Times New Roman"/>
                <w:spacing w:val="-1"/>
                <w:sz w:val="18"/>
              </w:rPr>
              <w:t>1,741,828.91</w:t>
            </w:r>
          </w:p>
        </w:tc>
        <w:tc>
          <w:tcPr>
            <w:tcW w:w="1771"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4,222.67</w:t>
            </w:r>
          </w:p>
        </w:tc>
      </w:tr>
      <w:tr>
        <w:trPr>
          <w:trHeight w:val="322" w:hRule="exact"/>
        </w:trPr>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信用证保证金</w:t>
            </w:r>
          </w:p>
        </w:tc>
        <w:tc>
          <w:tcPr>
            <w:tcW w:w="2622" w:type="dxa"/>
            <w:tcBorders>
              <w:top w:val="nil" w:sz="6" w:space="0" w:color="auto"/>
              <w:left w:val="nil" w:sz="6" w:space="0" w:color="auto"/>
              <w:bottom w:val="nil" w:sz="6" w:space="0" w:color="auto"/>
              <w:right w:val="nil" w:sz="6" w:space="0" w:color="auto"/>
            </w:tcBorders>
          </w:tcPr>
          <w:p>
            <w:pPr/>
          </w:p>
        </w:tc>
        <w:tc>
          <w:tcPr>
            <w:tcW w:w="356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850"/>
              <w:jc w:val="right"/>
              <w:rPr>
                <w:rFonts w:ascii="Times New Roman" w:hAnsi="Times New Roman" w:cs="Times New Roman" w:eastAsia="Times New Roman" w:hint="default"/>
                <w:sz w:val="18"/>
                <w:szCs w:val="18"/>
              </w:rPr>
            </w:pPr>
            <w:r>
              <w:rPr>
                <w:rFonts w:ascii="Times New Roman"/>
                <w:sz w:val="18"/>
              </w:rPr>
              <w:t>17,399.03</w:t>
            </w: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869,100.95</w:t>
            </w:r>
          </w:p>
        </w:tc>
      </w:tr>
      <w:tr>
        <w:trPr>
          <w:trHeight w:val="328" w:hRule="exact"/>
        </w:trPr>
        <w:tc>
          <w:tcPr>
            <w:tcW w:w="1684" w:type="dxa"/>
            <w:tcBorders>
              <w:top w:val="nil" w:sz="6" w:space="0" w:color="auto"/>
              <w:left w:val="nil" w:sz="6" w:space="0" w:color="auto"/>
              <w:bottom w:val="single" w:sz="12" w:space="0" w:color="000000"/>
              <w:right w:val="nil" w:sz="6" w:space="0" w:color="auto"/>
            </w:tcBorders>
          </w:tcPr>
          <w:p>
            <w:pPr/>
          </w:p>
        </w:tc>
        <w:tc>
          <w:tcPr>
            <w:tcW w:w="2622"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49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564"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850"/>
              <w:jc w:val="right"/>
              <w:rPr>
                <w:rFonts w:ascii="Times New Roman" w:hAnsi="Times New Roman" w:cs="Times New Roman" w:eastAsia="Times New Roman" w:hint="default"/>
                <w:sz w:val="18"/>
                <w:szCs w:val="18"/>
              </w:rPr>
            </w:pPr>
            <w:r>
              <w:rPr>
                <w:rFonts w:ascii="Times New Roman"/>
                <w:spacing w:val="-1"/>
                <w:sz w:val="18"/>
              </w:rPr>
              <w:t>1,759,227.94</w:t>
            </w:r>
          </w:p>
        </w:tc>
        <w:tc>
          <w:tcPr>
            <w:tcW w:w="1771"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873,323.62</w:t>
            </w:r>
          </w:p>
        </w:tc>
      </w:tr>
    </w:tbl>
    <w:p>
      <w:pPr>
        <w:spacing w:line="331" w:lineRule="auto" w:before="78"/>
        <w:ind w:left="1415" w:right="1334" w:hanging="1"/>
        <w:jc w:val="left"/>
        <w:rPr>
          <w:rFonts w:ascii="宋体" w:hAnsi="宋体" w:cs="宋体" w:eastAsia="宋体" w:hint="default"/>
          <w:sz w:val="21"/>
          <w:szCs w:val="21"/>
        </w:rPr>
      </w:pPr>
      <w:r>
        <w:rPr/>
        <w:pict>
          <v:group style="position:absolute;margin-left:55.200001pt;margin-top:-51.456009pt;width:485.1pt;height:49.2pt;mso-position-horizontal-relative:page;mso-position-vertical-relative:paragraph;z-index:-785368" coordorigin="1104,-1029" coordsize="9702,984">
            <v:shape style="position:absolute;left:5819;top:-1029;width:2472;height:370" type="#_x0000_t75" stroked="false">
              <v:imagedata r:id="rId97" o:title=""/>
            </v:shape>
            <v:shape style="position:absolute;left:1104;top:-717;width:9702;height:672" type="#_x0000_t75" stroked="false">
              <v:imagedata r:id="rId98" o:title=""/>
            </v:shape>
            <w10:wrap type="none"/>
          </v:group>
        </w:pict>
      </w:r>
      <w:r>
        <w:rPr>
          <w:rFonts w:ascii="宋体" w:hAnsi="宋体" w:cs="宋体" w:eastAsia="宋体" w:hint="default"/>
          <w:sz w:val="21"/>
          <w:szCs w:val="21"/>
        </w:rPr>
        <w:t>截至</w:t>
      </w:r>
      <w:r>
        <w:rPr>
          <w:rFonts w:ascii="宋体" w:hAnsi="宋体" w:cs="宋体" w:eastAsia="宋体" w:hint="default"/>
          <w:spacing w:val="-4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日，其他货币资金中人民币</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1,741,828.91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元为本公司向银行申 请开具无条件、不可撤销的担保函所存入的保证金存款。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tabs>
          <w:tab w:pos="1514" w:val="left" w:leader="none"/>
        </w:tabs>
        <w:spacing w:before="0"/>
        <w:ind w:left="785" w:right="0" w:firstLine="0"/>
        <w:jc w:val="left"/>
        <w:rPr>
          <w:rFonts w:ascii="宋体" w:hAnsi="宋体" w:cs="宋体" w:eastAsia="宋体" w:hint="default"/>
          <w:sz w:val="21"/>
          <w:szCs w:val="21"/>
        </w:rPr>
      </w:pPr>
      <w:r>
        <w:rPr>
          <w:rFonts w:ascii="宋体" w:hAnsi="宋体" w:cs="宋体" w:eastAsia="宋体" w:hint="default"/>
          <w:b/>
          <w:bCs/>
          <w:w w:val="95"/>
          <w:sz w:val="21"/>
          <w:szCs w:val="21"/>
        </w:rPr>
        <w:t>(二)</w:t>
        <w:tab/>
      </w:r>
      <w:r>
        <w:rPr>
          <w:rFonts w:ascii="宋体" w:hAnsi="宋体" w:cs="宋体" w:eastAsia="宋体" w:hint="default"/>
          <w:b/>
          <w:bCs/>
          <w:sz w:val="21"/>
          <w:szCs w:val="21"/>
        </w:rPr>
        <w:t>应收票据</w:t>
      </w:r>
      <w:r>
        <w:rPr>
          <w:rFonts w:ascii="宋体" w:hAnsi="宋体" w:cs="宋体" w:eastAsia="宋体" w:hint="default"/>
          <w:sz w:val="21"/>
          <w:szCs w:val="21"/>
        </w:rPr>
      </w:r>
    </w:p>
    <w:p>
      <w:pPr>
        <w:tabs>
          <w:tab w:pos="1954" w:val="left" w:leader="none"/>
        </w:tabs>
        <w:spacing w:before="125"/>
        <w:ind w:left="1415" w:right="0" w:firstLine="0"/>
        <w:jc w:val="left"/>
        <w:rPr>
          <w:rFonts w:ascii="宋体" w:hAnsi="宋体" w:cs="宋体" w:eastAsia="宋体" w:hint="default"/>
          <w:sz w:val="21"/>
          <w:szCs w:val="21"/>
        </w:rPr>
      </w:pPr>
      <w:r>
        <w:rPr/>
        <w:pict>
          <v:group style="position:absolute;margin-left:81.480003pt;margin-top:21.633057pt;width:484.95pt;height:49.3pt;mso-position-horizontal-relative:page;mso-position-vertical-relative:paragraph;z-index:-785344" coordorigin="1630,433" coordsize="9699,986">
            <v:shape style="position:absolute;left:5696;top:433;width:2771;height:370" type="#_x0000_t75" stroked="false">
              <v:imagedata r:id="rId99" o:title=""/>
            </v:shape>
            <v:shape style="position:absolute;left:1630;top:745;width:9698;height:673" type="#_x0000_t75" stroked="false">
              <v:imagedata r:id="rId100" o:title=""/>
            </v:shape>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应收票据的分类</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658" w:type="dxa"/>
        <w:tblLayout w:type="fixed"/>
        <w:tblCellMar>
          <w:top w:w="0" w:type="dxa"/>
          <w:left w:w="0" w:type="dxa"/>
          <w:bottom w:w="0" w:type="dxa"/>
          <w:right w:w="0" w:type="dxa"/>
        </w:tblCellMar>
        <w:tblLook w:val="01E0"/>
      </w:tblPr>
      <w:tblGrid>
        <w:gridCol w:w="1522"/>
        <w:gridCol w:w="2117"/>
        <w:gridCol w:w="3619"/>
        <w:gridCol w:w="2382"/>
      </w:tblGrid>
      <w:tr>
        <w:trPr>
          <w:trHeight w:val="658" w:hRule="exact"/>
        </w:trPr>
        <w:tc>
          <w:tcPr>
            <w:tcW w:w="1522"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211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333" w:right="0"/>
              <w:jc w:val="left"/>
              <w:rPr>
                <w:rFonts w:ascii="宋体" w:hAnsi="宋体" w:cs="宋体" w:eastAsia="宋体" w:hint="default"/>
                <w:sz w:val="18"/>
                <w:szCs w:val="18"/>
              </w:rPr>
            </w:pPr>
            <w:r>
              <w:rPr>
                <w:rFonts w:ascii="宋体" w:hAnsi="宋体" w:cs="宋体" w:eastAsia="宋体" w:hint="default"/>
                <w:sz w:val="18"/>
                <w:szCs w:val="18"/>
              </w:rPr>
              <w:t>种类</w:t>
            </w:r>
          </w:p>
        </w:tc>
        <w:tc>
          <w:tcPr>
            <w:tcW w:w="3619"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50"/>
              <w:jc w:val="center"/>
              <w:rPr>
                <w:rFonts w:ascii="宋体" w:hAnsi="宋体" w:cs="宋体" w:eastAsia="宋体" w:hint="default"/>
                <w:sz w:val="18"/>
                <w:szCs w:val="18"/>
              </w:rPr>
            </w:pPr>
            <w:r>
              <w:rPr>
                <w:rFonts w:ascii="宋体" w:hAnsi="宋体" w:cs="宋体" w:eastAsia="宋体" w:hint="default"/>
                <w:sz w:val="18"/>
                <w:szCs w:val="18"/>
              </w:rPr>
              <w:t>年末余额</w:t>
            </w:r>
          </w:p>
          <w:p>
            <w:pPr>
              <w:pStyle w:val="TableParagraph"/>
              <w:spacing w:line="240" w:lineRule="auto" w:before="127"/>
              <w:ind w:left="2083" w:right="0"/>
              <w:jc w:val="left"/>
              <w:rPr>
                <w:rFonts w:ascii="Times New Roman" w:hAnsi="Times New Roman" w:cs="Times New Roman" w:eastAsia="Times New Roman" w:hint="default"/>
                <w:sz w:val="18"/>
                <w:szCs w:val="18"/>
              </w:rPr>
            </w:pPr>
            <w:r>
              <w:rPr>
                <w:rFonts w:ascii="Times New Roman"/>
                <w:sz w:val="18"/>
              </w:rPr>
              <w:t>5,467,752.49</w:t>
            </w:r>
          </w:p>
        </w:tc>
        <w:tc>
          <w:tcPr>
            <w:tcW w:w="2382"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589"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127"/>
              <w:ind w:left="1239" w:right="0"/>
              <w:jc w:val="left"/>
              <w:rPr>
                <w:rFonts w:ascii="Times New Roman" w:hAnsi="Times New Roman" w:cs="Times New Roman" w:eastAsia="Times New Roman" w:hint="default"/>
                <w:sz w:val="18"/>
                <w:szCs w:val="18"/>
              </w:rPr>
            </w:pPr>
            <w:r>
              <w:rPr>
                <w:rFonts w:ascii="Times New Roman"/>
                <w:sz w:val="18"/>
              </w:rPr>
              <w:t>10,178,660.00</w:t>
            </w:r>
          </w:p>
        </w:tc>
      </w:tr>
      <w:tr>
        <w:trPr>
          <w:trHeight w:val="328" w:hRule="exact"/>
        </w:trPr>
        <w:tc>
          <w:tcPr>
            <w:tcW w:w="1522" w:type="dxa"/>
            <w:tcBorders>
              <w:top w:val="nil" w:sz="6" w:space="0" w:color="auto"/>
              <w:left w:val="nil" w:sz="6" w:space="0" w:color="auto"/>
              <w:bottom w:val="single" w:sz="12" w:space="0" w:color="000000"/>
              <w:right w:val="nil" w:sz="6" w:space="0" w:color="auto"/>
            </w:tcBorders>
          </w:tcPr>
          <w:p>
            <w:pPr/>
          </w:p>
        </w:tc>
        <w:tc>
          <w:tcPr>
            <w:tcW w:w="2117"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33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619"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left="2083" w:right="0"/>
              <w:jc w:val="left"/>
              <w:rPr>
                <w:rFonts w:ascii="Times New Roman" w:hAnsi="Times New Roman" w:cs="Times New Roman" w:eastAsia="Times New Roman" w:hint="default"/>
                <w:sz w:val="18"/>
                <w:szCs w:val="18"/>
              </w:rPr>
            </w:pPr>
            <w:r>
              <w:rPr>
                <w:rFonts w:ascii="Times New Roman"/>
                <w:sz w:val="18"/>
              </w:rPr>
              <w:t>5,467,752.49</w:t>
            </w:r>
          </w:p>
        </w:tc>
        <w:tc>
          <w:tcPr>
            <w:tcW w:w="2382"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left="1239" w:right="0"/>
              <w:jc w:val="left"/>
              <w:rPr>
                <w:rFonts w:ascii="Times New Roman" w:hAnsi="Times New Roman" w:cs="Times New Roman" w:eastAsia="Times New Roman" w:hint="default"/>
                <w:sz w:val="18"/>
                <w:szCs w:val="18"/>
              </w:rPr>
            </w:pPr>
            <w:r>
              <w:rPr>
                <w:rFonts w:ascii="Times New Roman"/>
                <w:sz w:val="18"/>
              </w:rPr>
              <w:t>10,178,660.00</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spacing w:line="324" w:lineRule="auto" w:before="35"/>
        <w:ind w:left="1286" w:right="3678" w:firstLine="129"/>
        <w:jc w:val="left"/>
        <w:rPr>
          <w:rFonts w:ascii="宋体" w:hAnsi="宋体" w:cs="宋体" w:eastAsia="宋体" w:hint="default"/>
          <w:sz w:val="21"/>
          <w:szCs w:val="21"/>
        </w:rPr>
      </w:pPr>
      <w:r>
        <w:rPr/>
        <w:pict>
          <v:group style="position:absolute;margin-left:81.480003pt;margin-top:35.673515pt;width:485.25pt;height:113.65pt;mso-position-horizontal-relative:page;mso-position-vertical-relative:paragraph;z-index:-785320" coordorigin="1630,713" coordsize="9705,2273">
            <v:shape style="position:absolute;left:5767;top:713;width:4050;height:370" type="#_x0000_t75" stroked="false">
              <v:imagedata r:id="rId101" o:title=""/>
            </v:shape>
            <v:shape style="position:absolute;left:1630;top:1025;width:9704;height:1961" type="#_x0000_t75" stroked="false">
              <v:imagedata r:id="rId102" o:title=""/>
            </v:shape>
            <w10:wrap type="none"/>
          </v:group>
        </w:pict>
      </w:r>
      <w:r>
        <w:rPr/>
        <w:pict>
          <v:shape style="position:absolute;margin-left:82.919998pt;margin-top:36.363514pt;width:482pt;height:115.2pt;mso-position-horizontal-relative:page;mso-position-vertical-relative:paragraph;z-index:53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641"/>
                    <w:gridCol w:w="2643"/>
                    <w:gridCol w:w="2018"/>
                    <w:gridCol w:w="1337"/>
                  </w:tblGrid>
                  <w:tr>
                    <w:trPr>
                      <w:trHeight w:val="659" w:hRule="exact"/>
                    </w:trPr>
                    <w:tc>
                      <w:tcPr>
                        <w:tcW w:w="3641" w:type="dxa"/>
                        <w:tcBorders>
                          <w:top w:val="single" w:sz="12" w:space="0" w:color="000000"/>
                          <w:left w:val="nil" w:sz="6" w:space="0" w:color="auto"/>
                          <w:bottom w:val="nil" w:sz="6" w:space="0" w:color="auto"/>
                          <w:right w:val="nil" w:sz="6" w:space="0" w:color="auto"/>
                        </w:tcBorders>
                      </w:tcPr>
                      <w:p>
                        <w:pPr>
                          <w:pStyle w:val="TableParagraph"/>
                          <w:spacing w:line="328" w:lineRule="auto" w:before="10"/>
                          <w:ind w:left="107" w:right="1208" w:firstLine="1603"/>
                          <w:jc w:val="left"/>
                          <w:rPr>
                            <w:rFonts w:ascii="宋体" w:hAnsi="宋体" w:cs="宋体" w:eastAsia="宋体" w:hint="default"/>
                            <w:sz w:val="18"/>
                            <w:szCs w:val="18"/>
                          </w:rPr>
                        </w:pPr>
                        <w:r>
                          <w:rPr>
                            <w:rFonts w:ascii="宋体" w:hAnsi="宋体" w:cs="宋体" w:eastAsia="宋体" w:hint="default"/>
                            <w:sz w:val="18"/>
                            <w:szCs w:val="18"/>
                          </w:rPr>
                          <w:t>出票单位 佛山市嘉萍贸易有限公司</w:t>
                        </w:r>
                      </w:p>
                    </w:tc>
                    <w:tc>
                      <w:tcPr>
                        <w:tcW w:w="2643"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096" w:right="0"/>
                          <w:jc w:val="left"/>
                          <w:rPr>
                            <w:rFonts w:ascii="宋体" w:hAnsi="宋体" w:cs="宋体" w:eastAsia="宋体" w:hint="default"/>
                            <w:sz w:val="18"/>
                            <w:szCs w:val="18"/>
                          </w:rPr>
                        </w:pPr>
                        <w:r>
                          <w:rPr>
                            <w:rFonts w:ascii="宋体" w:hAnsi="宋体" w:cs="宋体" w:eastAsia="宋体" w:hint="default"/>
                            <w:sz w:val="18"/>
                            <w:szCs w:val="18"/>
                          </w:rPr>
                          <w:t>出票日期</w:t>
                        </w:r>
                      </w:p>
                      <w:p>
                        <w:pPr>
                          <w:pStyle w:val="TableParagraph"/>
                          <w:spacing w:line="240" w:lineRule="auto" w:before="86"/>
                          <w:ind w:left="10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2018"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535" w:right="0"/>
                          <w:jc w:val="left"/>
                          <w:rPr>
                            <w:rFonts w:ascii="宋体" w:hAnsi="宋体" w:cs="宋体" w:eastAsia="宋体" w:hint="default"/>
                            <w:sz w:val="18"/>
                            <w:szCs w:val="18"/>
                          </w:rPr>
                        </w:pPr>
                        <w:r>
                          <w:rPr>
                            <w:rFonts w:ascii="宋体" w:hAnsi="宋体" w:cs="宋体" w:eastAsia="宋体" w:hint="default"/>
                            <w:sz w:val="18"/>
                            <w:szCs w:val="18"/>
                          </w:rPr>
                          <w:t>到期日</w:t>
                        </w:r>
                      </w:p>
                      <w:p>
                        <w:pPr>
                          <w:pStyle w:val="TableParagraph"/>
                          <w:spacing w:line="240" w:lineRule="auto" w:before="86"/>
                          <w:ind w:left="4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日</w:t>
                        </w:r>
                      </w:p>
                    </w:tc>
                    <w:tc>
                      <w:tcPr>
                        <w:tcW w:w="133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400" w:right="0"/>
                          <w:jc w:val="left"/>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126"/>
                          <w:ind w:left="284" w:right="0"/>
                          <w:jc w:val="left"/>
                          <w:rPr>
                            <w:rFonts w:ascii="Times New Roman" w:hAnsi="Times New Roman" w:cs="Times New Roman" w:eastAsia="Times New Roman" w:hint="default"/>
                            <w:sz w:val="18"/>
                            <w:szCs w:val="18"/>
                          </w:rPr>
                        </w:pPr>
                        <w:r>
                          <w:rPr>
                            <w:rFonts w:ascii="Times New Roman"/>
                            <w:sz w:val="18"/>
                          </w:rPr>
                          <w:t>1,000,000.00</w:t>
                        </w:r>
                      </w:p>
                    </w:tc>
                  </w:tr>
                  <w:tr>
                    <w:trPr>
                      <w:trHeight w:val="322" w:hRule="exact"/>
                    </w:trPr>
                    <w:tc>
                      <w:tcPr>
                        <w:tcW w:w="364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淮南市鑫港商贸有限公司</w:t>
                        </w:r>
                      </w:p>
                    </w:tc>
                    <w:tc>
                      <w:tcPr>
                        <w:tcW w:w="264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6"/>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84"/>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z w:val="18"/>
                          </w:rPr>
                          <w:t>500,000.00</w:t>
                        </w:r>
                      </w:p>
                    </w:tc>
                  </w:tr>
                  <w:tr>
                    <w:trPr>
                      <w:trHeight w:val="322" w:hRule="exact"/>
                    </w:trPr>
                    <w:tc>
                      <w:tcPr>
                        <w:tcW w:w="364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湖北华尔靓科技有限公司</w:t>
                        </w:r>
                      </w:p>
                    </w:tc>
                    <w:tc>
                      <w:tcPr>
                        <w:tcW w:w="264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6"/>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84"/>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z w:val="18"/>
                          </w:rPr>
                          <w:t>500,000.00</w:t>
                        </w:r>
                      </w:p>
                    </w:tc>
                  </w:tr>
                  <w:tr>
                    <w:trPr>
                      <w:trHeight w:val="322" w:hRule="exact"/>
                    </w:trPr>
                    <w:tc>
                      <w:tcPr>
                        <w:tcW w:w="364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安庆市兴达电器安装有限责任公司</w:t>
                        </w:r>
                      </w:p>
                    </w:tc>
                    <w:tc>
                      <w:tcPr>
                        <w:tcW w:w="264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6"/>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83"/>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z w:val="18"/>
                          </w:rPr>
                          <w:t>500,000.00</w:t>
                        </w:r>
                      </w:p>
                    </w:tc>
                  </w:tr>
                  <w:tr>
                    <w:trPr>
                      <w:trHeight w:val="322" w:hRule="exact"/>
                    </w:trPr>
                    <w:tc>
                      <w:tcPr>
                        <w:tcW w:w="364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南龙（连云港）化学有限公司</w:t>
                        </w:r>
                      </w:p>
                    </w:tc>
                    <w:tc>
                      <w:tcPr>
                        <w:tcW w:w="264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6"/>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84"/>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z w:val="18"/>
                          </w:rPr>
                          <w:t>400,000.00</w:t>
                        </w:r>
                      </w:p>
                    </w:tc>
                  </w:tr>
                  <w:tr>
                    <w:trPr>
                      <w:trHeight w:val="327" w:hRule="exact"/>
                    </w:trPr>
                    <w:tc>
                      <w:tcPr>
                        <w:tcW w:w="364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50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43" w:type="dxa"/>
                        <w:tcBorders>
                          <w:top w:val="nil" w:sz="6" w:space="0" w:color="auto"/>
                          <w:left w:val="nil" w:sz="6" w:space="0" w:color="auto"/>
                          <w:bottom w:val="single" w:sz="12" w:space="0" w:color="000000"/>
                          <w:right w:val="nil" w:sz="6" w:space="0" w:color="auto"/>
                        </w:tcBorders>
                      </w:tcPr>
                      <w:p>
                        <w:pPr/>
                      </w:p>
                    </w:tc>
                    <w:tc>
                      <w:tcPr>
                        <w:tcW w:w="2018" w:type="dxa"/>
                        <w:tcBorders>
                          <w:top w:val="nil" w:sz="6" w:space="0" w:color="auto"/>
                          <w:left w:val="nil" w:sz="6" w:space="0" w:color="auto"/>
                          <w:bottom w:val="single" w:sz="12" w:space="0" w:color="000000"/>
                          <w:right w:val="nil" w:sz="6" w:space="0" w:color="auto"/>
                        </w:tcBorders>
                      </w:tcPr>
                      <w:p>
                        <w:pPr/>
                      </w:p>
                    </w:tc>
                    <w:tc>
                      <w:tcPr>
                        <w:tcW w:w="1337"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2,900,000.00</w:t>
                        </w:r>
                      </w:p>
                    </w:tc>
                  </w:tr>
                </w:tbl>
                <w:p>
                  <w:pPr/>
                </w:p>
              </w:txbxContent>
            </v:textbox>
            <w10:wrap type="none"/>
          </v:shape>
        </w:pict>
      </w:r>
      <w:r>
        <w:rPr>
          <w:rFonts w:ascii="宋体" w:hAnsi="宋体" w:cs="宋体" w:eastAsia="宋体" w:hint="default"/>
          <w:b/>
          <w:bCs/>
          <w:sz w:val="21"/>
          <w:szCs w:val="21"/>
        </w:rPr>
        <w:t>2、年末公司已经背书给他方但尚未到期的票据情况</w:t>
      </w:r>
      <w:r>
        <w:rPr>
          <w:rFonts w:ascii="宋体" w:hAnsi="宋体" w:cs="宋体" w:eastAsia="宋体" w:hint="default"/>
          <w:b/>
          <w:bCs/>
          <w:w w:val="99"/>
          <w:sz w:val="21"/>
          <w:szCs w:val="21"/>
        </w:rPr>
        <w:t> </w:t>
      </w:r>
      <w:r>
        <w:rPr>
          <w:rFonts w:ascii="宋体" w:hAnsi="宋体" w:cs="宋体" w:eastAsia="宋体" w:hint="default"/>
          <w:sz w:val="21"/>
          <w:szCs w:val="21"/>
        </w:rPr>
        <w:t>公司已经背书给其他方但尚未到期的票据金额最大的前五项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tabs>
          <w:tab w:pos="1954" w:val="left" w:leader="none"/>
        </w:tabs>
        <w:spacing w:before="35"/>
        <w:ind w:left="141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期末应收票据中无持本公司</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1513" w:val="left" w:leader="none"/>
        </w:tabs>
        <w:spacing w:before="192"/>
        <w:ind w:left="78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应收账款</w:t>
      </w:r>
      <w:r>
        <w:rPr>
          <w:rFonts w:ascii="宋体" w:hAnsi="宋体" w:cs="宋体" w:eastAsia="宋体" w:hint="default"/>
          <w:sz w:val="21"/>
          <w:szCs w:val="21"/>
        </w:rPr>
      </w:r>
    </w:p>
    <w:p>
      <w:pPr>
        <w:tabs>
          <w:tab w:pos="1954" w:val="left" w:leader="none"/>
        </w:tabs>
        <w:spacing w:before="109"/>
        <w:ind w:left="1415" w:right="0" w:firstLine="0"/>
        <w:jc w:val="left"/>
        <w:rPr>
          <w:rFonts w:ascii="宋体" w:hAnsi="宋体" w:cs="宋体" w:eastAsia="宋体" w:hint="default"/>
          <w:sz w:val="21"/>
          <w:szCs w:val="21"/>
        </w:rPr>
      </w:pPr>
      <w:r>
        <w:rPr/>
        <w:pict>
          <v:group style="position:absolute;margin-left:83.160004pt;margin-top:20.833076pt;width:483.9pt;height:177.6pt;mso-position-horizontal-relative:page;mso-position-vertical-relative:paragraph;z-index:-785056" coordorigin="1663,417" coordsize="9678,3552">
            <v:group style="position:absolute;left:1692;top:432;width:9616;height:2" coordorigin="1692,432" coordsize="9616,2">
              <v:shape style="position:absolute;left:1692;top:432;width:9616;height:2" coordorigin="1692,432" coordsize="9616,0" path="m1692,432l11308,432e" filled="false" stroked="true" strokeweight="1.5pt" strokecolor="#000000">
                <v:path arrowok="t"/>
              </v:shape>
              <v:shape style="position:absolute;left:2658;top:418;width:4387;height:370" type="#_x0000_t75" stroked="false">
                <v:imagedata r:id="rId103" o:title=""/>
              </v:shape>
              <v:shape style="position:absolute;left:2658;top:730;width:8683;height:1013" type="#_x0000_t75" stroked="false">
                <v:imagedata r:id="rId104" o:title=""/>
              </v:shape>
              <v:shape style="position:absolute;left:1663;top:1685;width:9677;height:2284" type="#_x0000_t75" stroked="false">
                <v:imagedata r:id="rId105" o:title=""/>
              </v:shape>
              <v:shape style="position:absolute;left:4490;top:5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3470;top:83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5630;top:83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358;top:83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2011;top:99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4358;top:115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6460;top:115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8678;top:513;width:1550;height:824" type="#_x0000_t202" filled="false" stroked="false">
                <v:textbox inset="0,0,0,0">
                  <w:txbxContent>
                    <w:p>
                      <w:pPr>
                        <w:spacing w:line="180" w:lineRule="exact" w:before="0"/>
                        <w:ind w:left="12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p>
                      <w:pPr>
                        <w:spacing w:before="86"/>
                        <w:ind w:left="829"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p>
                      <w:pPr>
                        <w:spacing w:before="86"/>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10766;top:115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3217;top:1312;width:6902;height:181" type="#_x0000_t202" filled="false" stroked="false">
                <v:textbox inset="0,0,0,0">
                  <w:txbxContent>
                    <w:p>
                      <w:pPr>
                        <w:tabs>
                          <w:tab w:pos="2221" w:val="left" w:leader="none"/>
                          <w:tab w:pos="4321" w:val="left" w:leader="none"/>
                          <w:tab w:pos="654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tab/>
                        <w:t>金额</w:t>
                        <w:tab/>
                        <w:t>金额</w:t>
                        <w:tab/>
                        <w:t>金额</w:t>
                      </w:r>
                    </w:p>
                  </w:txbxContent>
                </v:textbox>
                <w10:wrap type="non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应收账款账龄分析</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1"/>
          <w:szCs w:val="21"/>
        </w:rPr>
      </w:pPr>
    </w:p>
    <w:tbl>
      <w:tblPr>
        <w:tblW w:w="0" w:type="auto"/>
        <w:jc w:val="left"/>
        <w:tblInd w:w="677" w:type="dxa"/>
        <w:tblLayout w:type="fixed"/>
        <w:tblCellMar>
          <w:top w:w="0" w:type="dxa"/>
          <w:left w:w="0" w:type="dxa"/>
          <w:bottom w:w="0" w:type="dxa"/>
          <w:right w:w="0" w:type="dxa"/>
        </w:tblCellMar>
        <w:tblLook w:val="01E0"/>
      </w:tblPr>
      <w:tblGrid>
        <w:gridCol w:w="1019"/>
        <w:gridCol w:w="1445"/>
        <w:gridCol w:w="818"/>
        <w:gridCol w:w="1313"/>
        <w:gridCol w:w="772"/>
        <w:gridCol w:w="1418"/>
        <w:gridCol w:w="817"/>
        <w:gridCol w:w="1308"/>
        <w:gridCol w:w="721"/>
      </w:tblGrid>
      <w:tr>
        <w:trPr>
          <w:trHeight w:val="577" w:hRule="exact"/>
        </w:trPr>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right="53"/>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right="140"/>
              <w:jc w:val="right"/>
              <w:rPr>
                <w:rFonts w:ascii="Times New Roman" w:hAnsi="Times New Roman" w:cs="Times New Roman" w:eastAsia="Times New Roman" w:hint="default"/>
                <w:sz w:val="18"/>
                <w:szCs w:val="18"/>
              </w:rPr>
            </w:pPr>
            <w:r>
              <w:rPr>
                <w:rFonts w:ascii="Times New Roman"/>
                <w:spacing w:val="-1"/>
                <w:sz w:val="18"/>
              </w:rPr>
              <w:t>146,549,460.99</w:t>
            </w:r>
          </w:p>
        </w:tc>
        <w:tc>
          <w:tcPr>
            <w:tcW w:w="818" w:type="dxa"/>
            <w:tcBorders>
              <w:top w:val="nil" w:sz="6" w:space="0" w:color="auto"/>
              <w:left w:val="nil" w:sz="6" w:space="0" w:color="auto"/>
              <w:bottom w:val="nil" w:sz="6" w:space="0" w:color="auto"/>
              <w:right w:val="nil" w:sz="6" w:space="0" w:color="auto"/>
            </w:tcBorders>
          </w:tcPr>
          <w:p>
            <w:pPr>
              <w:pStyle w:val="TableParagraph"/>
              <w:spacing w:line="194" w:lineRule="exact"/>
              <w:ind w:left="195" w:right="0" w:hanging="53"/>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113"/>
              <w:ind w:left="195" w:right="0"/>
              <w:jc w:val="left"/>
              <w:rPr>
                <w:rFonts w:ascii="Times New Roman" w:hAnsi="Times New Roman" w:cs="Times New Roman" w:eastAsia="Times New Roman" w:hint="default"/>
                <w:sz w:val="18"/>
                <w:szCs w:val="18"/>
              </w:rPr>
            </w:pPr>
            <w:r>
              <w:rPr>
                <w:rFonts w:ascii="Times New Roman"/>
                <w:sz w:val="18"/>
              </w:rPr>
              <w:t>77.57</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7,327,473.05</w:t>
            </w:r>
          </w:p>
        </w:tc>
        <w:tc>
          <w:tcPr>
            <w:tcW w:w="772" w:type="dxa"/>
            <w:tcBorders>
              <w:top w:val="nil" w:sz="6" w:space="0" w:color="auto"/>
              <w:left w:val="nil" w:sz="6" w:space="0" w:color="auto"/>
              <w:bottom w:val="nil" w:sz="6" w:space="0" w:color="auto"/>
              <w:right w:val="nil" w:sz="6" w:space="0" w:color="auto"/>
            </w:tcBorders>
          </w:tcPr>
          <w:p>
            <w:pPr>
              <w:pStyle w:val="TableParagraph"/>
              <w:spacing w:line="194" w:lineRule="exact"/>
              <w:ind w:left="210" w:right="0" w:hanging="9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113"/>
              <w:ind w:left="210" w:right="0"/>
              <w:jc w:val="left"/>
              <w:rPr>
                <w:rFonts w:ascii="Times New Roman" w:hAnsi="Times New Roman" w:cs="Times New Roman" w:eastAsia="Times New Roman" w:hint="default"/>
                <w:sz w:val="18"/>
                <w:szCs w:val="18"/>
              </w:rPr>
            </w:pPr>
            <w:r>
              <w:rPr>
                <w:rFonts w:ascii="Times New Roman"/>
                <w:sz w:val="18"/>
              </w:rPr>
              <w:t>5.00</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right="139"/>
              <w:jc w:val="right"/>
              <w:rPr>
                <w:rFonts w:ascii="Times New Roman" w:hAnsi="Times New Roman" w:cs="Times New Roman" w:eastAsia="Times New Roman" w:hint="default"/>
                <w:sz w:val="18"/>
                <w:szCs w:val="18"/>
              </w:rPr>
            </w:pPr>
            <w:r>
              <w:rPr>
                <w:rFonts w:ascii="Times New Roman"/>
                <w:spacing w:val="-1"/>
                <w:sz w:val="18"/>
              </w:rPr>
              <w:t>155,038,362.18</w:t>
            </w:r>
          </w:p>
        </w:tc>
        <w:tc>
          <w:tcPr>
            <w:tcW w:w="817" w:type="dxa"/>
            <w:tcBorders>
              <w:top w:val="nil" w:sz="6" w:space="0" w:color="auto"/>
              <w:left w:val="nil" w:sz="6" w:space="0" w:color="auto"/>
              <w:bottom w:val="nil" w:sz="6" w:space="0" w:color="auto"/>
              <w:right w:val="nil" w:sz="6" w:space="0" w:color="auto"/>
            </w:tcBorders>
          </w:tcPr>
          <w:p>
            <w:pPr>
              <w:pStyle w:val="TableParagraph"/>
              <w:spacing w:line="194" w:lineRule="exact"/>
              <w:ind w:left="195" w:right="0" w:hanging="54"/>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113"/>
              <w:ind w:left="195" w:right="0"/>
              <w:jc w:val="left"/>
              <w:rPr>
                <w:rFonts w:ascii="Times New Roman" w:hAnsi="Times New Roman" w:cs="Times New Roman" w:eastAsia="Times New Roman" w:hint="default"/>
                <w:sz w:val="18"/>
                <w:szCs w:val="18"/>
              </w:rPr>
            </w:pPr>
            <w:r>
              <w:rPr>
                <w:rFonts w:ascii="Times New Roman"/>
                <w:sz w:val="18"/>
              </w:rPr>
              <w:t>76.98</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7,751,918.11</w:t>
            </w:r>
          </w:p>
        </w:tc>
        <w:tc>
          <w:tcPr>
            <w:tcW w:w="721" w:type="dxa"/>
            <w:tcBorders>
              <w:top w:val="nil" w:sz="6" w:space="0" w:color="auto"/>
              <w:left w:val="nil" w:sz="6" w:space="0" w:color="auto"/>
              <w:bottom w:val="nil" w:sz="6" w:space="0" w:color="auto"/>
              <w:right w:val="nil" w:sz="6" w:space="0" w:color="auto"/>
            </w:tcBorders>
          </w:tcPr>
          <w:p>
            <w:pPr>
              <w:pStyle w:val="TableParagraph"/>
              <w:spacing w:line="194" w:lineRule="exact"/>
              <w:ind w:left="202" w:right="0" w:hanging="96"/>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113"/>
              <w:ind w:left="202" w:right="0"/>
              <w:jc w:val="left"/>
              <w:rPr>
                <w:rFonts w:ascii="Times New Roman" w:hAnsi="Times New Roman" w:cs="Times New Roman" w:eastAsia="Times New Roman" w:hint="default"/>
                <w:sz w:val="18"/>
                <w:szCs w:val="18"/>
              </w:rPr>
            </w:pPr>
            <w:r>
              <w:rPr>
                <w:rFonts w:ascii="Times New Roman"/>
                <w:sz w:val="18"/>
              </w:rPr>
              <w:t>5.00</w:t>
            </w:r>
          </w:p>
        </w:tc>
      </w:tr>
      <w:tr>
        <w:trPr>
          <w:trHeight w:val="322" w:hRule="exact"/>
        </w:trPr>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53"/>
              <w:jc w:val="center"/>
              <w:rPr>
                <w:rFonts w:ascii="宋体" w:hAnsi="宋体" w:cs="宋体" w:eastAsia="宋体" w:hint="default"/>
                <w:sz w:val="18"/>
                <w:szCs w:val="18"/>
              </w:rPr>
            </w:pPr>
            <w:r>
              <w:rPr>
                <w:rFonts w:ascii="宋体" w:hAnsi="宋体" w:cs="宋体" w:eastAsia="宋体" w:hint="default"/>
                <w:sz w:val="18"/>
                <w:szCs w:val="18"/>
              </w:rPr>
              <w:t>一至二年</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1"/>
              <w:jc w:val="right"/>
              <w:rPr>
                <w:rFonts w:ascii="Times New Roman" w:hAnsi="Times New Roman" w:cs="Times New Roman" w:eastAsia="Times New Roman" w:hint="default"/>
                <w:sz w:val="18"/>
                <w:szCs w:val="18"/>
              </w:rPr>
            </w:pPr>
            <w:r>
              <w:rPr>
                <w:rFonts w:ascii="Times New Roman"/>
                <w:spacing w:val="-1"/>
                <w:sz w:val="18"/>
              </w:rPr>
              <w:t>30,678,618.17</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95" w:right="0"/>
              <w:jc w:val="left"/>
              <w:rPr>
                <w:rFonts w:ascii="Times New Roman" w:hAnsi="Times New Roman" w:cs="Times New Roman" w:eastAsia="Times New Roman" w:hint="default"/>
                <w:sz w:val="18"/>
                <w:szCs w:val="18"/>
              </w:rPr>
            </w:pPr>
            <w:r>
              <w:rPr>
                <w:rFonts w:ascii="Times New Roman"/>
                <w:sz w:val="18"/>
              </w:rPr>
              <w:t>16.24</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0"/>
              <w:jc w:val="right"/>
              <w:rPr>
                <w:rFonts w:ascii="Times New Roman" w:hAnsi="Times New Roman" w:cs="Times New Roman" w:eastAsia="Times New Roman" w:hint="default"/>
                <w:sz w:val="18"/>
                <w:szCs w:val="18"/>
              </w:rPr>
            </w:pPr>
            <w:r>
              <w:rPr>
                <w:rFonts w:ascii="Times New Roman"/>
                <w:spacing w:val="-1"/>
                <w:sz w:val="18"/>
              </w:rPr>
              <w:t>3,067,861.82</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5"/>
              <w:jc w:val="center"/>
              <w:rPr>
                <w:rFonts w:ascii="Times New Roman" w:hAnsi="Times New Roman" w:cs="Times New Roman" w:eastAsia="Times New Roman" w:hint="default"/>
                <w:sz w:val="18"/>
                <w:szCs w:val="18"/>
              </w:rPr>
            </w:pPr>
            <w:r>
              <w:rPr>
                <w:rFonts w:ascii="Times New Roman"/>
                <w:sz w:val="18"/>
              </w:rPr>
              <w:t>10.00</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1"/>
              <w:jc w:val="right"/>
              <w:rPr>
                <w:rFonts w:ascii="Times New Roman" w:hAnsi="Times New Roman" w:cs="Times New Roman" w:eastAsia="Times New Roman" w:hint="default"/>
                <w:sz w:val="18"/>
                <w:szCs w:val="18"/>
              </w:rPr>
            </w:pPr>
            <w:r>
              <w:rPr>
                <w:rFonts w:ascii="Times New Roman"/>
                <w:spacing w:val="-1"/>
                <w:sz w:val="18"/>
              </w:rPr>
              <w:t>27,658,422.11</w:t>
            </w:r>
          </w:p>
        </w:tc>
        <w:tc>
          <w:tcPr>
            <w:tcW w:w="817"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94" w:right="0"/>
              <w:jc w:val="left"/>
              <w:rPr>
                <w:rFonts w:ascii="Times New Roman" w:hAnsi="Times New Roman" w:cs="Times New Roman" w:eastAsia="Times New Roman" w:hint="default"/>
                <w:sz w:val="18"/>
                <w:szCs w:val="18"/>
              </w:rPr>
            </w:pPr>
            <w:r>
              <w:rPr>
                <w:rFonts w:ascii="Times New Roman"/>
                <w:sz w:val="18"/>
              </w:rPr>
              <w:t>13.73</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2,765,842.21</w:t>
            </w:r>
          </w:p>
        </w:tc>
        <w:tc>
          <w:tcPr>
            <w:tcW w:w="72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10.00</w:t>
            </w:r>
          </w:p>
        </w:tc>
      </w:tr>
      <w:tr>
        <w:trPr>
          <w:trHeight w:val="322" w:hRule="exact"/>
        </w:trPr>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53"/>
              <w:jc w:val="center"/>
              <w:rPr>
                <w:rFonts w:ascii="宋体" w:hAnsi="宋体" w:cs="宋体" w:eastAsia="宋体" w:hint="default"/>
                <w:sz w:val="18"/>
                <w:szCs w:val="18"/>
              </w:rPr>
            </w:pPr>
            <w:r>
              <w:rPr>
                <w:rFonts w:ascii="宋体" w:hAnsi="宋体" w:cs="宋体" w:eastAsia="宋体" w:hint="default"/>
                <w:sz w:val="18"/>
                <w:szCs w:val="18"/>
              </w:rPr>
              <w:t>二至三年</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0"/>
              <w:jc w:val="right"/>
              <w:rPr>
                <w:rFonts w:ascii="Times New Roman" w:hAnsi="Times New Roman" w:cs="Times New Roman" w:eastAsia="Times New Roman" w:hint="default"/>
                <w:sz w:val="18"/>
                <w:szCs w:val="18"/>
              </w:rPr>
            </w:pPr>
            <w:r>
              <w:rPr>
                <w:rFonts w:ascii="Times New Roman"/>
                <w:spacing w:val="-1"/>
                <w:sz w:val="18"/>
              </w:rPr>
              <w:t>5,131,177.50</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39" w:right="0"/>
              <w:jc w:val="left"/>
              <w:rPr>
                <w:rFonts w:ascii="Times New Roman" w:hAnsi="Times New Roman" w:cs="Times New Roman" w:eastAsia="Times New Roman" w:hint="default"/>
                <w:sz w:val="18"/>
                <w:szCs w:val="18"/>
              </w:rPr>
            </w:pPr>
            <w:r>
              <w:rPr>
                <w:rFonts w:ascii="Times New Roman"/>
                <w:sz w:val="18"/>
              </w:rPr>
              <w:t>2.71</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0"/>
              <w:jc w:val="right"/>
              <w:rPr>
                <w:rFonts w:ascii="Times New Roman" w:hAnsi="Times New Roman" w:cs="Times New Roman" w:eastAsia="Times New Roman" w:hint="default"/>
                <w:sz w:val="18"/>
                <w:szCs w:val="18"/>
              </w:rPr>
            </w:pPr>
            <w:r>
              <w:rPr>
                <w:rFonts w:ascii="Times New Roman"/>
                <w:spacing w:val="-1"/>
                <w:sz w:val="18"/>
              </w:rPr>
              <w:t>1,026,235.50</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5"/>
              <w:jc w:val="center"/>
              <w:rPr>
                <w:rFonts w:ascii="Times New Roman" w:hAnsi="Times New Roman" w:cs="Times New Roman" w:eastAsia="Times New Roman" w:hint="default"/>
                <w:sz w:val="18"/>
                <w:szCs w:val="18"/>
              </w:rPr>
            </w:pPr>
            <w:r>
              <w:rPr>
                <w:rFonts w:ascii="Times New Roman"/>
                <w:sz w:val="18"/>
              </w:rPr>
              <w:t>20.00</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0"/>
              <w:jc w:val="right"/>
              <w:rPr>
                <w:rFonts w:ascii="Times New Roman" w:hAnsi="Times New Roman" w:cs="Times New Roman" w:eastAsia="Times New Roman" w:hint="default"/>
                <w:sz w:val="18"/>
                <w:szCs w:val="18"/>
              </w:rPr>
            </w:pPr>
            <w:r>
              <w:rPr>
                <w:rFonts w:ascii="Times New Roman"/>
                <w:spacing w:val="-1"/>
                <w:sz w:val="18"/>
              </w:rPr>
              <w:t>11,085,991.55</w:t>
            </w:r>
          </w:p>
        </w:tc>
        <w:tc>
          <w:tcPr>
            <w:tcW w:w="817"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38" w:right="0"/>
              <w:jc w:val="left"/>
              <w:rPr>
                <w:rFonts w:ascii="Times New Roman" w:hAnsi="Times New Roman" w:cs="Times New Roman" w:eastAsia="Times New Roman" w:hint="default"/>
                <w:sz w:val="18"/>
                <w:szCs w:val="18"/>
              </w:rPr>
            </w:pPr>
            <w:r>
              <w:rPr>
                <w:rFonts w:ascii="Times New Roman"/>
                <w:sz w:val="18"/>
              </w:rPr>
              <w:t>5.51</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2,217,198.31</w:t>
            </w:r>
          </w:p>
        </w:tc>
        <w:tc>
          <w:tcPr>
            <w:tcW w:w="72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20.00</w:t>
            </w:r>
          </w:p>
        </w:tc>
      </w:tr>
      <w:tr>
        <w:trPr>
          <w:trHeight w:val="322" w:hRule="exact"/>
        </w:trPr>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3"/>
              <w:jc w:val="center"/>
              <w:rPr>
                <w:rFonts w:ascii="宋体" w:hAnsi="宋体" w:cs="宋体" w:eastAsia="宋体" w:hint="default"/>
                <w:sz w:val="18"/>
                <w:szCs w:val="18"/>
              </w:rPr>
            </w:pPr>
            <w:r>
              <w:rPr>
                <w:rFonts w:ascii="宋体" w:hAnsi="宋体" w:cs="宋体" w:eastAsia="宋体" w:hint="default"/>
                <w:sz w:val="18"/>
                <w:szCs w:val="18"/>
              </w:rPr>
              <w:t>三至四年</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40"/>
              <w:jc w:val="right"/>
              <w:rPr>
                <w:rFonts w:ascii="Times New Roman" w:hAnsi="Times New Roman" w:cs="Times New Roman" w:eastAsia="Times New Roman" w:hint="default"/>
                <w:sz w:val="18"/>
                <w:szCs w:val="18"/>
              </w:rPr>
            </w:pPr>
            <w:r>
              <w:rPr>
                <w:rFonts w:ascii="Times New Roman"/>
                <w:spacing w:val="-1"/>
                <w:sz w:val="18"/>
              </w:rPr>
              <w:t>4,015,789.88</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39" w:right="0"/>
              <w:jc w:val="left"/>
              <w:rPr>
                <w:rFonts w:ascii="Times New Roman" w:hAnsi="Times New Roman" w:cs="Times New Roman" w:eastAsia="Times New Roman" w:hint="default"/>
                <w:sz w:val="18"/>
                <w:szCs w:val="18"/>
              </w:rPr>
            </w:pPr>
            <w:r>
              <w:rPr>
                <w:rFonts w:ascii="Times New Roman"/>
                <w:sz w:val="18"/>
              </w:rPr>
              <w:t>2.13</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0"/>
              <w:jc w:val="right"/>
              <w:rPr>
                <w:rFonts w:ascii="Times New Roman" w:hAnsi="Times New Roman" w:cs="Times New Roman" w:eastAsia="Times New Roman" w:hint="default"/>
                <w:sz w:val="18"/>
                <w:szCs w:val="18"/>
              </w:rPr>
            </w:pPr>
            <w:r>
              <w:rPr>
                <w:rFonts w:ascii="Times New Roman"/>
                <w:spacing w:val="-1"/>
                <w:sz w:val="18"/>
              </w:rPr>
              <w:t>1,204,736.96</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5"/>
              <w:jc w:val="center"/>
              <w:rPr>
                <w:rFonts w:ascii="Times New Roman" w:hAnsi="Times New Roman" w:cs="Times New Roman" w:eastAsia="Times New Roman" w:hint="default"/>
                <w:sz w:val="18"/>
                <w:szCs w:val="18"/>
              </w:rPr>
            </w:pPr>
            <w:r>
              <w:rPr>
                <w:rFonts w:ascii="Times New Roman"/>
                <w:sz w:val="18"/>
              </w:rPr>
              <w:t>30.00</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40"/>
              <w:jc w:val="right"/>
              <w:rPr>
                <w:rFonts w:ascii="Times New Roman" w:hAnsi="Times New Roman" w:cs="Times New Roman" w:eastAsia="Times New Roman" w:hint="default"/>
                <w:sz w:val="18"/>
                <w:szCs w:val="18"/>
              </w:rPr>
            </w:pPr>
            <w:r>
              <w:rPr>
                <w:rFonts w:ascii="Times New Roman"/>
                <w:spacing w:val="-1"/>
                <w:sz w:val="18"/>
              </w:rPr>
              <w:t>4,696,779.88</w:t>
            </w:r>
          </w:p>
        </w:tc>
        <w:tc>
          <w:tcPr>
            <w:tcW w:w="817"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38" w:right="0"/>
              <w:jc w:val="left"/>
              <w:rPr>
                <w:rFonts w:ascii="Times New Roman" w:hAnsi="Times New Roman" w:cs="Times New Roman" w:eastAsia="Times New Roman" w:hint="default"/>
                <w:sz w:val="18"/>
                <w:szCs w:val="18"/>
              </w:rPr>
            </w:pPr>
            <w:r>
              <w:rPr>
                <w:rFonts w:ascii="Times New Roman"/>
                <w:sz w:val="18"/>
              </w:rPr>
              <w:t>2.33</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1,409,033.96</w:t>
            </w:r>
          </w:p>
        </w:tc>
        <w:tc>
          <w:tcPr>
            <w:tcW w:w="72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30.00</w:t>
            </w:r>
          </w:p>
        </w:tc>
      </w:tr>
      <w:tr>
        <w:trPr>
          <w:trHeight w:val="322" w:hRule="exact"/>
        </w:trPr>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53"/>
              <w:jc w:val="center"/>
              <w:rPr>
                <w:rFonts w:ascii="宋体" w:hAnsi="宋体" w:cs="宋体" w:eastAsia="宋体" w:hint="default"/>
                <w:sz w:val="18"/>
                <w:szCs w:val="18"/>
              </w:rPr>
            </w:pPr>
            <w:r>
              <w:rPr>
                <w:rFonts w:ascii="宋体" w:hAnsi="宋体" w:cs="宋体" w:eastAsia="宋体" w:hint="default"/>
                <w:sz w:val="18"/>
                <w:szCs w:val="18"/>
              </w:rPr>
              <w:t>四至五年</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1"/>
              <w:jc w:val="right"/>
              <w:rPr>
                <w:rFonts w:ascii="Times New Roman" w:hAnsi="Times New Roman" w:cs="Times New Roman" w:eastAsia="Times New Roman" w:hint="default"/>
                <w:sz w:val="18"/>
                <w:szCs w:val="18"/>
              </w:rPr>
            </w:pPr>
            <w:r>
              <w:rPr>
                <w:rFonts w:ascii="Times New Roman"/>
                <w:spacing w:val="-1"/>
                <w:sz w:val="18"/>
              </w:rPr>
              <w:t>1,831,065.29</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39" w:right="0"/>
              <w:jc w:val="left"/>
              <w:rPr>
                <w:rFonts w:ascii="Times New Roman" w:hAnsi="Times New Roman" w:cs="Times New Roman" w:eastAsia="Times New Roman" w:hint="default"/>
                <w:sz w:val="18"/>
                <w:szCs w:val="18"/>
              </w:rPr>
            </w:pPr>
            <w:r>
              <w:rPr>
                <w:rFonts w:ascii="Times New Roman"/>
                <w:sz w:val="18"/>
              </w:rPr>
              <w:t>0.97</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0"/>
              <w:jc w:val="right"/>
              <w:rPr>
                <w:rFonts w:ascii="Times New Roman" w:hAnsi="Times New Roman" w:cs="Times New Roman" w:eastAsia="Times New Roman" w:hint="default"/>
                <w:sz w:val="18"/>
                <w:szCs w:val="18"/>
              </w:rPr>
            </w:pPr>
            <w:r>
              <w:rPr>
                <w:rFonts w:ascii="Times New Roman"/>
                <w:sz w:val="18"/>
              </w:rPr>
              <w:t>732,426.12</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5"/>
              <w:jc w:val="center"/>
              <w:rPr>
                <w:rFonts w:ascii="Times New Roman" w:hAnsi="Times New Roman" w:cs="Times New Roman" w:eastAsia="Times New Roman" w:hint="default"/>
                <w:sz w:val="18"/>
                <w:szCs w:val="18"/>
              </w:rPr>
            </w:pPr>
            <w:r>
              <w:rPr>
                <w:rFonts w:ascii="Times New Roman"/>
                <w:sz w:val="18"/>
              </w:rPr>
              <w:t>40.00</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0"/>
              <w:jc w:val="right"/>
              <w:rPr>
                <w:rFonts w:ascii="Times New Roman" w:hAnsi="Times New Roman" w:cs="Times New Roman" w:eastAsia="Times New Roman" w:hint="default"/>
                <w:sz w:val="18"/>
                <w:szCs w:val="18"/>
              </w:rPr>
            </w:pPr>
            <w:r>
              <w:rPr>
                <w:rFonts w:ascii="Times New Roman"/>
                <w:spacing w:val="-1"/>
                <w:sz w:val="18"/>
              </w:rPr>
              <w:t>2,204,475.29</w:t>
            </w:r>
          </w:p>
        </w:tc>
        <w:tc>
          <w:tcPr>
            <w:tcW w:w="817"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38" w:right="0"/>
              <w:jc w:val="left"/>
              <w:rPr>
                <w:rFonts w:ascii="Times New Roman" w:hAnsi="Times New Roman" w:cs="Times New Roman" w:eastAsia="Times New Roman" w:hint="default"/>
                <w:sz w:val="18"/>
                <w:szCs w:val="18"/>
              </w:rPr>
            </w:pPr>
            <w:r>
              <w:rPr>
                <w:rFonts w:ascii="Times New Roman"/>
                <w:sz w:val="18"/>
              </w:rPr>
              <w:t>1.10</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881,790.12</w:t>
            </w:r>
          </w:p>
        </w:tc>
        <w:tc>
          <w:tcPr>
            <w:tcW w:w="72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40.00</w:t>
            </w:r>
          </w:p>
        </w:tc>
      </w:tr>
      <w:tr>
        <w:trPr>
          <w:trHeight w:val="322" w:hRule="exact"/>
        </w:trPr>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53"/>
              <w:jc w:val="center"/>
              <w:rPr>
                <w:rFonts w:ascii="宋体" w:hAnsi="宋体" w:cs="宋体" w:eastAsia="宋体" w:hint="default"/>
                <w:sz w:val="18"/>
                <w:szCs w:val="18"/>
              </w:rPr>
            </w:pPr>
            <w:r>
              <w:rPr>
                <w:rFonts w:ascii="宋体" w:hAnsi="宋体" w:cs="宋体" w:eastAsia="宋体" w:hint="default"/>
                <w:sz w:val="18"/>
                <w:szCs w:val="18"/>
              </w:rPr>
              <w:t>五年以上</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0"/>
              <w:jc w:val="right"/>
              <w:rPr>
                <w:rFonts w:ascii="Times New Roman" w:hAnsi="Times New Roman" w:cs="Times New Roman" w:eastAsia="Times New Roman" w:hint="default"/>
                <w:sz w:val="18"/>
                <w:szCs w:val="18"/>
              </w:rPr>
            </w:pPr>
            <w:r>
              <w:rPr>
                <w:rFonts w:ascii="Times New Roman"/>
                <w:sz w:val="18"/>
              </w:rPr>
              <w:t>717,251.72</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39" w:right="0"/>
              <w:jc w:val="left"/>
              <w:rPr>
                <w:rFonts w:ascii="Times New Roman" w:hAnsi="Times New Roman" w:cs="Times New Roman" w:eastAsia="Times New Roman" w:hint="default"/>
                <w:sz w:val="18"/>
                <w:szCs w:val="18"/>
              </w:rPr>
            </w:pPr>
            <w:r>
              <w:rPr>
                <w:rFonts w:ascii="Times New Roman"/>
                <w:sz w:val="18"/>
              </w:rPr>
              <w:t>0.38</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0"/>
              <w:jc w:val="right"/>
              <w:rPr>
                <w:rFonts w:ascii="Times New Roman" w:hAnsi="Times New Roman" w:cs="Times New Roman" w:eastAsia="Times New Roman" w:hint="default"/>
                <w:sz w:val="18"/>
                <w:szCs w:val="18"/>
              </w:rPr>
            </w:pPr>
            <w:r>
              <w:rPr>
                <w:rFonts w:ascii="Times New Roman"/>
                <w:sz w:val="18"/>
              </w:rPr>
              <w:t>717,251.72</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4"/>
              <w:jc w:val="center"/>
              <w:rPr>
                <w:rFonts w:ascii="Times New Roman" w:hAnsi="Times New Roman" w:cs="Times New Roman" w:eastAsia="Times New Roman" w:hint="default"/>
                <w:sz w:val="18"/>
                <w:szCs w:val="18"/>
              </w:rPr>
            </w:pPr>
            <w:r>
              <w:rPr>
                <w:rFonts w:ascii="Times New Roman"/>
                <w:sz w:val="18"/>
              </w:rPr>
              <w:t>100.00</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0"/>
              <w:jc w:val="right"/>
              <w:rPr>
                <w:rFonts w:ascii="Times New Roman" w:hAnsi="Times New Roman" w:cs="Times New Roman" w:eastAsia="Times New Roman" w:hint="default"/>
                <w:sz w:val="18"/>
                <w:szCs w:val="18"/>
              </w:rPr>
            </w:pPr>
            <w:r>
              <w:rPr>
                <w:rFonts w:ascii="Times New Roman"/>
                <w:sz w:val="18"/>
              </w:rPr>
              <w:t>710,087.36</w:t>
            </w:r>
          </w:p>
        </w:tc>
        <w:tc>
          <w:tcPr>
            <w:tcW w:w="817"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39" w:right="0"/>
              <w:jc w:val="left"/>
              <w:rPr>
                <w:rFonts w:ascii="Times New Roman" w:hAnsi="Times New Roman" w:cs="Times New Roman" w:eastAsia="Times New Roman" w:hint="default"/>
                <w:sz w:val="18"/>
                <w:szCs w:val="18"/>
              </w:rPr>
            </w:pPr>
            <w:r>
              <w:rPr>
                <w:rFonts w:ascii="Times New Roman"/>
                <w:sz w:val="18"/>
              </w:rPr>
              <w:t>0.35</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710,087.36</w:t>
            </w:r>
          </w:p>
        </w:tc>
        <w:tc>
          <w:tcPr>
            <w:tcW w:w="72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100.00</w:t>
            </w:r>
          </w:p>
        </w:tc>
      </w:tr>
      <w:tr>
        <w:trPr>
          <w:trHeight w:val="329" w:hRule="exact"/>
        </w:trPr>
        <w:tc>
          <w:tcPr>
            <w:tcW w:w="1019"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left="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45"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40"/>
              <w:jc w:val="right"/>
              <w:rPr>
                <w:rFonts w:ascii="Times New Roman" w:hAnsi="Times New Roman" w:cs="Times New Roman" w:eastAsia="Times New Roman" w:hint="default"/>
                <w:sz w:val="18"/>
                <w:szCs w:val="18"/>
              </w:rPr>
            </w:pPr>
            <w:r>
              <w:rPr>
                <w:rFonts w:ascii="Times New Roman"/>
                <w:spacing w:val="-1"/>
                <w:sz w:val="18"/>
              </w:rPr>
              <w:t>188,923,363.55</w:t>
            </w:r>
          </w:p>
        </w:tc>
        <w:tc>
          <w:tcPr>
            <w:tcW w:w="818"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left="149" w:right="0"/>
              <w:jc w:val="left"/>
              <w:rPr>
                <w:rFonts w:ascii="Times New Roman" w:hAnsi="Times New Roman" w:cs="Times New Roman" w:eastAsia="Times New Roman" w:hint="default"/>
                <w:sz w:val="18"/>
                <w:szCs w:val="18"/>
              </w:rPr>
            </w:pPr>
            <w:r>
              <w:rPr>
                <w:rFonts w:ascii="Times New Roman"/>
                <w:sz w:val="18"/>
              </w:rPr>
              <w:t>100.00</w:t>
            </w:r>
          </w:p>
        </w:tc>
        <w:tc>
          <w:tcPr>
            <w:tcW w:w="1313"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10"/>
              <w:jc w:val="right"/>
              <w:rPr>
                <w:rFonts w:ascii="Times New Roman" w:hAnsi="Times New Roman" w:cs="Times New Roman" w:eastAsia="Times New Roman" w:hint="default"/>
                <w:sz w:val="18"/>
                <w:szCs w:val="18"/>
              </w:rPr>
            </w:pPr>
            <w:r>
              <w:rPr>
                <w:rFonts w:ascii="Times New Roman"/>
                <w:spacing w:val="-1"/>
                <w:sz w:val="18"/>
              </w:rPr>
              <w:t>14,075,985.17</w:t>
            </w:r>
          </w:p>
        </w:tc>
        <w:tc>
          <w:tcPr>
            <w:tcW w:w="772"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34"/>
              <w:jc w:val="center"/>
              <w:rPr>
                <w:rFonts w:ascii="Times New Roman" w:hAnsi="Times New Roman" w:cs="Times New Roman" w:eastAsia="Times New Roman" w:hint="default"/>
                <w:sz w:val="18"/>
                <w:szCs w:val="18"/>
              </w:rPr>
            </w:pPr>
            <w:r>
              <w:rPr>
                <w:rFonts w:ascii="Times New Roman"/>
                <w:sz w:val="18"/>
              </w:rPr>
              <w:t>7.45</w:t>
            </w:r>
          </w:p>
        </w:tc>
        <w:tc>
          <w:tcPr>
            <w:tcW w:w="1418"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40"/>
              <w:jc w:val="right"/>
              <w:rPr>
                <w:rFonts w:ascii="Times New Roman" w:hAnsi="Times New Roman" w:cs="Times New Roman" w:eastAsia="Times New Roman" w:hint="default"/>
                <w:sz w:val="18"/>
                <w:szCs w:val="18"/>
              </w:rPr>
            </w:pPr>
            <w:r>
              <w:rPr>
                <w:rFonts w:ascii="Times New Roman"/>
                <w:spacing w:val="-1"/>
                <w:sz w:val="18"/>
              </w:rPr>
              <w:t>201,394,118.37</w:t>
            </w:r>
          </w:p>
        </w:tc>
        <w:tc>
          <w:tcPr>
            <w:tcW w:w="817"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left="149" w:right="0"/>
              <w:jc w:val="left"/>
              <w:rPr>
                <w:rFonts w:ascii="Times New Roman" w:hAnsi="Times New Roman" w:cs="Times New Roman" w:eastAsia="Times New Roman" w:hint="default"/>
                <w:sz w:val="18"/>
                <w:szCs w:val="18"/>
              </w:rPr>
            </w:pPr>
            <w:r>
              <w:rPr>
                <w:rFonts w:ascii="Times New Roman"/>
                <w:sz w:val="18"/>
              </w:rPr>
              <w:t>100.00</w:t>
            </w:r>
          </w:p>
        </w:tc>
        <w:tc>
          <w:tcPr>
            <w:tcW w:w="1308"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15,735,870.07</w:t>
            </w:r>
          </w:p>
        </w:tc>
        <w:tc>
          <w:tcPr>
            <w:tcW w:w="721"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7.81</w:t>
            </w:r>
          </w:p>
        </w:tc>
      </w:tr>
    </w:tbl>
    <w:p>
      <w:pPr>
        <w:spacing w:after="0" w:line="240" w:lineRule="auto"/>
        <w:jc w:val="center"/>
        <w:rPr>
          <w:rFonts w:ascii="Times New Roman" w:hAnsi="Times New Roman" w:cs="Times New Roman" w:eastAsia="Times New Roman" w:hint="default"/>
          <w:sz w:val="18"/>
          <w:szCs w:val="18"/>
        </w:rPr>
        <w:sectPr>
          <w:pgSz w:w="11910" w:h="16840"/>
          <w:pgMar w:header="686" w:footer="1270" w:top="1360" w:bottom="1460" w:left="1000" w:right="460"/>
        </w:sectPr>
      </w:pPr>
    </w:p>
    <w:p>
      <w:pPr>
        <w:spacing w:line="240" w:lineRule="auto" w:before="4"/>
        <w:rPr>
          <w:rFonts w:ascii="宋体" w:hAnsi="宋体" w:cs="宋体" w:eastAsia="宋体" w:hint="default"/>
          <w:b/>
          <w:bCs/>
          <w:sz w:val="26"/>
          <w:szCs w:val="26"/>
        </w:rPr>
      </w:pPr>
    </w:p>
    <w:p>
      <w:pPr>
        <w:tabs>
          <w:tab w:pos="1434" w:val="left" w:leader="none"/>
        </w:tabs>
        <w:spacing w:before="35"/>
        <w:ind w:left="89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应收账款按种类披露</w:t>
      </w:r>
      <w:r>
        <w:rPr>
          <w:rFonts w:ascii="宋体" w:hAnsi="宋体" w:cs="宋体" w:eastAsia="宋体" w:hint="default"/>
          <w:sz w:val="21"/>
          <w:szCs w:val="21"/>
        </w:rPr>
      </w:r>
    </w:p>
    <w:p>
      <w:pPr>
        <w:spacing w:line="5454" w:lineRule="exact"/>
        <w:ind w:left="142" w:right="0" w:firstLine="0"/>
        <w:rPr>
          <w:rFonts w:ascii="宋体" w:hAnsi="宋体" w:cs="宋体" w:eastAsia="宋体" w:hint="default"/>
          <w:sz w:val="20"/>
          <w:szCs w:val="20"/>
        </w:rPr>
      </w:pPr>
      <w:r>
        <w:rPr>
          <w:rFonts w:ascii="宋体" w:hAnsi="宋体" w:cs="宋体" w:eastAsia="宋体" w:hint="default"/>
          <w:position w:val="-108"/>
          <w:sz w:val="20"/>
          <w:szCs w:val="20"/>
        </w:rPr>
        <w:pict>
          <v:group style="width:469.35pt;height:272.7pt;mso-position-horizontal-relative:char;mso-position-vertical-relative:line" coordorigin="0,0" coordsize="9387,5454">
            <v:group style="position:absolute;left:29;top:15;width:5379;height:2" coordorigin="29,15" coordsize="5379,2">
              <v:shape style="position:absolute;left:29;top:15;width:5379;height:2" coordorigin="29,15" coordsize="5379,0" path="m29,15l5408,15e" filled="false" stroked="true" strokeweight="1.5pt" strokecolor="#000000">
                <v:path arrowok="t"/>
              </v:shape>
            </v:group>
            <v:group style="position:absolute;left:5408;top:15;width:3944;height:2" coordorigin="5408,15" coordsize="3944,2">
              <v:shape style="position:absolute;left:5408;top:15;width:3944;height:2" coordorigin="5408,15" coordsize="3944,0" path="m5408,15l9351,15e" filled="false" stroked="true" strokeweight="1.5pt" strokecolor="#000000">
                <v:path arrowok="t"/>
              </v:shape>
              <v:shape style="position:absolute;left:1496;top:1;width:3920;height:370" type="#_x0000_t75" stroked="false">
                <v:imagedata r:id="rId106" o:title=""/>
              </v:shape>
              <v:shape style="position:absolute;left:1505;top:323;width:7872;height:995" type="#_x0000_t75" stroked="false">
                <v:imagedata r:id="rId107" o:title=""/>
              </v:shape>
            </v:group>
            <v:group style="position:absolute;left:15;top:5439;width:1510;height:2" coordorigin="15,5439" coordsize="1510,2">
              <v:shape style="position:absolute;left:15;top:5439;width:1510;height:2" coordorigin="15,5439" coordsize="1510,0" path="m15,5439l1525,5439e" filled="false" stroked="true" strokeweight="1.5pt" strokecolor="#000000">
                <v:path arrowok="t"/>
              </v:shape>
            </v:group>
            <v:group style="position:absolute;left:1525;top:5439;width:1161;height:2" coordorigin="1525,5439" coordsize="1161,2">
              <v:shape style="position:absolute;left:1525;top:5439;width:1161;height:2" coordorigin="1525,5439" coordsize="1161,0" path="m1525,5439l2685,5439e" filled="false" stroked="true" strokeweight="1.5pt" strokecolor="#000000">
                <v:path arrowok="t"/>
              </v:shape>
            </v:group>
            <v:group style="position:absolute;left:2685;top:5439;width:710;height:2" coordorigin="2685,5439" coordsize="710,2">
              <v:shape style="position:absolute;left:2685;top:5439;width:710;height:2" coordorigin="2685,5439" coordsize="710,0" path="m2685,5439l3394,5439e" filled="false" stroked="true" strokeweight="1.5pt" strokecolor="#000000">
                <v:path arrowok="t"/>
              </v:shape>
            </v:group>
            <v:group style="position:absolute;left:3394;top:5439;width:1275;height:2" coordorigin="3394,5439" coordsize="1275,2">
              <v:shape style="position:absolute;left:3394;top:5439;width:1275;height:2" coordorigin="3394,5439" coordsize="1275,0" path="m3394,5439l4669,5439e" filled="false" stroked="true" strokeweight="1.5pt" strokecolor="#000000">
                <v:path arrowok="t"/>
              </v:shape>
            </v:group>
            <v:group style="position:absolute;left:4669;top:5439;width:710;height:2" coordorigin="4669,5439" coordsize="710,2">
              <v:shape style="position:absolute;left:4669;top:5439;width:710;height:2" coordorigin="4669,5439" coordsize="710,0" path="m4669,5439l5378,5439e" filled="false" stroked="true" strokeweight="1.5pt" strokecolor="#000000">
                <v:path arrowok="t"/>
              </v:shape>
            </v:group>
            <v:group style="position:absolute;left:5378;top:5439;width:1276;height:2" coordorigin="5378,5439" coordsize="1276,2">
              <v:shape style="position:absolute;left:5378;top:5439;width:1276;height:2" coordorigin="5378,5439" coordsize="1276,0" path="m5378,5439l6653,5439e" filled="false" stroked="true" strokeweight="1.5pt" strokecolor="#000000">
                <v:path arrowok="t"/>
              </v:shape>
            </v:group>
            <v:group style="position:absolute;left:6653;top:5439;width:710;height:2" coordorigin="6653,5439" coordsize="710,2">
              <v:shape style="position:absolute;left:6653;top:5439;width:710;height:2" coordorigin="6653,5439" coordsize="710,0" path="m6653,5439l7363,5439e" filled="false" stroked="true" strokeweight="1.5pt" strokecolor="#000000">
                <v:path arrowok="t"/>
              </v:shape>
            </v:group>
            <v:group style="position:absolute;left:7363;top:5439;width:1276;height:2" coordorigin="7363,5439" coordsize="1276,2">
              <v:shape style="position:absolute;left:7363;top:5439;width:1276;height:2" coordorigin="7363,5439" coordsize="1276,0" path="m7363,5439l8638,5439e" filled="false" stroked="true" strokeweight="1.5pt" strokecolor="#000000">
                <v:path arrowok="t"/>
              </v:shape>
              <v:shape style="position:absolute;left:1;top:1277;width:9386;height:4147" type="#_x0000_t75" stroked="false">
                <v:imagedata r:id="rId108" o:title=""/>
              </v:shape>
            </v:group>
            <v:group style="position:absolute;left:8638;top:5439;width:713;height:2" coordorigin="8638,5439" coordsize="713,2">
              <v:shape style="position:absolute;left:8638;top:5439;width:713;height:2" coordorigin="8638,5439" coordsize="713,0" path="m8638,5439l9351,5439e" filled="false" stroked="true" strokeweight="1.5pt" strokecolor="#000000">
                <v:path arrowok="t"/>
              </v:shape>
              <v:shape style="position:absolute;left:3155;top:110;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shape style="position:absolute;left:7066;top:110;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2163;top:43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4089;top:43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6075;top:43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8059;top:43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629;top:587;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种类</w:t>
                      </w:r>
                    </w:p>
                  </w:txbxContent>
                </v:textbox>
                <w10:wrap type="none"/>
              </v:shape>
              <v:shape style="position:absolute;left:2918;top:754;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4901;top:754;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6886;top:754;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8870;top:754;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1983;top:910;width:7250;height:315" type="#_x0000_t202" filled="false" stroked="false">
                <v:textbox inset="0,0,0,0">
                  <w:txbxContent>
                    <w:p>
                      <w:pPr>
                        <w:tabs>
                          <w:tab w:pos="1925" w:val="left" w:leader="none"/>
                          <w:tab w:pos="3910" w:val="left" w:leader="none"/>
                          <w:tab w:pos="5895" w:val="left" w:leader="none"/>
                        </w:tabs>
                        <w:spacing w:line="13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tab/>
                        <w:t>金额</w:t>
                        <w:tab/>
                        <w:t>金额</w:t>
                        <w:tab/>
                        <w:t>金额</w:t>
                      </w:r>
                    </w:p>
                    <w:p>
                      <w:pPr>
                        <w:tabs>
                          <w:tab w:pos="2855" w:val="left" w:leader="none"/>
                          <w:tab w:pos="4840" w:val="left" w:leader="none"/>
                          <w:tab w:pos="6824" w:val="left" w:leader="none"/>
                        </w:tabs>
                        <w:spacing w:line="184" w:lineRule="exact" w:before="0"/>
                        <w:ind w:left="872" w:right="0" w:firstLine="0"/>
                        <w:jc w:val="left"/>
                        <w:rPr>
                          <w:rFonts w:ascii="宋体" w:hAnsi="宋体" w:cs="宋体" w:eastAsia="宋体" w:hint="default"/>
                          <w:sz w:val="15"/>
                          <w:szCs w:val="15"/>
                        </w:rPr>
                      </w:pPr>
                      <w:r>
                        <w:rPr>
                          <w:rFonts w:ascii="宋体" w:hAnsi="宋体" w:cs="宋体" w:eastAsia="宋体" w:hint="default"/>
                          <w:spacing w:val="-1"/>
                          <w:sz w:val="15"/>
                          <w:szCs w:val="15"/>
                        </w:rPr>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tab/>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tab/>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tab/>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xbxContent>
                </v:textbox>
                <w10:wrap type="none"/>
              </v:shape>
              <v:shape style="position:absolute;left:137;top:1388;width:1296;height:774"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2"/>
                          <w:sz w:val="15"/>
                          <w:szCs w:val="15"/>
                        </w:rPr>
                        <w:t>单项金额重大并单</w:t>
                      </w:r>
                      <w:r>
                        <w:rPr>
                          <w:rFonts w:ascii="宋体" w:hAnsi="宋体" w:cs="宋体" w:eastAsia="宋体" w:hint="default"/>
                          <w:sz w:val="15"/>
                          <w:szCs w:val="15"/>
                        </w:rPr>
                      </w:r>
                    </w:p>
                    <w:p>
                      <w:pPr>
                        <w:spacing w:line="310" w:lineRule="atLeast" w:before="2"/>
                        <w:ind w:left="0" w:right="0" w:firstLine="0"/>
                        <w:jc w:val="left"/>
                        <w:rPr>
                          <w:rFonts w:ascii="宋体" w:hAnsi="宋体" w:cs="宋体" w:eastAsia="宋体" w:hint="default"/>
                          <w:sz w:val="15"/>
                          <w:szCs w:val="15"/>
                        </w:rPr>
                      </w:pPr>
                      <w:r>
                        <w:rPr>
                          <w:rFonts w:ascii="宋体" w:hAnsi="宋体" w:cs="宋体" w:eastAsia="宋体" w:hint="default"/>
                          <w:spacing w:val="12"/>
                          <w:w w:val="95"/>
                          <w:sz w:val="15"/>
                          <w:szCs w:val="15"/>
                        </w:rPr>
                        <w:t>项计提坏账准备的</w:t>
                      </w:r>
                      <w:r>
                        <w:rPr>
                          <w:rFonts w:ascii="宋体" w:hAnsi="宋体" w:cs="宋体" w:eastAsia="宋体" w:hint="default"/>
                          <w:spacing w:val="-12"/>
                          <w:w w:val="95"/>
                          <w:sz w:val="15"/>
                          <w:szCs w:val="15"/>
                        </w:rPr>
                        <w:t> </w:t>
                      </w:r>
                      <w:r>
                        <w:rPr>
                          <w:rFonts w:ascii="宋体" w:hAnsi="宋体" w:cs="宋体" w:eastAsia="宋体" w:hint="default"/>
                          <w:sz w:val="15"/>
                          <w:szCs w:val="15"/>
                        </w:rPr>
                        <w:t>应收账款</w:t>
                      </w:r>
                    </w:p>
                  </w:txbxContent>
                </v:textbox>
                <w10:wrap type="none"/>
              </v:shape>
              <v:shape style="position:absolute;left:2432;top:1707;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3141;top:1707;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4414;top:1707;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5125;top:1707;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400;top:1707;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109;top:1707;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8384;top:1707;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9093;top:1707;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137;top:2333;width:3155;height:792"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2"/>
                          <w:sz w:val="15"/>
                          <w:szCs w:val="15"/>
                        </w:rPr>
                        <w:t>按组合计提坏账准</w:t>
                      </w:r>
                      <w:r>
                        <w:rPr>
                          <w:rFonts w:ascii="宋体" w:hAnsi="宋体" w:cs="宋体" w:eastAsia="宋体" w:hint="default"/>
                          <w:sz w:val="15"/>
                          <w:szCs w:val="15"/>
                        </w:rPr>
                      </w:r>
                    </w:p>
                    <w:p>
                      <w:pPr>
                        <w:spacing w:before="115"/>
                        <w:ind w:left="0" w:right="0" w:firstLine="0"/>
                        <w:jc w:val="left"/>
                        <w:rPr>
                          <w:rFonts w:ascii="宋体" w:hAnsi="宋体" w:cs="宋体" w:eastAsia="宋体" w:hint="default"/>
                          <w:sz w:val="15"/>
                          <w:szCs w:val="15"/>
                        </w:rPr>
                      </w:pPr>
                      <w:r>
                        <w:rPr>
                          <w:rFonts w:ascii="宋体" w:hAnsi="宋体" w:cs="宋体" w:eastAsia="宋体" w:hint="default"/>
                          <w:sz w:val="15"/>
                          <w:szCs w:val="15"/>
                        </w:rPr>
                        <w:t>备的应收账款</w:t>
                      </w:r>
                    </w:p>
                    <w:p>
                      <w:pPr>
                        <w:spacing w:line="240" w:lineRule="auto" w:before="9"/>
                        <w:rPr>
                          <w:rFonts w:ascii="宋体" w:hAnsi="宋体" w:cs="宋体" w:eastAsia="宋体" w:hint="default"/>
                          <w:b/>
                          <w:bCs/>
                          <w:sz w:val="9"/>
                          <w:szCs w:val="9"/>
                        </w:rPr>
                      </w:pPr>
                    </w:p>
                    <w:p>
                      <w:pPr>
                        <w:tabs>
                          <w:tab w:pos="1507" w:val="left" w:leader="none"/>
                          <w:tab w:pos="2740" w:val="left" w:leader="none"/>
                        </w:tabs>
                        <w:spacing w:line="203"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账龄分析法组合</w:t>
                        <w:tab/>
                      </w:r>
                      <w:r>
                        <w:rPr>
                          <w:rFonts w:ascii="Times New Roman" w:hAnsi="Times New Roman" w:cs="Times New Roman" w:eastAsia="Times New Roman" w:hint="default"/>
                          <w:spacing w:val="-1"/>
                          <w:sz w:val="15"/>
                          <w:szCs w:val="15"/>
                        </w:rPr>
                        <w:t>188,923,363.55</w:t>
                        <w:tab/>
                        <w:t>100.00</w:t>
                      </w:r>
                    </w:p>
                  </w:txbxContent>
                </v:textbox>
                <w10:wrap type="none"/>
              </v:shape>
              <v:shape style="position:absolute;left:3701;top:2975;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14,075,985.17</w:t>
                      </w:r>
                    </w:p>
                  </w:txbxContent>
                </v:textbox>
                <w10:wrap type="none"/>
              </v:shape>
              <v:shape style="position:absolute;left:5012;top:2975;width:2249;height:150" type="#_x0000_t202" filled="false" stroked="false">
                <v:textbox inset="0,0,0,0">
                  <w:txbxContent>
                    <w:p>
                      <w:pPr>
                        <w:tabs>
                          <w:tab w:pos="605" w:val="left" w:leader="none"/>
                          <w:tab w:pos="183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7.45</w:t>
                        <w:tab/>
                        <w:t>201,394,118.37</w:t>
                        <w:tab/>
                        <w:t>100.00</w:t>
                      </w:r>
                    </w:p>
                  </w:txbxContent>
                </v:textbox>
                <w10:wrap type="none"/>
              </v:shape>
              <v:shape style="position:absolute;left:7671;top:2975;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15,735,870.07</w:t>
                      </w:r>
                    </w:p>
                  </w:txbxContent>
                </v:textbox>
                <w10:wrap type="none"/>
              </v:shape>
              <v:shape style="position:absolute;left:8980;top:2975;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7.81</w:t>
                      </w:r>
                    </w:p>
                  </w:txbxContent>
                </v:textbox>
                <w10:wrap type="none"/>
              </v:shape>
              <v:shape style="position:absolute;left:137;top:3290;width:1296;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2"/>
                          <w:sz w:val="15"/>
                          <w:szCs w:val="15"/>
                        </w:rPr>
                        <w:t>合并范围内关联方</w:t>
                      </w:r>
                      <w:r>
                        <w:rPr>
                          <w:rFonts w:ascii="宋体" w:hAnsi="宋体" w:cs="宋体" w:eastAsia="宋体" w:hint="default"/>
                          <w:sz w:val="15"/>
                          <w:szCs w:val="15"/>
                        </w:rPr>
                      </w:r>
                    </w:p>
                  </w:txbxContent>
                </v:textbox>
                <w10:wrap type="none"/>
              </v:shape>
              <v:shape style="position:absolute;left:2432;top:3453;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3141;top:3453;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4414;top:3453;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5125;top:3453;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400;top:3453;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109;top:3453;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8384;top:3453;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9093;top:3453;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137;top:3602;width:600;height:472"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组合</w:t>
                      </w:r>
                    </w:p>
                    <w:p>
                      <w:pPr>
                        <w:spacing w:before="125"/>
                        <w:ind w:left="0" w:right="0" w:firstLine="0"/>
                        <w:jc w:val="left"/>
                        <w:rPr>
                          <w:rFonts w:ascii="宋体" w:hAnsi="宋体" w:cs="宋体" w:eastAsia="宋体" w:hint="default"/>
                          <w:sz w:val="15"/>
                          <w:szCs w:val="15"/>
                        </w:rPr>
                      </w:pPr>
                      <w:r>
                        <w:rPr>
                          <w:rFonts w:ascii="宋体" w:hAnsi="宋体" w:cs="宋体" w:eastAsia="宋体" w:hint="default"/>
                          <w:sz w:val="15"/>
                          <w:szCs w:val="15"/>
                        </w:rPr>
                        <w:t>组合小计</w:t>
                      </w:r>
                    </w:p>
                  </w:txbxContent>
                </v:textbox>
                <w10:wrap type="none"/>
              </v:shape>
              <v:shape style="position:absolute;left:1645;top:3930;width:1648;height:150" type="#_x0000_t202" filled="false" stroked="false">
                <v:textbox inset="0,0,0,0">
                  <w:txbxContent>
                    <w:p>
                      <w:pPr>
                        <w:tabs>
                          <w:tab w:pos="1233"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188,923,363.55</w:t>
                        <w:tab/>
                        <w:t>100.00</w:t>
                      </w:r>
                    </w:p>
                  </w:txbxContent>
                </v:textbox>
                <w10:wrap type="none"/>
              </v:shape>
              <v:shape style="position:absolute;left:3701;top:3930;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14,075,985.17</w:t>
                      </w:r>
                    </w:p>
                  </w:txbxContent>
                </v:textbox>
                <w10:wrap type="none"/>
              </v:shape>
              <v:shape style="position:absolute;left:5012;top:3930;width:2249;height:150" type="#_x0000_t202" filled="false" stroked="false">
                <v:textbox inset="0,0,0,0">
                  <w:txbxContent>
                    <w:p>
                      <w:pPr>
                        <w:tabs>
                          <w:tab w:pos="605" w:val="left" w:leader="none"/>
                          <w:tab w:pos="183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7.45</w:t>
                        <w:tab/>
                        <w:t>201,394,118.37</w:t>
                        <w:tab/>
                        <w:t>100.00</w:t>
                      </w:r>
                    </w:p>
                  </w:txbxContent>
                </v:textbox>
                <w10:wrap type="none"/>
              </v:shape>
              <v:shape style="position:absolute;left:7671;top:3930;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15,735,870.07</w:t>
                      </w:r>
                    </w:p>
                  </w:txbxContent>
                </v:textbox>
                <w10:wrap type="none"/>
              </v:shape>
              <v:shape style="position:absolute;left:8980;top:3930;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7.81</w:t>
                      </w:r>
                    </w:p>
                  </w:txbxContent>
                </v:textbox>
                <w10:wrap type="none"/>
              </v:shape>
              <v:shape style="position:absolute;left:137;top:4246;width:1296;height:774"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2"/>
                          <w:sz w:val="15"/>
                          <w:szCs w:val="15"/>
                        </w:rPr>
                        <w:t>单项金额虽不重大</w:t>
                      </w:r>
                      <w:r>
                        <w:rPr>
                          <w:rFonts w:ascii="宋体" w:hAnsi="宋体" w:cs="宋体" w:eastAsia="宋体" w:hint="default"/>
                          <w:sz w:val="15"/>
                          <w:szCs w:val="15"/>
                        </w:rPr>
                      </w:r>
                    </w:p>
                    <w:p>
                      <w:pPr>
                        <w:spacing w:line="310" w:lineRule="atLeast" w:before="2"/>
                        <w:ind w:left="0" w:right="0" w:firstLine="0"/>
                        <w:jc w:val="left"/>
                        <w:rPr>
                          <w:rFonts w:ascii="宋体" w:hAnsi="宋体" w:cs="宋体" w:eastAsia="宋体" w:hint="default"/>
                          <w:sz w:val="15"/>
                          <w:szCs w:val="15"/>
                        </w:rPr>
                      </w:pPr>
                      <w:r>
                        <w:rPr>
                          <w:rFonts w:ascii="宋体" w:hAnsi="宋体" w:cs="宋体" w:eastAsia="宋体" w:hint="default"/>
                          <w:spacing w:val="12"/>
                          <w:w w:val="95"/>
                          <w:sz w:val="15"/>
                          <w:szCs w:val="15"/>
                        </w:rPr>
                        <w:t>但单项计提坏账准</w:t>
                      </w:r>
                      <w:r>
                        <w:rPr>
                          <w:rFonts w:ascii="宋体" w:hAnsi="宋体" w:cs="宋体" w:eastAsia="宋体" w:hint="default"/>
                          <w:spacing w:val="-12"/>
                          <w:w w:val="95"/>
                          <w:sz w:val="15"/>
                          <w:szCs w:val="15"/>
                        </w:rPr>
                        <w:t> </w:t>
                      </w:r>
                      <w:r>
                        <w:rPr>
                          <w:rFonts w:ascii="宋体" w:hAnsi="宋体" w:cs="宋体" w:eastAsia="宋体" w:hint="default"/>
                          <w:sz w:val="15"/>
                          <w:szCs w:val="15"/>
                        </w:rPr>
                        <w:t>备的应收账款</w:t>
                      </w:r>
                    </w:p>
                  </w:txbxContent>
                </v:textbox>
                <w10:wrap type="none"/>
              </v:shape>
              <v:shape style="position:absolute;left:2432;top:4565;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3141;top:4565;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4414;top:4565;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5125;top:4565;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400;top:4565;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7109;top:4565;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8384;top:4565;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9093;top:4565;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629;top:5192;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shape style="position:absolute;left:1645;top:5199;width:1648;height:150" type="#_x0000_t202" filled="false" stroked="false">
                <v:textbox inset="0,0,0,0">
                  <w:txbxContent>
                    <w:p>
                      <w:pPr>
                        <w:tabs>
                          <w:tab w:pos="1233"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188,923,363.55</w:t>
                        <w:tab/>
                        <w:t>100.00</w:t>
                      </w:r>
                    </w:p>
                  </w:txbxContent>
                </v:textbox>
                <w10:wrap type="none"/>
              </v:shape>
              <v:shape style="position:absolute;left:3701;top:5199;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14,075,985.17</w:t>
                      </w:r>
                    </w:p>
                  </w:txbxContent>
                </v:textbox>
                <w10:wrap type="none"/>
              </v:shape>
              <v:shape style="position:absolute;left:5012;top:5199;width:2249;height:150" type="#_x0000_t202" filled="false" stroked="false">
                <v:textbox inset="0,0,0,0">
                  <w:txbxContent>
                    <w:p>
                      <w:pPr>
                        <w:tabs>
                          <w:tab w:pos="605" w:val="left" w:leader="none"/>
                          <w:tab w:pos="183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7.45</w:t>
                        <w:tab/>
                        <w:t>201,394,118.37</w:t>
                        <w:tab/>
                        <w:t>100.00</w:t>
                      </w:r>
                    </w:p>
                  </w:txbxContent>
                </v:textbox>
                <w10:wrap type="none"/>
              </v:shape>
              <v:shape style="position:absolute;left:7671;top:5199;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15,735,870.07</w:t>
                      </w:r>
                    </w:p>
                  </w:txbxContent>
                </v:textbox>
                <w10:wrap type="none"/>
              </v:shape>
              <v:shape style="position:absolute;left:8980;top:5199;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7.81</w:t>
                      </w:r>
                    </w:p>
                  </w:txbxContent>
                </v:textbox>
                <w10:wrap type="none"/>
              </v:shape>
            </v:group>
          </v:group>
        </w:pict>
      </w:r>
      <w:r>
        <w:rPr>
          <w:rFonts w:ascii="宋体" w:hAnsi="宋体" w:cs="宋体" w:eastAsia="宋体" w:hint="default"/>
          <w:position w:val="-108"/>
          <w:sz w:val="20"/>
          <w:szCs w:val="20"/>
        </w:rPr>
      </w:r>
    </w:p>
    <w:p>
      <w:pPr>
        <w:spacing w:line="240" w:lineRule="auto" w:before="8"/>
        <w:rPr>
          <w:rFonts w:ascii="宋体" w:hAnsi="宋体" w:cs="宋体" w:eastAsia="宋体" w:hint="default"/>
          <w:b/>
          <w:bCs/>
          <w:sz w:val="5"/>
          <w:szCs w:val="5"/>
        </w:rPr>
      </w:pPr>
    </w:p>
    <w:p>
      <w:pPr>
        <w:spacing w:before="35"/>
        <w:ind w:left="280" w:right="0" w:firstLine="0"/>
        <w:jc w:val="left"/>
        <w:rPr>
          <w:rFonts w:ascii="宋体" w:hAnsi="宋体" w:cs="宋体" w:eastAsia="宋体" w:hint="default"/>
          <w:sz w:val="21"/>
          <w:szCs w:val="21"/>
        </w:rPr>
      </w:pPr>
      <w:r>
        <w:rPr>
          <w:rFonts w:ascii="宋体" w:hAnsi="宋体" w:cs="宋体" w:eastAsia="宋体" w:hint="default"/>
          <w:sz w:val="21"/>
          <w:szCs w:val="21"/>
        </w:rPr>
        <w:t>应收账款种类说明：</w:t>
      </w:r>
    </w:p>
    <w:p>
      <w:pPr>
        <w:spacing w:before="125"/>
        <w:ind w:left="955"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）年末数中无单项金额重大并单项计提坏账准备的应收账款。</w:t>
      </w:r>
    </w:p>
    <w:p>
      <w:pPr>
        <w:spacing w:before="110"/>
        <w:ind w:left="955" w:right="0" w:firstLine="0"/>
        <w:jc w:val="left"/>
        <w:rPr>
          <w:rFonts w:ascii="宋体" w:hAnsi="宋体" w:cs="宋体" w:eastAsia="宋体" w:hint="default"/>
          <w:sz w:val="21"/>
          <w:szCs w:val="21"/>
        </w:rPr>
      </w:pPr>
      <w:r>
        <w:rPr/>
        <w:pict>
          <v:group style="position:absolute;margin-left:83.160004pt;margin-top:20.883226pt;width:469.4pt;height:177.55pt;mso-position-horizontal-relative:page;mso-position-vertical-relative:paragraph;z-index:-783448" coordorigin="1663,418" coordsize="9388,3551">
            <v:shape style="position:absolute;left:3492;top:418;width:3821;height:370" type="#_x0000_t75" stroked="false">
              <v:imagedata r:id="rId109" o:title=""/>
            </v:shape>
            <v:shape style="position:absolute;left:3492;top:730;width:7559;height:379" type="#_x0000_t75" stroked="false">
              <v:imagedata r:id="rId110" o:title=""/>
            </v:shape>
            <v:shape style="position:absolute;left:3502;top:1061;width:6119;height:673" type="#_x0000_t75" stroked="false">
              <v:imagedata r:id="rId111" o:title=""/>
            </v:shape>
            <v:shape style="position:absolute;left:1663;top:1686;width:9388;height:2282" type="#_x0000_t75" stroked="false">
              <v:imagedata r:id="rId112" o:title=""/>
            </v:shape>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）组合中，采用账龄分析法计提坏账准备的应收账款</w:t>
      </w:r>
    </w:p>
    <w:p>
      <w:pPr>
        <w:spacing w:line="240" w:lineRule="auto" w:before="5"/>
        <w:rPr>
          <w:rFonts w:ascii="宋体" w:hAnsi="宋体" w:cs="宋体" w:eastAsia="宋体" w:hint="default"/>
          <w:sz w:val="2"/>
          <w:szCs w:val="2"/>
        </w:rPr>
      </w:pPr>
    </w:p>
    <w:tbl>
      <w:tblPr>
        <w:tblW w:w="0" w:type="auto"/>
        <w:jc w:val="left"/>
        <w:tblInd w:w="172" w:type="dxa"/>
        <w:tblLayout w:type="fixed"/>
        <w:tblCellMar>
          <w:top w:w="0" w:type="dxa"/>
          <w:left w:w="0" w:type="dxa"/>
          <w:bottom w:w="0" w:type="dxa"/>
          <w:right w:w="0" w:type="dxa"/>
        </w:tblCellMar>
        <w:tblLook w:val="01E0"/>
      </w:tblPr>
      <w:tblGrid>
        <w:gridCol w:w="1811"/>
        <w:gridCol w:w="2476"/>
        <w:gridCol w:w="1321"/>
        <w:gridCol w:w="2390"/>
        <w:gridCol w:w="1324"/>
      </w:tblGrid>
      <w:tr>
        <w:trPr>
          <w:trHeight w:val="571" w:hRule="exact"/>
        </w:trPr>
        <w:tc>
          <w:tcPr>
            <w:tcW w:w="1811" w:type="dxa"/>
            <w:tcBorders>
              <w:top w:val="single" w:sz="12" w:space="0" w:color="000000"/>
              <w:left w:val="nil" w:sz="6" w:space="0" w:color="auto"/>
              <w:bottom w:val="nil" w:sz="6" w:space="0" w:color="auto"/>
              <w:right w:val="nil" w:sz="6" w:space="0" w:color="auto"/>
            </w:tcBorders>
          </w:tcPr>
          <w:p>
            <w:pPr/>
          </w:p>
        </w:tc>
        <w:tc>
          <w:tcPr>
            <w:tcW w:w="2476"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537" w:right="0"/>
              <w:jc w:val="left"/>
              <w:rPr>
                <w:rFonts w:ascii="宋体" w:hAnsi="宋体" w:cs="宋体" w:eastAsia="宋体" w:hint="default"/>
                <w:sz w:val="18"/>
                <w:szCs w:val="18"/>
              </w:rPr>
            </w:pPr>
            <w:r>
              <w:rPr>
                <w:rFonts w:ascii="宋体" w:hAnsi="宋体" w:cs="宋体" w:eastAsia="宋体" w:hint="default"/>
                <w:sz w:val="18"/>
                <w:szCs w:val="18"/>
              </w:rPr>
              <w:t>年末余额</w:t>
            </w:r>
          </w:p>
          <w:p>
            <w:pPr>
              <w:pStyle w:val="TableParagraph"/>
              <w:spacing w:line="240" w:lineRule="auto" w:before="86"/>
              <w:ind w:right="29"/>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21" w:type="dxa"/>
            <w:tcBorders>
              <w:top w:val="single" w:sz="12" w:space="0" w:color="000000"/>
              <w:left w:val="nil" w:sz="6" w:space="0" w:color="auto"/>
              <w:bottom w:val="nil" w:sz="6" w:space="0" w:color="auto"/>
              <w:right w:val="nil" w:sz="6" w:space="0" w:color="auto"/>
            </w:tcBorders>
          </w:tcPr>
          <w:p>
            <w:pPr/>
          </w:p>
        </w:tc>
        <w:tc>
          <w:tcPr>
            <w:tcW w:w="2390"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486"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86"/>
              <w:ind w:left="77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24" w:type="dxa"/>
            <w:vMerge w:val="restart"/>
            <w:tcBorders>
              <w:top w:val="single" w:sz="12" w:space="0" w:color="000000"/>
              <w:left w:val="nil" w:sz="6" w:space="0" w:color="auto"/>
              <w:right w:val="nil" w:sz="6" w:space="0" w:color="auto"/>
            </w:tcBorders>
          </w:tcPr>
          <w:p>
            <w:pPr/>
          </w:p>
        </w:tc>
      </w:tr>
      <w:tr>
        <w:trPr>
          <w:trHeight w:val="159" w:hRule="exact"/>
        </w:trPr>
        <w:tc>
          <w:tcPr>
            <w:tcW w:w="1811" w:type="dxa"/>
            <w:tcBorders>
              <w:top w:val="nil" w:sz="6" w:space="0" w:color="auto"/>
              <w:left w:val="nil" w:sz="6" w:space="0" w:color="auto"/>
              <w:bottom w:val="nil" w:sz="6" w:space="0" w:color="auto"/>
              <w:right w:val="nil" w:sz="6" w:space="0" w:color="auto"/>
            </w:tcBorders>
          </w:tcPr>
          <w:p>
            <w:pPr>
              <w:pStyle w:val="TableParagraph"/>
              <w:spacing w:line="168" w:lineRule="exact"/>
              <w:ind w:left="22"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2476" w:type="dxa"/>
            <w:tcBorders>
              <w:top w:val="nil" w:sz="6" w:space="0" w:color="auto"/>
              <w:left w:val="nil" w:sz="6" w:space="0" w:color="auto"/>
              <w:bottom w:val="nil" w:sz="6" w:space="0" w:color="auto"/>
              <w:right w:val="nil" w:sz="6" w:space="0" w:color="auto"/>
            </w:tcBorders>
          </w:tcPr>
          <w:p>
            <w:pPr/>
          </w:p>
        </w:tc>
        <w:tc>
          <w:tcPr>
            <w:tcW w:w="1321"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nil" w:sz="6" w:space="0" w:color="auto"/>
              <w:right w:val="nil" w:sz="6" w:space="0" w:color="auto"/>
            </w:tcBorders>
          </w:tcPr>
          <w:p>
            <w:pPr/>
          </w:p>
        </w:tc>
        <w:tc>
          <w:tcPr>
            <w:tcW w:w="1324" w:type="dxa"/>
            <w:vMerge/>
            <w:tcBorders>
              <w:left w:val="nil" w:sz="6" w:space="0" w:color="auto"/>
              <w:bottom w:val="nil" w:sz="6" w:space="0" w:color="auto"/>
              <w:right w:val="nil" w:sz="6" w:space="0" w:color="auto"/>
            </w:tcBorders>
          </w:tcPr>
          <w:p>
            <w:pPr/>
          </w:p>
        </w:tc>
      </w:tr>
      <w:tr>
        <w:trPr>
          <w:trHeight w:val="164" w:hRule="exact"/>
        </w:trPr>
        <w:tc>
          <w:tcPr>
            <w:tcW w:w="1811" w:type="dxa"/>
            <w:tcBorders>
              <w:top w:val="nil" w:sz="6" w:space="0" w:color="auto"/>
              <w:left w:val="nil" w:sz="6" w:space="0" w:color="auto"/>
              <w:bottom w:val="nil" w:sz="6" w:space="0" w:color="auto"/>
              <w:right w:val="nil" w:sz="6" w:space="0" w:color="auto"/>
            </w:tcBorders>
          </w:tcPr>
          <w:p>
            <w:pPr/>
          </w:p>
        </w:tc>
        <w:tc>
          <w:tcPr>
            <w:tcW w:w="2476" w:type="dxa"/>
            <w:tcBorders>
              <w:top w:val="nil" w:sz="6" w:space="0" w:color="auto"/>
              <w:left w:val="nil" w:sz="6" w:space="0" w:color="auto"/>
              <w:bottom w:val="nil" w:sz="6" w:space="0" w:color="auto"/>
              <w:right w:val="nil" w:sz="6" w:space="0" w:color="auto"/>
            </w:tcBorders>
          </w:tcPr>
          <w:p>
            <w:pPr>
              <w:pStyle w:val="TableParagraph"/>
              <w:spacing w:line="176" w:lineRule="exact"/>
              <w:ind w:right="370"/>
              <w:jc w:val="right"/>
              <w:rPr>
                <w:rFonts w:ascii="宋体" w:hAnsi="宋体" w:cs="宋体" w:eastAsia="宋体" w:hint="default"/>
                <w:sz w:val="18"/>
                <w:szCs w:val="18"/>
              </w:rPr>
            </w:pPr>
            <w:r>
              <w:rPr>
                <w:rFonts w:ascii="宋体" w:hAnsi="宋体" w:cs="宋体" w:eastAsia="宋体" w:hint="default"/>
                <w:sz w:val="18"/>
                <w:szCs w:val="18"/>
              </w:rPr>
              <w:t>比例</w:t>
            </w:r>
          </w:p>
        </w:tc>
        <w:tc>
          <w:tcPr>
            <w:tcW w:w="1321" w:type="dxa"/>
            <w:tcBorders>
              <w:top w:val="nil" w:sz="6" w:space="0" w:color="auto"/>
              <w:left w:val="nil" w:sz="6" w:space="0" w:color="auto"/>
              <w:bottom w:val="nil" w:sz="6" w:space="0" w:color="auto"/>
              <w:right w:val="nil" w:sz="6" w:space="0" w:color="auto"/>
            </w:tcBorders>
          </w:tcPr>
          <w:p>
            <w:pPr>
              <w:pStyle w:val="TableParagraph"/>
              <w:spacing w:line="171" w:lineRule="exact"/>
              <w:ind w:left="26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390" w:type="dxa"/>
            <w:tcBorders>
              <w:top w:val="nil" w:sz="6" w:space="0" w:color="auto"/>
              <w:left w:val="nil" w:sz="6" w:space="0" w:color="auto"/>
              <w:bottom w:val="nil" w:sz="6" w:space="0" w:color="auto"/>
              <w:right w:val="nil" w:sz="6" w:space="0" w:color="auto"/>
            </w:tcBorders>
          </w:tcPr>
          <w:p>
            <w:pPr>
              <w:pStyle w:val="TableParagraph"/>
              <w:spacing w:line="176" w:lineRule="exact"/>
              <w:ind w:right="378"/>
              <w:jc w:val="right"/>
              <w:rPr>
                <w:rFonts w:ascii="宋体" w:hAnsi="宋体" w:cs="宋体" w:eastAsia="宋体" w:hint="default"/>
                <w:sz w:val="18"/>
                <w:szCs w:val="18"/>
              </w:rPr>
            </w:pPr>
            <w:r>
              <w:rPr>
                <w:rFonts w:ascii="宋体" w:hAnsi="宋体" w:cs="宋体" w:eastAsia="宋体" w:hint="default"/>
                <w:sz w:val="18"/>
                <w:szCs w:val="18"/>
              </w:rPr>
              <w:t>比例</w:t>
            </w:r>
          </w:p>
        </w:tc>
        <w:tc>
          <w:tcPr>
            <w:tcW w:w="1324" w:type="dxa"/>
            <w:tcBorders>
              <w:top w:val="nil" w:sz="6" w:space="0" w:color="auto"/>
              <w:left w:val="nil" w:sz="6" w:space="0" w:color="auto"/>
              <w:bottom w:val="nil" w:sz="6" w:space="0" w:color="auto"/>
              <w:right w:val="nil" w:sz="6" w:space="0" w:color="auto"/>
            </w:tcBorders>
          </w:tcPr>
          <w:p>
            <w:pPr>
              <w:pStyle w:val="TableParagraph"/>
              <w:spacing w:line="171" w:lineRule="exact"/>
              <w:ind w:left="256"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156" w:hRule="exact"/>
        </w:trPr>
        <w:tc>
          <w:tcPr>
            <w:tcW w:w="1811" w:type="dxa"/>
            <w:tcBorders>
              <w:top w:val="nil" w:sz="6" w:space="0" w:color="auto"/>
              <w:left w:val="nil" w:sz="6" w:space="0" w:color="auto"/>
              <w:bottom w:val="nil" w:sz="6" w:space="0" w:color="auto"/>
              <w:right w:val="nil" w:sz="6" w:space="0" w:color="auto"/>
            </w:tcBorders>
          </w:tcPr>
          <w:p>
            <w:pPr/>
          </w:p>
        </w:tc>
        <w:tc>
          <w:tcPr>
            <w:tcW w:w="2476" w:type="dxa"/>
            <w:tcBorders>
              <w:top w:val="nil" w:sz="6" w:space="0" w:color="auto"/>
              <w:left w:val="nil" w:sz="6" w:space="0" w:color="auto"/>
              <w:bottom w:val="nil" w:sz="6" w:space="0" w:color="auto"/>
              <w:right w:val="nil" w:sz="6" w:space="0" w:color="auto"/>
            </w:tcBorders>
          </w:tcPr>
          <w:p>
            <w:pPr>
              <w:pStyle w:val="TableParagraph"/>
              <w:spacing w:line="168" w:lineRule="exact"/>
              <w:ind w:left="54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21"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nil" w:sz="6" w:space="0" w:color="auto"/>
              <w:right w:val="nil" w:sz="6" w:space="0" w:color="auto"/>
            </w:tcBorders>
          </w:tcPr>
          <w:p>
            <w:pPr>
              <w:pStyle w:val="TableParagraph"/>
              <w:spacing w:line="168" w:lineRule="exact"/>
              <w:ind w:left="489"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24" w:type="dxa"/>
            <w:tcBorders>
              <w:top w:val="nil" w:sz="6" w:space="0" w:color="auto"/>
              <w:left w:val="nil" w:sz="6" w:space="0" w:color="auto"/>
              <w:bottom w:val="nil" w:sz="6" w:space="0" w:color="auto"/>
              <w:right w:val="nil" w:sz="6" w:space="0" w:color="auto"/>
            </w:tcBorders>
          </w:tcPr>
          <w:p>
            <w:pPr/>
          </w:p>
        </w:tc>
      </w:tr>
      <w:tr>
        <w:trPr>
          <w:trHeight w:val="244" w:hRule="exact"/>
        </w:trPr>
        <w:tc>
          <w:tcPr>
            <w:tcW w:w="1811" w:type="dxa"/>
            <w:tcBorders>
              <w:top w:val="nil" w:sz="6" w:space="0" w:color="auto"/>
              <w:left w:val="nil" w:sz="6" w:space="0" w:color="auto"/>
              <w:bottom w:val="nil" w:sz="6" w:space="0" w:color="auto"/>
              <w:right w:val="nil" w:sz="6" w:space="0" w:color="auto"/>
            </w:tcBorders>
          </w:tcPr>
          <w:p>
            <w:pPr/>
          </w:p>
        </w:tc>
        <w:tc>
          <w:tcPr>
            <w:tcW w:w="2476" w:type="dxa"/>
            <w:tcBorders>
              <w:top w:val="nil" w:sz="6" w:space="0" w:color="auto"/>
              <w:left w:val="nil" w:sz="6" w:space="0" w:color="auto"/>
              <w:bottom w:val="nil" w:sz="6" w:space="0" w:color="auto"/>
              <w:right w:val="nil" w:sz="6" w:space="0" w:color="auto"/>
            </w:tcBorders>
          </w:tcPr>
          <w:p>
            <w:pPr>
              <w:pStyle w:val="TableParagraph"/>
              <w:spacing w:line="182" w:lineRule="exact"/>
              <w:ind w:right="296"/>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21"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nil" w:sz="6" w:space="0" w:color="auto"/>
              <w:right w:val="nil" w:sz="6" w:space="0" w:color="auto"/>
            </w:tcBorders>
          </w:tcPr>
          <w:p>
            <w:pPr>
              <w:pStyle w:val="TableParagraph"/>
              <w:spacing w:line="182" w:lineRule="exact"/>
              <w:ind w:left="157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24" w:type="dxa"/>
            <w:tcBorders>
              <w:top w:val="nil" w:sz="6" w:space="0" w:color="auto"/>
              <w:left w:val="nil" w:sz="6" w:space="0" w:color="auto"/>
              <w:bottom w:val="nil" w:sz="6" w:space="0" w:color="auto"/>
              <w:right w:val="nil" w:sz="6" w:space="0" w:color="auto"/>
            </w:tcBorders>
          </w:tcPr>
          <w:p>
            <w:pPr/>
          </w:p>
        </w:tc>
      </w:tr>
      <w:tr>
        <w:trPr>
          <w:trHeight w:val="322" w:hRule="exact"/>
        </w:trPr>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p>
        </w:tc>
        <w:tc>
          <w:tcPr>
            <w:tcW w:w="2476" w:type="dxa"/>
            <w:tcBorders>
              <w:top w:val="nil" w:sz="6" w:space="0" w:color="auto"/>
              <w:left w:val="nil" w:sz="6" w:space="0" w:color="auto"/>
              <w:bottom w:val="nil" w:sz="6" w:space="0" w:color="auto"/>
              <w:right w:val="nil" w:sz="6" w:space="0" w:color="auto"/>
            </w:tcBorders>
          </w:tcPr>
          <w:p>
            <w:pPr>
              <w:pStyle w:val="TableParagraph"/>
              <w:tabs>
                <w:tab w:pos="1722" w:val="left" w:leader="none"/>
              </w:tabs>
              <w:spacing w:line="240" w:lineRule="auto" w:before="50"/>
              <w:ind w:right="157"/>
              <w:jc w:val="right"/>
              <w:rPr>
                <w:rFonts w:ascii="Times New Roman" w:hAnsi="Times New Roman" w:cs="Times New Roman" w:eastAsia="Times New Roman" w:hint="default"/>
                <w:sz w:val="18"/>
                <w:szCs w:val="18"/>
              </w:rPr>
            </w:pPr>
            <w:r>
              <w:rPr>
                <w:rFonts w:ascii="Times New Roman"/>
                <w:spacing w:val="-1"/>
                <w:sz w:val="18"/>
              </w:rPr>
              <w:t>146,549,460.99</w:t>
              <w:tab/>
            </w:r>
            <w:r>
              <w:rPr>
                <w:rFonts w:ascii="Times New Roman"/>
                <w:sz w:val="18"/>
              </w:rPr>
              <w:t>77.57</w:t>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6"/>
              <w:jc w:val="right"/>
              <w:rPr>
                <w:rFonts w:ascii="Times New Roman" w:hAnsi="Times New Roman" w:cs="Times New Roman" w:eastAsia="Times New Roman" w:hint="default"/>
                <w:sz w:val="18"/>
                <w:szCs w:val="18"/>
              </w:rPr>
            </w:pPr>
            <w:r>
              <w:rPr>
                <w:rFonts w:ascii="Times New Roman"/>
                <w:spacing w:val="-1"/>
                <w:sz w:val="18"/>
              </w:rPr>
              <w:t>7,327,473.05</w:t>
            </w:r>
          </w:p>
        </w:tc>
        <w:tc>
          <w:tcPr>
            <w:tcW w:w="2390" w:type="dxa"/>
            <w:tcBorders>
              <w:top w:val="nil" w:sz="6" w:space="0" w:color="auto"/>
              <w:left w:val="nil" w:sz="6" w:space="0" w:color="auto"/>
              <w:bottom w:val="nil" w:sz="6" w:space="0" w:color="auto"/>
              <w:right w:val="nil" w:sz="6" w:space="0" w:color="auto"/>
            </w:tcBorders>
          </w:tcPr>
          <w:p>
            <w:pPr>
              <w:pStyle w:val="TableParagraph"/>
              <w:tabs>
                <w:tab w:pos="1656" w:val="left" w:leader="none"/>
              </w:tabs>
              <w:spacing w:line="240" w:lineRule="auto" w:before="50"/>
              <w:ind w:right="197"/>
              <w:jc w:val="right"/>
              <w:rPr>
                <w:rFonts w:ascii="Times New Roman" w:hAnsi="Times New Roman" w:cs="Times New Roman" w:eastAsia="Times New Roman" w:hint="default"/>
                <w:sz w:val="18"/>
                <w:szCs w:val="18"/>
              </w:rPr>
            </w:pPr>
            <w:r>
              <w:rPr>
                <w:rFonts w:ascii="Times New Roman"/>
                <w:spacing w:val="-1"/>
                <w:sz w:val="18"/>
              </w:rPr>
              <w:t>155,038,362.18</w:t>
              <w:tab/>
            </w:r>
            <w:r>
              <w:rPr>
                <w:rFonts w:ascii="Times New Roman"/>
                <w:sz w:val="18"/>
              </w:rPr>
              <w:t>76.98</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7,751,918.11</w:t>
            </w:r>
          </w:p>
        </w:tc>
      </w:tr>
      <w:tr>
        <w:trPr>
          <w:trHeight w:val="322" w:hRule="exact"/>
        </w:trPr>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r>
              <w:rPr>
                <w:rFonts w:ascii="宋体" w:hAnsi="宋体" w:cs="宋体" w:eastAsia="宋体" w:hint="default"/>
                <w:sz w:val="18"/>
                <w:szCs w:val="18"/>
              </w:rPr>
              <w:t>含</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p>
        </w:tc>
        <w:tc>
          <w:tcPr>
            <w:tcW w:w="2476" w:type="dxa"/>
            <w:tcBorders>
              <w:top w:val="nil" w:sz="6" w:space="0" w:color="auto"/>
              <w:left w:val="nil" w:sz="6" w:space="0" w:color="auto"/>
              <w:bottom w:val="nil" w:sz="6" w:space="0" w:color="auto"/>
              <w:right w:val="nil" w:sz="6" w:space="0" w:color="auto"/>
            </w:tcBorders>
          </w:tcPr>
          <w:p>
            <w:pPr>
              <w:pStyle w:val="TableParagraph"/>
              <w:tabs>
                <w:tab w:pos="1632" w:val="left" w:leader="none"/>
              </w:tabs>
              <w:spacing w:line="240" w:lineRule="auto" w:before="50"/>
              <w:ind w:right="156"/>
              <w:jc w:val="right"/>
              <w:rPr>
                <w:rFonts w:ascii="Times New Roman" w:hAnsi="Times New Roman" w:cs="Times New Roman" w:eastAsia="Times New Roman" w:hint="default"/>
                <w:sz w:val="18"/>
                <w:szCs w:val="18"/>
              </w:rPr>
            </w:pPr>
            <w:r>
              <w:rPr>
                <w:rFonts w:ascii="Times New Roman"/>
                <w:spacing w:val="-1"/>
                <w:sz w:val="18"/>
              </w:rPr>
              <w:t>30,678,618.17</w:t>
              <w:tab/>
            </w:r>
            <w:r>
              <w:rPr>
                <w:rFonts w:ascii="Times New Roman"/>
                <w:sz w:val="18"/>
              </w:rPr>
              <w:t>16.24</w:t>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6"/>
              <w:jc w:val="right"/>
              <w:rPr>
                <w:rFonts w:ascii="Times New Roman" w:hAnsi="Times New Roman" w:cs="Times New Roman" w:eastAsia="Times New Roman" w:hint="default"/>
                <w:sz w:val="18"/>
                <w:szCs w:val="18"/>
              </w:rPr>
            </w:pPr>
            <w:r>
              <w:rPr>
                <w:rFonts w:ascii="Times New Roman"/>
                <w:spacing w:val="-1"/>
                <w:sz w:val="18"/>
              </w:rPr>
              <w:t>3,067,861.82</w:t>
            </w:r>
          </w:p>
        </w:tc>
        <w:tc>
          <w:tcPr>
            <w:tcW w:w="2390" w:type="dxa"/>
            <w:tcBorders>
              <w:top w:val="nil" w:sz="6" w:space="0" w:color="auto"/>
              <w:left w:val="nil" w:sz="6" w:space="0" w:color="auto"/>
              <w:bottom w:val="nil" w:sz="6" w:space="0" w:color="auto"/>
              <w:right w:val="nil" w:sz="6" w:space="0" w:color="auto"/>
            </w:tcBorders>
          </w:tcPr>
          <w:p>
            <w:pPr>
              <w:pStyle w:val="TableParagraph"/>
              <w:tabs>
                <w:tab w:pos="1561" w:val="left" w:leader="none"/>
              </w:tabs>
              <w:spacing w:line="240" w:lineRule="auto" w:before="50"/>
              <w:ind w:right="197"/>
              <w:jc w:val="right"/>
              <w:rPr>
                <w:rFonts w:ascii="Times New Roman" w:hAnsi="Times New Roman" w:cs="Times New Roman" w:eastAsia="Times New Roman" w:hint="default"/>
                <w:sz w:val="18"/>
                <w:szCs w:val="18"/>
              </w:rPr>
            </w:pPr>
            <w:r>
              <w:rPr>
                <w:rFonts w:ascii="Times New Roman"/>
                <w:spacing w:val="-1"/>
                <w:sz w:val="18"/>
              </w:rPr>
              <w:t>27,658,422.11</w:t>
              <w:tab/>
            </w:r>
            <w:r>
              <w:rPr>
                <w:rFonts w:ascii="Times New Roman"/>
                <w:sz w:val="18"/>
              </w:rPr>
              <w:t>13.73</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2,765,842.21</w:t>
            </w:r>
          </w:p>
        </w:tc>
      </w:tr>
      <w:tr>
        <w:trPr>
          <w:trHeight w:val="322" w:hRule="exact"/>
        </w:trPr>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r>
              <w:rPr>
                <w:rFonts w:ascii="宋体" w:hAnsi="宋体" w:cs="宋体" w:eastAsia="宋体" w:hint="default"/>
                <w:sz w:val="18"/>
                <w:szCs w:val="18"/>
              </w:rPr>
              <w:t>含</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p>
        </w:tc>
        <w:tc>
          <w:tcPr>
            <w:tcW w:w="2476" w:type="dxa"/>
            <w:tcBorders>
              <w:top w:val="nil" w:sz="6" w:space="0" w:color="auto"/>
              <w:left w:val="nil" w:sz="6" w:space="0" w:color="auto"/>
              <w:bottom w:val="nil" w:sz="6" w:space="0" w:color="auto"/>
              <w:right w:val="nil" w:sz="6" w:space="0" w:color="auto"/>
            </w:tcBorders>
          </w:tcPr>
          <w:p>
            <w:pPr>
              <w:pStyle w:val="TableParagraph"/>
              <w:tabs>
                <w:tab w:pos="1632" w:val="left" w:leader="none"/>
              </w:tabs>
              <w:spacing w:line="240" w:lineRule="auto" w:before="50"/>
              <w:ind w:right="156"/>
              <w:jc w:val="right"/>
              <w:rPr>
                <w:rFonts w:ascii="Times New Roman" w:hAnsi="Times New Roman" w:cs="Times New Roman" w:eastAsia="Times New Roman" w:hint="default"/>
                <w:sz w:val="18"/>
                <w:szCs w:val="18"/>
              </w:rPr>
            </w:pPr>
            <w:r>
              <w:rPr>
                <w:rFonts w:ascii="Times New Roman"/>
                <w:spacing w:val="-1"/>
                <w:sz w:val="18"/>
              </w:rPr>
              <w:t>5,131,177.50</w:t>
              <w:tab/>
            </w:r>
            <w:r>
              <w:rPr>
                <w:rFonts w:ascii="Times New Roman"/>
                <w:sz w:val="18"/>
              </w:rPr>
              <w:t>2.72</w:t>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6"/>
              <w:jc w:val="right"/>
              <w:rPr>
                <w:rFonts w:ascii="Times New Roman" w:hAnsi="Times New Roman" w:cs="Times New Roman" w:eastAsia="Times New Roman" w:hint="default"/>
                <w:sz w:val="18"/>
                <w:szCs w:val="18"/>
              </w:rPr>
            </w:pPr>
            <w:r>
              <w:rPr>
                <w:rFonts w:ascii="Times New Roman"/>
                <w:spacing w:val="-1"/>
                <w:sz w:val="18"/>
              </w:rPr>
              <w:t>1,026,235.50</w:t>
            </w:r>
          </w:p>
        </w:tc>
        <w:tc>
          <w:tcPr>
            <w:tcW w:w="2390" w:type="dxa"/>
            <w:tcBorders>
              <w:top w:val="nil" w:sz="6" w:space="0" w:color="auto"/>
              <w:left w:val="nil" w:sz="6" w:space="0" w:color="auto"/>
              <w:bottom w:val="nil" w:sz="6" w:space="0" w:color="auto"/>
              <w:right w:val="nil" w:sz="6" w:space="0" w:color="auto"/>
            </w:tcBorders>
          </w:tcPr>
          <w:p>
            <w:pPr>
              <w:pStyle w:val="TableParagraph"/>
              <w:tabs>
                <w:tab w:pos="1650" w:val="left" w:leader="none"/>
              </w:tabs>
              <w:spacing w:line="240" w:lineRule="auto" w:before="50"/>
              <w:ind w:right="197"/>
              <w:jc w:val="right"/>
              <w:rPr>
                <w:rFonts w:ascii="Times New Roman" w:hAnsi="Times New Roman" w:cs="Times New Roman" w:eastAsia="Times New Roman" w:hint="default"/>
                <w:sz w:val="18"/>
                <w:szCs w:val="18"/>
              </w:rPr>
            </w:pPr>
            <w:r>
              <w:rPr>
                <w:rFonts w:ascii="Times New Roman"/>
                <w:spacing w:val="-1"/>
                <w:sz w:val="18"/>
              </w:rPr>
              <w:t>11,085,991.55</w:t>
              <w:tab/>
            </w:r>
            <w:r>
              <w:rPr>
                <w:rFonts w:ascii="Times New Roman"/>
                <w:sz w:val="18"/>
              </w:rPr>
              <w:t>5.51</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2,217,198.31</w:t>
            </w:r>
          </w:p>
        </w:tc>
      </w:tr>
      <w:tr>
        <w:trPr>
          <w:trHeight w:val="322" w:hRule="exact"/>
        </w:trPr>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r>
              <w:rPr>
                <w:rFonts w:ascii="宋体" w:hAnsi="宋体" w:cs="宋体" w:eastAsia="宋体" w:hint="default"/>
                <w:sz w:val="18"/>
                <w:szCs w:val="18"/>
              </w:rPr>
              <w:t>含</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p>
        </w:tc>
        <w:tc>
          <w:tcPr>
            <w:tcW w:w="2476" w:type="dxa"/>
            <w:tcBorders>
              <w:top w:val="nil" w:sz="6" w:space="0" w:color="auto"/>
              <w:left w:val="nil" w:sz="6" w:space="0" w:color="auto"/>
              <w:bottom w:val="nil" w:sz="6" w:space="0" w:color="auto"/>
              <w:right w:val="nil" w:sz="6" w:space="0" w:color="auto"/>
            </w:tcBorders>
          </w:tcPr>
          <w:p>
            <w:pPr>
              <w:pStyle w:val="TableParagraph"/>
              <w:tabs>
                <w:tab w:pos="1633" w:val="left" w:leader="none"/>
              </w:tabs>
              <w:spacing w:line="240" w:lineRule="auto" w:before="50"/>
              <w:ind w:right="155"/>
              <w:jc w:val="right"/>
              <w:rPr>
                <w:rFonts w:ascii="Times New Roman" w:hAnsi="Times New Roman" w:cs="Times New Roman" w:eastAsia="Times New Roman" w:hint="default"/>
                <w:sz w:val="18"/>
                <w:szCs w:val="18"/>
              </w:rPr>
            </w:pPr>
            <w:r>
              <w:rPr>
                <w:rFonts w:ascii="Times New Roman"/>
                <w:spacing w:val="-1"/>
                <w:sz w:val="18"/>
              </w:rPr>
              <w:t>4,015,789.88</w:t>
              <w:tab/>
            </w:r>
            <w:r>
              <w:rPr>
                <w:rFonts w:ascii="Times New Roman"/>
                <w:sz w:val="18"/>
              </w:rPr>
              <w:t>2.12</w:t>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5"/>
              <w:jc w:val="right"/>
              <w:rPr>
                <w:rFonts w:ascii="Times New Roman" w:hAnsi="Times New Roman" w:cs="Times New Roman" w:eastAsia="Times New Roman" w:hint="default"/>
                <w:sz w:val="18"/>
                <w:szCs w:val="18"/>
              </w:rPr>
            </w:pPr>
            <w:r>
              <w:rPr>
                <w:rFonts w:ascii="Times New Roman"/>
                <w:spacing w:val="-1"/>
                <w:sz w:val="18"/>
              </w:rPr>
              <w:t>1,204,736.96</w:t>
            </w:r>
          </w:p>
        </w:tc>
        <w:tc>
          <w:tcPr>
            <w:tcW w:w="2390" w:type="dxa"/>
            <w:tcBorders>
              <w:top w:val="nil" w:sz="6" w:space="0" w:color="auto"/>
              <w:left w:val="nil" w:sz="6" w:space="0" w:color="auto"/>
              <w:bottom w:val="nil" w:sz="6" w:space="0" w:color="auto"/>
              <w:right w:val="nil" w:sz="6" w:space="0" w:color="auto"/>
            </w:tcBorders>
          </w:tcPr>
          <w:p>
            <w:pPr>
              <w:pStyle w:val="TableParagraph"/>
              <w:tabs>
                <w:tab w:pos="1565" w:val="left" w:leader="none"/>
              </w:tabs>
              <w:spacing w:line="240" w:lineRule="auto" w:before="50"/>
              <w:ind w:right="197"/>
              <w:jc w:val="right"/>
              <w:rPr>
                <w:rFonts w:ascii="Times New Roman" w:hAnsi="Times New Roman" w:cs="Times New Roman" w:eastAsia="Times New Roman" w:hint="default"/>
                <w:sz w:val="18"/>
                <w:szCs w:val="18"/>
              </w:rPr>
            </w:pPr>
            <w:r>
              <w:rPr>
                <w:rFonts w:ascii="Times New Roman"/>
                <w:spacing w:val="-1"/>
                <w:sz w:val="18"/>
              </w:rPr>
              <w:t>4,696,779.88</w:t>
              <w:tab/>
            </w:r>
            <w:r>
              <w:rPr>
                <w:rFonts w:ascii="Times New Roman"/>
                <w:sz w:val="18"/>
              </w:rPr>
              <w:t>2.33</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1,409,033.96</w:t>
            </w:r>
          </w:p>
        </w:tc>
      </w:tr>
      <w:tr>
        <w:trPr>
          <w:trHeight w:val="322" w:hRule="exact"/>
        </w:trPr>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r>
              <w:rPr>
                <w:rFonts w:ascii="宋体" w:hAnsi="宋体" w:cs="宋体" w:eastAsia="宋体" w:hint="default"/>
                <w:sz w:val="18"/>
                <w:szCs w:val="18"/>
              </w:rPr>
              <w:t>含</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p>
        </w:tc>
        <w:tc>
          <w:tcPr>
            <w:tcW w:w="2476" w:type="dxa"/>
            <w:tcBorders>
              <w:top w:val="nil" w:sz="6" w:space="0" w:color="auto"/>
              <w:left w:val="nil" w:sz="6" w:space="0" w:color="auto"/>
              <w:bottom w:val="nil" w:sz="6" w:space="0" w:color="auto"/>
              <w:right w:val="nil" w:sz="6" w:space="0" w:color="auto"/>
            </w:tcBorders>
          </w:tcPr>
          <w:p>
            <w:pPr>
              <w:pStyle w:val="TableParagraph"/>
              <w:tabs>
                <w:tab w:pos="1632" w:val="left" w:leader="none"/>
              </w:tabs>
              <w:spacing w:line="240" w:lineRule="auto" w:before="50"/>
              <w:ind w:right="156"/>
              <w:jc w:val="right"/>
              <w:rPr>
                <w:rFonts w:ascii="Times New Roman" w:hAnsi="Times New Roman" w:cs="Times New Roman" w:eastAsia="Times New Roman" w:hint="default"/>
                <w:sz w:val="18"/>
                <w:szCs w:val="18"/>
              </w:rPr>
            </w:pPr>
            <w:r>
              <w:rPr>
                <w:rFonts w:ascii="Times New Roman"/>
                <w:spacing w:val="-1"/>
                <w:sz w:val="18"/>
              </w:rPr>
              <w:t>1,831,065.29</w:t>
              <w:tab/>
            </w:r>
            <w:r>
              <w:rPr>
                <w:rFonts w:ascii="Times New Roman"/>
                <w:sz w:val="18"/>
              </w:rPr>
              <w:t>0.97</w:t>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6"/>
              <w:jc w:val="right"/>
              <w:rPr>
                <w:rFonts w:ascii="Times New Roman" w:hAnsi="Times New Roman" w:cs="Times New Roman" w:eastAsia="Times New Roman" w:hint="default"/>
                <w:sz w:val="18"/>
                <w:szCs w:val="18"/>
              </w:rPr>
            </w:pPr>
            <w:r>
              <w:rPr>
                <w:rFonts w:ascii="Times New Roman"/>
                <w:sz w:val="18"/>
              </w:rPr>
              <w:t>732,426.12</w:t>
            </w:r>
          </w:p>
        </w:tc>
        <w:tc>
          <w:tcPr>
            <w:tcW w:w="2390" w:type="dxa"/>
            <w:tcBorders>
              <w:top w:val="nil" w:sz="6" w:space="0" w:color="auto"/>
              <w:left w:val="nil" w:sz="6" w:space="0" w:color="auto"/>
              <w:bottom w:val="nil" w:sz="6" w:space="0" w:color="auto"/>
              <w:right w:val="nil" w:sz="6" w:space="0" w:color="auto"/>
            </w:tcBorders>
          </w:tcPr>
          <w:p>
            <w:pPr>
              <w:pStyle w:val="TableParagraph"/>
              <w:tabs>
                <w:tab w:pos="1566" w:val="left" w:leader="none"/>
              </w:tabs>
              <w:spacing w:line="240" w:lineRule="auto" w:before="50"/>
              <w:ind w:right="199"/>
              <w:jc w:val="right"/>
              <w:rPr>
                <w:rFonts w:ascii="Times New Roman" w:hAnsi="Times New Roman" w:cs="Times New Roman" w:eastAsia="Times New Roman" w:hint="default"/>
                <w:sz w:val="18"/>
                <w:szCs w:val="18"/>
              </w:rPr>
            </w:pPr>
            <w:r>
              <w:rPr>
                <w:rFonts w:ascii="Times New Roman"/>
                <w:spacing w:val="-1"/>
                <w:sz w:val="18"/>
              </w:rPr>
              <w:t>2,204,475.29</w:t>
              <w:tab/>
            </w:r>
            <w:r>
              <w:rPr>
                <w:rFonts w:ascii="Times New Roman"/>
                <w:sz w:val="18"/>
              </w:rPr>
              <w:t>1.10</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z w:val="18"/>
              </w:rPr>
              <w:t>881,790.12</w:t>
            </w:r>
          </w:p>
        </w:tc>
      </w:tr>
      <w:tr>
        <w:trPr>
          <w:trHeight w:val="322" w:hRule="exact"/>
        </w:trPr>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476" w:type="dxa"/>
            <w:tcBorders>
              <w:top w:val="nil" w:sz="6" w:space="0" w:color="auto"/>
              <w:left w:val="nil" w:sz="6" w:space="0" w:color="auto"/>
              <w:bottom w:val="nil" w:sz="6" w:space="0" w:color="auto"/>
              <w:right w:val="nil" w:sz="6" w:space="0" w:color="auto"/>
            </w:tcBorders>
          </w:tcPr>
          <w:p>
            <w:pPr>
              <w:pStyle w:val="TableParagraph"/>
              <w:tabs>
                <w:tab w:pos="1498" w:val="left" w:leader="none"/>
              </w:tabs>
              <w:spacing w:line="240" w:lineRule="auto" w:before="50"/>
              <w:ind w:right="156"/>
              <w:jc w:val="right"/>
              <w:rPr>
                <w:rFonts w:ascii="Times New Roman" w:hAnsi="Times New Roman" w:cs="Times New Roman" w:eastAsia="Times New Roman" w:hint="default"/>
                <w:sz w:val="18"/>
                <w:szCs w:val="18"/>
              </w:rPr>
            </w:pPr>
            <w:r>
              <w:rPr>
                <w:rFonts w:ascii="Times New Roman"/>
                <w:sz w:val="18"/>
              </w:rPr>
              <w:t>717,251.72</w:t>
              <w:tab/>
              <w:t>0.38</w:t>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6"/>
              <w:jc w:val="right"/>
              <w:rPr>
                <w:rFonts w:ascii="Times New Roman" w:hAnsi="Times New Roman" w:cs="Times New Roman" w:eastAsia="Times New Roman" w:hint="default"/>
                <w:sz w:val="18"/>
                <w:szCs w:val="18"/>
              </w:rPr>
            </w:pPr>
            <w:r>
              <w:rPr>
                <w:rFonts w:ascii="Times New Roman"/>
                <w:sz w:val="18"/>
              </w:rPr>
              <w:t>717,251.72</w:t>
            </w:r>
          </w:p>
        </w:tc>
        <w:tc>
          <w:tcPr>
            <w:tcW w:w="2390" w:type="dxa"/>
            <w:tcBorders>
              <w:top w:val="nil" w:sz="6" w:space="0" w:color="auto"/>
              <w:left w:val="nil" w:sz="6" w:space="0" w:color="auto"/>
              <w:bottom w:val="nil" w:sz="6" w:space="0" w:color="auto"/>
              <w:right w:val="nil" w:sz="6" w:space="0" w:color="auto"/>
            </w:tcBorders>
          </w:tcPr>
          <w:p>
            <w:pPr>
              <w:pStyle w:val="TableParagraph"/>
              <w:tabs>
                <w:tab w:pos="1432" w:val="left" w:leader="none"/>
              </w:tabs>
              <w:spacing w:line="240" w:lineRule="auto" w:before="50"/>
              <w:ind w:right="197"/>
              <w:jc w:val="right"/>
              <w:rPr>
                <w:rFonts w:ascii="Times New Roman" w:hAnsi="Times New Roman" w:cs="Times New Roman" w:eastAsia="Times New Roman" w:hint="default"/>
                <w:sz w:val="18"/>
                <w:szCs w:val="18"/>
              </w:rPr>
            </w:pPr>
            <w:r>
              <w:rPr>
                <w:rFonts w:ascii="Times New Roman"/>
                <w:sz w:val="18"/>
              </w:rPr>
              <w:t>710,087.36</w:t>
              <w:tab/>
              <w:t>0.35</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z w:val="18"/>
              </w:rPr>
              <w:t>710,087.36</w:t>
            </w:r>
          </w:p>
        </w:tc>
      </w:tr>
      <w:tr>
        <w:trPr>
          <w:trHeight w:val="327" w:hRule="exact"/>
        </w:trPr>
        <w:tc>
          <w:tcPr>
            <w:tcW w:w="181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22"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476" w:type="dxa"/>
            <w:tcBorders>
              <w:top w:val="nil" w:sz="6" w:space="0" w:color="auto"/>
              <w:left w:val="nil" w:sz="6" w:space="0" w:color="auto"/>
              <w:bottom w:val="single" w:sz="12" w:space="0" w:color="000000"/>
              <w:right w:val="nil" w:sz="6" w:space="0" w:color="auto"/>
            </w:tcBorders>
          </w:tcPr>
          <w:p>
            <w:pPr>
              <w:pStyle w:val="TableParagraph"/>
              <w:tabs>
                <w:tab w:pos="1632" w:val="left" w:leader="none"/>
              </w:tabs>
              <w:spacing w:line="240" w:lineRule="auto" w:before="50"/>
              <w:ind w:right="155"/>
              <w:jc w:val="right"/>
              <w:rPr>
                <w:rFonts w:ascii="Times New Roman" w:hAnsi="Times New Roman" w:cs="Times New Roman" w:eastAsia="Times New Roman" w:hint="default"/>
                <w:sz w:val="18"/>
                <w:szCs w:val="18"/>
              </w:rPr>
            </w:pPr>
            <w:r>
              <w:rPr>
                <w:rFonts w:ascii="Times New Roman"/>
                <w:spacing w:val="-1"/>
                <w:sz w:val="18"/>
              </w:rPr>
              <w:t>188,923,363.55</w:t>
              <w:tab/>
            </w:r>
            <w:r>
              <w:rPr>
                <w:rFonts w:ascii="Times New Roman"/>
                <w:sz w:val="18"/>
              </w:rPr>
              <w:t>100.00</w:t>
            </w:r>
          </w:p>
        </w:tc>
        <w:tc>
          <w:tcPr>
            <w:tcW w:w="1321"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25"/>
              <w:jc w:val="right"/>
              <w:rPr>
                <w:rFonts w:ascii="Times New Roman" w:hAnsi="Times New Roman" w:cs="Times New Roman" w:eastAsia="Times New Roman" w:hint="default"/>
                <w:sz w:val="18"/>
                <w:szCs w:val="18"/>
              </w:rPr>
            </w:pPr>
            <w:r>
              <w:rPr>
                <w:rFonts w:ascii="Times New Roman"/>
                <w:spacing w:val="-1"/>
                <w:sz w:val="18"/>
              </w:rPr>
              <w:t>14,075,985.17</w:t>
            </w:r>
          </w:p>
        </w:tc>
        <w:tc>
          <w:tcPr>
            <w:tcW w:w="2390" w:type="dxa"/>
            <w:tcBorders>
              <w:top w:val="nil" w:sz="6" w:space="0" w:color="auto"/>
              <w:left w:val="nil" w:sz="6" w:space="0" w:color="auto"/>
              <w:bottom w:val="single" w:sz="12" w:space="0" w:color="000000"/>
              <w:right w:val="nil" w:sz="6" w:space="0" w:color="auto"/>
            </w:tcBorders>
          </w:tcPr>
          <w:p>
            <w:pPr>
              <w:pStyle w:val="TableParagraph"/>
              <w:tabs>
                <w:tab w:pos="1560" w:val="left" w:leader="none"/>
              </w:tabs>
              <w:spacing w:line="240" w:lineRule="auto" w:before="50"/>
              <w:ind w:right="197"/>
              <w:jc w:val="right"/>
              <w:rPr>
                <w:rFonts w:ascii="Times New Roman" w:hAnsi="Times New Roman" w:cs="Times New Roman" w:eastAsia="Times New Roman" w:hint="default"/>
                <w:sz w:val="18"/>
                <w:szCs w:val="18"/>
              </w:rPr>
            </w:pPr>
            <w:r>
              <w:rPr>
                <w:rFonts w:ascii="Times New Roman"/>
                <w:spacing w:val="-1"/>
                <w:sz w:val="18"/>
              </w:rPr>
              <w:t>201,394,118.37</w:t>
              <w:tab/>
            </w:r>
            <w:r>
              <w:rPr>
                <w:rFonts w:ascii="Times New Roman"/>
                <w:sz w:val="18"/>
              </w:rPr>
              <w:t>100.00</w:t>
            </w:r>
          </w:p>
        </w:tc>
        <w:tc>
          <w:tcPr>
            <w:tcW w:w="1324"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15,735,870.07</w:t>
            </w:r>
          </w:p>
        </w:tc>
      </w:tr>
    </w:tbl>
    <w:p>
      <w:pPr>
        <w:spacing w:before="78"/>
        <w:ind w:left="955"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）年末数中无单项金额虽不重大但单项计提坏账准备的应收账款。</w:t>
      </w:r>
    </w:p>
    <w:p>
      <w:pPr>
        <w:tabs>
          <w:tab w:pos="1434" w:val="left" w:leader="none"/>
        </w:tabs>
        <w:spacing w:before="109"/>
        <w:ind w:left="89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本期无转回或收回应收账款情况。</w:t>
      </w:r>
      <w:r>
        <w:rPr>
          <w:rFonts w:ascii="宋体" w:hAnsi="宋体" w:cs="宋体" w:eastAsia="宋体" w:hint="default"/>
          <w:sz w:val="21"/>
          <w:szCs w:val="21"/>
        </w:rPr>
      </w:r>
    </w:p>
    <w:p>
      <w:pPr>
        <w:tabs>
          <w:tab w:pos="1434" w:val="left" w:leader="none"/>
        </w:tabs>
        <w:spacing w:before="110"/>
        <w:ind w:left="89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本报告期无实际核销的应收账款情况。</w:t>
      </w:r>
      <w:r>
        <w:rPr>
          <w:rFonts w:ascii="宋体" w:hAnsi="宋体" w:cs="宋体" w:eastAsia="宋体" w:hint="default"/>
          <w:sz w:val="21"/>
          <w:szCs w:val="21"/>
        </w:rPr>
      </w:r>
    </w:p>
    <w:p>
      <w:pPr>
        <w:tabs>
          <w:tab w:pos="1434" w:val="left" w:leader="none"/>
        </w:tabs>
        <w:spacing w:before="109"/>
        <w:ind w:left="89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年末应收账款中无持本公司</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sz w:val="21"/>
          <w:szCs w:val="21"/>
        </w:rPr>
      </w:r>
    </w:p>
    <w:p>
      <w:pPr>
        <w:tabs>
          <w:tab w:pos="1434" w:val="left" w:leader="none"/>
        </w:tabs>
        <w:spacing w:before="109"/>
        <w:ind w:left="89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应收账款中欠款金额前五名单位情况</w:t>
      </w:r>
      <w:r>
        <w:rPr>
          <w:rFonts w:ascii="宋体" w:hAnsi="宋体" w:cs="宋体" w:eastAsia="宋体" w:hint="default"/>
          <w:sz w:val="21"/>
          <w:szCs w:val="21"/>
        </w:rPr>
      </w:r>
    </w:p>
    <w:p>
      <w:pPr>
        <w:spacing w:line="1005" w:lineRule="exact"/>
        <w:ind w:left="109"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470.25pt;height:50.3pt;mso-position-horizontal-relative:char;mso-position-vertical-relative:line" coordorigin="0,0" coordsize="9405,1006">
            <v:group style="position:absolute;left:29;top:15;width:9360;height:2" coordorigin="29,15" coordsize="9360,2">
              <v:shape style="position:absolute;left:29;top:15;width:9360;height:2" coordorigin="29,15" coordsize="9360,0" path="m29,15l9389,15e" filled="false" stroked="true" strokeweight="1.5pt" strokecolor="#000000">
                <v:path arrowok="t"/>
              </v:shape>
            </v:group>
            <v:group style="position:absolute;left:15;top:991;width:3270;height:2" coordorigin="15,991" coordsize="3270,2">
              <v:shape style="position:absolute;left:15;top:991;width:3270;height:2" coordorigin="15,991" coordsize="3270,0" path="m15,991l3285,991e" filled="false" stroked="true" strokeweight="1.5pt" strokecolor="#000000">
                <v:path arrowok="t"/>
              </v:shape>
            </v:group>
            <v:group style="position:absolute;left:3285;top:991;width:1770;height:2" coordorigin="3285,991" coordsize="1770,2">
              <v:shape style="position:absolute;left:3285;top:991;width:1770;height:2" coordorigin="3285,991" coordsize="1770,0" path="m3285,991l5055,991e" filled="false" stroked="true" strokeweight="1.5pt" strokecolor="#000000">
                <v:path arrowok="t"/>
              </v:shape>
            </v:group>
            <v:group style="position:absolute;left:5055;top:991;width:1547;height:2" coordorigin="5055,991" coordsize="1547,2">
              <v:shape style="position:absolute;left:5055;top:991;width:1547;height:2" coordorigin="5055,991" coordsize="1547,0" path="m5055,991l6602,991e" filled="false" stroked="true" strokeweight="1.5pt" strokecolor="#000000">
                <v:path arrowok="t"/>
              </v:shape>
            </v:group>
            <v:group style="position:absolute;left:6602;top:991;width:960;height:2" coordorigin="6602,991" coordsize="960,2">
              <v:shape style="position:absolute;left:6602;top:991;width:960;height:2" coordorigin="6602,991" coordsize="960,0" path="m6602,991l7562,991e" filled="false" stroked="true" strokeweight="1.5pt" strokecolor="#000000">
                <v:path arrowok="t"/>
              </v:shape>
              <v:shape style="position:absolute;left:10;top:1;width:9385;height:974" type="#_x0000_t75" stroked="false">
                <v:imagedata r:id="rId113" o:title=""/>
              </v:shape>
            </v:group>
            <v:group style="position:absolute;left:7562;top:991;width:1828;height:2" coordorigin="7562,991" coordsize="1828,2">
              <v:shape style="position:absolute;left:7562;top:991;width:1828;height:2" coordorigin="7562,991" coordsize="1828,0" path="m7562,991l9389,991e" filled="false" stroked="true" strokeweight="1.5pt" strokecolor="#000000">
                <v:path arrowok="t"/>
              </v:shape>
              <v:shape style="position:absolute;left:1480;top:25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名次</w:t>
                      </w:r>
                    </w:p>
                  </w:txbxContent>
                </v:textbox>
                <w10:wrap type="none"/>
              </v:shape>
              <v:shape style="position:absolute;left:3634;top:25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与本公司关系</w:t>
                      </w:r>
                    </w:p>
                  </w:txbxContent>
                </v:textbox>
                <w10:wrap type="none"/>
              </v:shape>
              <v:shape style="position:absolute;left:5473;top:2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6905;top:25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137;top:73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第一名</w:t>
                      </w:r>
                    </w:p>
                  </w:txbxContent>
                </v:textbox>
                <w10:wrap type="none"/>
              </v:shape>
              <v:shape style="position:absolute;left:3398;top:73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无关联客户</w:t>
                      </w:r>
                    </w:p>
                  </w:txbxContent>
                </v:textbox>
                <w10:wrap type="none"/>
              </v:shape>
              <v:shape style="position:absolute;left:5463;top:96;width:3819;height:824" type="#_x0000_t202" filled="false" stroked="false">
                <v:textbox inset="0,0,0,0">
                  <w:txbxContent>
                    <w:p>
                      <w:pPr>
                        <w:spacing w:line="180" w:lineRule="exact" w:before="0"/>
                        <w:ind w:left="2210" w:right="0" w:firstLine="0"/>
                        <w:jc w:val="center"/>
                        <w:rPr>
                          <w:rFonts w:ascii="宋体" w:hAnsi="宋体" w:cs="宋体" w:eastAsia="宋体" w:hint="default"/>
                          <w:sz w:val="18"/>
                          <w:szCs w:val="18"/>
                        </w:rPr>
                      </w:pPr>
                      <w:r>
                        <w:rPr>
                          <w:rFonts w:ascii="宋体" w:hAnsi="宋体" w:cs="宋体" w:eastAsia="宋体" w:hint="default"/>
                          <w:sz w:val="18"/>
                          <w:szCs w:val="18"/>
                        </w:rPr>
                        <w:t>占应收账款总额的</w:t>
                      </w:r>
                    </w:p>
                    <w:p>
                      <w:pPr>
                        <w:spacing w:before="76"/>
                        <w:ind w:left="0" w:right="487" w:firstLine="0"/>
                        <w:jc w:val="righ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p>
                      <w:pPr>
                        <w:tabs>
                          <w:tab w:pos="1250" w:val="left" w:leader="none"/>
                          <w:tab w:pos="3818" w:val="right" w:leader="none"/>
                        </w:tabs>
                        <w:spacing w:line="245" w:lineRule="exact" w:before="72"/>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20,764,751.67</w:t>
                        <w:tab/>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ab/>
                        <w:t>10.99</w:t>
                      </w:r>
                    </w:p>
                  </w:txbxContent>
                </v:textbox>
                <w10:wrap type="none"/>
              </v:shape>
            </v:group>
          </v:group>
        </w:pict>
      </w:r>
      <w:r>
        <w:rPr>
          <w:rFonts w:ascii="宋体" w:hAnsi="宋体" w:cs="宋体" w:eastAsia="宋体" w:hint="default"/>
          <w:position w:val="-19"/>
          <w:sz w:val="20"/>
          <w:szCs w:val="20"/>
        </w:rPr>
      </w:r>
    </w:p>
    <w:p>
      <w:pPr>
        <w:spacing w:after="0" w:line="1005" w:lineRule="exact"/>
        <w:rPr>
          <w:rFonts w:ascii="宋体" w:hAnsi="宋体" w:cs="宋体" w:eastAsia="宋体" w:hint="default"/>
          <w:sz w:val="20"/>
          <w:szCs w:val="20"/>
        </w:rPr>
        <w:sectPr>
          <w:pgSz w:w="11910" w:h="16840"/>
          <w:pgMar w:header="686" w:footer="1270" w:top="1360" w:bottom="1460" w:left="1520" w:right="740"/>
        </w:sectPr>
      </w:pPr>
    </w:p>
    <w:p>
      <w:pPr>
        <w:spacing w:line="240" w:lineRule="auto" w:before="1"/>
        <w:rPr>
          <w:rFonts w:ascii="宋体" w:hAnsi="宋体" w:cs="宋体" w:eastAsia="宋体" w:hint="default"/>
          <w:b/>
          <w:bCs/>
          <w:sz w:val="23"/>
          <w:szCs w:val="23"/>
        </w:rPr>
      </w:pPr>
    </w:p>
    <w:tbl>
      <w:tblPr>
        <w:tblW w:w="0" w:type="auto"/>
        <w:jc w:val="left"/>
        <w:tblInd w:w="138" w:type="dxa"/>
        <w:tblLayout w:type="fixed"/>
        <w:tblCellMar>
          <w:top w:w="0" w:type="dxa"/>
          <w:left w:w="0" w:type="dxa"/>
          <w:bottom w:w="0" w:type="dxa"/>
          <w:right w:w="0" w:type="dxa"/>
        </w:tblCellMar>
        <w:tblLook w:val="01E0"/>
      </w:tblPr>
      <w:tblGrid>
        <w:gridCol w:w="2008"/>
        <w:gridCol w:w="2843"/>
        <w:gridCol w:w="1726"/>
        <w:gridCol w:w="1571"/>
        <w:gridCol w:w="1213"/>
      </w:tblGrid>
      <w:tr>
        <w:trPr>
          <w:trHeight w:val="337" w:hRule="exact"/>
        </w:trPr>
        <w:tc>
          <w:tcPr>
            <w:tcW w:w="2008"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843"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580"/>
              <w:jc w:val="right"/>
              <w:rPr>
                <w:rFonts w:ascii="宋体" w:hAnsi="宋体" w:cs="宋体" w:eastAsia="宋体" w:hint="default"/>
                <w:sz w:val="18"/>
                <w:szCs w:val="18"/>
              </w:rPr>
            </w:pPr>
            <w:r>
              <w:rPr>
                <w:rFonts w:ascii="宋体" w:hAnsi="宋体" w:cs="宋体" w:eastAsia="宋体" w:hint="default"/>
                <w:sz w:val="18"/>
                <w:szCs w:val="18"/>
              </w:rPr>
              <w:t>无关联客户</w:t>
            </w:r>
          </w:p>
        </w:tc>
        <w:tc>
          <w:tcPr>
            <w:tcW w:w="1726"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13,228,668.56</w:t>
            </w:r>
          </w:p>
        </w:tc>
        <w:tc>
          <w:tcPr>
            <w:tcW w:w="1571"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13"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z w:val="18"/>
              </w:rPr>
              <w:t>7.00</w:t>
            </w:r>
          </w:p>
        </w:tc>
      </w:tr>
      <w:tr>
        <w:trPr>
          <w:trHeight w:val="322" w:hRule="exact"/>
        </w:trPr>
        <w:tc>
          <w:tcPr>
            <w:tcW w:w="200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80"/>
              <w:jc w:val="right"/>
              <w:rPr>
                <w:rFonts w:ascii="宋体" w:hAnsi="宋体" w:cs="宋体" w:eastAsia="宋体" w:hint="default"/>
                <w:sz w:val="18"/>
                <w:szCs w:val="18"/>
              </w:rPr>
            </w:pPr>
            <w:r>
              <w:rPr>
                <w:rFonts w:ascii="宋体" w:hAnsi="宋体" w:cs="宋体" w:eastAsia="宋体" w:hint="default"/>
                <w:sz w:val="18"/>
                <w:szCs w:val="18"/>
              </w:rPr>
              <w:t>无关联客户</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6,554,418.70</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z w:val="18"/>
              </w:rPr>
              <w:t>3.47</w:t>
            </w:r>
          </w:p>
        </w:tc>
      </w:tr>
      <w:tr>
        <w:trPr>
          <w:trHeight w:val="322" w:hRule="exact"/>
        </w:trPr>
        <w:tc>
          <w:tcPr>
            <w:tcW w:w="200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80"/>
              <w:jc w:val="right"/>
              <w:rPr>
                <w:rFonts w:ascii="宋体" w:hAnsi="宋体" w:cs="宋体" w:eastAsia="宋体" w:hint="default"/>
                <w:sz w:val="18"/>
                <w:szCs w:val="18"/>
              </w:rPr>
            </w:pPr>
            <w:r>
              <w:rPr>
                <w:rFonts w:ascii="宋体" w:hAnsi="宋体" w:cs="宋体" w:eastAsia="宋体" w:hint="default"/>
                <w:sz w:val="18"/>
                <w:szCs w:val="18"/>
              </w:rPr>
              <w:t>无关联客户</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6,045,616.80</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z w:val="18"/>
              </w:rPr>
              <w:t>3.20</w:t>
            </w:r>
          </w:p>
        </w:tc>
      </w:tr>
      <w:tr>
        <w:trPr>
          <w:trHeight w:val="327" w:hRule="exact"/>
        </w:trPr>
        <w:tc>
          <w:tcPr>
            <w:tcW w:w="2008"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843"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580"/>
              <w:jc w:val="right"/>
              <w:rPr>
                <w:rFonts w:ascii="宋体" w:hAnsi="宋体" w:cs="宋体" w:eastAsia="宋体" w:hint="default"/>
                <w:sz w:val="18"/>
                <w:szCs w:val="18"/>
              </w:rPr>
            </w:pPr>
            <w:r>
              <w:rPr>
                <w:rFonts w:ascii="宋体" w:hAnsi="宋体" w:cs="宋体" w:eastAsia="宋体" w:hint="default"/>
                <w:sz w:val="18"/>
                <w:szCs w:val="18"/>
              </w:rPr>
              <w:t>无关联客户</w:t>
            </w:r>
          </w:p>
        </w:tc>
        <w:tc>
          <w:tcPr>
            <w:tcW w:w="1726"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5,929,180.00</w:t>
            </w:r>
          </w:p>
        </w:tc>
        <w:tc>
          <w:tcPr>
            <w:tcW w:w="1571"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13"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z w:val="18"/>
              </w:rPr>
              <w:t>3.14</w:t>
            </w:r>
          </w:p>
        </w:tc>
      </w:tr>
    </w:tbl>
    <w:p>
      <w:pPr>
        <w:spacing w:line="240" w:lineRule="auto" w:before="7"/>
        <w:rPr>
          <w:rFonts w:ascii="宋体" w:hAnsi="宋体" w:cs="宋体" w:eastAsia="宋体" w:hint="default"/>
          <w:b/>
          <w:bCs/>
          <w:sz w:val="21"/>
          <w:szCs w:val="21"/>
        </w:rPr>
      </w:pPr>
    </w:p>
    <w:p>
      <w:pPr>
        <w:tabs>
          <w:tab w:pos="1547" w:val="left" w:leader="none"/>
        </w:tabs>
        <w:spacing w:before="35"/>
        <w:ind w:left="1019" w:right="0" w:firstLine="0"/>
        <w:jc w:val="left"/>
        <w:rPr>
          <w:rFonts w:ascii="宋体" w:hAnsi="宋体" w:cs="宋体" w:eastAsia="宋体" w:hint="default"/>
          <w:sz w:val="21"/>
          <w:szCs w:val="21"/>
        </w:rPr>
      </w:pPr>
      <w:r>
        <w:rPr/>
        <w:pict>
          <v:group style="position:absolute;margin-left:81.959999pt;margin-top:-81.685905pt;width:470.25pt;height:65.3500pt;mso-position-horizontal-relative:page;mso-position-vertical-relative:paragraph;z-index:-782896" coordorigin="1639,-1634" coordsize="9405,1307">
            <v:shape style="position:absolute;left:4885;top:-1634;width:4344;height:370" type="#_x0000_t75" stroked="false">
              <v:imagedata r:id="rId114" o:title=""/>
            </v:shape>
            <v:shape style="position:absolute;left:1639;top:-1312;width:9404;height:985" type="#_x0000_t75" stroked="false">
              <v:imagedata r:id="rId115" o:title=""/>
            </v:shape>
            <w10:wrap type="none"/>
          </v:group>
        </w:pict>
      </w:r>
      <w:r>
        <w:rPr>
          <w:rFonts w:ascii="宋体" w:hAnsi="宋体" w:cs="宋体" w:eastAsia="宋体" w:hint="default"/>
          <w:b/>
          <w:bCs/>
          <w:w w:val="95"/>
          <w:sz w:val="21"/>
          <w:szCs w:val="21"/>
        </w:rPr>
        <w:t>7、</w:t>
        <w:tab/>
      </w:r>
      <w:r>
        <w:rPr>
          <w:rFonts w:ascii="宋体" w:hAnsi="宋体" w:cs="宋体" w:eastAsia="宋体" w:hint="default"/>
          <w:b/>
          <w:bCs/>
          <w:sz w:val="21"/>
          <w:szCs w:val="21"/>
        </w:rPr>
        <w:t>年末数中无应收关联方款项的情况。</w:t>
      </w:r>
      <w:r>
        <w:rPr>
          <w:rFonts w:ascii="宋体" w:hAnsi="宋体" w:cs="宋体" w:eastAsia="宋体" w:hint="default"/>
          <w:sz w:val="21"/>
          <w:szCs w:val="21"/>
        </w:rPr>
      </w:r>
    </w:p>
    <w:p>
      <w:pPr>
        <w:spacing w:line="240" w:lineRule="auto" w:before="13"/>
        <w:rPr>
          <w:rFonts w:ascii="宋体" w:hAnsi="宋体" w:cs="宋体" w:eastAsia="宋体" w:hint="default"/>
          <w:b/>
          <w:bCs/>
          <w:sz w:val="27"/>
          <w:szCs w:val="27"/>
        </w:rPr>
      </w:pPr>
    </w:p>
    <w:p>
      <w:pPr>
        <w:tabs>
          <w:tab w:pos="993" w:val="left" w:leader="none"/>
        </w:tabs>
        <w:spacing w:before="0"/>
        <w:ind w:left="26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其他应收款</w:t>
      </w:r>
      <w:r>
        <w:rPr>
          <w:rFonts w:ascii="宋体" w:hAnsi="宋体" w:cs="宋体" w:eastAsia="宋体" w:hint="default"/>
          <w:sz w:val="21"/>
          <w:szCs w:val="21"/>
        </w:rPr>
      </w:r>
    </w:p>
    <w:p>
      <w:pPr>
        <w:tabs>
          <w:tab w:pos="1434" w:val="left" w:leader="none"/>
        </w:tabs>
        <w:spacing w:before="109"/>
        <w:ind w:left="895" w:right="0" w:firstLine="0"/>
        <w:jc w:val="left"/>
        <w:rPr>
          <w:rFonts w:ascii="宋体" w:hAnsi="宋体" w:cs="宋体" w:eastAsia="宋体" w:hint="default"/>
          <w:sz w:val="21"/>
          <w:szCs w:val="21"/>
        </w:rPr>
      </w:pPr>
      <w:r>
        <w:rPr/>
        <w:pict>
          <v:group style="position:absolute;margin-left:83.129997pt;margin-top:20.833956pt;width:448.15pt;height:243.45pt;mso-position-horizontal-relative:page;mso-position-vertical-relative:paragraph;z-index:-782512" coordorigin="1663,417" coordsize="8963,4869">
            <v:group style="position:absolute;left:1692;top:432;width:8904;height:2" coordorigin="1692,432" coordsize="8904,2">
              <v:shape style="position:absolute;left:1692;top:432;width:8904;height:2" coordorigin="1692,432" coordsize="8904,0" path="m1692,432l10596,432e" filled="false" stroked="true" strokeweight="1.5pt" strokecolor="#000000">
                <v:path arrowok="t"/>
              </v:shape>
              <v:shape style="position:absolute;left:2997;top:427;width:3982;height:494" type="#_x0000_t75" stroked="false">
                <v:imagedata r:id="rId116" o:title=""/>
              </v:shape>
              <v:shape style="position:absolute;left:2997;top:882;width:7625;height:1138" type="#_x0000_t75" stroked="false">
                <v:imagedata r:id="rId117" o:title=""/>
              </v:shape>
            </v:group>
            <v:group style="position:absolute;left:1678;top:5270;width:1340;height:2" coordorigin="1678,5270" coordsize="1340,2">
              <v:shape style="position:absolute;left:1678;top:5270;width:1340;height:2" coordorigin="1678,5270" coordsize="1340,0" path="m1678,5270l3017,5270e" filled="false" stroked="true" strokeweight="1.5pt" strokecolor="#000000">
                <v:path arrowok="t"/>
              </v:shape>
            </v:group>
            <v:group style="position:absolute;left:3017;top:5270;width:1311;height:2" coordorigin="3017,5270" coordsize="1311,2">
              <v:shape style="position:absolute;left:3017;top:5270;width:1311;height:2" coordorigin="3017,5270" coordsize="1311,0" path="m3017,5270l4327,5270e" filled="false" stroked="true" strokeweight="1.5pt" strokecolor="#000000">
                <v:path arrowok="t"/>
              </v:shape>
            </v:group>
            <v:group style="position:absolute;left:4327;top:5270;width:729;height:2" coordorigin="4327,5270" coordsize="729,2">
              <v:shape style="position:absolute;left:4327;top:5270;width:729;height:2" coordorigin="4327,5270" coordsize="729,0" path="m4327,5270l5056,5270e" filled="false" stroked="true" strokeweight="1.5pt" strokecolor="#000000">
                <v:path arrowok="t"/>
              </v:shape>
            </v:group>
            <v:group style="position:absolute;left:5056;top:5270;width:1166;height:2" coordorigin="5056,5270" coordsize="1166,2">
              <v:shape style="position:absolute;left:5056;top:5270;width:1166;height:2" coordorigin="5056,5270" coordsize="1166,0" path="m5056,5270l6221,5270e" filled="false" stroked="true" strokeweight="1.5pt" strokecolor="#000000">
                <v:path arrowok="t"/>
              </v:shape>
            </v:group>
            <v:group style="position:absolute;left:6221;top:5270;width:729;height:2" coordorigin="6221,5270" coordsize="729,2">
              <v:shape style="position:absolute;left:6221;top:5270;width:729;height:2" coordorigin="6221,5270" coordsize="729,0" path="m6221,5270l6949,5270e" filled="false" stroked="true" strokeweight="1.5pt" strokecolor="#000000">
                <v:path arrowok="t"/>
              </v:shape>
            </v:group>
            <v:group style="position:absolute;left:6949;top:5270;width:1166;height:2" coordorigin="6949,5270" coordsize="1166,2">
              <v:shape style="position:absolute;left:6949;top:5270;width:1166;height:2" coordorigin="6949,5270" coordsize="1166,0" path="m6949,5270l8114,5270e" filled="false" stroked="true" strokeweight="1.5pt" strokecolor="#000000">
                <v:path arrowok="t"/>
              </v:shape>
            </v:group>
            <v:group style="position:absolute;left:8114;top:5270;width:729;height:2" coordorigin="8114,5270" coordsize="729,2">
              <v:shape style="position:absolute;left:8114;top:5270;width:729;height:2" coordorigin="8114,5270" coordsize="729,0" path="m8114,5270l8843,5270e" filled="false" stroked="true" strokeweight="1.5pt" strokecolor="#000000">
                <v:path arrowok="t"/>
              </v:shape>
            </v:group>
            <v:group style="position:absolute;left:8843;top:5270;width:1166;height:2" coordorigin="8843,5270" coordsize="1166,2">
              <v:shape style="position:absolute;left:8843;top:5270;width:1166;height:2" coordorigin="8843,5270" coordsize="1166,0" path="m8843,5270l10008,5270e" filled="false" stroked="true" strokeweight="1.5pt" strokecolor="#000000">
                <v:path arrowok="t"/>
              </v:shape>
              <v:shape style="position:absolute;left:1663;top:1981;width:8962;height:3274" type="#_x0000_t75" stroked="false">
                <v:imagedata r:id="rId118" o:title=""/>
              </v:shape>
            </v:group>
            <v:group style="position:absolute;left:10008;top:5270;width:588;height:2" coordorigin="10008,5270" coordsize="588,2">
              <v:shape style="position:absolute;left:10008;top:5270;width:588;height:2" coordorigin="10008,5270" coordsize="588,0" path="m10008,5270l10596,5270e" filled="false" stroked="true" strokeweight="1.5pt" strokecolor="#000000">
                <v:path arrowok="t"/>
              </v:shape>
              <v:shape style="position:absolute;left:4687;top:59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shape style="position:absolute;left:8474;top:59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2206;top:1147;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账龄</w:t>
                      </w:r>
                    </w:p>
                  </w:txbxContent>
                </v:textbox>
                <w10:wrap type="none"/>
              </v:shape>
              <v:shape style="position:absolute;left:3739;top:106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5707;top:106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7601;top:106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9421;top:106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10139;top:1457;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3510;top:161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4348;top:1613;width:725;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比例（</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xbxContent>
                </v:textbox>
                <w10:wrap type="none"/>
              </v:shape>
              <v:shape style="position:absolute;left:5477;top:161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6240;top:1613;width:725;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比例（</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xbxContent>
                </v:textbox>
                <w10:wrap type="none"/>
              </v:shape>
              <v:shape style="position:absolute;left:7370;top:161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8135;top:1613;width:725;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比例（</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xbxContent>
                </v:textbox>
                <w10:wrap type="none"/>
              </v:shape>
              <v:shape style="position:absolute;left:9264;top:161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其他应收款账龄分析</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4"/>
          <w:szCs w:val="24"/>
        </w:rPr>
      </w:pPr>
    </w:p>
    <w:tbl>
      <w:tblPr>
        <w:tblW w:w="0" w:type="auto"/>
        <w:jc w:val="left"/>
        <w:tblInd w:w="245" w:type="dxa"/>
        <w:tblLayout w:type="fixed"/>
        <w:tblCellMar>
          <w:top w:w="0" w:type="dxa"/>
          <w:left w:w="0" w:type="dxa"/>
          <w:bottom w:w="0" w:type="dxa"/>
          <w:right w:w="0" w:type="dxa"/>
        </w:tblCellMar>
        <w:tblLook w:val="01E0"/>
      </w:tblPr>
      <w:tblGrid>
        <w:gridCol w:w="1409"/>
        <w:gridCol w:w="1183"/>
        <w:gridCol w:w="760"/>
        <w:gridCol w:w="1133"/>
        <w:gridCol w:w="722"/>
        <w:gridCol w:w="1172"/>
        <w:gridCol w:w="760"/>
        <w:gridCol w:w="1087"/>
        <w:gridCol w:w="545"/>
      </w:tblGrid>
      <w:tr>
        <w:trPr>
          <w:trHeight w:val="705" w:hRule="exact"/>
        </w:trPr>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38"/>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7"/>
                <w:sz w:val="15"/>
                <w:szCs w:val="15"/>
              </w:rPr>
              <w:t> </w:t>
            </w:r>
            <w:r>
              <w:rPr>
                <w:rFonts w:ascii="宋体" w:hAnsi="宋体" w:cs="宋体" w:eastAsia="宋体" w:hint="default"/>
                <w:sz w:val="15"/>
                <w:szCs w:val="15"/>
              </w:rPr>
              <w:t>年以</w:t>
            </w:r>
            <w:r>
              <w:rPr>
                <w:rFonts w:ascii="宋体" w:hAnsi="宋体" w:cs="宋体" w:eastAsia="宋体" w:hint="default"/>
                <w:spacing w:val="-75"/>
                <w:sz w:val="15"/>
                <w:szCs w:val="15"/>
              </w:rPr>
              <w:t>内</w:t>
            </w:r>
            <w:r>
              <w:rPr>
                <w:rFonts w:ascii="宋体" w:hAnsi="宋体" w:cs="宋体" w:eastAsia="宋体" w:hint="default"/>
                <w:sz w:val="15"/>
                <w:szCs w:val="15"/>
              </w:rPr>
              <w:t>（含</w:t>
            </w:r>
            <w:r>
              <w:rPr>
                <w:rFonts w:ascii="宋体" w:hAnsi="宋体" w:cs="宋体" w:eastAsia="宋体" w:hint="default"/>
                <w:spacing w:val="-55"/>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6"/>
                <w:sz w:val="15"/>
                <w:szCs w:val="15"/>
              </w:rPr>
              <w:t> </w:t>
            </w:r>
            <w:r>
              <w:rPr>
                <w:rFonts w:ascii="宋体" w:hAnsi="宋体" w:cs="宋体" w:eastAsia="宋体" w:hint="default"/>
                <w:spacing w:val="-2"/>
                <w:sz w:val="15"/>
                <w:szCs w:val="15"/>
              </w:rPr>
              <w:t>年）</w:t>
            </w:r>
            <w:r>
              <w:rPr>
                <w:rFonts w:ascii="宋体" w:hAnsi="宋体" w:cs="宋体" w:eastAsia="宋体" w:hint="default"/>
                <w:sz w:val="15"/>
                <w:szCs w:val="15"/>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130"/>
              <w:jc w:val="right"/>
              <w:rPr>
                <w:rFonts w:ascii="Times New Roman" w:hAnsi="Times New Roman" w:cs="Times New Roman" w:eastAsia="Times New Roman" w:hint="default"/>
                <w:sz w:val="15"/>
                <w:szCs w:val="15"/>
              </w:rPr>
            </w:pPr>
            <w:r>
              <w:rPr>
                <w:rFonts w:ascii="Times New Roman"/>
                <w:spacing w:val="-1"/>
                <w:sz w:val="15"/>
              </w:rPr>
              <w:t>20,025,991.30</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79"/>
              <w:jc w:val="center"/>
              <w:rPr>
                <w:rFonts w:ascii="Times New Roman" w:hAnsi="Times New Roman" w:cs="Times New Roman" w:eastAsia="Times New Roman" w:hint="default"/>
                <w:sz w:val="15"/>
                <w:szCs w:val="15"/>
              </w:rPr>
            </w:pPr>
            <w:r>
              <w:rPr>
                <w:rFonts w:ascii="Times New Roman"/>
                <w:sz w:val="15"/>
              </w:rPr>
              <w:t>90.46</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131"/>
              <w:jc w:val="right"/>
              <w:rPr>
                <w:rFonts w:ascii="Times New Roman" w:hAnsi="Times New Roman" w:cs="Times New Roman" w:eastAsia="Times New Roman" w:hint="default"/>
                <w:sz w:val="15"/>
                <w:szCs w:val="15"/>
              </w:rPr>
            </w:pPr>
            <w:r>
              <w:rPr>
                <w:rFonts w:ascii="Times New Roman"/>
                <w:spacing w:val="-1"/>
                <w:sz w:val="15"/>
              </w:rPr>
              <w:t>5,826,391.14</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left="169" w:right="0"/>
              <w:jc w:val="left"/>
              <w:rPr>
                <w:rFonts w:ascii="Times New Roman" w:hAnsi="Times New Roman" w:cs="Times New Roman" w:eastAsia="Times New Roman" w:hint="default"/>
                <w:sz w:val="15"/>
                <w:szCs w:val="15"/>
              </w:rPr>
            </w:pPr>
            <w:r>
              <w:rPr>
                <w:rFonts w:ascii="Times New Roman"/>
                <w:sz w:val="15"/>
              </w:rPr>
              <w:t>29.09</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130"/>
              <w:jc w:val="right"/>
              <w:rPr>
                <w:rFonts w:ascii="Times New Roman" w:hAnsi="Times New Roman" w:cs="Times New Roman" w:eastAsia="Times New Roman" w:hint="default"/>
                <w:sz w:val="15"/>
                <w:szCs w:val="15"/>
              </w:rPr>
            </w:pPr>
            <w:r>
              <w:rPr>
                <w:rFonts w:ascii="Times New Roman"/>
                <w:spacing w:val="-1"/>
                <w:sz w:val="15"/>
              </w:rPr>
              <w:t>14,448,726.38</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249"/>
              <w:jc w:val="right"/>
              <w:rPr>
                <w:rFonts w:ascii="Times New Roman" w:hAnsi="Times New Roman" w:cs="Times New Roman" w:eastAsia="Times New Roman" w:hint="default"/>
                <w:sz w:val="15"/>
                <w:szCs w:val="15"/>
              </w:rPr>
            </w:pPr>
            <w:r>
              <w:rPr>
                <w:rFonts w:ascii="Times New Roman"/>
                <w:spacing w:val="-1"/>
                <w:sz w:val="15"/>
              </w:rPr>
              <w:t>92.51</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83"/>
              <w:jc w:val="right"/>
              <w:rPr>
                <w:rFonts w:ascii="Times New Roman" w:hAnsi="Times New Roman" w:cs="Times New Roman" w:eastAsia="Times New Roman" w:hint="default"/>
                <w:sz w:val="15"/>
                <w:szCs w:val="15"/>
              </w:rPr>
            </w:pPr>
            <w:r>
              <w:rPr>
                <w:rFonts w:ascii="Times New Roman"/>
                <w:spacing w:val="-1"/>
                <w:sz w:val="15"/>
              </w:rPr>
              <w:t>3,656,592.96</w:t>
            </w:r>
          </w:p>
        </w:tc>
        <w:tc>
          <w:tcPr>
            <w:tcW w:w="545" w:type="dxa"/>
            <w:tcBorders>
              <w:top w:val="nil" w:sz="6" w:space="0" w:color="auto"/>
              <w:left w:val="nil" w:sz="6" w:space="0" w:color="auto"/>
              <w:bottom w:val="nil" w:sz="6" w:space="0" w:color="auto"/>
              <w:right w:val="nil" w:sz="6" w:space="0" w:color="auto"/>
            </w:tcBorders>
          </w:tcPr>
          <w:p>
            <w:pPr>
              <w:pStyle w:val="TableParagraph"/>
              <w:spacing w:line="161" w:lineRule="exact"/>
              <w:ind w:left="144" w:right="0" w:hanging="59"/>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left="144" w:right="0"/>
              <w:jc w:val="left"/>
              <w:rPr>
                <w:rFonts w:ascii="Times New Roman" w:hAnsi="Times New Roman" w:cs="Times New Roman" w:eastAsia="Times New Roman" w:hint="default"/>
                <w:sz w:val="15"/>
                <w:szCs w:val="15"/>
              </w:rPr>
            </w:pPr>
            <w:r>
              <w:rPr>
                <w:rFonts w:ascii="Times New Roman"/>
                <w:sz w:val="15"/>
              </w:rPr>
              <w:t>25.31</w:t>
            </w:r>
          </w:p>
        </w:tc>
      </w:tr>
      <w:tr>
        <w:trPr>
          <w:trHeight w:val="465" w:hRule="exact"/>
        </w:trPr>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1-2</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年（含</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2</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30"/>
              <w:jc w:val="right"/>
              <w:rPr>
                <w:rFonts w:ascii="Times New Roman" w:hAnsi="Times New Roman" w:cs="Times New Roman" w:eastAsia="Times New Roman" w:hint="default"/>
                <w:sz w:val="15"/>
                <w:szCs w:val="15"/>
              </w:rPr>
            </w:pPr>
            <w:r>
              <w:rPr>
                <w:rFonts w:ascii="Times New Roman"/>
                <w:spacing w:val="-1"/>
                <w:sz w:val="15"/>
              </w:rPr>
              <w:t>1,132,127.24</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80"/>
              <w:jc w:val="center"/>
              <w:rPr>
                <w:rFonts w:ascii="Times New Roman" w:hAnsi="Times New Roman" w:cs="Times New Roman" w:eastAsia="Times New Roman" w:hint="default"/>
                <w:sz w:val="15"/>
                <w:szCs w:val="15"/>
              </w:rPr>
            </w:pPr>
            <w:r>
              <w:rPr>
                <w:rFonts w:ascii="Times New Roman"/>
                <w:sz w:val="15"/>
              </w:rPr>
              <w:t>5.11</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29"/>
              <w:jc w:val="right"/>
              <w:rPr>
                <w:rFonts w:ascii="Times New Roman" w:hAnsi="Times New Roman" w:cs="Times New Roman" w:eastAsia="Times New Roman" w:hint="default"/>
                <w:sz w:val="15"/>
                <w:szCs w:val="15"/>
              </w:rPr>
            </w:pPr>
            <w:r>
              <w:rPr>
                <w:rFonts w:ascii="Times New Roman"/>
                <w:spacing w:val="-1"/>
                <w:w w:val="95"/>
                <w:sz w:val="15"/>
              </w:rPr>
              <w:t>113,212.73</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left="169" w:right="0"/>
              <w:jc w:val="left"/>
              <w:rPr>
                <w:rFonts w:ascii="Times New Roman" w:hAnsi="Times New Roman" w:cs="Times New Roman" w:eastAsia="Times New Roman" w:hint="default"/>
                <w:sz w:val="15"/>
                <w:szCs w:val="15"/>
              </w:rPr>
            </w:pPr>
            <w:r>
              <w:rPr>
                <w:rFonts w:ascii="Times New Roman"/>
                <w:sz w:val="15"/>
              </w:rPr>
              <w:t>10.00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30"/>
              <w:jc w:val="right"/>
              <w:rPr>
                <w:rFonts w:ascii="Times New Roman" w:hAnsi="Times New Roman" w:cs="Times New Roman" w:eastAsia="Times New Roman" w:hint="default"/>
                <w:sz w:val="15"/>
                <w:szCs w:val="15"/>
              </w:rPr>
            </w:pPr>
            <w:r>
              <w:rPr>
                <w:rFonts w:ascii="Times New Roman"/>
                <w:spacing w:val="-1"/>
                <w:sz w:val="15"/>
              </w:rPr>
              <w:t>974,653.27</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286"/>
              <w:jc w:val="right"/>
              <w:rPr>
                <w:rFonts w:ascii="Times New Roman" w:hAnsi="Times New Roman" w:cs="Times New Roman" w:eastAsia="Times New Roman" w:hint="default"/>
                <w:sz w:val="15"/>
                <w:szCs w:val="15"/>
              </w:rPr>
            </w:pPr>
            <w:r>
              <w:rPr>
                <w:rFonts w:ascii="Times New Roman"/>
                <w:spacing w:val="-1"/>
                <w:sz w:val="15"/>
              </w:rPr>
              <w:t>6.24</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83"/>
              <w:jc w:val="right"/>
              <w:rPr>
                <w:rFonts w:ascii="Times New Roman" w:hAnsi="Times New Roman" w:cs="Times New Roman" w:eastAsia="Times New Roman" w:hint="default"/>
                <w:sz w:val="15"/>
                <w:szCs w:val="15"/>
              </w:rPr>
            </w:pPr>
            <w:r>
              <w:rPr>
                <w:rFonts w:ascii="Times New Roman"/>
                <w:spacing w:val="-1"/>
                <w:sz w:val="15"/>
              </w:rPr>
              <w:t>97,465.33</w:t>
            </w:r>
          </w:p>
        </w:tc>
        <w:tc>
          <w:tcPr>
            <w:tcW w:w="54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61"/>
              <w:jc w:val="right"/>
              <w:rPr>
                <w:rFonts w:ascii="Times New Roman" w:hAnsi="Times New Roman" w:cs="Times New Roman" w:eastAsia="Times New Roman" w:hint="default"/>
                <w:sz w:val="15"/>
                <w:szCs w:val="15"/>
              </w:rPr>
            </w:pPr>
            <w:r>
              <w:rPr>
                <w:rFonts w:ascii="Times New Roman"/>
                <w:spacing w:val="-1"/>
                <w:sz w:val="15"/>
              </w:rPr>
              <w:t>10.00</w:t>
            </w:r>
          </w:p>
        </w:tc>
      </w:tr>
      <w:tr>
        <w:trPr>
          <w:trHeight w:val="465" w:hRule="exact"/>
        </w:trPr>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2-3</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年（含</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3</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30"/>
              <w:jc w:val="right"/>
              <w:rPr>
                <w:rFonts w:ascii="Times New Roman" w:hAnsi="Times New Roman" w:cs="Times New Roman" w:eastAsia="Times New Roman" w:hint="default"/>
                <w:sz w:val="15"/>
                <w:szCs w:val="15"/>
              </w:rPr>
            </w:pPr>
            <w:r>
              <w:rPr>
                <w:rFonts w:ascii="Times New Roman"/>
                <w:spacing w:val="-1"/>
                <w:sz w:val="15"/>
              </w:rPr>
              <w:t>810,099.00</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78"/>
              <w:jc w:val="center"/>
              <w:rPr>
                <w:rFonts w:ascii="Times New Roman" w:hAnsi="Times New Roman" w:cs="Times New Roman" w:eastAsia="Times New Roman" w:hint="default"/>
                <w:sz w:val="15"/>
                <w:szCs w:val="15"/>
              </w:rPr>
            </w:pPr>
            <w:r>
              <w:rPr>
                <w:rFonts w:ascii="Times New Roman"/>
                <w:sz w:val="15"/>
              </w:rPr>
              <w:t>3.66</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31"/>
              <w:jc w:val="right"/>
              <w:rPr>
                <w:rFonts w:ascii="Times New Roman" w:hAnsi="Times New Roman" w:cs="Times New Roman" w:eastAsia="Times New Roman" w:hint="default"/>
                <w:sz w:val="15"/>
                <w:szCs w:val="15"/>
              </w:rPr>
            </w:pPr>
            <w:r>
              <w:rPr>
                <w:rFonts w:ascii="Times New Roman"/>
                <w:spacing w:val="-1"/>
                <w:sz w:val="15"/>
              </w:rPr>
              <w:t>162,019.80</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left="169" w:right="0"/>
              <w:jc w:val="left"/>
              <w:rPr>
                <w:rFonts w:ascii="Times New Roman" w:hAnsi="Times New Roman" w:cs="Times New Roman" w:eastAsia="Times New Roman" w:hint="default"/>
                <w:sz w:val="15"/>
                <w:szCs w:val="15"/>
              </w:rPr>
            </w:pPr>
            <w:r>
              <w:rPr>
                <w:rFonts w:ascii="Times New Roman"/>
                <w:sz w:val="15"/>
              </w:rPr>
              <w:t>20.00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30"/>
              <w:jc w:val="right"/>
              <w:rPr>
                <w:rFonts w:ascii="Times New Roman" w:hAnsi="Times New Roman" w:cs="Times New Roman" w:eastAsia="Times New Roman" w:hint="default"/>
                <w:sz w:val="15"/>
                <w:szCs w:val="15"/>
              </w:rPr>
            </w:pPr>
            <w:r>
              <w:rPr>
                <w:rFonts w:ascii="Times New Roman"/>
                <w:spacing w:val="-1"/>
                <w:sz w:val="15"/>
              </w:rPr>
              <w:t>63,430.00</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286"/>
              <w:jc w:val="right"/>
              <w:rPr>
                <w:rFonts w:ascii="Times New Roman" w:hAnsi="Times New Roman" w:cs="Times New Roman" w:eastAsia="Times New Roman" w:hint="default"/>
                <w:sz w:val="15"/>
                <w:szCs w:val="15"/>
              </w:rPr>
            </w:pPr>
            <w:r>
              <w:rPr>
                <w:rFonts w:ascii="Times New Roman"/>
                <w:spacing w:val="-1"/>
                <w:sz w:val="15"/>
              </w:rPr>
              <w:t>0.41</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83"/>
              <w:jc w:val="right"/>
              <w:rPr>
                <w:rFonts w:ascii="Times New Roman" w:hAnsi="Times New Roman" w:cs="Times New Roman" w:eastAsia="Times New Roman" w:hint="default"/>
                <w:sz w:val="15"/>
                <w:szCs w:val="15"/>
              </w:rPr>
            </w:pPr>
            <w:r>
              <w:rPr>
                <w:rFonts w:ascii="Times New Roman"/>
                <w:spacing w:val="-1"/>
                <w:sz w:val="15"/>
              </w:rPr>
              <w:t>12,686.00</w:t>
            </w:r>
          </w:p>
        </w:tc>
        <w:tc>
          <w:tcPr>
            <w:tcW w:w="54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61"/>
              <w:jc w:val="right"/>
              <w:rPr>
                <w:rFonts w:ascii="Times New Roman" w:hAnsi="Times New Roman" w:cs="Times New Roman" w:eastAsia="Times New Roman" w:hint="default"/>
                <w:sz w:val="15"/>
                <w:szCs w:val="15"/>
              </w:rPr>
            </w:pPr>
            <w:r>
              <w:rPr>
                <w:rFonts w:ascii="Times New Roman"/>
                <w:spacing w:val="-1"/>
                <w:sz w:val="15"/>
              </w:rPr>
              <w:t>20.00</w:t>
            </w:r>
          </w:p>
        </w:tc>
      </w:tr>
      <w:tr>
        <w:trPr>
          <w:trHeight w:val="465" w:hRule="exact"/>
        </w:trPr>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3-4</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年（含</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4</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30"/>
              <w:jc w:val="right"/>
              <w:rPr>
                <w:rFonts w:ascii="Times New Roman" w:hAnsi="Times New Roman" w:cs="Times New Roman" w:eastAsia="Times New Roman" w:hint="default"/>
                <w:sz w:val="15"/>
                <w:szCs w:val="15"/>
              </w:rPr>
            </w:pPr>
            <w:r>
              <w:rPr>
                <w:rFonts w:ascii="Times New Roman"/>
                <w:spacing w:val="-1"/>
                <w:sz w:val="15"/>
              </w:rPr>
              <w:t>38,430.00</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78"/>
              <w:jc w:val="center"/>
              <w:rPr>
                <w:rFonts w:ascii="Times New Roman" w:hAnsi="Times New Roman" w:cs="Times New Roman" w:eastAsia="Times New Roman" w:hint="default"/>
                <w:sz w:val="15"/>
                <w:szCs w:val="15"/>
              </w:rPr>
            </w:pPr>
            <w:r>
              <w:rPr>
                <w:rFonts w:ascii="Times New Roman"/>
                <w:sz w:val="15"/>
              </w:rPr>
              <w:t>0.17</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30"/>
              <w:jc w:val="right"/>
              <w:rPr>
                <w:rFonts w:ascii="Times New Roman" w:hAnsi="Times New Roman" w:cs="Times New Roman" w:eastAsia="Times New Roman" w:hint="default"/>
                <w:sz w:val="15"/>
                <w:szCs w:val="15"/>
              </w:rPr>
            </w:pPr>
            <w:r>
              <w:rPr>
                <w:rFonts w:ascii="Times New Roman"/>
                <w:spacing w:val="-2"/>
                <w:sz w:val="15"/>
              </w:rPr>
              <w:t>11,529.00</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left="169" w:right="0"/>
              <w:jc w:val="left"/>
              <w:rPr>
                <w:rFonts w:ascii="Times New Roman" w:hAnsi="Times New Roman" w:cs="Times New Roman" w:eastAsia="Times New Roman" w:hint="default"/>
                <w:sz w:val="15"/>
                <w:szCs w:val="15"/>
              </w:rPr>
            </w:pPr>
            <w:r>
              <w:rPr>
                <w:rFonts w:ascii="Times New Roman"/>
                <w:sz w:val="15"/>
              </w:rPr>
              <w:t>30.00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30"/>
              <w:jc w:val="right"/>
              <w:rPr>
                <w:rFonts w:ascii="Times New Roman" w:hAnsi="Times New Roman" w:cs="Times New Roman" w:eastAsia="Times New Roman" w:hint="default"/>
                <w:sz w:val="15"/>
                <w:szCs w:val="15"/>
              </w:rPr>
            </w:pPr>
            <w:r>
              <w:rPr>
                <w:rFonts w:ascii="Times New Roman"/>
                <w:spacing w:val="-1"/>
                <w:sz w:val="15"/>
              </w:rPr>
              <w:t>72,000.00</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286"/>
              <w:jc w:val="right"/>
              <w:rPr>
                <w:rFonts w:ascii="Times New Roman" w:hAnsi="Times New Roman" w:cs="Times New Roman" w:eastAsia="Times New Roman" w:hint="default"/>
                <w:sz w:val="15"/>
                <w:szCs w:val="15"/>
              </w:rPr>
            </w:pPr>
            <w:r>
              <w:rPr>
                <w:rFonts w:ascii="Times New Roman"/>
                <w:spacing w:val="-1"/>
                <w:sz w:val="15"/>
              </w:rPr>
              <w:t>0.46</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83"/>
              <w:jc w:val="right"/>
              <w:rPr>
                <w:rFonts w:ascii="Times New Roman" w:hAnsi="Times New Roman" w:cs="Times New Roman" w:eastAsia="Times New Roman" w:hint="default"/>
                <w:sz w:val="15"/>
                <w:szCs w:val="15"/>
              </w:rPr>
            </w:pPr>
            <w:r>
              <w:rPr>
                <w:rFonts w:ascii="Times New Roman"/>
                <w:spacing w:val="-1"/>
                <w:sz w:val="15"/>
              </w:rPr>
              <w:t>21,600.00</w:t>
            </w:r>
          </w:p>
        </w:tc>
        <w:tc>
          <w:tcPr>
            <w:tcW w:w="54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61"/>
              <w:jc w:val="right"/>
              <w:rPr>
                <w:rFonts w:ascii="Times New Roman" w:hAnsi="Times New Roman" w:cs="Times New Roman" w:eastAsia="Times New Roman" w:hint="default"/>
                <w:sz w:val="15"/>
                <w:szCs w:val="15"/>
              </w:rPr>
            </w:pPr>
            <w:r>
              <w:rPr>
                <w:rFonts w:ascii="Times New Roman"/>
                <w:spacing w:val="-1"/>
                <w:sz w:val="15"/>
              </w:rPr>
              <w:t>30.00</w:t>
            </w:r>
          </w:p>
        </w:tc>
      </w:tr>
      <w:tr>
        <w:trPr>
          <w:trHeight w:val="465" w:hRule="exact"/>
        </w:trPr>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4-5</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年（含</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5</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30"/>
              <w:jc w:val="right"/>
              <w:rPr>
                <w:rFonts w:ascii="Times New Roman" w:hAnsi="Times New Roman" w:cs="Times New Roman" w:eastAsia="Times New Roman" w:hint="default"/>
                <w:sz w:val="15"/>
                <w:szCs w:val="15"/>
              </w:rPr>
            </w:pPr>
            <w:r>
              <w:rPr>
                <w:rFonts w:ascii="Times New Roman"/>
                <w:spacing w:val="-1"/>
                <w:sz w:val="15"/>
              </w:rPr>
              <w:t>72,000.00</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78"/>
              <w:jc w:val="center"/>
              <w:rPr>
                <w:rFonts w:ascii="Times New Roman" w:hAnsi="Times New Roman" w:cs="Times New Roman" w:eastAsia="Times New Roman" w:hint="default"/>
                <w:sz w:val="15"/>
                <w:szCs w:val="15"/>
              </w:rPr>
            </w:pPr>
            <w:r>
              <w:rPr>
                <w:rFonts w:ascii="Times New Roman"/>
                <w:sz w:val="15"/>
              </w:rPr>
              <w:t>0.33</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29"/>
              <w:jc w:val="right"/>
              <w:rPr>
                <w:rFonts w:ascii="Times New Roman" w:hAnsi="Times New Roman" w:cs="Times New Roman" w:eastAsia="Times New Roman" w:hint="default"/>
                <w:sz w:val="15"/>
                <w:szCs w:val="15"/>
              </w:rPr>
            </w:pPr>
            <w:r>
              <w:rPr>
                <w:rFonts w:ascii="Times New Roman"/>
                <w:spacing w:val="-1"/>
                <w:sz w:val="15"/>
              </w:rPr>
              <w:t>28,800.00</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left="169" w:right="0"/>
              <w:jc w:val="left"/>
              <w:rPr>
                <w:rFonts w:ascii="Times New Roman" w:hAnsi="Times New Roman" w:cs="Times New Roman" w:eastAsia="Times New Roman" w:hint="default"/>
                <w:sz w:val="15"/>
                <w:szCs w:val="15"/>
              </w:rPr>
            </w:pPr>
            <w:r>
              <w:rPr>
                <w:rFonts w:ascii="Times New Roman"/>
                <w:sz w:val="15"/>
              </w:rPr>
              <w:t>40.00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30"/>
              <w:jc w:val="right"/>
              <w:rPr>
                <w:rFonts w:ascii="Times New Roman" w:hAnsi="Times New Roman" w:cs="Times New Roman" w:eastAsia="Times New Roman" w:hint="default"/>
                <w:sz w:val="15"/>
                <w:szCs w:val="15"/>
              </w:rPr>
            </w:pPr>
            <w:r>
              <w:rPr>
                <w:rFonts w:ascii="Times New Roman"/>
                <w:spacing w:val="-1"/>
                <w:sz w:val="15"/>
              </w:rPr>
              <w:t>60,000.00</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286"/>
              <w:jc w:val="right"/>
              <w:rPr>
                <w:rFonts w:ascii="Times New Roman" w:hAnsi="Times New Roman" w:cs="Times New Roman" w:eastAsia="Times New Roman" w:hint="default"/>
                <w:sz w:val="15"/>
                <w:szCs w:val="15"/>
              </w:rPr>
            </w:pPr>
            <w:r>
              <w:rPr>
                <w:rFonts w:ascii="Times New Roman"/>
                <w:spacing w:val="-1"/>
                <w:sz w:val="15"/>
              </w:rPr>
              <w:t>0.38</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83"/>
              <w:jc w:val="right"/>
              <w:rPr>
                <w:rFonts w:ascii="Times New Roman" w:hAnsi="Times New Roman" w:cs="Times New Roman" w:eastAsia="Times New Roman" w:hint="default"/>
                <w:sz w:val="15"/>
                <w:szCs w:val="15"/>
              </w:rPr>
            </w:pPr>
            <w:r>
              <w:rPr>
                <w:rFonts w:ascii="Times New Roman"/>
                <w:spacing w:val="-1"/>
                <w:sz w:val="15"/>
              </w:rPr>
              <w:t>24,000.00</w:t>
            </w:r>
          </w:p>
        </w:tc>
        <w:tc>
          <w:tcPr>
            <w:tcW w:w="54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61"/>
              <w:jc w:val="right"/>
              <w:rPr>
                <w:rFonts w:ascii="Times New Roman" w:hAnsi="Times New Roman" w:cs="Times New Roman" w:eastAsia="Times New Roman" w:hint="default"/>
                <w:sz w:val="15"/>
                <w:szCs w:val="15"/>
              </w:rPr>
            </w:pPr>
            <w:r>
              <w:rPr>
                <w:rFonts w:ascii="Times New Roman"/>
                <w:spacing w:val="-1"/>
                <w:sz w:val="15"/>
              </w:rPr>
              <w:t>40.00</w:t>
            </w:r>
          </w:p>
        </w:tc>
      </w:tr>
      <w:tr>
        <w:trPr>
          <w:trHeight w:val="465" w:hRule="exact"/>
        </w:trPr>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 </w:t>
            </w:r>
            <w:r>
              <w:rPr>
                <w:rFonts w:ascii="宋体" w:hAnsi="宋体" w:cs="宋体" w:eastAsia="宋体" w:hint="default"/>
                <w:sz w:val="15"/>
                <w:szCs w:val="15"/>
              </w:rPr>
              <w:t>年以上</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30"/>
              <w:jc w:val="right"/>
              <w:rPr>
                <w:rFonts w:ascii="Times New Roman" w:hAnsi="Times New Roman" w:cs="Times New Roman" w:eastAsia="Times New Roman" w:hint="default"/>
                <w:sz w:val="15"/>
                <w:szCs w:val="15"/>
              </w:rPr>
            </w:pPr>
            <w:r>
              <w:rPr>
                <w:rFonts w:ascii="Times New Roman"/>
                <w:spacing w:val="-1"/>
                <w:sz w:val="15"/>
              </w:rPr>
              <w:t>60,000.00</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78"/>
              <w:jc w:val="center"/>
              <w:rPr>
                <w:rFonts w:ascii="Times New Roman" w:hAnsi="Times New Roman" w:cs="Times New Roman" w:eastAsia="Times New Roman" w:hint="default"/>
                <w:sz w:val="15"/>
                <w:szCs w:val="15"/>
              </w:rPr>
            </w:pPr>
            <w:r>
              <w:rPr>
                <w:rFonts w:ascii="Times New Roman"/>
                <w:sz w:val="15"/>
              </w:rPr>
              <w:t>0.27</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29"/>
              <w:jc w:val="right"/>
              <w:rPr>
                <w:rFonts w:ascii="Times New Roman" w:hAnsi="Times New Roman" w:cs="Times New Roman" w:eastAsia="Times New Roman" w:hint="default"/>
                <w:sz w:val="15"/>
                <w:szCs w:val="15"/>
              </w:rPr>
            </w:pPr>
            <w:r>
              <w:rPr>
                <w:rFonts w:ascii="Times New Roman"/>
                <w:spacing w:val="-1"/>
                <w:sz w:val="15"/>
              </w:rPr>
              <w:t>60,000.00</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left="131" w:right="0"/>
              <w:jc w:val="left"/>
              <w:rPr>
                <w:rFonts w:ascii="Times New Roman" w:hAnsi="Times New Roman" w:cs="Times New Roman" w:eastAsia="Times New Roman" w:hint="default"/>
                <w:sz w:val="15"/>
                <w:szCs w:val="15"/>
              </w:rPr>
            </w:pPr>
            <w:r>
              <w:rPr>
                <w:rFonts w:ascii="Times New Roman"/>
                <w:sz w:val="15"/>
              </w:rPr>
              <w:t>100.00</w:t>
            </w:r>
          </w:p>
        </w:tc>
        <w:tc>
          <w:tcPr>
            <w:tcW w:w="1172" w:type="dxa"/>
            <w:tcBorders>
              <w:top w:val="nil" w:sz="6" w:space="0" w:color="auto"/>
              <w:left w:val="nil" w:sz="6" w:space="0" w:color="auto"/>
              <w:bottom w:val="nil" w:sz="6" w:space="0" w:color="auto"/>
              <w:right w:val="nil" w:sz="6" w:space="0" w:color="auto"/>
            </w:tcBorders>
          </w:tcPr>
          <w:p>
            <w:pPr/>
          </w:p>
        </w:tc>
        <w:tc>
          <w:tcPr>
            <w:tcW w:w="760"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
        </w:tc>
        <w:tc>
          <w:tcPr>
            <w:tcW w:w="545" w:type="dxa"/>
            <w:tcBorders>
              <w:top w:val="nil" w:sz="6" w:space="0" w:color="auto"/>
              <w:left w:val="nil" w:sz="6" w:space="0" w:color="auto"/>
              <w:bottom w:val="nil" w:sz="6" w:space="0" w:color="auto"/>
              <w:right w:val="nil" w:sz="6" w:space="0" w:color="auto"/>
            </w:tcBorders>
          </w:tcPr>
          <w:p>
            <w:pPr/>
          </w:p>
        </w:tc>
      </w:tr>
      <w:tr>
        <w:trPr>
          <w:trHeight w:val="411" w:hRule="exact"/>
        </w:trPr>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440"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30"/>
              <w:jc w:val="right"/>
              <w:rPr>
                <w:rFonts w:ascii="Times New Roman" w:hAnsi="Times New Roman" w:cs="Times New Roman" w:eastAsia="Times New Roman" w:hint="default"/>
                <w:sz w:val="15"/>
                <w:szCs w:val="15"/>
              </w:rPr>
            </w:pPr>
            <w:r>
              <w:rPr>
                <w:rFonts w:ascii="Times New Roman"/>
                <w:spacing w:val="-1"/>
                <w:sz w:val="15"/>
              </w:rPr>
              <w:t>22,138,647.54</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79"/>
              <w:jc w:val="center"/>
              <w:rPr>
                <w:rFonts w:ascii="Times New Roman" w:hAnsi="Times New Roman" w:cs="Times New Roman" w:eastAsia="Times New Roman" w:hint="default"/>
                <w:sz w:val="15"/>
                <w:szCs w:val="15"/>
              </w:rPr>
            </w:pPr>
            <w:r>
              <w:rPr>
                <w:rFonts w:ascii="Times New Roman"/>
                <w:sz w:val="15"/>
              </w:rPr>
              <w:t>100.00</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31"/>
              <w:jc w:val="right"/>
              <w:rPr>
                <w:rFonts w:ascii="Times New Roman" w:hAnsi="Times New Roman" w:cs="Times New Roman" w:eastAsia="Times New Roman" w:hint="default"/>
                <w:sz w:val="15"/>
                <w:szCs w:val="15"/>
              </w:rPr>
            </w:pPr>
            <w:r>
              <w:rPr>
                <w:rFonts w:ascii="Times New Roman"/>
                <w:spacing w:val="-1"/>
                <w:sz w:val="15"/>
              </w:rPr>
              <w:t>6,201,952.67</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left="169" w:right="0"/>
              <w:jc w:val="left"/>
              <w:rPr>
                <w:rFonts w:ascii="Times New Roman" w:hAnsi="Times New Roman" w:cs="Times New Roman" w:eastAsia="Times New Roman" w:hint="default"/>
                <w:sz w:val="15"/>
                <w:szCs w:val="15"/>
              </w:rPr>
            </w:pPr>
            <w:r>
              <w:rPr>
                <w:rFonts w:ascii="Times New Roman"/>
                <w:sz w:val="15"/>
              </w:rPr>
              <w:t>28.01</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30"/>
              <w:jc w:val="right"/>
              <w:rPr>
                <w:rFonts w:ascii="Times New Roman" w:hAnsi="Times New Roman" w:cs="Times New Roman" w:eastAsia="Times New Roman" w:hint="default"/>
                <w:sz w:val="15"/>
                <w:szCs w:val="15"/>
              </w:rPr>
            </w:pPr>
            <w:r>
              <w:rPr>
                <w:rFonts w:ascii="Times New Roman"/>
                <w:spacing w:val="-1"/>
                <w:sz w:val="15"/>
              </w:rPr>
              <w:t>15,618,809.65</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211"/>
              <w:jc w:val="right"/>
              <w:rPr>
                <w:rFonts w:ascii="Times New Roman" w:hAnsi="Times New Roman" w:cs="Times New Roman" w:eastAsia="Times New Roman" w:hint="default"/>
                <w:sz w:val="15"/>
                <w:szCs w:val="15"/>
              </w:rPr>
            </w:pPr>
            <w:r>
              <w:rPr>
                <w:rFonts w:ascii="Times New Roman"/>
                <w:spacing w:val="-1"/>
                <w:sz w:val="15"/>
              </w:rPr>
              <w:t>100.00</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83"/>
              <w:jc w:val="right"/>
              <w:rPr>
                <w:rFonts w:ascii="Times New Roman" w:hAnsi="Times New Roman" w:cs="Times New Roman" w:eastAsia="Times New Roman" w:hint="default"/>
                <w:sz w:val="15"/>
                <w:szCs w:val="15"/>
              </w:rPr>
            </w:pPr>
            <w:r>
              <w:rPr>
                <w:rFonts w:ascii="Times New Roman"/>
                <w:spacing w:val="-1"/>
                <w:sz w:val="15"/>
              </w:rPr>
              <w:t>3,812,344.29</w:t>
            </w:r>
          </w:p>
        </w:tc>
        <w:tc>
          <w:tcPr>
            <w:tcW w:w="54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61"/>
              <w:jc w:val="right"/>
              <w:rPr>
                <w:rFonts w:ascii="Times New Roman" w:hAnsi="Times New Roman" w:cs="Times New Roman" w:eastAsia="Times New Roman" w:hint="default"/>
                <w:sz w:val="15"/>
                <w:szCs w:val="15"/>
              </w:rPr>
            </w:pPr>
            <w:r>
              <w:rPr>
                <w:rFonts w:ascii="Times New Roman"/>
                <w:spacing w:val="-1"/>
                <w:sz w:val="15"/>
              </w:rPr>
              <w:t>24.41</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0"/>
          <w:szCs w:val="20"/>
        </w:rPr>
      </w:pPr>
    </w:p>
    <w:p>
      <w:pPr>
        <w:tabs>
          <w:tab w:pos="1434" w:val="left" w:leader="none"/>
        </w:tabs>
        <w:spacing w:before="35"/>
        <w:ind w:left="89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其他应收款按种类披露</w:t>
      </w:r>
      <w:r>
        <w:rPr>
          <w:rFonts w:ascii="宋体" w:hAnsi="宋体" w:cs="宋体" w:eastAsia="宋体" w:hint="default"/>
          <w:sz w:val="21"/>
          <w:szCs w:val="21"/>
        </w:rPr>
      </w:r>
    </w:p>
    <w:p>
      <w:pPr>
        <w:spacing w:line="4754" w:lineRule="exact"/>
        <w:ind w:left="142" w:right="0" w:firstLine="0"/>
        <w:rPr>
          <w:rFonts w:ascii="宋体" w:hAnsi="宋体" w:cs="宋体" w:eastAsia="宋体" w:hint="default"/>
          <w:sz w:val="20"/>
          <w:szCs w:val="20"/>
        </w:rPr>
      </w:pPr>
      <w:r>
        <w:rPr>
          <w:rFonts w:ascii="宋体" w:hAnsi="宋体" w:cs="宋体" w:eastAsia="宋体" w:hint="default"/>
          <w:position w:val="-94"/>
          <w:sz w:val="20"/>
          <w:szCs w:val="20"/>
        </w:rPr>
        <w:pict>
          <v:group style="width:448.15pt;height:237.75pt;mso-position-horizontal-relative:char;mso-position-vertical-relative:line" coordorigin="0,0" coordsize="8963,4755">
            <v:group style="position:absolute;left:29;top:15;width:8898;height:2" coordorigin="29,15" coordsize="8898,2">
              <v:shape style="position:absolute;left:29;top:15;width:8898;height:2" coordorigin="29,15" coordsize="8898,0" path="m29,15l8927,15e" filled="false" stroked="true" strokeweight="1.5pt" strokecolor="#000000">
                <v:path arrowok="t"/>
              </v:shape>
              <v:shape style="position:absolute;left:1533;top:11;width:3732;height:492" type="#_x0000_t75" stroked="false">
                <v:imagedata r:id="rId119" o:title=""/>
              </v:shape>
              <v:shape style="position:absolute;left:1523;top:464;width:7439;height:1147" type="#_x0000_t75" stroked="false">
                <v:imagedata r:id="rId120" o:title=""/>
              </v:shape>
            </v:group>
            <v:group style="position:absolute;left:15;top:4739;width:1538;height:2" coordorigin="15,4739" coordsize="1538,2">
              <v:shape style="position:absolute;left:15;top:4739;width:1538;height:2" coordorigin="15,4739" coordsize="1538,0" path="m15,4739l1552,4739e" filled="false" stroked="true" strokeweight="1.5pt" strokecolor="#000000">
                <v:path arrowok="t"/>
              </v:shape>
            </v:group>
            <v:group style="position:absolute;left:1552;top:4739;width:1134;height:2" coordorigin="1552,4739" coordsize="1134,2">
              <v:shape style="position:absolute;left:1552;top:4739;width:1134;height:2" coordorigin="1552,4739" coordsize="1134,0" path="m1552,4739l2686,4739e" filled="false" stroked="true" strokeweight="1.5pt" strokecolor="#000000">
                <v:path arrowok="t"/>
              </v:shape>
            </v:group>
            <v:group style="position:absolute;left:2686;top:4739;width:708;height:2" coordorigin="2686,4739" coordsize="708,2">
              <v:shape style="position:absolute;left:2686;top:4739;width:708;height:2" coordorigin="2686,4739" coordsize="708,0" path="m2686,4739l3394,4739e" filled="false" stroked="true" strokeweight="1.5pt" strokecolor="#000000">
                <v:path arrowok="t"/>
              </v:shape>
            </v:group>
            <v:group style="position:absolute;left:3394;top:4739;width:1134;height:2" coordorigin="3394,4739" coordsize="1134,2">
              <v:shape style="position:absolute;left:3394;top:4739;width:1134;height:2" coordorigin="3394,4739" coordsize="1134,0" path="m3394,4739l4528,4739e" filled="false" stroked="true" strokeweight="1.5pt" strokecolor="#000000">
                <v:path arrowok="t"/>
              </v:shape>
            </v:group>
            <v:group style="position:absolute;left:4528;top:4739;width:708;height:2" coordorigin="4528,4739" coordsize="708,2">
              <v:shape style="position:absolute;left:4528;top:4739;width:708;height:2" coordorigin="4528,4739" coordsize="708,0" path="m4528,4739l5236,4739e" filled="false" stroked="true" strokeweight="1.5pt" strokecolor="#000000">
                <v:path arrowok="t"/>
              </v:shape>
            </v:group>
            <v:group style="position:absolute;left:5236;top:4739;width:1134;height:2" coordorigin="5236,4739" coordsize="1134,2">
              <v:shape style="position:absolute;left:5236;top:4739;width:1134;height:2" coordorigin="5236,4739" coordsize="1134,0" path="m5236,4739l6370,4739e" filled="false" stroked="true" strokeweight="1.5pt" strokecolor="#000000">
                <v:path arrowok="t"/>
              </v:shape>
            </v:group>
            <v:group style="position:absolute;left:6370;top:4739;width:710;height:2" coordorigin="6370,4739" coordsize="710,2">
              <v:shape style="position:absolute;left:6370;top:4739;width:710;height:2" coordorigin="6370,4739" coordsize="710,0" path="m6370,4739l7079,4739e" filled="false" stroked="true" strokeweight="1.5pt" strokecolor="#000000">
                <v:path arrowok="t"/>
              </v:shape>
            </v:group>
            <v:group style="position:absolute;left:7079;top:4739;width:1134;height:2" coordorigin="7079,4739" coordsize="1134,2">
              <v:shape style="position:absolute;left:7079;top:4739;width:1134;height:2" coordorigin="7079,4739" coordsize="1134,0" path="m7079,4739l8213,4739e" filled="false" stroked="true" strokeweight="1.5pt" strokecolor="#000000">
                <v:path arrowok="t"/>
              </v:shape>
              <v:shape style="position:absolute;left:1;top:1558;width:8962;height:3166" type="#_x0000_t75" stroked="false">
                <v:imagedata r:id="rId121" o:title=""/>
              </v:shape>
            </v:group>
            <v:group style="position:absolute;left:8213;top:4739;width:714;height:2" coordorigin="8213,4739" coordsize="714,2">
              <v:shape style="position:absolute;left:8213;top:4739;width:714;height:2" coordorigin="8213,4739" coordsize="714,0" path="m8213,4739l8927,4739e" filled="false" stroked="true" strokeweight="1.5pt" strokecolor="#000000">
                <v:path arrowok="t"/>
              </v:shape>
              <v:shape style="position:absolute;left:3098;top:18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shape style="position:absolute;left:6784;top:18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643;top:730;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种类</w:t>
                      </w:r>
                    </w:p>
                  </w:txbxContent>
                </v:textbox>
                <w10:wrap type="none"/>
              </v:shape>
              <v:shape style="position:absolute;left:2176;top:64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4019;top:64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5863;top:64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7706;top:64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1991;top:119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2851;top:1037;width:425;height:471" type="#_x0000_t202" filled="false" stroked="false">
                <v:textbox inset="0,0,0,0">
                  <w:txbxContent>
                    <w:p>
                      <w:pPr>
                        <w:spacing w:line="150" w:lineRule="exact" w:before="0"/>
                        <w:ind w:left="62" w:right="0" w:firstLine="0"/>
                        <w:jc w:val="left"/>
                        <w:rPr>
                          <w:rFonts w:ascii="宋体" w:hAnsi="宋体" w:cs="宋体" w:eastAsia="宋体" w:hint="default"/>
                          <w:sz w:val="15"/>
                          <w:szCs w:val="15"/>
                        </w:rPr>
                      </w:pPr>
                      <w:r>
                        <w:rPr>
                          <w:rFonts w:ascii="宋体" w:hAnsi="宋体" w:cs="宋体" w:eastAsia="宋体" w:hint="default"/>
                          <w:sz w:val="15"/>
                          <w:szCs w:val="15"/>
                        </w:rPr>
                        <w:t>比例</w:t>
                      </w:r>
                    </w:p>
                    <w:p>
                      <w:pPr>
                        <w:spacing w:line="204" w:lineRule="exact" w:before="115"/>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xbxContent>
                </v:textbox>
                <w10:wrap type="none"/>
              </v:shape>
              <v:shape style="position:absolute;left:3833;top:119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4693;top:1037;width:425;height:471" type="#_x0000_t202" filled="false" stroked="false">
                <v:textbox inset="0,0,0,0">
                  <w:txbxContent>
                    <w:p>
                      <w:pPr>
                        <w:spacing w:line="150" w:lineRule="exact" w:before="0"/>
                        <w:ind w:left="62" w:right="0" w:firstLine="0"/>
                        <w:jc w:val="left"/>
                        <w:rPr>
                          <w:rFonts w:ascii="宋体" w:hAnsi="宋体" w:cs="宋体" w:eastAsia="宋体" w:hint="default"/>
                          <w:sz w:val="15"/>
                          <w:szCs w:val="15"/>
                        </w:rPr>
                      </w:pPr>
                      <w:r>
                        <w:rPr>
                          <w:rFonts w:ascii="宋体" w:hAnsi="宋体" w:cs="宋体" w:eastAsia="宋体" w:hint="default"/>
                          <w:sz w:val="15"/>
                          <w:szCs w:val="15"/>
                        </w:rPr>
                        <w:t>比例</w:t>
                      </w:r>
                    </w:p>
                    <w:p>
                      <w:pPr>
                        <w:spacing w:line="204" w:lineRule="exact" w:before="115"/>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xbxContent>
                </v:textbox>
                <w10:wrap type="none"/>
              </v:shape>
              <v:shape style="position:absolute;left:5677;top:119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6536;top:1037;width:425;height:471" type="#_x0000_t202" filled="false" stroked="false">
                <v:textbox inset="0,0,0,0">
                  <w:txbxContent>
                    <w:p>
                      <w:pPr>
                        <w:spacing w:line="150" w:lineRule="exact" w:before="0"/>
                        <w:ind w:left="62" w:right="0" w:firstLine="0"/>
                        <w:jc w:val="left"/>
                        <w:rPr>
                          <w:rFonts w:ascii="宋体" w:hAnsi="宋体" w:cs="宋体" w:eastAsia="宋体" w:hint="default"/>
                          <w:sz w:val="15"/>
                          <w:szCs w:val="15"/>
                        </w:rPr>
                      </w:pPr>
                      <w:r>
                        <w:rPr>
                          <w:rFonts w:ascii="宋体" w:hAnsi="宋体" w:cs="宋体" w:eastAsia="宋体" w:hint="default"/>
                          <w:sz w:val="15"/>
                          <w:szCs w:val="15"/>
                        </w:rPr>
                        <w:t>比例</w:t>
                      </w:r>
                    </w:p>
                    <w:p>
                      <w:pPr>
                        <w:spacing w:line="204" w:lineRule="exact" w:before="115"/>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xbxContent>
                </v:textbox>
                <w10:wrap type="none"/>
              </v:shape>
              <v:shape style="position:absolute;left:7520;top:119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8379;top:1037;width:425;height:471" type="#_x0000_t202" filled="false" stroked="false">
                <v:textbox inset="0,0,0,0">
                  <w:txbxContent>
                    <w:p>
                      <w:pPr>
                        <w:spacing w:line="150" w:lineRule="exact" w:before="0"/>
                        <w:ind w:left="62" w:right="0" w:firstLine="0"/>
                        <w:jc w:val="left"/>
                        <w:rPr>
                          <w:rFonts w:ascii="宋体" w:hAnsi="宋体" w:cs="宋体" w:eastAsia="宋体" w:hint="default"/>
                          <w:sz w:val="15"/>
                          <w:szCs w:val="15"/>
                        </w:rPr>
                      </w:pPr>
                      <w:r>
                        <w:rPr>
                          <w:rFonts w:ascii="宋体" w:hAnsi="宋体" w:cs="宋体" w:eastAsia="宋体" w:hint="default"/>
                          <w:sz w:val="15"/>
                          <w:szCs w:val="15"/>
                        </w:rPr>
                        <w:t>比例</w:t>
                      </w:r>
                    </w:p>
                    <w:p>
                      <w:pPr>
                        <w:spacing w:line="204" w:lineRule="exact" w:before="115"/>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xbxContent>
                </v:textbox>
                <w10:wrap type="none"/>
              </v:shape>
              <v:shape style="position:absolute;left:137;top:1672;width:3075;height:1807"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3"/>
                          <w:sz w:val="15"/>
                          <w:szCs w:val="15"/>
                        </w:rPr>
                        <w:t>单项金额重大并单</w:t>
                      </w:r>
                    </w:p>
                    <w:p>
                      <w:pPr>
                        <w:spacing w:line="381" w:lineRule="auto" w:before="115"/>
                        <w:ind w:left="0" w:right="1762" w:firstLine="0"/>
                        <w:jc w:val="left"/>
                        <w:rPr>
                          <w:rFonts w:ascii="宋体" w:hAnsi="宋体" w:cs="宋体" w:eastAsia="宋体" w:hint="default"/>
                          <w:sz w:val="15"/>
                          <w:szCs w:val="15"/>
                        </w:rPr>
                      </w:pPr>
                      <w:r>
                        <w:rPr>
                          <w:rFonts w:ascii="宋体" w:hAnsi="宋体" w:cs="宋体" w:eastAsia="宋体" w:hint="default"/>
                          <w:spacing w:val="13"/>
                          <w:sz w:val="15"/>
                          <w:szCs w:val="15"/>
                        </w:rPr>
                        <w:t>项计提坏账准备的</w:t>
                      </w:r>
                      <w:r>
                        <w:rPr>
                          <w:rFonts w:ascii="宋体" w:hAnsi="宋体" w:cs="宋体" w:eastAsia="宋体" w:hint="default"/>
                          <w:sz w:val="15"/>
                          <w:szCs w:val="15"/>
                        </w:rPr>
                        <w:t> 其他应收款</w:t>
                      </w:r>
                    </w:p>
                    <w:p>
                      <w:pPr>
                        <w:spacing w:line="381" w:lineRule="auto" w:before="37"/>
                        <w:ind w:left="0" w:right="1762" w:firstLine="0"/>
                        <w:jc w:val="left"/>
                        <w:rPr>
                          <w:rFonts w:ascii="宋体" w:hAnsi="宋体" w:cs="宋体" w:eastAsia="宋体" w:hint="default"/>
                          <w:sz w:val="15"/>
                          <w:szCs w:val="15"/>
                        </w:rPr>
                      </w:pPr>
                      <w:r>
                        <w:rPr>
                          <w:rFonts w:ascii="宋体" w:hAnsi="宋体" w:cs="宋体" w:eastAsia="宋体" w:hint="default"/>
                          <w:spacing w:val="13"/>
                          <w:sz w:val="15"/>
                          <w:szCs w:val="15"/>
                        </w:rPr>
                        <w:t>按组合计提坏账准</w:t>
                      </w:r>
                      <w:r>
                        <w:rPr>
                          <w:rFonts w:ascii="宋体" w:hAnsi="宋体" w:cs="宋体" w:eastAsia="宋体" w:hint="default"/>
                          <w:sz w:val="15"/>
                          <w:szCs w:val="15"/>
                        </w:rPr>
                        <w:t> 备的其他应收款</w:t>
                      </w:r>
                    </w:p>
                    <w:p>
                      <w:pPr>
                        <w:tabs>
                          <w:tab w:pos="1581" w:val="left" w:leader="none"/>
                          <w:tab w:pos="2737" w:val="left" w:leader="none"/>
                        </w:tabs>
                        <w:spacing w:line="203" w:lineRule="exact" w:before="107"/>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账龄分析法组合</w:t>
                        <w:tab/>
                      </w:r>
                      <w:r>
                        <w:rPr>
                          <w:rFonts w:ascii="Times New Roman" w:hAnsi="Times New Roman" w:cs="Times New Roman" w:eastAsia="Times New Roman" w:hint="default"/>
                          <w:spacing w:val="-1"/>
                          <w:sz w:val="15"/>
                          <w:szCs w:val="15"/>
                        </w:rPr>
                        <w:t>17,059,603.78</w:t>
                        <w:tab/>
                        <w:t>77.06</w:t>
                      </w:r>
                    </w:p>
                  </w:txbxContent>
                </v:textbox>
                <w10:wrap type="none"/>
              </v:shape>
              <v:shape style="position:absolute;left:3637;top:3329;width:3263;height:150" type="#_x0000_t202" filled="false" stroked="false">
                <v:textbox inset="0,0,0,0">
                  <w:txbxContent>
                    <w:p>
                      <w:pPr>
                        <w:tabs>
                          <w:tab w:pos="1118" w:val="left" w:leader="none"/>
                          <w:tab w:pos="1767" w:val="left" w:leader="none"/>
                          <w:tab w:pos="292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1,122,908.91</w:t>
                        <w:tab/>
                        <w:t>6.58</w:t>
                        <w:tab/>
                        <w:t>12,530,136.48</w:t>
                        <w:tab/>
                        <w:t>80.22</w:t>
                      </w:r>
                    </w:p>
                  </w:txbxContent>
                </v:textbox>
                <w10:wrap type="none"/>
              </v:shape>
              <v:shape style="position:absolute;left:7436;top:3329;width:1270;height:150" type="#_x0000_t202" filled="false" stroked="false">
                <v:textbox inset="0,0,0,0">
                  <w:txbxContent>
                    <w:p>
                      <w:pPr>
                        <w:tabs>
                          <w:tab w:pos="100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723,671.12</w:t>
                        <w:tab/>
                        <w:t>5.78</w:t>
                      </w:r>
                    </w:p>
                  </w:txbxContent>
                </v:textbox>
                <w10:wrap type="none"/>
              </v:shape>
              <v:shape style="position:absolute;left:137;top:3716;width:3075;height:862"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3"/>
                          <w:sz w:val="15"/>
                          <w:szCs w:val="15"/>
                        </w:rPr>
                        <w:t>合并范围内关联方</w:t>
                      </w:r>
                    </w:p>
                    <w:p>
                      <w:pPr>
                        <w:spacing w:before="115"/>
                        <w:ind w:left="0" w:right="0" w:firstLine="0"/>
                        <w:jc w:val="left"/>
                        <w:rPr>
                          <w:rFonts w:ascii="宋体" w:hAnsi="宋体" w:cs="宋体" w:eastAsia="宋体" w:hint="default"/>
                          <w:sz w:val="15"/>
                          <w:szCs w:val="15"/>
                        </w:rPr>
                      </w:pPr>
                      <w:r>
                        <w:rPr>
                          <w:rFonts w:ascii="宋体" w:hAnsi="宋体" w:cs="宋体" w:eastAsia="宋体" w:hint="default"/>
                          <w:sz w:val="15"/>
                          <w:szCs w:val="15"/>
                        </w:rPr>
                        <w:t>组合</w:t>
                      </w:r>
                    </w:p>
                    <w:p>
                      <w:pPr>
                        <w:spacing w:line="240" w:lineRule="auto" w:before="13"/>
                        <w:rPr>
                          <w:rFonts w:ascii="宋体" w:hAnsi="宋体" w:cs="宋体" w:eastAsia="宋体" w:hint="default"/>
                          <w:b/>
                          <w:bCs/>
                          <w:sz w:val="14"/>
                          <w:szCs w:val="14"/>
                        </w:rPr>
                      </w:pPr>
                    </w:p>
                    <w:p>
                      <w:pPr>
                        <w:tabs>
                          <w:tab w:pos="1657" w:val="left" w:leader="none"/>
                          <w:tab w:pos="2737" w:val="left" w:leader="none"/>
                        </w:tabs>
                        <w:spacing w:line="203"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业务费组合</w:t>
                        <w:tab/>
                      </w:r>
                      <w:r>
                        <w:rPr>
                          <w:rFonts w:ascii="Times New Roman" w:hAnsi="Times New Roman" w:cs="Times New Roman" w:eastAsia="Times New Roman" w:hint="default"/>
                          <w:spacing w:val="-1"/>
                          <w:sz w:val="15"/>
                          <w:szCs w:val="15"/>
                        </w:rPr>
                        <w:t>5,079,043.76</w:t>
                        <w:tab/>
                        <w:t>22.94</w:t>
                      </w:r>
                    </w:p>
                  </w:txbxContent>
                </v:textbox>
                <w10:wrap type="none"/>
              </v:shape>
              <v:shape style="position:absolute;left:3637;top:4427;width:3263;height:150" type="#_x0000_t202" filled="false" stroked="false">
                <v:textbox inset="0,0,0,0">
                  <w:txbxContent>
                    <w:p>
                      <w:pPr>
                        <w:tabs>
                          <w:tab w:pos="1042" w:val="left" w:leader="none"/>
                          <w:tab w:pos="1843" w:val="left" w:leader="none"/>
                          <w:tab w:pos="292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5,079,043.76</w:t>
                        <w:tab/>
                        <w:t>100.00</w:t>
                        <w:tab/>
                        <w:t>3,088,673.17</w:t>
                        <w:tab/>
                        <w:t>19.78</w:t>
                      </w:r>
                    </w:p>
                  </w:txbxContent>
                </v:textbox>
                <w10:wrap type="none"/>
              </v:shape>
              <v:shape style="position:absolute;left:7323;top:4427;width:1457;height:150" type="#_x0000_t202" filled="false" stroked="false">
                <v:textbox inset="0,0,0,0">
                  <w:txbxContent>
                    <w:p>
                      <w:pPr>
                        <w:tabs>
                          <w:tab w:pos="1042"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3,088,673.17</w:t>
                        <w:tab/>
                        <w:t>100.00</w:t>
                      </w:r>
                    </w:p>
                  </w:txbxContent>
                </v:textbox>
                <w10:wrap type="none"/>
              </v:shape>
            </v:group>
          </v:group>
        </w:pict>
      </w:r>
      <w:r>
        <w:rPr>
          <w:rFonts w:ascii="宋体" w:hAnsi="宋体" w:cs="宋体" w:eastAsia="宋体" w:hint="default"/>
          <w:position w:val="-94"/>
          <w:sz w:val="20"/>
          <w:szCs w:val="20"/>
        </w:rPr>
      </w:r>
    </w:p>
    <w:p>
      <w:pPr>
        <w:spacing w:after="0" w:line="4754" w:lineRule="exact"/>
        <w:rPr>
          <w:rFonts w:ascii="宋体" w:hAnsi="宋体" w:cs="宋体" w:eastAsia="宋体" w:hint="default"/>
          <w:sz w:val="20"/>
          <w:szCs w:val="20"/>
        </w:rPr>
        <w:sectPr>
          <w:pgSz w:w="11910" w:h="16840"/>
          <w:pgMar w:header="686" w:footer="1270" w:top="1360" w:bottom="1460" w:left="1520" w:right="760"/>
        </w:sect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tbl>
      <w:tblPr>
        <w:tblW w:w="0" w:type="auto"/>
        <w:jc w:val="left"/>
        <w:tblInd w:w="1826" w:type="dxa"/>
        <w:tblLayout w:type="fixed"/>
        <w:tblCellMar>
          <w:top w:w="0" w:type="dxa"/>
          <w:left w:w="0" w:type="dxa"/>
          <w:bottom w:w="0" w:type="dxa"/>
          <w:right w:w="0" w:type="dxa"/>
        </w:tblCellMar>
        <w:tblLook w:val="01E0"/>
      </w:tblPr>
      <w:tblGrid>
        <w:gridCol w:w="1026"/>
        <w:gridCol w:w="734"/>
        <w:gridCol w:w="1127"/>
        <w:gridCol w:w="659"/>
        <w:gridCol w:w="1166"/>
        <w:gridCol w:w="734"/>
        <w:gridCol w:w="1128"/>
        <w:gridCol w:w="520"/>
      </w:tblGrid>
      <w:tr>
        <w:trPr>
          <w:trHeight w:val="780" w:hRule="exact"/>
        </w:trPr>
        <w:tc>
          <w:tcPr>
            <w:tcW w:w="1026" w:type="dxa"/>
            <w:tcBorders>
              <w:top w:val="nil" w:sz="6" w:space="0" w:color="auto"/>
              <w:left w:val="nil" w:sz="6" w:space="0" w:color="auto"/>
              <w:bottom w:val="nil" w:sz="6" w:space="0" w:color="auto"/>
              <w:right w:val="nil" w:sz="6" w:space="0" w:color="auto"/>
            </w:tcBorders>
          </w:tcPr>
          <w:p>
            <w:pPr>
              <w:pStyle w:val="TableParagraph"/>
              <w:spacing w:line="153" w:lineRule="exact"/>
              <w:ind w:left="35" w:right="0"/>
              <w:jc w:val="left"/>
              <w:rPr>
                <w:rFonts w:ascii="Times New Roman" w:hAnsi="Times New Roman" w:cs="Times New Roman" w:eastAsia="Times New Roman" w:hint="default"/>
                <w:sz w:val="15"/>
                <w:szCs w:val="15"/>
              </w:rPr>
            </w:pPr>
            <w:r>
              <w:rPr>
                <w:rFonts w:ascii="Times New Roman"/>
                <w:sz w:val="15"/>
              </w:rPr>
              <w:t>22,138,647.54</w:t>
            </w:r>
          </w:p>
        </w:tc>
        <w:tc>
          <w:tcPr>
            <w:tcW w:w="734" w:type="dxa"/>
            <w:tcBorders>
              <w:top w:val="nil" w:sz="6" w:space="0" w:color="auto"/>
              <w:left w:val="nil" w:sz="6" w:space="0" w:color="auto"/>
              <w:bottom w:val="nil" w:sz="6" w:space="0" w:color="auto"/>
              <w:right w:val="nil" w:sz="6" w:space="0" w:color="auto"/>
            </w:tcBorders>
          </w:tcPr>
          <w:p>
            <w:pPr>
              <w:pStyle w:val="TableParagraph"/>
              <w:spacing w:line="153" w:lineRule="exact"/>
              <w:ind w:left="127" w:right="0"/>
              <w:jc w:val="left"/>
              <w:rPr>
                <w:rFonts w:ascii="Times New Roman" w:hAnsi="Times New Roman" w:cs="Times New Roman" w:eastAsia="Times New Roman" w:hint="default"/>
                <w:sz w:val="15"/>
                <w:szCs w:val="15"/>
              </w:rPr>
            </w:pPr>
            <w:r>
              <w:rPr>
                <w:rFonts w:ascii="Times New Roman"/>
                <w:sz w:val="15"/>
              </w:rPr>
              <w:t>100.00</w:t>
            </w:r>
          </w:p>
        </w:tc>
        <w:tc>
          <w:tcPr>
            <w:tcW w:w="1127" w:type="dxa"/>
            <w:tcBorders>
              <w:top w:val="nil" w:sz="6" w:space="0" w:color="auto"/>
              <w:left w:val="nil" w:sz="6" w:space="0" w:color="auto"/>
              <w:bottom w:val="nil" w:sz="6" w:space="0" w:color="auto"/>
              <w:right w:val="nil" w:sz="6" w:space="0" w:color="auto"/>
            </w:tcBorders>
          </w:tcPr>
          <w:p>
            <w:pPr>
              <w:pStyle w:val="TableParagraph"/>
              <w:spacing w:line="153" w:lineRule="exact"/>
              <w:ind w:left="45" w:right="0"/>
              <w:jc w:val="center"/>
              <w:rPr>
                <w:rFonts w:ascii="Times New Roman" w:hAnsi="Times New Roman" w:cs="Times New Roman" w:eastAsia="Times New Roman" w:hint="default"/>
                <w:sz w:val="15"/>
                <w:szCs w:val="15"/>
              </w:rPr>
            </w:pPr>
            <w:r>
              <w:rPr>
                <w:rFonts w:ascii="Times New Roman"/>
                <w:sz w:val="15"/>
              </w:rPr>
              <w:t>6,201,952.67</w:t>
            </w:r>
          </w:p>
        </w:tc>
        <w:tc>
          <w:tcPr>
            <w:tcW w:w="659" w:type="dxa"/>
            <w:tcBorders>
              <w:top w:val="nil" w:sz="6" w:space="0" w:color="auto"/>
              <w:left w:val="nil" w:sz="6" w:space="0" w:color="auto"/>
              <w:bottom w:val="nil" w:sz="6" w:space="0" w:color="auto"/>
              <w:right w:val="nil" w:sz="6" w:space="0" w:color="auto"/>
            </w:tcBorders>
          </w:tcPr>
          <w:p>
            <w:pPr>
              <w:pStyle w:val="TableParagraph"/>
              <w:spacing w:line="153" w:lineRule="exact"/>
              <w:ind w:right="25"/>
              <w:jc w:val="center"/>
              <w:rPr>
                <w:rFonts w:ascii="Times New Roman" w:hAnsi="Times New Roman" w:cs="Times New Roman" w:eastAsia="Times New Roman" w:hint="default"/>
                <w:sz w:val="15"/>
                <w:szCs w:val="15"/>
              </w:rPr>
            </w:pPr>
            <w:r>
              <w:rPr>
                <w:rFonts w:ascii="Times New Roman"/>
                <w:sz w:val="15"/>
              </w:rPr>
              <w:t>28.01</w:t>
            </w:r>
          </w:p>
        </w:tc>
        <w:tc>
          <w:tcPr>
            <w:tcW w:w="1166" w:type="dxa"/>
            <w:tcBorders>
              <w:top w:val="nil" w:sz="6" w:space="0" w:color="auto"/>
              <w:left w:val="nil" w:sz="6" w:space="0" w:color="auto"/>
              <w:bottom w:val="nil" w:sz="6" w:space="0" w:color="auto"/>
              <w:right w:val="nil" w:sz="6" w:space="0" w:color="auto"/>
            </w:tcBorders>
          </w:tcPr>
          <w:p>
            <w:pPr>
              <w:pStyle w:val="TableParagraph"/>
              <w:spacing w:line="153" w:lineRule="exact"/>
              <w:ind w:left="47" w:right="0"/>
              <w:jc w:val="center"/>
              <w:rPr>
                <w:rFonts w:ascii="Times New Roman" w:hAnsi="Times New Roman" w:cs="Times New Roman" w:eastAsia="Times New Roman" w:hint="default"/>
                <w:sz w:val="15"/>
                <w:szCs w:val="15"/>
              </w:rPr>
            </w:pPr>
            <w:r>
              <w:rPr>
                <w:rFonts w:ascii="Times New Roman"/>
                <w:sz w:val="15"/>
              </w:rPr>
              <w:t>15,618,809.65</w:t>
            </w:r>
          </w:p>
        </w:tc>
        <w:tc>
          <w:tcPr>
            <w:tcW w:w="734" w:type="dxa"/>
            <w:tcBorders>
              <w:top w:val="nil" w:sz="6" w:space="0" w:color="auto"/>
              <w:left w:val="nil" w:sz="6" w:space="0" w:color="auto"/>
              <w:bottom w:val="nil" w:sz="6" w:space="0" w:color="auto"/>
              <w:right w:val="nil" w:sz="6" w:space="0" w:color="auto"/>
            </w:tcBorders>
          </w:tcPr>
          <w:p>
            <w:pPr>
              <w:pStyle w:val="TableParagraph"/>
              <w:spacing w:line="153" w:lineRule="exact"/>
              <w:ind w:left="127" w:right="0"/>
              <w:jc w:val="left"/>
              <w:rPr>
                <w:rFonts w:ascii="Times New Roman" w:hAnsi="Times New Roman" w:cs="Times New Roman" w:eastAsia="Times New Roman" w:hint="default"/>
                <w:sz w:val="15"/>
                <w:szCs w:val="15"/>
              </w:rPr>
            </w:pPr>
            <w:r>
              <w:rPr>
                <w:rFonts w:ascii="Times New Roman"/>
                <w:sz w:val="15"/>
              </w:rPr>
              <w:t>100.00</w:t>
            </w:r>
          </w:p>
        </w:tc>
        <w:tc>
          <w:tcPr>
            <w:tcW w:w="1128" w:type="dxa"/>
            <w:tcBorders>
              <w:top w:val="nil" w:sz="6" w:space="0" w:color="auto"/>
              <w:left w:val="nil" w:sz="6" w:space="0" w:color="auto"/>
              <w:bottom w:val="nil" w:sz="6" w:space="0" w:color="auto"/>
              <w:right w:val="nil" w:sz="6" w:space="0" w:color="auto"/>
            </w:tcBorders>
          </w:tcPr>
          <w:p>
            <w:pPr>
              <w:pStyle w:val="TableParagraph"/>
              <w:spacing w:line="153" w:lineRule="exact"/>
              <w:ind w:left="46" w:right="0"/>
              <w:jc w:val="center"/>
              <w:rPr>
                <w:rFonts w:ascii="Times New Roman" w:hAnsi="Times New Roman" w:cs="Times New Roman" w:eastAsia="Times New Roman" w:hint="default"/>
                <w:sz w:val="15"/>
                <w:szCs w:val="15"/>
              </w:rPr>
            </w:pPr>
            <w:r>
              <w:rPr>
                <w:rFonts w:ascii="Times New Roman"/>
                <w:sz w:val="15"/>
              </w:rPr>
              <w:t>3,812,344.29</w:t>
            </w:r>
          </w:p>
        </w:tc>
        <w:tc>
          <w:tcPr>
            <w:tcW w:w="520" w:type="dxa"/>
            <w:tcBorders>
              <w:top w:val="nil" w:sz="6" w:space="0" w:color="auto"/>
              <w:left w:val="nil" w:sz="6" w:space="0" w:color="auto"/>
              <w:bottom w:val="nil" w:sz="6" w:space="0" w:color="auto"/>
              <w:right w:val="nil" w:sz="6" w:space="0" w:color="auto"/>
            </w:tcBorders>
          </w:tcPr>
          <w:p>
            <w:pPr>
              <w:pStyle w:val="TableParagraph"/>
              <w:spacing w:line="153" w:lineRule="exact"/>
              <w:ind w:right="33"/>
              <w:jc w:val="right"/>
              <w:rPr>
                <w:rFonts w:ascii="Times New Roman" w:hAnsi="Times New Roman" w:cs="Times New Roman" w:eastAsia="Times New Roman" w:hint="default"/>
                <w:sz w:val="15"/>
                <w:szCs w:val="15"/>
              </w:rPr>
            </w:pPr>
            <w:r>
              <w:rPr>
                <w:rFonts w:ascii="Times New Roman"/>
                <w:spacing w:val="-1"/>
                <w:sz w:val="15"/>
              </w:rPr>
              <w:t>24.41</w:t>
            </w:r>
          </w:p>
        </w:tc>
      </w:tr>
      <w:tr>
        <w:trPr>
          <w:trHeight w:val="780" w:hRule="exact"/>
        </w:trPr>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35" w:right="0"/>
              <w:jc w:val="left"/>
              <w:rPr>
                <w:rFonts w:ascii="Times New Roman" w:hAnsi="Times New Roman" w:cs="Times New Roman" w:eastAsia="Times New Roman" w:hint="default"/>
                <w:sz w:val="15"/>
                <w:szCs w:val="15"/>
              </w:rPr>
            </w:pPr>
            <w:r>
              <w:rPr>
                <w:rFonts w:ascii="Times New Roman"/>
                <w:sz w:val="15"/>
              </w:rPr>
              <w:t>22,138,647.54</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127" w:right="0"/>
              <w:jc w:val="left"/>
              <w:rPr>
                <w:rFonts w:ascii="Times New Roman" w:hAnsi="Times New Roman" w:cs="Times New Roman" w:eastAsia="Times New Roman" w:hint="default"/>
                <w:sz w:val="15"/>
                <w:szCs w:val="15"/>
              </w:rPr>
            </w:pPr>
            <w:r>
              <w:rPr>
                <w:rFonts w:ascii="Times New Roman"/>
                <w:sz w:val="15"/>
              </w:rPr>
              <w:t>100.00</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45" w:right="0"/>
              <w:jc w:val="center"/>
              <w:rPr>
                <w:rFonts w:ascii="Times New Roman" w:hAnsi="Times New Roman" w:cs="Times New Roman" w:eastAsia="Times New Roman" w:hint="default"/>
                <w:sz w:val="15"/>
                <w:szCs w:val="15"/>
              </w:rPr>
            </w:pPr>
            <w:r>
              <w:rPr>
                <w:rFonts w:ascii="Times New Roman"/>
                <w:sz w:val="15"/>
              </w:rPr>
              <w:t>6,201,952.67</w:t>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right="25"/>
              <w:jc w:val="center"/>
              <w:rPr>
                <w:rFonts w:ascii="Times New Roman" w:hAnsi="Times New Roman" w:cs="Times New Roman" w:eastAsia="Times New Roman" w:hint="default"/>
                <w:sz w:val="15"/>
                <w:szCs w:val="15"/>
              </w:rPr>
            </w:pPr>
            <w:r>
              <w:rPr>
                <w:rFonts w:ascii="Times New Roman"/>
                <w:sz w:val="15"/>
              </w:rPr>
              <w:t>28.01</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47" w:right="0"/>
              <w:jc w:val="center"/>
              <w:rPr>
                <w:rFonts w:ascii="Times New Roman" w:hAnsi="Times New Roman" w:cs="Times New Roman" w:eastAsia="Times New Roman" w:hint="default"/>
                <w:sz w:val="15"/>
                <w:szCs w:val="15"/>
              </w:rPr>
            </w:pPr>
            <w:r>
              <w:rPr>
                <w:rFonts w:ascii="Times New Roman"/>
                <w:sz w:val="15"/>
              </w:rPr>
              <w:t>15,618,809.65</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127" w:right="0"/>
              <w:jc w:val="left"/>
              <w:rPr>
                <w:rFonts w:ascii="Times New Roman" w:hAnsi="Times New Roman" w:cs="Times New Roman" w:eastAsia="Times New Roman" w:hint="default"/>
                <w:sz w:val="15"/>
                <w:szCs w:val="15"/>
              </w:rPr>
            </w:pPr>
            <w:r>
              <w:rPr>
                <w:rFonts w:ascii="Times New Roman"/>
                <w:sz w:val="15"/>
              </w:rPr>
              <w:t>100.00</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46" w:right="0"/>
              <w:jc w:val="center"/>
              <w:rPr>
                <w:rFonts w:ascii="Times New Roman" w:hAnsi="Times New Roman" w:cs="Times New Roman" w:eastAsia="Times New Roman" w:hint="default"/>
                <w:sz w:val="15"/>
                <w:szCs w:val="15"/>
              </w:rPr>
            </w:pPr>
            <w:r>
              <w:rPr>
                <w:rFonts w:ascii="Times New Roman"/>
                <w:sz w:val="15"/>
              </w:rPr>
              <w:t>3,812,344.29</w:t>
            </w:r>
          </w:p>
        </w:tc>
        <w:tc>
          <w:tcPr>
            <w:tcW w:w="5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24.41</w:t>
            </w:r>
          </w:p>
        </w:tc>
      </w:tr>
    </w:tbl>
    <w:p>
      <w:pPr>
        <w:spacing w:line="240" w:lineRule="auto" w:before="11"/>
        <w:rPr>
          <w:rFonts w:ascii="宋体" w:hAnsi="宋体" w:cs="宋体" w:eastAsia="宋体" w:hint="default"/>
          <w:b/>
          <w:bCs/>
          <w:sz w:val="14"/>
          <w:szCs w:val="14"/>
        </w:rPr>
      </w:pPr>
    </w:p>
    <w:p>
      <w:pPr>
        <w:spacing w:before="35"/>
        <w:ind w:left="280" w:right="176" w:firstLine="0"/>
        <w:jc w:val="left"/>
        <w:rPr>
          <w:rFonts w:ascii="宋体" w:hAnsi="宋体" w:cs="宋体" w:eastAsia="宋体" w:hint="default"/>
          <w:sz w:val="21"/>
          <w:szCs w:val="21"/>
        </w:rPr>
      </w:pPr>
      <w:r>
        <w:rPr/>
        <w:pict>
          <v:group style="position:absolute;margin-left:83.129997pt;margin-top:-97.10601pt;width:447.75pt;height:96.2pt;mso-position-horizontal-relative:page;mso-position-vertical-relative:paragraph;z-index:-782200" coordorigin="1663,-1942" coordsize="8955,1924">
            <v:group style="position:absolute;left:1692;top:-1927;width:8898;height:2" coordorigin="1692,-1927" coordsize="8898,2">
              <v:shape style="position:absolute;left:1692;top:-1927;width:8898;height:2" coordorigin="1692,-1927" coordsize="8898,0" path="m1692,-1927l10590,-1927e" filled="false" stroked="true" strokeweight="1.5pt" strokecolor="#000000">
                <v:path arrowok="t"/>
              </v:shape>
              <v:shape style="position:absolute;left:3196;top:-1931;width:6709;height:492" type="#_x0000_t75" stroked="false">
                <v:imagedata r:id="rId122" o:title=""/>
              </v:shape>
            </v:group>
            <v:group style="position:absolute;left:1678;top:-34;width:1538;height:2" coordorigin="1678,-34" coordsize="1538,2">
              <v:shape style="position:absolute;left:1678;top:-34;width:1538;height:2" coordorigin="1678,-34" coordsize="1538,0" path="m1678,-34l3215,-34e" filled="false" stroked="true" strokeweight="1.5pt" strokecolor="#000000">
                <v:path arrowok="t"/>
              </v:shape>
            </v:group>
            <v:group style="position:absolute;left:3215;top:-34;width:1134;height:2" coordorigin="3215,-34" coordsize="1134,2">
              <v:shape style="position:absolute;left:3215;top:-34;width:1134;height:2" coordorigin="3215,-34" coordsize="1134,0" path="m3215,-34l4349,-34e" filled="false" stroked="true" strokeweight="1.5pt" strokecolor="#000000">
                <v:path arrowok="t"/>
              </v:shape>
            </v:group>
            <v:group style="position:absolute;left:4349;top:-34;width:708;height:2" coordorigin="4349,-34" coordsize="708,2">
              <v:shape style="position:absolute;left:4349;top:-34;width:708;height:2" coordorigin="4349,-34" coordsize="708,0" path="m4349,-34l5057,-34e" filled="false" stroked="true" strokeweight="1.5pt" strokecolor="#000000">
                <v:path arrowok="t"/>
              </v:shape>
            </v:group>
            <v:group style="position:absolute;left:5057;top:-34;width:1134;height:2" coordorigin="5057,-34" coordsize="1134,2">
              <v:shape style="position:absolute;left:5057;top:-34;width:1134;height:2" coordorigin="5057,-34" coordsize="1134,0" path="m5057,-34l6191,-34e" filled="false" stroked="true" strokeweight="1.5pt" strokecolor="#000000">
                <v:path arrowok="t"/>
              </v:shape>
            </v:group>
            <v:group style="position:absolute;left:6191;top:-34;width:708;height:2" coordorigin="6191,-34" coordsize="708,2">
              <v:shape style="position:absolute;left:6191;top:-34;width:708;height:2" coordorigin="6191,-34" coordsize="708,0" path="m6191,-34l6899,-34e" filled="false" stroked="true" strokeweight="1.5pt" strokecolor="#000000">
                <v:path arrowok="t"/>
              </v:shape>
            </v:group>
            <v:group style="position:absolute;left:6899;top:-34;width:1134;height:2" coordorigin="6899,-34" coordsize="1134,2">
              <v:shape style="position:absolute;left:6899;top:-34;width:1134;height:2" coordorigin="6899,-34" coordsize="1134,0" path="m6899,-34l8033,-34e" filled="false" stroked="true" strokeweight="1.5pt" strokecolor="#000000">
                <v:path arrowok="t"/>
              </v:shape>
            </v:group>
            <v:group style="position:absolute;left:8033;top:-34;width:710;height:2" coordorigin="8033,-34" coordsize="710,2">
              <v:shape style="position:absolute;left:8033;top:-34;width:710;height:2" coordorigin="8033,-34" coordsize="710,0" path="m8033,-34l8742,-34e" filled="false" stroked="true" strokeweight="1.5pt" strokecolor="#000000">
                <v:path arrowok="t"/>
              </v:shape>
            </v:group>
            <v:group style="position:absolute;left:8742;top:-34;width:1134;height:2" coordorigin="8742,-34" coordsize="1134,2">
              <v:shape style="position:absolute;left:8742;top:-34;width:1134;height:2" coordorigin="8742,-34" coordsize="1134,0" path="m8742,-34l9876,-34e" filled="false" stroked="true" strokeweight="1.5pt" strokecolor="#000000">
                <v:path arrowok="t"/>
              </v:shape>
              <v:shape style="position:absolute;left:1663;top:-1480;width:8954;height:1432" type="#_x0000_t75" stroked="false">
                <v:imagedata r:id="rId123" o:title=""/>
              </v:shape>
            </v:group>
            <v:group style="position:absolute;left:9876;top:-34;width:714;height:2" coordorigin="9876,-34" coordsize="714,2">
              <v:shape style="position:absolute;left:9876;top:-34;width:714;height:2" coordorigin="9876,-34" coordsize="714,0" path="m9876,-34l10590,-34e" filled="false" stroked="true" strokeweight="1.5pt" strokecolor="#000000">
                <v:path arrowok="t"/>
              </v:shape>
              <v:shape style="position:absolute;left:1663;top:-1942;width:8955;height:1924" type="#_x0000_t202" filled="false" stroked="false">
                <v:textbox inset="0,0,0,0">
                  <w:txbxContent>
                    <w:p>
                      <w:pPr>
                        <w:spacing w:line="240" w:lineRule="auto" w:before="4"/>
                        <w:rPr>
                          <w:rFonts w:ascii="宋体" w:hAnsi="宋体" w:cs="宋体" w:eastAsia="宋体" w:hint="default"/>
                          <w:b/>
                          <w:bCs/>
                          <w:sz w:val="10"/>
                          <w:szCs w:val="10"/>
                        </w:rPr>
                      </w:pPr>
                    </w:p>
                    <w:p>
                      <w:pPr>
                        <w:spacing w:before="0"/>
                        <w:ind w:left="137" w:right="0" w:firstLine="0"/>
                        <w:jc w:val="both"/>
                        <w:rPr>
                          <w:rFonts w:ascii="宋体" w:hAnsi="宋体" w:cs="宋体" w:eastAsia="宋体" w:hint="default"/>
                          <w:sz w:val="15"/>
                          <w:szCs w:val="15"/>
                        </w:rPr>
                      </w:pPr>
                      <w:r>
                        <w:rPr>
                          <w:rFonts w:ascii="宋体" w:hAnsi="宋体" w:cs="宋体" w:eastAsia="宋体" w:hint="default"/>
                          <w:sz w:val="15"/>
                          <w:szCs w:val="15"/>
                        </w:rPr>
                        <w:t>组合小计</w:t>
                      </w:r>
                    </w:p>
                    <w:p>
                      <w:pPr>
                        <w:spacing w:line="240" w:lineRule="auto" w:before="1"/>
                        <w:rPr>
                          <w:rFonts w:ascii="宋体" w:hAnsi="宋体" w:cs="宋体" w:eastAsia="宋体" w:hint="default"/>
                          <w:b/>
                          <w:bCs/>
                          <w:sz w:val="15"/>
                          <w:szCs w:val="15"/>
                        </w:rPr>
                      </w:pPr>
                    </w:p>
                    <w:p>
                      <w:pPr>
                        <w:spacing w:line="381" w:lineRule="auto" w:before="0"/>
                        <w:ind w:left="137" w:right="7505" w:firstLine="0"/>
                        <w:jc w:val="both"/>
                        <w:rPr>
                          <w:rFonts w:ascii="宋体" w:hAnsi="宋体" w:cs="宋体" w:eastAsia="宋体" w:hint="default"/>
                          <w:sz w:val="15"/>
                          <w:szCs w:val="15"/>
                        </w:rPr>
                      </w:pPr>
                      <w:r>
                        <w:rPr>
                          <w:rFonts w:ascii="宋体" w:hAnsi="宋体" w:cs="宋体" w:eastAsia="宋体" w:hint="default"/>
                          <w:spacing w:val="13"/>
                          <w:sz w:val="15"/>
                          <w:szCs w:val="15"/>
                        </w:rPr>
                        <w:t>单项金额虽不重大</w:t>
                      </w:r>
                      <w:r>
                        <w:rPr>
                          <w:rFonts w:ascii="宋体" w:hAnsi="宋体" w:cs="宋体" w:eastAsia="宋体" w:hint="default"/>
                          <w:sz w:val="15"/>
                          <w:szCs w:val="15"/>
                        </w:rPr>
                        <w:t> </w:t>
                      </w:r>
                      <w:r>
                        <w:rPr>
                          <w:rFonts w:ascii="宋体" w:hAnsi="宋体" w:cs="宋体" w:eastAsia="宋体" w:hint="default"/>
                          <w:spacing w:val="13"/>
                          <w:sz w:val="15"/>
                          <w:szCs w:val="15"/>
                        </w:rPr>
                        <w:t>但单项计提坏账准</w:t>
                      </w:r>
                      <w:r>
                        <w:rPr>
                          <w:rFonts w:ascii="宋体" w:hAnsi="宋体" w:cs="宋体" w:eastAsia="宋体" w:hint="default"/>
                          <w:sz w:val="15"/>
                          <w:szCs w:val="15"/>
                        </w:rPr>
                        <w:t> 备的其他应收款</w:t>
                      </w:r>
                    </w:p>
                    <w:p>
                      <w:pPr>
                        <w:spacing w:line="240" w:lineRule="auto" w:before="9"/>
                        <w:rPr>
                          <w:rFonts w:ascii="宋体" w:hAnsi="宋体" w:cs="宋体" w:eastAsia="宋体" w:hint="default"/>
                          <w:b/>
                          <w:bCs/>
                          <w:sz w:val="13"/>
                          <w:szCs w:val="13"/>
                        </w:rPr>
                      </w:pPr>
                    </w:p>
                    <w:p>
                      <w:pPr>
                        <w:spacing w:before="0"/>
                        <w:ind w:left="642"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group>
            <w10:wrap type="none"/>
          </v:group>
        </w:pict>
      </w:r>
      <w:r>
        <w:rPr>
          <w:rFonts w:ascii="宋体" w:hAnsi="宋体" w:cs="宋体" w:eastAsia="宋体" w:hint="default"/>
          <w:sz w:val="21"/>
          <w:szCs w:val="21"/>
        </w:rPr>
        <w:t>其他应收款种类说明：</w:t>
      </w:r>
    </w:p>
    <w:p>
      <w:pPr>
        <w:spacing w:before="125"/>
        <w:ind w:left="895" w:right="1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）年末数中无单项金额重大并单项计提坏账准备的其他应收账款</w:t>
      </w:r>
    </w:p>
    <w:p>
      <w:pPr>
        <w:spacing w:before="109"/>
        <w:ind w:left="895" w:right="1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）按组合计提坏账准备的其他应收款</w:t>
      </w:r>
    </w:p>
    <w:p>
      <w:pPr>
        <w:spacing w:before="110"/>
        <w:ind w:left="895" w:right="176" w:firstLine="0"/>
        <w:jc w:val="left"/>
        <w:rPr>
          <w:rFonts w:ascii="宋体" w:hAnsi="宋体" w:cs="宋体" w:eastAsia="宋体" w:hint="default"/>
          <w:sz w:val="21"/>
          <w:szCs w:val="21"/>
        </w:rPr>
      </w:pPr>
      <w:r>
        <w:rPr/>
        <w:pict>
          <v:group style="position:absolute;margin-left:118.559998pt;margin-top:20.822769pt;width:412.6pt;height:215.9pt;mso-position-horizontal-relative:page;mso-position-vertical-relative:paragraph;z-index:-781912" coordorigin="2371,416" coordsize="8252,4318">
            <v:group style="position:absolute;left:2400;top:431;width:8194;height:2" coordorigin="2400,431" coordsize="8194,2">
              <v:shape style="position:absolute;left:2400;top:431;width:8194;height:2" coordorigin="2400,431" coordsize="8194,0" path="m2400,431l10594,431e" filled="false" stroked="true" strokeweight="1.5pt" strokecolor="#000000">
                <v:path arrowok="t"/>
              </v:shape>
              <v:shape style="position:absolute;left:4011;top:427;width:3484;height:437" type="#_x0000_t75" stroked="false">
                <v:imagedata r:id="rId124" o:title=""/>
              </v:shape>
              <v:shape style="position:absolute;left:4011;top:824;width:6610;height:446" type="#_x0000_t75" stroked="false">
                <v:imagedata r:id="rId125" o:title=""/>
              </v:shape>
              <v:shape style="position:absolute;left:4002;top:1222;width:5572;height:691" type="#_x0000_t75" stroked="false">
                <v:imagedata r:id="rId126" o:title=""/>
              </v:shape>
              <v:shape style="position:absolute;left:2371;top:1862;width:8251;height:2872" type="#_x0000_t75" stroked="false">
                <v:imagedata r:id="rId127" o:title=""/>
              </v:shape>
              <v:shape style="position:absolute;left:5393;top:55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8671;top:55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037;top:107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4754;top:9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8144;top:9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5588;top:132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6472;top:127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8963;top:132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9707;top:127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4510;top:148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7927;top:148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group>
            <w10:wrap type="none"/>
          </v:group>
        </w:pict>
      </w:r>
      <w:r>
        <w:rPr>
          <w:rFonts w:ascii="宋体" w:hAnsi="宋体" w:cs="宋体" w:eastAsia="宋体" w:hint="default"/>
          <w:sz w:val="21"/>
          <w:szCs w:val="21"/>
        </w:rPr>
        <w:t>①组合中，采用账龄分析法计提坏账准备的其他应收款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tbl>
      <w:tblPr>
        <w:tblW w:w="0" w:type="auto"/>
        <w:jc w:val="left"/>
        <w:tblInd w:w="953" w:type="dxa"/>
        <w:tblLayout w:type="fixed"/>
        <w:tblCellMar>
          <w:top w:w="0" w:type="dxa"/>
          <w:left w:w="0" w:type="dxa"/>
          <w:bottom w:w="0" w:type="dxa"/>
          <w:right w:w="0" w:type="dxa"/>
        </w:tblCellMar>
        <w:tblLook w:val="01E0"/>
      </w:tblPr>
      <w:tblGrid>
        <w:gridCol w:w="1591"/>
        <w:gridCol w:w="1311"/>
        <w:gridCol w:w="845"/>
        <w:gridCol w:w="1262"/>
        <w:gridCol w:w="1280"/>
        <w:gridCol w:w="773"/>
        <w:gridCol w:w="985"/>
      </w:tblGrid>
      <w:tr>
        <w:trPr>
          <w:trHeight w:val="663" w:hRule="exact"/>
        </w:trPr>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136"/>
              <w:jc w:val="right"/>
              <w:rPr>
                <w:rFonts w:ascii="Times New Roman" w:hAnsi="Times New Roman" w:cs="Times New Roman" w:eastAsia="Times New Roman" w:hint="default"/>
                <w:sz w:val="18"/>
                <w:szCs w:val="18"/>
              </w:rPr>
            </w:pPr>
            <w:r>
              <w:rPr>
                <w:rFonts w:ascii="Times New Roman"/>
                <w:spacing w:val="-1"/>
                <w:sz w:val="18"/>
              </w:rPr>
              <w:t>14,946,947.54</w:t>
            </w:r>
          </w:p>
        </w:tc>
        <w:tc>
          <w:tcPr>
            <w:tcW w:w="845" w:type="dxa"/>
            <w:tcBorders>
              <w:top w:val="nil" w:sz="6" w:space="0" w:color="auto"/>
              <w:left w:val="nil" w:sz="6" w:space="0" w:color="auto"/>
              <w:bottom w:val="nil" w:sz="6" w:space="0" w:color="auto"/>
              <w:right w:val="nil" w:sz="6" w:space="0" w:color="auto"/>
            </w:tcBorders>
          </w:tcPr>
          <w:p>
            <w:pPr>
              <w:pStyle w:val="TableParagraph"/>
              <w:spacing w:line="194" w:lineRule="exact"/>
              <w:ind w:left="191" w:right="0" w:hanging="53"/>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155"/>
              <w:ind w:left="191" w:right="0"/>
              <w:jc w:val="left"/>
              <w:rPr>
                <w:rFonts w:ascii="Times New Roman" w:hAnsi="Times New Roman" w:cs="Times New Roman" w:eastAsia="Times New Roman" w:hint="default"/>
                <w:sz w:val="18"/>
                <w:szCs w:val="18"/>
              </w:rPr>
            </w:pPr>
            <w:r>
              <w:rPr>
                <w:rFonts w:ascii="Times New Roman"/>
                <w:sz w:val="18"/>
              </w:rPr>
              <w:t>87.62</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118"/>
              <w:jc w:val="right"/>
              <w:rPr>
                <w:rFonts w:ascii="Times New Roman" w:hAnsi="Times New Roman" w:cs="Times New Roman" w:eastAsia="Times New Roman" w:hint="default"/>
                <w:sz w:val="18"/>
                <w:szCs w:val="18"/>
              </w:rPr>
            </w:pPr>
            <w:r>
              <w:rPr>
                <w:rFonts w:ascii="Times New Roman"/>
                <w:sz w:val="18"/>
              </w:rPr>
              <w:t>747,347.38</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122"/>
              <w:jc w:val="right"/>
              <w:rPr>
                <w:rFonts w:ascii="Times New Roman" w:hAnsi="Times New Roman" w:cs="Times New Roman" w:eastAsia="Times New Roman" w:hint="default"/>
                <w:sz w:val="18"/>
                <w:szCs w:val="18"/>
              </w:rPr>
            </w:pPr>
            <w:r>
              <w:rPr>
                <w:rFonts w:ascii="Times New Roman"/>
                <w:spacing w:val="-1"/>
                <w:sz w:val="18"/>
              </w:rPr>
              <w:t>11,360,053.21</w:t>
            </w:r>
          </w:p>
        </w:tc>
        <w:tc>
          <w:tcPr>
            <w:tcW w:w="773" w:type="dxa"/>
            <w:tcBorders>
              <w:top w:val="nil" w:sz="6" w:space="0" w:color="auto"/>
              <w:left w:val="nil" w:sz="6" w:space="0" w:color="auto"/>
              <w:bottom w:val="nil" w:sz="6" w:space="0" w:color="auto"/>
              <w:right w:val="nil" w:sz="6" w:space="0" w:color="auto"/>
            </w:tcBorders>
          </w:tcPr>
          <w:p>
            <w:pPr>
              <w:pStyle w:val="TableParagraph"/>
              <w:spacing w:line="194" w:lineRule="exact"/>
              <w:ind w:left="176" w:right="0" w:hanging="53"/>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155"/>
              <w:ind w:left="176" w:right="0"/>
              <w:jc w:val="left"/>
              <w:rPr>
                <w:rFonts w:ascii="Times New Roman" w:hAnsi="Times New Roman" w:cs="Times New Roman" w:eastAsia="Times New Roman" w:hint="default"/>
                <w:sz w:val="18"/>
                <w:szCs w:val="18"/>
              </w:rPr>
            </w:pPr>
            <w:r>
              <w:rPr>
                <w:rFonts w:ascii="Times New Roman"/>
                <w:sz w:val="18"/>
              </w:rPr>
              <w:t>90.66</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567,919.79</w:t>
            </w:r>
          </w:p>
        </w:tc>
      </w:tr>
      <w:tr>
        <w:trPr>
          <w:trHeight w:val="407" w:hRule="exact"/>
        </w:trPr>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年至</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r>
              <w:rPr>
                <w:rFonts w:ascii="宋体" w:hAnsi="宋体" w:cs="宋体" w:eastAsia="宋体" w:hint="default"/>
                <w:sz w:val="18"/>
                <w:szCs w:val="18"/>
              </w:rPr>
              <w:t>含</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6"/>
              <w:jc w:val="right"/>
              <w:rPr>
                <w:rFonts w:ascii="Times New Roman" w:hAnsi="Times New Roman" w:cs="Times New Roman" w:eastAsia="Times New Roman" w:hint="default"/>
                <w:sz w:val="18"/>
                <w:szCs w:val="18"/>
              </w:rPr>
            </w:pPr>
            <w:r>
              <w:rPr>
                <w:rFonts w:ascii="Times New Roman"/>
                <w:spacing w:val="-1"/>
                <w:sz w:val="18"/>
              </w:rPr>
              <w:t>1,132,127.24</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55"/>
              <w:jc w:val="center"/>
              <w:rPr>
                <w:rFonts w:ascii="Times New Roman" w:hAnsi="Times New Roman" w:cs="Times New Roman" w:eastAsia="Times New Roman" w:hint="default"/>
                <w:sz w:val="18"/>
                <w:szCs w:val="18"/>
              </w:rPr>
            </w:pPr>
            <w:r>
              <w:rPr>
                <w:rFonts w:ascii="Times New Roman"/>
                <w:sz w:val="18"/>
              </w:rPr>
              <w:t>6.64</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8"/>
              <w:jc w:val="right"/>
              <w:rPr>
                <w:rFonts w:ascii="Times New Roman" w:hAnsi="Times New Roman" w:cs="Times New Roman" w:eastAsia="Times New Roman" w:hint="default"/>
                <w:sz w:val="18"/>
                <w:szCs w:val="18"/>
              </w:rPr>
            </w:pPr>
            <w:r>
              <w:rPr>
                <w:rFonts w:ascii="Times New Roman"/>
                <w:spacing w:val="-1"/>
                <w:sz w:val="18"/>
              </w:rPr>
              <w:t>113,212.73</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22"/>
              <w:jc w:val="right"/>
              <w:rPr>
                <w:rFonts w:ascii="Times New Roman" w:hAnsi="Times New Roman" w:cs="Times New Roman" w:eastAsia="Times New Roman" w:hint="default"/>
                <w:sz w:val="18"/>
                <w:szCs w:val="18"/>
              </w:rPr>
            </w:pPr>
            <w:r>
              <w:rPr>
                <w:rFonts w:ascii="Times New Roman"/>
                <w:sz w:val="18"/>
              </w:rPr>
              <w:t>974,653.27</w:t>
            </w:r>
          </w:p>
        </w:tc>
        <w:tc>
          <w:tcPr>
            <w:tcW w:w="77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
              <w:jc w:val="center"/>
              <w:rPr>
                <w:rFonts w:ascii="Times New Roman" w:hAnsi="Times New Roman" w:cs="Times New Roman" w:eastAsia="Times New Roman" w:hint="default"/>
                <w:sz w:val="18"/>
                <w:szCs w:val="18"/>
              </w:rPr>
            </w:pPr>
            <w:r>
              <w:rPr>
                <w:rFonts w:ascii="Times New Roman"/>
                <w:sz w:val="18"/>
              </w:rPr>
              <w:t>7.78</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Times New Roman" w:hAnsi="Times New Roman" w:cs="Times New Roman" w:eastAsia="Times New Roman" w:hint="default"/>
                <w:sz w:val="18"/>
                <w:szCs w:val="18"/>
              </w:rPr>
            </w:pPr>
            <w:r>
              <w:rPr>
                <w:rFonts w:ascii="Times New Roman"/>
                <w:sz w:val="18"/>
              </w:rPr>
              <w:t>97,465.33</w:t>
            </w:r>
          </w:p>
        </w:tc>
      </w:tr>
      <w:tr>
        <w:trPr>
          <w:trHeight w:val="407" w:hRule="exact"/>
        </w:trPr>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年至</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r>
              <w:rPr>
                <w:rFonts w:ascii="宋体" w:hAnsi="宋体" w:cs="宋体" w:eastAsia="宋体" w:hint="default"/>
                <w:sz w:val="18"/>
                <w:szCs w:val="18"/>
              </w:rPr>
              <w:t>含</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36"/>
              <w:jc w:val="right"/>
              <w:rPr>
                <w:rFonts w:ascii="Times New Roman" w:hAnsi="Times New Roman" w:cs="Times New Roman" w:eastAsia="Times New Roman" w:hint="default"/>
                <w:sz w:val="18"/>
                <w:szCs w:val="18"/>
              </w:rPr>
            </w:pPr>
            <w:r>
              <w:rPr>
                <w:rFonts w:ascii="Times New Roman"/>
                <w:sz w:val="18"/>
              </w:rPr>
              <w:t>810,099.00</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55"/>
              <w:jc w:val="center"/>
              <w:rPr>
                <w:rFonts w:ascii="Times New Roman" w:hAnsi="Times New Roman" w:cs="Times New Roman" w:eastAsia="Times New Roman" w:hint="default"/>
                <w:sz w:val="18"/>
                <w:szCs w:val="18"/>
              </w:rPr>
            </w:pPr>
            <w:r>
              <w:rPr>
                <w:rFonts w:ascii="Times New Roman"/>
                <w:sz w:val="18"/>
              </w:rPr>
              <w:t>4.75</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18"/>
              <w:jc w:val="right"/>
              <w:rPr>
                <w:rFonts w:ascii="Times New Roman" w:hAnsi="Times New Roman" w:cs="Times New Roman" w:eastAsia="Times New Roman" w:hint="default"/>
                <w:sz w:val="18"/>
                <w:szCs w:val="18"/>
              </w:rPr>
            </w:pPr>
            <w:r>
              <w:rPr>
                <w:rFonts w:ascii="Times New Roman"/>
                <w:sz w:val="18"/>
              </w:rPr>
              <w:t>162,019.80</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22"/>
              <w:jc w:val="right"/>
              <w:rPr>
                <w:rFonts w:ascii="Times New Roman" w:hAnsi="Times New Roman" w:cs="Times New Roman" w:eastAsia="Times New Roman" w:hint="default"/>
                <w:sz w:val="18"/>
                <w:szCs w:val="18"/>
              </w:rPr>
            </w:pPr>
            <w:r>
              <w:rPr>
                <w:rFonts w:ascii="Times New Roman"/>
                <w:sz w:val="18"/>
              </w:rPr>
              <w:t>63,430.00</w:t>
            </w:r>
          </w:p>
        </w:tc>
        <w:tc>
          <w:tcPr>
            <w:tcW w:w="773"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
              <w:jc w:val="center"/>
              <w:rPr>
                <w:rFonts w:ascii="Times New Roman" w:hAnsi="Times New Roman" w:cs="Times New Roman" w:eastAsia="Times New Roman" w:hint="default"/>
                <w:sz w:val="18"/>
                <w:szCs w:val="18"/>
              </w:rPr>
            </w:pPr>
            <w:r>
              <w:rPr>
                <w:rFonts w:ascii="Times New Roman"/>
                <w:sz w:val="18"/>
              </w:rPr>
              <w:t>0.51</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sz w:val="18"/>
              </w:rPr>
              <w:t>12,686.00</w:t>
            </w:r>
          </w:p>
        </w:tc>
      </w:tr>
      <w:tr>
        <w:trPr>
          <w:trHeight w:val="407" w:hRule="exact"/>
        </w:trPr>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年至</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r>
              <w:rPr>
                <w:rFonts w:ascii="宋体" w:hAnsi="宋体" w:cs="宋体" w:eastAsia="宋体" w:hint="default"/>
                <w:sz w:val="18"/>
                <w:szCs w:val="18"/>
              </w:rPr>
              <w:t>含</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6"/>
              <w:jc w:val="right"/>
              <w:rPr>
                <w:rFonts w:ascii="Times New Roman" w:hAnsi="Times New Roman" w:cs="Times New Roman" w:eastAsia="Times New Roman" w:hint="default"/>
                <w:sz w:val="18"/>
                <w:szCs w:val="18"/>
              </w:rPr>
            </w:pPr>
            <w:r>
              <w:rPr>
                <w:rFonts w:ascii="Times New Roman"/>
                <w:sz w:val="18"/>
              </w:rPr>
              <w:t>38,430.00</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55"/>
              <w:jc w:val="center"/>
              <w:rPr>
                <w:rFonts w:ascii="Times New Roman" w:hAnsi="Times New Roman" w:cs="Times New Roman" w:eastAsia="Times New Roman" w:hint="default"/>
                <w:sz w:val="18"/>
                <w:szCs w:val="18"/>
              </w:rPr>
            </w:pPr>
            <w:r>
              <w:rPr>
                <w:rFonts w:ascii="Times New Roman"/>
                <w:sz w:val="18"/>
              </w:rPr>
              <w:t>0.23</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8"/>
              <w:jc w:val="right"/>
              <w:rPr>
                <w:rFonts w:ascii="Times New Roman" w:hAnsi="Times New Roman" w:cs="Times New Roman" w:eastAsia="Times New Roman" w:hint="default"/>
                <w:sz w:val="18"/>
                <w:szCs w:val="18"/>
              </w:rPr>
            </w:pPr>
            <w:r>
              <w:rPr>
                <w:rFonts w:ascii="Times New Roman"/>
                <w:spacing w:val="-1"/>
                <w:sz w:val="18"/>
              </w:rPr>
              <w:t>11,529.00</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22"/>
              <w:jc w:val="right"/>
              <w:rPr>
                <w:rFonts w:ascii="Times New Roman" w:hAnsi="Times New Roman" w:cs="Times New Roman" w:eastAsia="Times New Roman" w:hint="default"/>
                <w:sz w:val="18"/>
                <w:szCs w:val="18"/>
              </w:rPr>
            </w:pPr>
            <w:r>
              <w:rPr>
                <w:rFonts w:ascii="Times New Roman"/>
                <w:sz w:val="18"/>
              </w:rPr>
              <w:t>72,000.00</w:t>
            </w:r>
          </w:p>
        </w:tc>
        <w:tc>
          <w:tcPr>
            <w:tcW w:w="77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
              <w:jc w:val="center"/>
              <w:rPr>
                <w:rFonts w:ascii="Times New Roman" w:hAnsi="Times New Roman" w:cs="Times New Roman" w:eastAsia="Times New Roman" w:hint="default"/>
                <w:sz w:val="18"/>
                <w:szCs w:val="18"/>
              </w:rPr>
            </w:pPr>
            <w:r>
              <w:rPr>
                <w:rFonts w:ascii="Times New Roman"/>
                <w:sz w:val="18"/>
              </w:rPr>
              <w:t>0.57</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Times New Roman" w:hAnsi="Times New Roman" w:cs="Times New Roman" w:eastAsia="Times New Roman" w:hint="default"/>
                <w:sz w:val="18"/>
                <w:szCs w:val="18"/>
              </w:rPr>
            </w:pPr>
            <w:r>
              <w:rPr>
                <w:rFonts w:ascii="Times New Roman"/>
                <w:sz w:val="18"/>
              </w:rPr>
              <w:t>21,600.00</w:t>
            </w:r>
          </w:p>
        </w:tc>
      </w:tr>
      <w:tr>
        <w:trPr>
          <w:trHeight w:val="407" w:hRule="exact"/>
        </w:trPr>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年至</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r>
              <w:rPr>
                <w:rFonts w:ascii="宋体" w:hAnsi="宋体" w:cs="宋体" w:eastAsia="宋体" w:hint="default"/>
                <w:sz w:val="18"/>
                <w:szCs w:val="18"/>
              </w:rPr>
              <w:t>含</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6"/>
              <w:jc w:val="right"/>
              <w:rPr>
                <w:rFonts w:ascii="Times New Roman" w:hAnsi="Times New Roman" w:cs="Times New Roman" w:eastAsia="Times New Roman" w:hint="default"/>
                <w:sz w:val="18"/>
                <w:szCs w:val="18"/>
              </w:rPr>
            </w:pPr>
            <w:r>
              <w:rPr>
                <w:rFonts w:ascii="Times New Roman"/>
                <w:sz w:val="18"/>
              </w:rPr>
              <w:t>72,000.00</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55"/>
              <w:jc w:val="center"/>
              <w:rPr>
                <w:rFonts w:ascii="Times New Roman" w:hAnsi="Times New Roman" w:cs="Times New Roman" w:eastAsia="Times New Roman" w:hint="default"/>
                <w:sz w:val="18"/>
                <w:szCs w:val="18"/>
              </w:rPr>
            </w:pPr>
            <w:r>
              <w:rPr>
                <w:rFonts w:ascii="Times New Roman"/>
                <w:sz w:val="18"/>
              </w:rPr>
              <w:t>0.42</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8"/>
              <w:jc w:val="right"/>
              <w:rPr>
                <w:rFonts w:ascii="Times New Roman" w:hAnsi="Times New Roman" w:cs="Times New Roman" w:eastAsia="Times New Roman" w:hint="default"/>
                <w:sz w:val="18"/>
                <w:szCs w:val="18"/>
              </w:rPr>
            </w:pPr>
            <w:r>
              <w:rPr>
                <w:rFonts w:ascii="Times New Roman"/>
                <w:sz w:val="18"/>
              </w:rPr>
              <w:t>28,800.00</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22"/>
              <w:jc w:val="right"/>
              <w:rPr>
                <w:rFonts w:ascii="Times New Roman" w:hAnsi="Times New Roman" w:cs="Times New Roman" w:eastAsia="Times New Roman" w:hint="default"/>
                <w:sz w:val="18"/>
                <w:szCs w:val="18"/>
              </w:rPr>
            </w:pPr>
            <w:r>
              <w:rPr>
                <w:rFonts w:ascii="Times New Roman"/>
                <w:sz w:val="18"/>
              </w:rPr>
              <w:t>60,000.00</w:t>
            </w:r>
          </w:p>
        </w:tc>
        <w:tc>
          <w:tcPr>
            <w:tcW w:w="77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
              <w:jc w:val="center"/>
              <w:rPr>
                <w:rFonts w:ascii="Times New Roman" w:hAnsi="Times New Roman" w:cs="Times New Roman" w:eastAsia="Times New Roman" w:hint="default"/>
                <w:sz w:val="18"/>
                <w:szCs w:val="18"/>
              </w:rPr>
            </w:pPr>
            <w:r>
              <w:rPr>
                <w:rFonts w:ascii="Times New Roman"/>
                <w:sz w:val="18"/>
              </w:rPr>
              <w:t>0.48</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Times New Roman" w:hAnsi="Times New Roman" w:cs="Times New Roman" w:eastAsia="Times New Roman" w:hint="default"/>
                <w:sz w:val="18"/>
                <w:szCs w:val="18"/>
              </w:rPr>
            </w:pPr>
            <w:r>
              <w:rPr>
                <w:rFonts w:ascii="Times New Roman"/>
                <w:sz w:val="18"/>
              </w:rPr>
              <w:t>24,000.00</w:t>
            </w:r>
          </w:p>
        </w:tc>
      </w:tr>
      <w:tr>
        <w:trPr>
          <w:trHeight w:val="407" w:hRule="exact"/>
        </w:trPr>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6"/>
              <w:jc w:val="right"/>
              <w:rPr>
                <w:rFonts w:ascii="Times New Roman" w:hAnsi="Times New Roman" w:cs="Times New Roman" w:eastAsia="Times New Roman" w:hint="default"/>
                <w:sz w:val="18"/>
                <w:szCs w:val="18"/>
              </w:rPr>
            </w:pPr>
            <w:r>
              <w:rPr>
                <w:rFonts w:ascii="Times New Roman"/>
                <w:sz w:val="18"/>
              </w:rPr>
              <w:t>60,000.00</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55"/>
              <w:jc w:val="center"/>
              <w:rPr>
                <w:rFonts w:ascii="Times New Roman" w:hAnsi="Times New Roman" w:cs="Times New Roman" w:eastAsia="Times New Roman" w:hint="default"/>
                <w:sz w:val="18"/>
                <w:szCs w:val="18"/>
              </w:rPr>
            </w:pPr>
            <w:r>
              <w:rPr>
                <w:rFonts w:ascii="Times New Roman"/>
                <w:sz w:val="18"/>
              </w:rPr>
              <w:t>0.35</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8"/>
              <w:jc w:val="right"/>
              <w:rPr>
                <w:rFonts w:ascii="Times New Roman" w:hAnsi="Times New Roman" w:cs="Times New Roman" w:eastAsia="Times New Roman" w:hint="default"/>
                <w:sz w:val="18"/>
                <w:szCs w:val="18"/>
              </w:rPr>
            </w:pPr>
            <w:r>
              <w:rPr>
                <w:rFonts w:ascii="Times New Roman"/>
                <w:sz w:val="18"/>
              </w:rPr>
              <w:t>60,000.00</w:t>
            </w:r>
          </w:p>
        </w:tc>
        <w:tc>
          <w:tcPr>
            <w:tcW w:w="1280" w:type="dxa"/>
            <w:tcBorders>
              <w:top w:val="nil" w:sz="6" w:space="0" w:color="auto"/>
              <w:left w:val="nil" w:sz="6" w:space="0" w:color="auto"/>
              <w:bottom w:val="nil" w:sz="6" w:space="0" w:color="auto"/>
              <w:right w:val="nil" w:sz="6" w:space="0" w:color="auto"/>
            </w:tcBorders>
          </w:tcPr>
          <w:p>
            <w:pPr/>
          </w:p>
        </w:tc>
        <w:tc>
          <w:tcPr>
            <w:tcW w:w="77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nil" w:sz="6" w:space="0" w:color="auto"/>
              <w:left w:val="nil" w:sz="6" w:space="0" w:color="auto"/>
              <w:bottom w:val="nil" w:sz="6" w:space="0" w:color="auto"/>
              <w:right w:val="nil" w:sz="6" w:space="0" w:color="auto"/>
            </w:tcBorders>
          </w:tcPr>
          <w:p>
            <w:pPr/>
          </w:p>
        </w:tc>
      </w:tr>
      <w:tr>
        <w:trPr>
          <w:trHeight w:val="413" w:hRule="exact"/>
        </w:trPr>
        <w:tc>
          <w:tcPr>
            <w:tcW w:w="1591"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right="100"/>
              <w:jc w:val="center"/>
              <w:rPr>
                <w:rFonts w:ascii="宋体" w:hAnsi="宋体" w:cs="宋体" w:eastAsia="宋体" w:hint="default"/>
                <w:sz w:val="18"/>
                <w:szCs w:val="18"/>
              </w:rPr>
            </w:pPr>
            <w:r>
              <w:rPr>
                <w:rFonts w:ascii="宋体" w:hAnsi="宋体" w:cs="宋体" w:eastAsia="宋体" w:hint="default"/>
                <w:sz w:val="18"/>
                <w:szCs w:val="18"/>
              </w:rPr>
              <w:t>合计</w:t>
            </w:r>
          </w:p>
        </w:tc>
        <w:tc>
          <w:tcPr>
            <w:tcW w:w="1311"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136"/>
              <w:jc w:val="right"/>
              <w:rPr>
                <w:rFonts w:ascii="Times New Roman" w:hAnsi="Times New Roman" w:cs="Times New Roman" w:eastAsia="Times New Roman" w:hint="default"/>
                <w:sz w:val="18"/>
                <w:szCs w:val="18"/>
              </w:rPr>
            </w:pPr>
            <w:r>
              <w:rPr>
                <w:rFonts w:ascii="Times New Roman"/>
                <w:spacing w:val="-1"/>
                <w:sz w:val="18"/>
              </w:rPr>
              <w:t>17,059,603.78</w:t>
            </w:r>
          </w:p>
        </w:tc>
        <w:tc>
          <w:tcPr>
            <w:tcW w:w="845"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55"/>
              <w:jc w:val="center"/>
              <w:rPr>
                <w:rFonts w:ascii="Times New Roman" w:hAnsi="Times New Roman" w:cs="Times New Roman" w:eastAsia="Times New Roman" w:hint="default"/>
                <w:sz w:val="18"/>
                <w:szCs w:val="18"/>
              </w:rPr>
            </w:pPr>
            <w:r>
              <w:rPr>
                <w:rFonts w:ascii="Times New Roman"/>
                <w:sz w:val="18"/>
              </w:rPr>
              <w:t>100.00</w:t>
            </w:r>
          </w:p>
        </w:tc>
        <w:tc>
          <w:tcPr>
            <w:tcW w:w="1262"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118"/>
              <w:jc w:val="right"/>
              <w:rPr>
                <w:rFonts w:ascii="Times New Roman" w:hAnsi="Times New Roman" w:cs="Times New Roman" w:eastAsia="Times New Roman" w:hint="default"/>
                <w:sz w:val="18"/>
                <w:szCs w:val="18"/>
              </w:rPr>
            </w:pPr>
            <w:r>
              <w:rPr>
                <w:rFonts w:ascii="Times New Roman"/>
                <w:spacing w:val="-1"/>
                <w:sz w:val="18"/>
              </w:rPr>
              <w:t>1,122,908.91</w:t>
            </w:r>
          </w:p>
        </w:tc>
        <w:tc>
          <w:tcPr>
            <w:tcW w:w="1280"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122"/>
              <w:jc w:val="right"/>
              <w:rPr>
                <w:rFonts w:ascii="Times New Roman" w:hAnsi="Times New Roman" w:cs="Times New Roman" w:eastAsia="Times New Roman" w:hint="default"/>
                <w:sz w:val="18"/>
                <w:szCs w:val="18"/>
              </w:rPr>
            </w:pPr>
            <w:r>
              <w:rPr>
                <w:rFonts w:ascii="Times New Roman"/>
                <w:spacing w:val="-1"/>
                <w:sz w:val="18"/>
              </w:rPr>
              <w:t>12,530,136.48</w:t>
            </w:r>
          </w:p>
        </w:tc>
        <w:tc>
          <w:tcPr>
            <w:tcW w:w="773"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10"/>
              <w:jc w:val="center"/>
              <w:rPr>
                <w:rFonts w:ascii="Times New Roman" w:hAnsi="Times New Roman" w:cs="Times New Roman" w:eastAsia="Times New Roman" w:hint="default"/>
                <w:sz w:val="18"/>
                <w:szCs w:val="18"/>
              </w:rPr>
            </w:pPr>
            <w:r>
              <w:rPr>
                <w:rFonts w:ascii="Times New Roman"/>
                <w:sz w:val="18"/>
              </w:rPr>
              <w:t>100.00</w:t>
            </w:r>
          </w:p>
        </w:tc>
        <w:tc>
          <w:tcPr>
            <w:tcW w:w="985"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33"/>
              <w:jc w:val="right"/>
              <w:rPr>
                <w:rFonts w:ascii="Times New Roman" w:hAnsi="Times New Roman" w:cs="Times New Roman" w:eastAsia="Times New Roman" w:hint="default"/>
                <w:sz w:val="18"/>
                <w:szCs w:val="18"/>
              </w:rPr>
            </w:pPr>
            <w:r>
              <w:rPr>
                <w:rFonts w:ascii="Times New Roman"/>
                <w:sz w:val="18"/>
              </w:rPr>
              <w:t>723,671.12</w:t>
            </w:r>
          </w:p>
        </w:tc>
      </w:tr>
    </w:tbl>
    <w:p>
      <w:pPr>
        <w:spacing w:line="240" w:lineRule="auto" w:before="10"/>
        <w:rPr>
          <w:rFonts w:ascii="宋体" w:hAnsi="宋体" w:cs="宋体" w:eastAsia="宋体" w:hint="default"/>
          <w:sz w:val="27"/>
          <w:szCs w:val="27"/>
        </w:rPr>
      </w:pPr>
    </w:p>
    <w:p>
      <w:pPr>
        <w:spacing w:before="35"/>
        <w:ind w:left="1120" w:right="176" w:firstLine="0"/>
        <w:jc w:val="left"/>
        <w:rPr>
          <w:rFonts w:ascii="宋体" w:hAnsi="宋体" w:cs="宋体" w:eastAsia="宋体" w:hint="default"/>
          <w:sz w:val="21"/>
          <w:szCs w:val="21"/>
        </w:rPr>
      </w:pPr>
      <w:r>
        <w:rPr/>
        <w:pict>
          <v:group style="position:absolute;margin-left:102.779999pt;margin-top:17.074137pt;width:464.5pt;height:64.9pt;mso-position-horizontal-relative:page;mso-position-vertical-relative:paragraph;z-index:-781768" coordorigin="2056,341" coordsize="9290,1298">
            <v:group style="position:absolute;left:2084;top:356;width:4635;height:2" coordorigin="2084,356" coordsize="4635,2">
              <v:shape style="position:absolute;left:2084;top:356;width:4635;height:2" coordorigin="2084,356" coordsize="4635,0" path="m2084,356l6719,356e" filled="false" stroked="true" strokeweight="1.5pt" strokecolor="#000000">
                <v:path arrowok="t"/>
              </v:shape>
            </v:group>
            <v:group style="position:absolute;left:6719;top:356;width:1818;height:2" coordorigin="6719,356" coordsize="1818,2">
              <v:shape style="position:absolute;left:6719;top:356;width:1818;height:2" coordorigin="6719,356" coordsize="1818,0" path="m6719,356l8537,356e" filled="false" stroked="true" strokeweight="1.5pt" strokecolor="#000000">
                <v:path arrowok="t"/>
              </v:shape>
            </v:group>
            <v:group style="position:absolute;left:8537;top:356;width:2772;height:2" coordorigin="8537,356" coordsize="2772,2">
              <v:shape style="position:absolute;left:8537;top:356;width:2772;height:2" coordorigin="8537,356" coordsize="2772,0" path="m8537,356l11309,356e" filled="false" stroked="true" strokeweight="1.5pt" strokecolor="#000000">
                <v:path arrowok="t"/>
              </v:shape>
              <v:shape style="position:absolute;left:4620;top:343;width:5304;height:370" type="#_x0000_t75" stroked="false">
                <v:imagedata r:id="rId128" o:title=""/>
              </v:shape>
              <v:shape style="position:absolute;left:2056;top:655;width:9289;height:984" type="#_x0000_t75" stroked="false">
                <v:imagedata r:id="rId129" o:title=""/>
              </v:shape>
              <v:shape style="position:absolute;left:2738;top:438;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其他应收款内容</w:t>
                      </w:r>
                    </w:p>
                  </w:txbxContent>
                </v:textbox>
                <w10:wrap type="none"/>
              </v:shape>
              <v:shape style="position:absolute;left:5312;top:43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256;top:43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8855;top:43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计提比例</w:t>
                      </w:r>
                    </w:p>
                  </w:txbxContent>
                </v:textbox>
                <w10:wrap type="none"/>
              </v:shape>
              <v:shape style="position:absolute;left:9998;top:438;width:1204;height:502" type="#_x0000_t202" filled="false" stroked="false">
                <v:textbox inset="0,0,0,0">
                  <w:txbxContent>
                    <w:p>
                      <w:pPr>
                        <w:spacing w:line="180" w:lineRule="exact" w:before="0"/>
                        <w:ind w:left="-2" w:right="0" w:firstLine="0"/>
                        <w:jc w:val="center"/>
                        <w:rPr>
                          <w:rFonts w:ascii="宋体" w:hAnsi="宋体" w:cs="宋体" w:eastAsia="宋体" w:hint="default"/>
                          <w:sz w:val="18"/>
                          <w:szCs w:val="18"/>
                        </w:rPr>
                      </w:pPr>
                      <w:r>
                        <w:rPr>
                          <w:rFonts w:ascii="宋体" w:hAnsi="宋体" w:cs="宋体" w:eastAsia="宋体" w:hint="default"/>
                          <w:sz w:val="18"/>
                          <w:szCs w:val="18"/>
                        </w:rPr>
                        <w:t>计提理由</w:t>
                      </w:r>
                    </w:p>
                    <w:p>
                      <w:pPr>
                        <w:spacing w:before="86"/>
                        <w:ind w:left="0" w:right="0" w:firstLine="0"/>
                        <w:jc w:val="center"/>
                        <w:rPr>
                          <w:rFonts w:ascii="宋体" w:hAnsi="宋体" w:cs="宋体" w:eastAsia="宋体" w:hint="default"/>
                          <w:sz w:val="18"/>
                          <w:szCs w:val="18"/>
                        </w:rPr>
                      </w:pPr>
                      <w:r>
                        <w:rPr>
                          <w:rFonts w:ascii="宋体" w:hAnsi="宋体" w:cs="宋体" w:eastAsia="宋体" w:hint="default"/>
                          <w:spacing w:val="-9"/>
                          <w:sz w:val="18"/>
                          <w:szCs w:val="18"/>
                        </w:rPr>
                        <w:t>已形成费用，但</w:t>
                      </w:r>
                    </w:p>
                  </w:txbxContent>
                </v:textbox>
                <w10:wrap type="none"/>
              </v:shape>
            </v:group>
            <w10:wrap type="none"/>
          </v:group>
        </w:pict>
      </w:r>
      <w:r>
        <w:rPr>
          <w:rFonts w:ascii="宋体" w:hAnsi="宋体" w:cs="宋体" w:eastAsia="宋体" w:hint="default"/>
          <w:sz w:val="21"/>
          <w:szCs w:val="21"/>
        </w:rPr>
        <w:t>②组合中，采用其他方法计提坏账准备的其他应收款</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tbl>
      <w:tblPr>
        <w:tblW w:w="0" w:type="auto"/>
        <w:jc w:val="left"/>
        <w:tblInd w:w="550" w:type="dxa"/>
        <w:tblLayout w:type="fixed"/>
        <w:tblCellMar>
          <w:top w:w="0" w:type="dxa"/>
          <w:left w:w="0" w:type="dxa"/>
          <w:bottom w:w="0" w:type="dxa"/>
          <w:right w:w="0" w:type="dxa"/>
        </w:tblCellMar>
        <w:tblLook w:val="01E0"/>
      </w:tblPr>
      <w:tblGrid>
        <w:gridCol w:w="2659"/>
        <w:gridCol w:w="2308"/>
        <w:gridCol w:w="4272"/>
      </w:tblGrid>
      <w:tr>
        <w:trPr>
          <w:trHeight w:val="333" w:hRule="exact"/>
        </w:trPr>
        <w:tc>
          <w:tcPr>
            <w:tcW w:w="2659" w:type="dxa"/>
            <w:tcBorders>
              <w:top w:val="nil" w:sz="6" w:space="0" w:color="auto"/>
              <w:left w:val="nil" w:sz="6" w:space="0" w:color="auto"/>
              <w:bottom w:val="nil" w:sz="6" w:space="0" w:color="auto"/>
              <w:right w:val="nil" w:sz="6" w:space="0" w:color="auto"/>
            </w:tcBorders>
          </w:tcPr>
          <w:p>
            <w:pPr>
              <w:pStyle w:val="TableParagraph"/>
              <w:spacing w:line="180" w:lineRule="exact"/>
              <w:ind w:right="60"/>
              <w:jc w:val="center"/>
              <w:rPr>
                <w:rFonts w:ascii="宋体" w:hAnsi="宋体" w:cs="宋体" w:eastAsia="宋体" w:hint="default"/>
                <w:sz w:val="18"/>
                <w:szCs w:val="18"/>
              </w:rPr>
            </w:pPr>
            <w:r>
              <w:rPr>
                <w:rFonts w:ascii="宋体" w:hAnsi="宋体" w:cs="宋体" w:eastAsia="宋体" w:hint="default"/>
                <w:sz w:val="18"/>
                <w:szCs w:val="18"/>
              </w:rPr>
              <w:t>业务费组合</w:t>
            </w:r>
          </w:p>
        </w:tc>
        <w:tc>
          <w:tcPr>
            <w:tcW w:w="2308" w:type="dxa"/>
            <w:tcBorders>
              <w:top w:val="nil" w:sz="6" w:space="0" w:color="auto"/>
              <w:left w:val="nil" w:sz="6" w:space="0" w:color="auto"/>
              <w:bottom w:val="nil" w:sz="6" w:space="0" w:color="auto"/>
              <w:right w:val="nil" w:sz="6" w:space="0" w:color="auto"/>
            </w:tcBorders>
          </w:tcPr>
          <w:p>
            <w:pPr>
              <w:pStyle w:val="TableParagraph"/>
              <w:spacing w:line="191" w:lineRule="exact"/>
              <w:ind w:right="449"/>
              <w:jc w:val="right"/>
              <w:rPr>
                <w:rFonts w:ascii="Times New Roman" w:hAnsi="Times New Roman" w:cs="Times New Roman" w:eastAsia="Times New Roman" w:hint="default"/>
                <w:sz w:val="18"/>
                <w:szCs w:val="18"/>
              </w:rPr>
            </w:pPr>
            <w:r>
              <w:rPr>
                <w:rFonts w:ascii="Times New Roman"/>
                <w:spacing w:val="-1"/>
                <w:sz w:val="18"/>
              </w:rPr>
              <w:t>5,079,043.76</w:t>
            </w:r>
          </w:p>
        </w:tc>
        <w:tc>
          <w:tcPr>
            <w:tcW w:w="4272" w:type="dxa"/>
            <w:tcBorders>
              <w:top w:val="nil" w:sz="6" w:space="0" w:color="auto"/>
              <w:left w:val="nil" w:sz="6" w:space="0" w:color="auto"/>
              <w:bottom w:val="nil" w:sz="6" w:space="0" w:color="auto"/>
              <w:right w:val="nil" w:sz="6" w:space="0" w:color="auto"/>
            </w:tcBorders>
          </w:tcPr>
          <w:p>
            <w:pPr>
              <w:pStyle w:val="TableParagraph"/>
              <w:tabs>
                <w:tab w:pos="1612" w:val="left" w:leader="none"/>
              </w:tabs>
              <w:spacing w:line="147" w:lineRule="exact"/>
              <w:ind w:left="451"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5,079,043.76</w:t>
              <w:tab/>
            </w:r>
            <w:r>
              <w:rPr>
                <w:rFonts w:ascii="宋体" w:hAnsi="宋体" w:cs="宋体" w:eastAsia="宋体" w:hint="default"/>
                <w:sz w:val="18"/>
                <w:szCs w:val="18"/>
              </w:rPr>
              <w:t>全额计提</w:t>
            </w:r>
          </w:p>
          <w:p>
            <w:pPr>
              <w:pStyle w:val="TableParagraph"/>
              <w:spacing w:line="189" w:lineRule="exact"/>
              <w:ind w:right="228"/>
              <w:jc w:val="right"/>
              <w:rPr>
                <w:rFonts w:ascii="宋体" w:hAnsi="宋体" w:cs="宋体" w:eastAsia="宋体" w:hint="default"/>
                <w:sz w:val="18"/>
                <w:szCs w:val="18"/>
              </w:rPr>
            </w:pPr>
            <w:r>
              <w:rPr>
                <w:rFonts w:ascii="宋体" w:hAnsi="宋体" w:cs="宋体" w:eastAsia="宋体" w:hint="default"/>
                <w:sz w:val="18"/>
                <w:szCs w:val="18"/>
              </w:rPr>
              <w:t>尚未取得发票</w:t>
            </w:r>
          </w:p>
        </w:tc>
      </w:tr>
      <w:tr>
        <w:trPr>
          <w:trHeight w:val="406" w:hRule="exact"/>
        </w:trPr>
        <w:tc>
          <w:tcPr>
            <w:tcW w:w="2659" w:type="dxa"/>
            <w:tcBorders>
              <w:top w:val="nil" w:sz="6" w:space="0" w:color="auto"/>
              <w:left w:val="nil" w:sz="6" w:space="0" w:color="auto"/>
              <w:bottom w:val="single" w:sz="12" w:space="0" w:color="000000"/>
              <w:right w:val="nil" w:sz="6" w:space="0" w:color="auto"/>
            </w:tcBorders>
          </w:tcPr>
          <w:p>
            <w:pPr>
              <w:pStyle w:val="TableParagraph"/>
              <w:spacing w:line="240" w:lineRule="auto" w:before="89"/>
              <w:ind w:right="60"/>
              <w:jc w:val="center"/>
              <w:rPr>
                <w:rFonts w:ascii="宋体" w:hAnsi="宋体" w:cs="宋体" w:eastAsia="宋体" w:hint="default"/>
                <w:sz w:val="18"/>
                <w:szCs w:val="18"/>
              </w:rPr>
            </w:pPr>
            <w:r>
              <w:rPr>
                <w:rFonts w:ascii="宋体" w:hAnsi="宋体" w:cs="宋体" w:eastAsia="宋体" w:hint="default"/>
                <w:sz w:val="18"/>
                <w:szCs w:val="18"/>
              </w:rPr>
              <w:t>合计</w:t>
            </w:r>
          </w:p>
        </w:tc>
        <w:tc>
          <w:tcPr>
            <w:tcW w:w="2308" w:type="dxa"/>
            <w:tcBorders>
              <w:top w:val="nil" w:sz="6" w:space="0" w:color="auto"/>
              <w:left w:val="nil" w:sz="6" w:space="0" w:color="auto"/>
              <w:bottom w:val="single" w:sz="12" w:space="0" w:color="000000"/>
              <w:right w:val="nil" w:sz="6" w:space="0" w:color="auto"/>
            </w:tcBorders>
          </w:tcPr>
          <w:p>
            <w:pPr>
              <w:pStyle w:val="TableParagraph"/>
              <w:spacing w:line="240" w:lineRule="auto" w:before="129"/>
              <w:ind w:right="449"/>
              <w:jc w:val="right"/>
              <w:rPr>
                <w:rFonts w:ascii="Times New Roman" w:hAnsi="Times New Roman" w:cs="Times New Roman" w:eastAsia="Times New Roman" w:hint="default"/>
                <w:sz w:val="18"/>
                <w:szCs w:val="18"/>
              </w:rPr>
            </w:pPr>
            <w:r>
              <w:rPr>
                <w:rFonts w:ascii="Times New Roman"/>
                <w:spacing w:val="-1"/>
                <w:sz w:val="18"/>
              </w:rPr>
              <w:t>5,079,043.76</w:t>
            </w:r>
          </w:p>
        </w:tc>
        <w:tc>
          <w:tcPr>
            <w:tcW w:w="4272" w:type="dxa"/>
            <w:tcBorders>
              <w:top w:val="nil" w:sz="6" w:space="0" w:color="auto"/>
              <w:left w:val="nil" w:sz="6" w:space="0" w:color="auto"/>
              <w:bottom w:val="single" w:sz="12" w:space="0" w:color="000000"/>
              <w:right w:val="nil" w:sz="6" w:space="0" w:color="auto"/>
            </w:tcBorders>
          </w:tcPr>
          <w:p>
            <w:pPr>
              <w:pStyle w:val="TableParagraph"/>
              <w:spacing w:line="240" w:lineRule="auto" w:before="129"/>
              <w:ind w:left="451" w:right="0"/>
              <w:jc w:val="left"/>
              <w:rPr>
                <w:rFonts w:ascii="Times New Roman" w:hAnsi="Times New Roman" w:cs="Times New Roman" w:eastAsia="Times New Roman" w:hint="default"/>
                <w:sz w:val="18"/>
                <w:szCs w:val="18"/>
              </w:rPr>
            </w:pPr>
            <w:r>
              <w:rPr>
                <w:rFonts w:ascii="Times New Roman"/>
                <w:sz w:val="18"/>
              </w:rPr>
              <w:t>5,079,043.76</w:t>
            </w:r>
          </w:p>
        </w:tc>
      </w:tr>
    </w:tbl>
    <w:p>
      <w:pPr>
        <w:spacing w:line="240" w:lineRule="auto" w:before="0"/>
        <w:rPr>
          <w:rFonts w:ascii="宋体" w:hAnsi="宋体" w:cs="宋体" w:eastAsia="宋体" w:hint="default"/>
          <w:sz w:val="20"/>
          <w:szCs w:val="20"/>
        </w:rPr>
      </w:pPr>
    </w:p>
    <w:p>
      <w:pPr>
        <w:spacing w:before="176"/>
        <w:ind w:left="895" w:right="1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）年末数中无单项金额虽不重大但单项计提坏账准备的其他应收款</w:t>
      </w:r>
    </w:p>
    <w:p>
      <w:pPr>
        <w:spacing w:line="240" w:lineRule="auto" w:before="0"/>
        <w:rPr>
          <w:rFonts w:ascii="宋体" w:hAnsi="宋体" w:cs="宋体" w:eastAsia="宋体" w:hint="default"/>
          <w:sz w:val="22"/>
          <w:szCs w:val="22"/>
        </w:rPr>
      </w:pPr>
    </w:p>
    <w:p>
      <w:pPr>
        <w:tabs>
          <w:tab w:pos="1434" w:val="left" w:leader="none"/>
        </w:tabs>
        <w:spacing w:before="182"/>
        <w:ind w:left="895" w:right="176"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本期转回或收回其他应收款情况</w:t>
      </w:r>
      <w:r>
        <w:rPr>
          <w:rFonts w:ascii="宋体" w:hAnsi="宋体" w:cs="宋体" w:eastAsia="宋体" w:hint="default"/>
          <w:sz w:val="21"/>
          <w:szCs w:val="21"/>
        </w:rPr>
      </w:r>
    </w:p>
    <w:p>
      <w:pPr>
        <w:spacing w:line="1838" w:lineRule="exact"/>
        <w:ind w:left="800"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14.85pt;height:91.95pt;mso-position-horizontal-relative:char;mso-position-vertical-relative:line" coordorigin="0,0" coordsize="8297,1839">
            <v:group style="position:absolute;left:29;top:15;width:4718;height:2" coordorigin="29,15" coordsize="4718,2">
              <v:shape style="position:absolute;left:29;top:15;width:4718;height:2" coordorigin="29,15" coordsize="4718,0" path="m29,15l4747,15e" filled="false" stroked="true" strokeweight="1.5pt" strokecolor="#000000">
                <v:path arrowok="t"/>
              </v:shape>
            </v:group>
            <v:group style="position:absolute;left:4747;top:15;width:1553;height:2" coordorigin="4747,15" coordsize="1553,2">
              <v:shape style="position:absolute;left:4747;top:15;width:1553;height:2" coordorigin="4747,15" coordsize="1553,0" path="m4747,15l6299,15e" filled="false" stroked="true" strokeweight="1.5pt" strokecolor="#000000">
                <v:path arrowok="t"/>
              </v:shape>
            </v:group>
            <v:group style="position:absolute;left:6299;top:15;width:1970;height:2" coordorigin="6299,15" coordsize="1970,2">
              <v:shape style="position:absolute;left:6299;top:15;width:1970;height:2" coordorigin="6299,15" coordsize="1970,0" path="m6299,15l8269,15e" filled="false" stroked="true" strokeweight="1.5pt" strokecolor="#000000">
                <v:path arrowok="t"/>
              </v:shape>
              <v:shape style="position:absolute;left:1622;top:1;width:4716;height:682" type="#_x0000_t75" stroked="false">
                <v:imagedata r:id="rId130" o:title=""/>
              </v:shape>
            </v:group>
            <v:group style="position:absolute;left:15;top:1823;width:1636;height:2" coordorigin="15,1823" coordsize="1636,2">
              <v:shape style="position:absolute;left:15;top:1823;width:1636;height:2" coordorigin="15,1823" coordsize="1636,0" path="m15,1823l1651,1823e" filled="false" stroked="true" strokeweight="1.5pt" strokecolor="#000000">
                <v:path arrowok="t"/>
              </v:shape>
              <v:shape style="position:absolute;left:1;top:635;width:8296;height:1193" type="#_x0000_t75" stroked="false">
                <v:imagedata r:id="rId131" o:title=""/>
              </v:shape>
            </v:group>
            <v:group style="position:absolute;left:1651;top:1823;width:1368;height:2" coordorigin="1651,1823" coordsize="1368,2">
              <v:shape style="position:absolute;left:1651;top:1823;width:1368;height:2" coordorigin="1651,1823" coordsize="1368,0" path="m1651,1823l3019,1823e" filled="false" stroked="true" strokeweight="1.5pt" strokecolor="#000000">
                <v:path arrowok="t"/>
              </v:shape>
              <v:shape style="position:absolute;left:2999;top:1278;width:48;height:550" type="#_x0000_t75" stroked="false">
                <v:imagedata r:id="rId132" o:title=""/>
              </v:shape>
            </v:group>
            <v:group style="position:absolute;left:3019;top:1823;width:1698;height:2" coordorigin="3019,1823" coordsize="1698,2">
              <v:shape style="position:absolute;left:3019;top:1823;width:1698;height:2" coordorigin="3019,1823" coordsize="1698,0" path="m3019,1823l4717,1823e" filled="false" stroked="true" strokeweight="1.5pt" strokecolor="#000000">
                <v:path arrowok="t"/>
              </v:shape>
              <v:shape style="position:absolute;left:4697;top:1278;width:48;height:550" type="#_x0000_t75" stroked="false">
                <v:imagedata r:id="rId133" o:title=""/>
              </v:shape>
            </v:group>
            <v:group style="position:absolute;left:4717;top:1823;width:30;height:2" coordorigin="4717,1823" coordsize="30,2">
              <v:shape style="position:absolute;left:4717;top:1823;width:30;height:2" coordorigin="4717,1823" coordsize="30,0" path="m4717,1823l4747,1823e" filled="false" stroked="true" strokeweight="1.5pt" strokecolor="#000000">
                <v:path arrowok="t"/>
              </v:shape>
            </v:group>
            <v:group style="position:absolute;left:4747;top:1823;width:1553;height:2" coordorigin="4747,1823" coordsize="1553,2">
              <v:shape style="position:absolute;left:4747;top:1823;width:1553;height:2" coordorigin="4747,1823" coordsize="1553,0" path="m4747,1823l6299,1823e" filled="false" stroked="true" strokeweight="1.5pt" strokecolor="#000000">
                <v:path arrowok="t"/>
              </v:shape>
              <v:shape style="position:absolute;left:6280;top:1278;width:48;height:550" type="#_x0000_t75" stroked="false">
                <v:imagedata r:id="rId134" o:title=""/>
              </v:shape>
            </v:group>
            <v:group style="position:absolute;left:6299;top:1823;width:1970;height:2" coordorigin="6299,1823" coordsize="1970,2">
              <v:shape style="position:absolute;left:6299;top:1823;width:1970;height:2" coordorigin="6299,1823" coordsize="1970,0" path="m6299,1823l8269,1823e" filled="false" stroked="true" strokeweight="1.5pt" strokecolor="#000000">
                <v:path arrowok="t"/>
              </v:shape>
              <v:shape style="position:absolute;left:212;top:96;width:2668;height:492" type="#_x0000_t202" filled="false" stroked="false">
                <v:textbox inset="0,0,0,0">
                  <w:txbxContent>
                    <w:p>
                      <w:pPr>
                        <w:spacing w:line="140" w:lineRule="exact" w:before="0"/>
                        <w:ind w:left="1587" w:right="0" w:firstLine="0"/>
                        <w:jc w:val="center"/>
                        <w:rPr>
                          <w:rFonts w:ascii="宋体" w:hAnsi="宋体" w:cs="宋体" w:eastAsia="宋体" w:hint="default"/>
                          <w:sz w:val="18"/>
                          <w:szCs w:val="18"/>
                        </w:rPr>
                      </w:pPr>
                      <w:r>
                        <w:rPr>
                          <w:rFonts w:ascii="宋体" w:hAnsi="宋体" w:cs="宋体" w:eastAsia="宋体" w:hint="default"/>
                          <w:sz w:val="18"/>
                          <w:szCs w:val="18"/>
                        </w:rPr>
                        <w:t>转回或收回原</w:t>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其他应收款内容</w:t>
                      </w:r>
                    </w:p>
                    <w:p>
                      <w:pPr>
                        <w:spacing w:line="196" w:lineRule="exact" w:before="0"/>
                        <w:ind w:left="0" w:right="448" w:firstLine="0"/>
                        <w:jc w:val="right"/>
                        <w:rPr>
                          <w:rFonts w:ascii="宋体" w:hAnsi="宋体" w:cs="宋体" w:eastAsia="宋体" w:hint="default"/>
                          <w:sz w:val="18"/>
                          <w:szCs w:val="18"/>
                        </w:rPr>
                      </w:pPr>
                      <w:r>
                        <w:rPr>
                          <w:rFonts w:ascii="宋体" w:hAnsi="宋体" w:cs="宋体" w:eastAsia="宋体" w:hint="default"/>
                          <w:sz w:val="18"/>
                          <w:szCs w:val="18"/>
                        </w:rPr>
                        <w:t>因</w:t>
                      </w:r>
                    </w:p>
                  </w:txbxContent>
                </v:textbox>
                <w10:wrap type="none"/>
              </v:shape>
              <v:shape style="position:absolute;left:3152;top:96;width:1440;height:1126"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确定原坏账准备的</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依据</w:t>
                      </w:r>
                    </w:p>
                    <w:p>
                      <w:pPr>
                        <w:spacing w:line="310" w:lineRule="atLeast" w:before="11"/>
                        <w:ind w:left="0" w:right="0" w:firstLine="0"/>
                        <w:jc w:val="center"/>
                        <w:rPr>
                          <w:rFonts w:ascii="宋体" w:hAnsi="宋体" w:cs="宋体" w:eastAsia="宋体" w:hint="default"/>
                          <w:sz w:val="18"/>
                          <w:szCs w:val="18"/>
                        </w:rPr>
                      </w:pPr>
                      <w:r>
                        <w:rPr>
                          <w:rFonts w:ascii="宋体" w:hAnsi="宋体" w:cs="宋体" w:eastAsia="宋体" w:hint="default"/>
                          <w:sz w:val="18"/>
                          <w:szCs w:val="18"/>
                        </w:rPr>
                        <w:t>已形成费用，但尚 未取得发票</w:t>
                      </w:r>
                    </w:p>
                  </w:txbxContent>
                </v:textbox>
                <w10:wrap type="none"/>
              </v:shape>
              <v:shape style="position:absolute;left:4882;top:96;width:3214;height:492" type="#_x0000_t202" filled="false" stroked="false">
                <v:textbox inset="0,0,0,0">
                  <w:txbxContent>
                    <w:p>
                      <w:pPr>
                        <w:spacing w:line="140" w:lineRule="exact" w:before="0"/>
                        <w:ind w:left="1593" w:right="0" w:firstLine="0"/>
                        <w:jc w:val="left"/>
                        <w:rPr>
                          <w:rFonts w:ascii="宋体" w:hAnsi="宋体" w:cs="宋体" w:eastAsia="宋体" w:hint="default"/>
                          <w:sz w:val="18"/>
                          <w:szCs w:val="18"/>
                        </w:rPr>
                      </w:pPr>
                      <w:r>
                        <w:rPr>
                          <w:rFonts w:ascii="宋体" w:hAnsi="宋体" w:cs="宋体" w:eastAsia="宋体" w:hint="default"/>
                          <w:sz w:val="18"/>
                          <w:szCs w:val="18"/>
                        </w:rPr>
                        <w:t>转回或收回前累计已</w:t>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转回或收回金额</w:t>
                      </w:r>
                    </w:p>
                    <w:p>
                      <w:pPr>
                        <w:spacing w:line="196" w:lineRule="exact" w:before="0"/>
                        <w:ind w:left="1683" w:right="0" w:firstLine="0"/>
                        <w:jc w:val="left"/>
                        <w:rPr>
                          <w:rFonts w:ascii="宋体" w:hAnsi="宋体" w:cs="宋体" w:eastAsia="宋体" w:hint="default"/>
                          <w:sz w:val="18"/>
                          <w:szCs w:val="18"/>
                        </w:rPr>
                      </w:pPr>
                      <w:r>
                        <w:rPr>
                          <w:rFonts w:ascii="宋体" w:hAnsi="宋体" w:cs="宋体" w:eastAsia="宋体" w:hint="default"/>
                          <w:sz w:val="18"/>
                          <w:szCs w:val="18"/>
                        </w:rPr>
                        <w:t>计提坏账准备金额</w:t>
                      </w:r>
                    </w:p>
                  </w:txbxContent>
                </v:textbox>
                <w10:wrap type="none"/>
              </v:shape>
              <v:shape style="position:absolute;left:137;top:730;width:1436;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0"/>
                          <w:sz w:val="18"/>
                          <w:szCs w:val="18"/>
                        </w:rPr>
                        <w:t>暂未取得发</w:t>
                      </w:r>
                      <w:r>
                        <w:rPr>
                          <w:rFonts w:ascii="宋体" w:hAnsi="宋体" w:cs="宋体" w:eastAsia="宋体" w:hint="default"/>
                          <w:spacing w:val="-65"/>
                          <w:sz w:val="18"/>
                          <w:szCs w:val="18"/>
                        </w:rPr>
                        <w:t> </w:t>
                      </w:r>
                      <w:r>
                        <w:rPr>
                          <w:rFonts w:ascii="宋体" w:hAnsi="宋体" w:cs="宋体" w:eastAsia="宋体" w:hint="default"/>
                          <w:spacing w:val="12"/>
                          <w:sz w:val="18"/>
                          <w:szCs w:val="18"/>
                        </w:rPr>
                        <w:t>票的</w:t>
                      </w:r>
                      <w:r>
                        <w:rPr>
                          <w:rFonts w:ascii="宋体" w:hAnsi="宋体" w:cs="宋体" w:eastAsia="宋体" w:hint="default"/>
                          <w:spacing w:val="-65"/>
                          <w:sz w:val="18"/>
                          <w:szCs w:val="18"/>
                        </w:rPr>
                        <w:t> </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业务费</w:t>
                      </w:r>
                    </w:p>
                  </w:txbxContent>
                </v:textbox>
                <w10:wrap type="none"/>
              </v:shape>
              <v:shape style="position:absolute;left:1979;top:88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收到发票</w:t>
                      </w:r>
                    </w:p>
                  </w:txbxContent>
                </v:textbox>
                <w10:wrap type="none"/>
              </v:shape>
              <v:shape style="position:absolute;left:5251;top:89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3,088,673.17</w:t>
                      </w:r>
                    </w:p>
                  </w:txbxContent>
                </v:textbox>
                <w10:wrap type="none"/>
              </v:shape>
              <v:shape style="position:absolute;left:7216;top:89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3,088,673.17</w:t>
                      </w:r>
                    </w:p>
                  </w:txbxContent>
                </v:textbox>
                <w10:wrap type="none"/>
              </v:shape>
              <v:shape style="position:absolute;left:662;top:146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5251;top:147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3,088,673.17</w:t>
                      </w:r>
                    </w:p>
                  </w:txbxContent>
                </v:textbox>
                <w10:wrap type="none"/>
              </v:shape>
              <v:shape style="position:absolute;left:7216;top:147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3,088,673.17</w:t>
                      </w:r>
                    </w:p>
                  </w:txbxContent>
                </v:textbox>
                <w10:wrap type="none"/>
              </v:shape>
            </v:group>
          </v:group>
        </w:pict>
      </w:r>
      <w:r>
        <w:rPr>
          <w:rFonts w:ascii="宋体" w:hAnsi="宋体" w:cs="宋体" w:eastAsia="宋体" w:hint="default"/>
          <w:position w:val="-36"/>
          <w:sz w:val="20"/>
          <w:szCs w:val="20"/>
        </w:rPr>
      </w:r>
    </w:p>
    <w:p>
      <w:pPr>
        <w:spacing w:after="0" w:line="1838" w:lineRule="exact"/>
        <w:rPr>
          <w:rFonts w:ascii="宋体" w:hAnsi="宋体" w:cs="宋体" w:eastAsia="宋体" w:hint="default"/>
          <w:sz w:val="20"/>
          <w:szCs w:val="20"/>
        </w:rPr>
        <w:sectPr>
          <w:pgSz w:w="11910" w:h="16840"/>
          <w:pgMar w:header="686" w:footer="1270" w:top="1360" w:bottom="1460" w:left="1520" w:right="440"/>
        </w:sectPr>
      </w:pPr>
    </w:p>
    <w:p>
      <w:pPr>
        <w:spacing w:line="240" w:lineRule="auto" w:before="4"/>
        <w:rPr>
          <w:rFonts w:ascii="宋体" w:hAnsi="宋体" w:cs="宋体" w:eastAsia="宋体" w:hint="default"/>
          <w:b/>
          <w:bCs/>
          <w:sz w:val="26"/>
          <w:szCs w:val="26"/>
        </w:rPr>
      </w:pPr>
    </w:p>
    <w:p>
      <w:pPr>
        <w:tabs>
          <w:tab w:pos="1434" w:val="left" w:leader="none"/>
        </w:tabs>
        <w:spacing w:before="35"/>
        <w:ind w:left="89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本报告期无实际核销的其他应收款情况。</w:t>
      </w:r>
      <w:r>
        <w:rPr>
          <w:rFonts w:ascii="宋体" w:hAnsi="宋体" w:cs="宋体" w:eastAsia="宋体" w:hint="default"/>
          <w:sz w:val="21"/>
          <w:szCs w:val="21"/>
        </w:rPr>
      </w:r>
    </w:p>
    <w:p>
      <w:pPr>
        <w:tabs>
          <w:tab w:pos="1434" w:val="left" w:leader="none"/>
        </w:tabs>
        <w:spacing w:before="109"/>
        <w:ind w:left="89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年末其他应收款中无持本公司</w:t>
      </w:r>
      <w:r>
        <w:rPr>
          <w:rFonts w:ascii="宋体" w:hAnsi="宋体" w:cs="宋体" w:eastAsia="宋体" w:hint="default"/>
          <w:b/>
          <w:bCs/>
          <w:spacing w:val="-62"/>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％以上（含</w:t>
      </w:r>
      <w:r>
        <w:rPr>
          <w:rFonts w:ascii="宋体" w:hAnsi="宋体" w:cs="宋体" w:eastAsia="宋体" w:hint="default"/>
          <w:b/>
          <w:bCs/>
          <w:spacing w:val="-62"/>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434" w:val="left" w:leader="none"/>
        </w:tabs>
        <w:spacing w:before="0"/>
        <w:ind w:left="895" w:right="0" w:firstLine="0"/>
        <w:jc w:val="left"/>
        <w:rPr>
          <w:rFonts w:ascii="宋体" w:hAnsi="宋体" w:cs="宋体" w:eastAsia="宋体" w:hint="default"/>
          <w:sz w:val="21"/>
          <w:szCs w:val="21"/>
        </w:rPr>
      </w:pPr>
      <w:r>
        <w:rPr/>
        <w:pict>
          <v:group style="position:absolute;margin-left:116.910004pt;margin-top:15.322781pt;width:414.35pt;height:208.35pt;mso-position-horizontal-relative:page;mso-position-vertical-relative:paragraph;z-index:-780544" coordorigin="2338,306" coordsize="8287,4167">
            <v:group style="position:absolute;left:2368;top:321;width:8222;height:2" coordorigin="2368,321" coordsize="8222,2">
              <v:shape style="position:absolute;left:2368;top:321;width:8222;height:2" coordorigin="2368,321" coordsize="8222,0" path="m2368,321l10589,321e" filled="false" stroked="true" strokeweight="1.5pt" strokecolor="#000000">
                <v:path arrowok="t"/>
              </v:shape>
              <v:shape style="position:absolute;left:5315;top:315;width:4448;height:979" type="#_x0000_t75" stroked="false">
                <v:imagedata r:id="rId135" o:title=""/>
              </v:shape>
            </v:group>
            <v:group style="position:absolute;left:2353;top:4458;width:2984;height:2" coordorigin="2353,4458" coordsize="2984,2">
              <v:shape style="position:absolute;left:2353;top:4458;width:2984;height:2" coordorigin="2353,4458" coordsize="2984,0" path="m2353,4458l5336,4458e" filled="false" stroked="true" strokeweight="1.5pt" strokecolor="#000000">
                <v:path arrowok="t"/>
              </v:shape>
              <v:shape style="position:absolute;left:2339;top:1244;width:8286;height:3218" type="#_x0000_t75" stroked="false">
                <v:imagedata r:id="rId136" o:title=""/>
              </v:shape>
            </v:group>
            <v:group style="position:absolute;left:5336;top:4458;width:995;height:2" coordorigin="5336,4458" coordsize="995,2">
              <v:shape style="position:absolute;left:5336;top:4458;width:995;height:2" coordorigin="5336,4458" coordsize="995,0" path="m5336,4458l6331,4458e" filled="false" stroked="true" strokeweight="1.5pt" strokecolor="#000000">
                <v:path arrowok="t"/>
              </v:shape>
              <v:shape style="position:absolute;left:6312;top:3798;width:48;height:664" type="#_x0000_t75" stroked="false">
                <v:imagedata r:id="rId137" o:title=""/>
              </v:shape>
            </v:group>
            <v:group style="position:absolute;left:6331;top:4458;width:1276;height:2" coordorigin="6331,4458" coordsize="1276,2">
              <v:shape style="position:absolute;left:6331;top:4458;width:1276;height:2" coordorigin="6331,4458" coordsize="1276,0" path="m6331,4458l7607,4458e" filled="false" stroked="true" strokeweight="1.5pt" strokecolor="#000000">
                <v:path arrowok="t"/>
              </v:shape>
              <v:shape style="position:absolute;left:7588;top:3798;width:48;height:664" type="#_x0000_t75" stroked="false">
                <v:imagedata r:id="rId138" o:title=""/>
              </v:shape>
            </v:group>
            <v:group style="position:absolute;left:7607;top:4458;width:993;height:2" coordorigin="7607,4458" coordsize="993,2">
              <v:shape style="position:absolute;left:7607;top:4458;width:993;height:2" coordorigin="7607,4458" coordsize="993,0" path="m7607,4458l8599,4458e" filled="false" stroked="true" strokeweight="1.5pt" strokecolor="#000000">
                <v:path arrowok="t"/>
              </v:shape>
              <v:shape style="position:absolute;left:8580;top:3798;width:48;height:664" type="#_x0000_t75" stroked="false">
                <v:imagedata r:id="rId138" o:title=""/>
              </v:shape>
            </v:group>
            <v:group style="position:absolute;left:8599;top:4458;width:1133;height:2" coordorigin="8599,4458" coordsize="1133,2">
              <v:shape style="position:absolute;left:8599;top:4458;width:1133;height:2" coordorigin="8599,4458" coordsize="1133,0" path="m8599,4458l9732,4458e" filled="false" stroked="true" strokeweight="1.5pt" strokecolor="#000000">
                <v:path arrowok="t"/>
              </v:shape>
              <v:shape style="position:absolute;left:9713;top:3798;width:48;height:664" type="#_x0000_t75" stroked="false">
                <v:imagedata r:id="rId138" o:title=""/>
              </v:shape>
            </v:group>
            <v:group style="position:absolute;left:9732;top:4458;width:857;height:2" coordorigin="9732,4458" coordsize="857,2">
              <v:shape style="position:absolute;left:9732;top:4458;width:857;height:2" coordorigin="9732,4458" coordsize="857,0" path="m9732,4458l10589,4458e" filled="false" stroked="true" strokeweight="1.5pt" strokecolor="#000000">
                <v:path arrowok="t"/>
              </v:shape>
              <v:shape style="position:absolute;left:3494;top:7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5478;top:559;width:720;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与本公司</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关系</w:t>
                      </w:r>
                    </w:p>
                  </w:txbxContent>
                </v:textbox>
                <w10:wrap type="none"/>
              </v:shape>
              <v:shape style="position:absolute;left:6613;top:7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927;top:71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8720;top:403;width:1713;height:814" type="#_x0000_t202" filled="false" stroked="false">
                <v:textbox inset="0,0,0,0">
                  <w:txbxContent>
                    <w:p>
                      <w:pPr>
                        <w:spacing w:line="140" w:lineRule="exact" w:before="0"/>
                        <w:ind w:left="0" w:right="810" w:firstLine="0"/>
                        <w:jc w:val="center"/>
                        <w:rPr>
                          <w:rFonts w:ascii="宋体" w:hAnsi="宋体" w:cs="宋体" w:eastAsia="宋体" w:hint="default"/>
                          <w:sz w:val="18"/>
                          <w:szCs w:val="18"/>
                        </w:rPr>
                      </w:pPr>
                      <w:r>
                        <w:rPr>
                          <w:rFonts w:ascii="宋体" w:hAnsi="宋体" w:cs="宋体" w:eastAsia="宋体" w:hint="default"/>
                          <w:sz w:val="18"/>
                          <w:szCs w:val="18"/>
                        </w:rPr>
                        <w:t>占其他应收</w:t>
                      </w:r>
                    </w:p>
                    <w:p>
                      <w:pPr>
                        <w:spacing w:line="156"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性质或</w:t>
                      </w:r>
                    </w:p>
                    <w:p>
                      <w:pPr>
                        <w:spacing w:line="156" w:lineRule="exact" w:before="0"/>
                        <w:ind w:left="0" w:right="810" w:firstLine="0"/>
                        <w:jc w:val="center"/>
                        <w:rPr>
                          <w:rFonts w:ascii="宋体" w:hAnsi="宋体" w:cs="宋体" w:eastAsia="宋体" w:hint="default"/>
                          <w:sz w:val="18"/>
                          <w:szCs w:val="18"/>
                        </w:rPr>
                      </w:pPr>
                      <w:r>
                        <w:rPr>
                          <w:rFonts w:ascii="宋体" w:hAnsi="宋体" w:cs="宋体" w:eastAsia="宋体" w:hint="default"/>
                          <w:sz w:val="18"/>
                          <w:szCs w:val="18"/>
                        </w:rPr>
                        <w:t>款总额的比</w:t>
                      </w:r>
                    </w:p>
                    <w:p>
                      <w:pPr>
                        <w:spacing w:line="156" w:lineRule="exact" w:before="0"/>
                        <w:ind w:left="0" w:right="88" w:firstLine="0"/>
                        <w:jc w:val="right"/>
                        <w:rPr>
                          <w:rFonts w:ascii="宋体" w:hAnsi="宋体" w:cs="宋体" w:eastAsia="宋体" w:hint="default"/>
                          <w:sz w:val="18"/>
                          <w:szCs w:val="18"/>
                        </w:rPr>
                      </w:pPr>
                      <w:r>
                        <w:rPr>
                          <w:rFonts w:ascii="宋体" w:hAnsi="宋体" w:cs="宋体" w:eastAsia="宋体" w:hint="default"/>
                          <w:sz w:val="18"/>
                          <w:szCs w:val="18"/>
                        </w:rPr>
                        <w:t>内容</w:t>
                      </w:r>
                    </w:p>
                    <w:p>
                      <w:pPr>
                        <w:spacing w:line="206" w:lineRule="exact" w:before="0"/>
                        <w:ind w:left="0" w:right="811" w:firstLine="0"/>
                        <w:jc w:val="center"/>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txbxContent>
                </v:textbox>
                <w10:wrap type="none"/>
              </v:shape>
              <v:shape style="position:absolute;left:2476;top:1348;width:3694;height:3029" type="#_x0000_t202" filled="false" stroked="false">
                <v:textbox inset="0,0,0,0">
                  <w:txbxContent>
                    <w:p>
                      <w:pPr>
                        <w:spacing w:line="140"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非关联方</w:t>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中招国际招标有限公司</w:t>
                      </w:r>
                    </w:p>
                    <w:p>
                      <w:pPr>
                        <w:spacing w:line="196" w:lineRule="exact" w:before="0"/>
                        <w:ind w:left="2973" w:right="0" w:firstLine="0"/>
                        <w:jc w:val="left"/>
                        <w:rPr>
                          <w:rFonts w:ascii="宋体" w:hAnsi="宋体" w:cs="宋体" w:eastAsia="宋体" w:hint="default"/>
                          <w:sz w:val="18"/>
                          <w:szCs w:val="18"/>
                        </w:rPr>
                      </w:pPr>
                      <w:r>
                        <w:rPr>
                          <w:rFonts w:ascii="宋体" w:hAnsi="宋体" w:cs="宋体" w:eastAsia="宋体" w:hint="default"/>
                          <w:sz w:val="18"/>
                          <w:szCs w:val="18"/>
                        </w:rPr>
                        <w:t>客户</w:t>
                      </w:r>
                    </w:p>
                    <w:p>
                      <w:pPr>
                        <w:spacing w:line="196" w:lineRule="exact" w:before="87"/>
                        <w:ind w:left="0" w:right="0" w:firstLine="0"/>
                        <w:jc w:val="right"/>
                        <w:rPr>
                          <w:rFonts w:ascii="宋体" w:hAnsi="宋体" w:cs="宋体" w:eastAsia="宋体" w:hint="default"/>
                          <w:sz w:val="18"/>
                          <w:szCs w:val="18"/>
                        </w:rPr>
                      </w:pPr>
                      <w:r>
                        <w:rPr>
                          <w:rFonts w:ascii="宋体" w:hAnsi="宋体" w:cs="宋体" w:eastAsia="宋体" w:hint="default"/>
                          <w:sz w:val="18"/>
                          <w:szCs w:val="18"/>
                        </w:rPr>
                        <w:t>非关联方</w:t>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浙江浙电工程招标咨询公司</w:t>
                      </w:r>
                    </w:p>
                    <w:p>
                      <w:pPr>
                        <w:spacing w:line="196" w:lineRule="exact" w:before="0"/>
                        <w:ind w:left="2973" w:right="0" w:firstLine="0"/>
                        <w:jc w:val="left"/>
                        <w:rPr>
                          <w:rFonts w:ascii="宋体" w:hAnsi="宋体" w:cs="宋体" w:eastAsia="宋体" w:hint="default"/>
                          <w:sz w:val="18"/>
                          <w:szCs w:val="18"/>
                        </w:rPr>
                      </w:pPr>
                      <w:r>
                        <w:rPr>
                          <w:rFonts w:ascii="宋体" w:hAnsi="宋体" w:cs="宋体" w:eastAsia="宋体" w:hint="default"/>
                          <w:sz w:val="18"/>
                          <w:szCs w:val="18"/>
                        </w:rPr>
                        <w:t>客户</w:t>
                      </w:r>
                    </w:p>
                    <w:p>
                      <w:pPr>
                        <w:spacing w:line="196" w:lineRule="exact" w:before="86"/>
                        <w:ind w:left="0" w:right="0" w:firstLine="0"/>
                        <w:jc w:val="right"/>
                        <w:rPr>
                          <w:rFonts w:ascii="宋体" w:hAnsi="宋体" w:cs="宋体" w:eastAsia="宋体" w:hint="default"/>
                          <w:sz w:val="18"/>
                          <w:szCs w:val="18"/>
                        </w:rPr>
                      </w:pPr>
                      <w:r>
                        <w:rPr>
                          <w:rFonts w:ascii="宋体" w:hAnsi="宋体" w:cs="宋体" w:eastAsia="宋体" w:hint="default"/>
                          <w:sz w:val="18"/>
                          <w:szCs w:val="18"/>
                        </w:rPr>
                        <w:t>非关联方</w:t>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广东省电力物资总公司</w:t>
                      </w:r>
                    </w:p>
                    <w:p>
                      <w:pPr>
                        <w:spacing w:line="196" w:lineRule="exact" w:before="0"/>
                        <w:ind w:left="2973" w:right="0" w:firstLine="0"/>
                        <w:jc w:val="left"/>
                        <w:rPr>
                          <w:rFonts w:ascii="宋体" w:hAnsi="宋体" w:cs="宋体" w:eastAsia="宋体" w:hint="default"/>
                          <w:sz w:val="18"/>
                          <w:szCs w:val="18"/>
                        </w:rPr>
                      </w:pPr>
                      <w:r>
                        <w:rPr>
                          <w:rFonts w:ascii="宋体" w:hAnsi="宋体" w:cs="宋体" w:eastAsia="宋体" w:hint="default"/>
                          <w:sz w:val="18"/>
                          <w:szCs w:val="18"/>
                        </w:rPr>
                        <w:t>客户</w:t>
                      </w:r>
                    </w:p>
                    <w:p>
                      <w:pPr>
                        <w:spacing w:line="196" w:lineRule="exact" w:before="86"/>
                        <w:ind w:left="0" w:right="0" w:firstLine="0"/>
                        <w:jc w:val="right"/>
                        <w:rPr>
                          <w:rFonts w:ascii="宋体" w:hAnsi="宋体" w:cs="宋体" w:eastAsia="宋体" w:hint="default"/>
                          <w:sz w:val="18"/>
                          <w:szCs w:val="18"/>
                        </w:rPr>
                      </w:pPr>
                      <w:r>
                        <w:rPr>
                          <w:rFonts w:ascii="宋体" w:hAnsi="宋体" w:cs="宋体" w:eastAsia="宋体" w:hint="default"/>
                          <w:sz w:val="18"/>
                          <w:szCs w:val="18"/>
                        </w:rPr>
                        <w:t>非关联方</w:t>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杭州中浙招标有限公司嘉兴分公司</w:t>
                      </w:r>
                    </w:p>
                    <w:p>
                      <w:pPr>
                        <w:spacing w:line="196" w:lineRule="exact" w:before="0"/>
                        <w:ind w:left="2973" w:right="0" w:firstLine="0"/>
                        <w:jc w:val="left"/>
                        <w:rPr>
                          <w:rFonts w:ascii="宋体" w:hAnsi="宋体" w:cs="宋体" w:eastAsia="宋体" w:hint="default"/>
                          <w:sz w:val="18"/>
                          <w:szCs w:val="18"/>
                        </w:rPr>
                      </w:pPr>
                      <w:r>
                        <w:rPr>
                          <w:rFonts w:ascii="宋体" w:hAnsi="宋体" w:cs="宋体" w:eastAsia="宋体" w:hint="default"/>
                          <w:sz w:val="18"/>
                          <w:szCs w:val="18"/>
                        </w:rPr>
                        <w:t>客户</w:t>
                      </w:r>
                    </w:p>
                    <w:p>
                      <w:pPr>
                        <w:spacing w:line="196" w:lineRule="exact" w:before="87"/>
                        <w:ind w:left="0" w:right="0" w:firstLine="0"/>
                        <w:jc w:val="right"/>
                        <w:rPr>
                          <w:rFonts w:ascii="宋体" w:hAnsi="宋体" w:cs="宋体" w:eastAsia="宋体" w:hint="default"/>
                          <w:sz w:val="18"/>
                          <w:szCs w:val="18"/>
                        </w:rPr>
                      </w:pPr>
                      <w:r>
                        <w:rPr>
                          <w:rFonts w:ascii="宋体" w:hAnsi="宋体" w:cs="宋体" w:eastAsia="宋体" w:hint="default"/>
                          <w:sz w:val="18"/>
                          <w:szCs w:val="18"/>
                        </w:rPr>
                        <w:t>非关联方</w:t>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山西电能工程招标代理有限公司</w:t>
                      </w:r>
                    </w:p>
                    <w:p>
                      <w:pPr>
                        <w:spacing w:line="196" w:lineRule="exact" w:before="0"/>
                        <w:ind w:left="0" w:right="358" w:firstLine="0"/>
                        <w:jc w:val="right"/>
                        <w:rPr>
                          <w:rFonts w:ascii="宋体" w:hAnsi="宋体" w:cs="宋体" w:eastAsia="宋体" w:hint="default"/>
                          <w:sz w:val="18"/>
                          <w:szCs w:val="18"/>
                        </w:rPr>
                      </w:pPr>
                      <w:r>
                        <w:rPr>
                          <w:rFonts w:ascii="宋体" w:hAnsi="宋体" w:cs="宋体" w:eastAsia="宋体" w:hint="default"/>
                          <w:sz w:val="18"/>
                          <w:szCs w:val="18"/>
                        </w:rPr>
                        <w:t>客户</w:t>
                      </w:r>
                    </w:p>
                  </w:txbxContent>
                </v:textbox>
                <w10:wrap type="none"/>
              </v:shape>
            </v:group>
            <w10:wrap type="none"/>
          </v:group>
        </w:pict>
      </w: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其他应收款金额前五名单位情况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5"/>
          <w:szCs w:val="25"/>
        </w:rPr>
      </w:pPr>
    </w:p>
    <w:tbl>
      <w:tblPr>
        <w:tblW w:w="0" w:type="auto"/>
        <w:jc w:val="left"/>
        <w:tblInd w:w="5004" w:type="dxa"/>
        <w:tblLayout w:type="fixed"/>
        <w:tblCellMar>
          <w:top w:w="0" w:type="dxa"/>
          <w:left w:w="0" w:type="dxa"/>
          <w:bottom w:w="0" w:type="dxa"/>
          <w:right w:w="0" w:type="dxa"/>
        </w:tblCellMar>
        <w:tblLook w:val="01E0"/>
      </w:tblPr>
      <w:tblGrid>
        <w:gridCol w:w="1113"/>
        <w:gridCol w:w="1197"/>
        <w:gridCol w:w="903"/>
        <w:gridCol w:w="682"/>
      </w:tblGrid>
      <w:tr>
        <w:trPr>
          <w:trHeight w:val="512" w:hRule="exact"/>
        </w:trPr>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30"/>
              <w:jc w:val="right"/>
              <w:rPr>
                <w:rFonts w:ascii="Times New Roman" w:hAnsi="Times New Roman" w:cs="Times New Roman" w:eastAsia="Times New Roman" w:hint="default"/>
                <w:sz w:val="18"/>
                <w:szCs w:val="18"/>
              </w:rPr>
            </w:pPr>
            <w:r>
              <w:rPr>
                <w:rFonts w:ascii="Times New Roman"/>
                <w:spacing w:val="-1"/>
                <w:sz w:val="18"/>
              </w:rPr>
              <w:t>3,511,400.00</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z w:val="18"/>
              </w:rPr>
              <w:t>15.86</w:t>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hAnsi="宋体" w:cs="宋体" w:eastAsia="宋体" w:hint="default"/>
                <w:sz w:val="18"/>
                <w:szCs w:val="18"/>
              </w:rPr>
              <w:t>保证金</w:t>
            </w:r>
          </w:p>
        </w:tc>
      </w:tr>
      <w:tr>
        <w:trPr>
          <w:trHeight w:val="634" w:hRule="exact"/>
        </w:trPr>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30"/>
              <w:jc w:val="right"/>
              <w:rPr>
                <w:rFonts w:ascii="Times New Roman" w:hAnsi="Times New Roman" w:cs="Times New Roman" w:eastAsia="Times New Roman" w:hint="default"/>
                <w:sz w:val="18"/>
                <w:szCs w:val="18"/>
              </w:rPr>
            </w:pPr>
            <w:r>
              <w:rPr>
                <w:rFonts w:ascii="Times New Roman"/>
                <w:spacing w:val="-1"/>
                <w:sz w:val="18"/>
              </w:rPr>
              <w:t>1,378,000.00</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6.22</w:t>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sz w:val="18"/>
                <w:szCs w:val="18"/>
              </w:rPr>
              <w:t>保证金</w:t>
            </w:r>
          </w:p>
        </w:tc>
      </w:tr>
      <w:tr>
        <w:trPr>
          <w:trHeight w:val="634" w:hRule="exact"/>
        </w:trPr>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30"/>
              <w:jc w:val="right"/>
              <w:rPr>
                <w:rFonts w:ascii="Times New Roman" w:hAnsi="Times New Roman" w:cs="Times New Roman" w:eastAsia="Times New Roman" w:hint="default"/>
                <w:sz w:val="18"/>
                <w:szCs w:val="18"/>
              </w:rPr>
            </w:pPr>
            <w:r>
              <w:rPr>
                <w:rFonts w:ascii="Times New Roman"/>
                <w:spacing w:val="-1"/>
                <w:sz w:val="18"/>
              </w:rPr>
              <w:t>1,037,147.15</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4.68</w:t>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sz w:val="18"/>
                <w:szCs w:val="18"/>
              </w:rPr>
              <w:t>保证金</w:t>
            </w:r>
          </w:p>
        </w:tc>
      </w:tr>
      <w:tr>
        <w:trPr>
          <w:trHeight w:val="634" w:hRule="exact"/>
        </w:trPr>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30"/>
              <w:jc w:val="right"/>
              <w:rPr>
                <w:rFonts w:ascii="Times New Roman" w:hAnsi="Times New Roman" w:cs="Times New Roman" w:eastAsia="Times New Roman" w:hint="default"/>
                <w:sz w:val="18"/>
                <w:szCs w:val="18"/>
              </w:rPr>
            </w:pPr>
            <w:r>
              <w:rPr>
                <w:rFonts w:ascii="Times New Roman"/>
                <w:sz w:val="18"/>
              </w:rPr>
              <w:t>894,581.00</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4.04</w:t>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sz w:val="18"/>
                <w:szCs w:val="18"/>
              </w:rPr>
              <w:t>保证金</w:t>
            </w:r>
          </w:p>
        </w:tc>
      </w:tr>
      <w:tr>
        <w:trPr>
          <w:trHeight w:val="512" w:hRule="exact"/>
        </w:trPr>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30"/>
              <w:jc w:val="right"/>
              <w:rPr>
                <w:rFonts w:ascii="Times New Roman" w:hAnsi="Times New Roman" w:cs="Times New Roman" w:eastAsia="Times New Roman" w:hint="default"/>
                <w:sz w:val="18"/>
                <w:szCs w:val="18"/>
              </w:rPr>
            </w:pPr>
            <w:r>
              <w:rPr>
                <w:rFonts w:ascii="Times New Roman"/>
                <w:sz w:val="18"/>
              </w:rPr>
              <w:t>829,760.00</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3.75</w:t>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sz w:val="18"/>
                <w:szCs w:val="18"/>
              </w:rPr>
              <w:t>保证金</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5"/>
          <w:szCs w:val="25"/>
        </w:rPr>
      </w:pPr>
    </w:p>
    <w:p>
      <w:pPr>
        <w:tabs>
          <w:tab w:pos="1547" w:val="left" w:leader="none"/>
        </w:tabs>
        <w:spacing w:before="35"/>
        <w:ind w:left="1019" w:right="0" w:firstLine="0"/>
        <w:jc w:val="left"/>
        <w:rPr>
          <w:rFonts w:ascii="宋体" w:hAnsi="宋体" w:cs="宋体" w:eastAsia="宋体" w:hint="default"/>
          <w:sz w:val="21"/>
          <w:szCs w:val="21"/>
        </w:rPr>
      </w:pPr>
      <w:r>
        <w:rPr>
          <w:rFonts w:ascii="宋体" w:hAnsi="宋体" w:cs="宋体" w:eastAsia="宋体" w:hint="default"/>
          <w:b/>
          <w:bCs/>
          <w:w w:val="95"/>
          <w:sz w:val="21"/>
          <w:szCs w:val="21"/>
        </w:rPr>
        <w:t>7、</w:t>
        <w:tab/>
      </w:r>
      <w:r>
        <w:rPr>
          <w:rFonts w:ascii="宋体" w:hAnsi="宋体" w:cs="宋体" w:eastAsia="宋体" w:hint="default"/>
          <w:b/>
          <w:bCs/>
          <w:sz w:val="21"/>
          <w:szCs w:val="21"/>
        </w:rPr>
        <w:t>年末数中无应收关联方款项的情况。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993" w:val="left" w:leader="none"/>
        </w:tabs>
        <w:spacing w:before="0"/>
        <w:ind w:left="269"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五</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预付款项</w:t>
      </w:r>
      <w:r>
        <w:rPr>
          <w:rFonts w:ascii="宋体" w:hAnsi="宋体" w:cs="宋体" w:eastAsia="宋体" w:hint="default"/>
          <w:sz w:val="21"/>
          <w:szCs w:val="21"/>
        </w:rPr>
      </w:r>
    </w:p>
    <w:p>
      <w:pPr>
        <w:tabs>
          <w:tab w:pos="1434" w:val="left" w:leader="none"/>
        </w:tabs>
        <w:spacing w:before="109"/>
        <w:ind w:left="89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预付款项按账龄列示</w:t>
      </w:r>
      <w:r>
        <w:rPr>
          <w:rFonts w:ascii="宋体" w:hAnsi="宋体" w:cs="宋体" w:eastAsia="宋体" w:hint="default"/>
          <w:sz w:val="21"/>
          <w:szCs w:val="21"/>
        </w:rPr>
      </w:r>
    </w:p>
    <w:p>
      <w:pPr>
        <w:spacing w:line="3306" w:lineRule="exact"/>
        <w:ind w:left="850"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390.45pt;height:165.3pt;mso-position-horizontal-relative:char;mso-position-vertical-relative:line" coordorigin="0,0" coordsize="7809,3306">
            <v:group style="position:absolute;left:29;top:15;width:7755;height:2" coordorigin="29,15" coordsize="7755,2">
              <v:shape style="position:absolute;left:29;top:15;width:7755;height:2" coordorigin="29,15" coordsize="7755,0" path="m29,15l7784,15e" filled="false" stroked="true" strokeweight="1.5pt" strokecolor="#000000">
                <v:path arrowok="t"/>
              </v:shape>
              <v:shape style="position:absolute;left:1957;top:10;width:2737;height:437" type="#_x0000_t75" stroked="false">
                <v:imagedata r:id="rId139" o:title=""/>
              </v:shape>
              <v:shape style="position:absolute;left:1957;top:407;width:5850;height:446" type="#_x0000_t75" stroked="false">
                <v:imagedata r:id="rId140" o:title=""/>
              </v:shape>
            </v:group>
            <v:group style="position:absolute;left:15;top:3291;width:1962;height:2" coordorigin="15,3291" coordsize="1962,2">
              <v:shape style="position:absolute;left:15;top:3291;width:1962;height:2" coordorigin="15,3291" coordsize="1962,0" path="m15,3291l1977,3291e" filled="false" stroked="true" strokeweight="1.5pt" strokecolor="#000000">
                <v:path arrowok="t"/>
              </v:shape>
            </v:group>
            <v:group style="position:absolute;left:1977;top:3291;width:1550;height:2" coordorigin="1977,3291" coordsize="1550,2">
              <v:shape style="position:absolute;left:1977;top:3291;width:1550;height:2" coordorigin="1977,3291" coordsize="1550,0" path="m1977,3291l3526,3291e" filled="false" stroked="true" strokeweight="1.5pt" strokecolor="#000000">
                <v:path arrowok="t"/>
              </v:shape>
            </v:group>
            <v:group style="position:absolute;left:3526;top:3291;width:1139;height:2" coordorigin="3526,3291" coordsize="1139,2">
              <v:shape style="position:absolute;left:3526;top:3291;width:1139;height:2" coordorigin="3526,3291" coordsize="1139,0" path="m3526,3291l4665,3291e" filled="false" stroked="true" strokeweight="1.5pt" strokecolor="#000000">
                <v:path arrowok="t"/>
              </v:shape>
            </v:group>
            <v:group style="position:absolute;left:4665;top:3291;width:30;height:2" coordorigin="4665,3291" coordsize="30,2">
              <v:shape style="position:absolute;left:4665;top:3291;width:30;height:2" coordorigin="4665,3291" coordsize="30,0" path="m4665,3291l4695,3291e" filled="false" stroked="true" strokeweight="1.5pt" strokecolor="#000000">
                <v:path arrowok="t"/>
              </v:shape>
            </v:group>
            <v:group style="position:absolute;left:4695;top:3291;width:1950;height:2" coordorigin="4695,3291" coordsize="1950,2">
              <v:shape style="position:absolute;left:4695;top:3291;width:1950;height:2" coordorigin="4695,3291" coordsize="1950,0" path="m4695,3291l6645,3291e" filled="false" stroked="true" strokeweight="1.5pt" strokecolor="#000000">
                <v:path arrowok="t"/>
              </v:shape>
              <v:shape style="position:absolute;left:1;top:812;width:7808;height:2464" type="#_x0000_t75" stroked="false">
                <v:imagedata r:id="rId141" o:title=""/>
              </v:shape>
            </v:group>
            <v:group style="position:absolute;left:6645;top:3291;width:1139;height:2" coordorigin="6645,3291" coordsize="1139,2">
              <v:shape style="position:absolute;left:6645;top:3291;width:1139;height:2" coordorigin="6645,3291" coordsize="1139,0" path="m6645,3291l7784,3291e" filled="false" stroked="true" strokeweight="1.5pt" strokecolor="#000000">
                <v:path arrowok="t"/>
              </v:shape>
              <v:shape style="position:absolute;left:2966;top:1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5866;top:1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825;top:34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2396;top:54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3784;top:546;width:63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xbxContent>
                </v:textbox>
                <w10:wrap type="none"/>
              </v:shape>
              <v:shape style="position:absolute;left:5300;top:54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6902;top:546;width:63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xbxContent>
                </v:textbox>
                <w10:wrap type="none"/>
              </v:shape>
              <v:shape style="position:absolute;left:137;top:953;width:15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xbxContent>
                </v:textbox>
                <w10:wrap type="none"/>
              </v:shape>
              <v:shape style="position:absolute;left:2389;top:96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38,944,582.73</w:t>
                      </w:r>
                    </w:p>
                  </w:txbxContent>
                </v:textbox>
                <w10:wrap type="none"/>
              </v:shape>
              <v:shape style="position:absolute;left:4156;top:960;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53.24</w:t>
                      </w:r>
                    </w:p>
                  </w:txbxContent>
                </v:textbox>
                <w10:wrap type="none"/>
              </v:shape>
              <v:shape style="position:absolute;left:5507;top:96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63,440,018.72</w:t>
                      </w:r>
                    </w:p>
                  </w:txbxContent>
                </v:textbox>
                <w10:wrap type="none"/>
              </v:shape>
              <v:shape style="position:absolute;left:7271;top:960;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97.26</w:t>
                      </w:r>
                    </w:p>
                  </w:txbxContent>
                </v:textbox>
                <w10:wrap type="none"/>
              </v:shape>
              <v:shape style="position:absolute;left:137;top:1360;width:1754;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2389;top:136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33,850,408.40</w:t>
                      </w:r>
                    </w:p>
                  </w:txbxContent>
                </v:textbox>
                <w10:wrap type="none"/>
              </v:shape>
              <v:shape style="position:absolute;left:4156;top:1367;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46.27</w:t>
                      </w:r>
                    </w:p>
                  </w:txbxContent>
                </v:textbox>
                <w10:wrap type="none"/>
              </v:shape>
              <v:shape style="position:absolute;left:5597;top:136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1,760,843.13</w:t>
                      </w:r>
                    </w:p>
                  </w:txbxContent>
                </v:textbox>
                <w10:wrap type="none"/>
              </v:shape>
              <v:shape style="position:absolute;left:7361;top:1367;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2.70</w:t>
                      </w:r>
                    </w:p>
                  </w:txbxContent>
                </v:textbox>
                <w10:wrap type="none"/>
              </v:shape>
              <v:shape style="position:absolute;left:137;top:1768;width:1754;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2613;top:177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360,515.00</w:t>
                      </w:r>
                    </w:p>
                  </w:txbxContent>
                </v:textbox>
                <w10:wrap type="none"/>
              </v:shape>
              <v:shape style="position:absolute;left:4246;top:177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0.49</w:t>
                      </w:r>
                    </w:p>
                  </w:txbxContent>
                </v:textbox>
                <w10:wrap type="none"/>
              </v:shape>
              <v:shape style="position:absolute;left:6361;top:1775;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495;top:1775;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2175;width:1754;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3243;top:2182;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381;top:2182;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362;top:2182;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496;top:2182;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2581;width:1515;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r>
                        <w:rPr>
                          <w:rFonts w:ascii="宋体" w:hAnsi="宋体" w:cs="宋体" w:eastAsia="宋体" w:hint="default"/>
                          <w:sz w:val="18"/>
                          <w:szCs w:val="18"/>
                        </w:rPr>
                        <w:t>含</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p>
                  </w:txbxContent>
                </v:textbox>
                <w10:wrap type="none"/>
              </v:shape>
              <v:shape style="position:absolute;left:3243;top:2589;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381;top:2589;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822;top:2589;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24,123.63</w:t>
                      </w:r>
                    </w:p>
                  </w:txbxContent>
                </v:textbox>
                <w10:wrap type="none"/>
              </v:shape>
              <v:shape style="position:absolute;left:7361;top:2589;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0.04</w:t>
                      </w:r>
                    </w:p>
                  </w:txbxContent>
                </v:textbox>
                <w10:wrap type="none"/>
              </v:shape>
              <v:shape style="position:absolute;left:137;top:298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389;top:2996;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73,155,506.13</w:t>
                      </w:r>
                    </w:p>
                  </w:txbxContent>
                </v:textbox>
                <w10:wrap type="none"/>
              </v:shape>
              <v:shape style="position:absolute;left:4066;top:2996;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5507;top:2996;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65,224,985.48</w:t>
                      </w:r>
                    </w:p>
                  </w:txbxContent>
                </v:textbox>
                <w10:wrap type="none"/>
              </v:shape>
              <v:shape style="position:absolute;left:7181;top:2996;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group>
          </v:group>
        </w:pict>
      </w:r>
      <w:r>
        <w:rPr>
          <w:rFonts w:ascii="宋体" w:hAnsi="宋体" w:cs="宋体" w:eastAsia="宋体" w:hint="default"/>
          <w:position w:val="-65"/>
          <w:sz w:val="20"/>
          <w:szCs w:val="20"/>
        </w:rPr>
      </w:r>
    </w:p>
    <w:p>
      <w:pPr>
        <w:spacing w:line="240" w:lineRule="auto" w:before="4"/>
        <w:rPr>
          <w:rFonts w:ascii="宋体" w:hAnsi="宋体" w:cs="宋体" w:eastAsia="宋体" w:hint="default"/>
          <w:b/>
          <w:bCs/>
          <w:sz w:val="10"/>
          <w:szCs w:val="10"/>
        </w:rPr>
      </w:pPr>
    </w:p>
    <w:p>
      <w:pPr>
        <w:spacing w:before="35"/>
        <w:ind w:left="887" w:right="0" w:firstLine="0"/>
        <w:jc w:val="left"/>
        <w:rPr>
          <w:rFonts w:ascii="宋体" w:hAnsi="宋体" w:cs="宋体" w:eastAsia="宋体" w:hint="default"/>
          <w:sz w:val="21"/>
          <w:szCs w:val="21"/>
        </w:rPr>
      </w:pPr>
      <w:r>
        <w:rPr>
          <w:rFonts w:ascii="宋体" w:hAnsi="宋体" w:cs="宋体" w:eastAsia="宋体" w:hint="default"/>
          <w:sz w:val="21"/>
          <w:szCs w:val="21"/>
        </w:rPr>
        <w:t>预付款项账龄的说明：</w:t>
      </w:r>
    </w:p>
    <w:p>
      <w:pPr>
        <w:spacing w:line="328" w:lineRule="auto" w:before="164"/>
        <w:ind w:left="895" w:right="626" w:firstLine="0"/>
        <w:jc w:val="left"/>
        <w:rPr>
          <w:rFonts w:ascii="宋体" w:hAnsi="宋体" w:cs="宋体" w:eastAsia="宋体" w:hint="default"/>
          <w:sz w:val="21"/>
          <w:szCs w:val="21"/>
        </w:rPr>
      </w:pPr>
      <w:r>
        <w:rPr>
          <w:rFonts w:ascii="宋体" w:hAnsi="宋体" w:cs="宋体" w:eastAsia="宋体" w:hint="default"/>
          <w:sz w:val="21"/>
          <w:szCs w:val="21"/>
        </w:rPr>
        <w:t>账龄超过一年且金额重大的预付款项为 </w:t>
      </w:r>
      <w:r>
        <w:rPr>
          <w:rFonts w:ascii="Times New Roman" w:hAnsi="Times New Roman" w:cs="Times New Roman" w:eastAsia="Times New Roman" w:hint="default"/>
          <w:sz w:val="21"/>
          <w:szCs w:val="21"/>
        </w:rPr>
        <w:t>30,692,221.35</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元，主要为本公司之子公司吉 林高琦预付土地款，由于土地使用权证书尚未取得，该款项尚未结清。</w:t>
      </w:r>
    </w:p>
    <w:p>
      <w:pPr>
        <w:tabs>
          <w:tab w:pos="1434" w:val="left" w:leader="none"/>
        </w:tabs>
        <w:spacing w:before="48"/>
        <w:ind w:left="89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预付款项金额前五名单位情况</w:t>
      </w:r>
      <w:r>
        <w:rPr>
          <w:rFonts w:ascii="宋体" w:hAnsi="宋体" w:cs="宋体" w:eastAsia="宋体" w:hint="default"/>
          <w:sz w:val="21"/>
          <w:szCs w:val="21"/>
        </w:rPr>
      </w:r>
    </w:p>
    <w:p>
      <w:pPr>
        <w:spacing w:line="513" w:lineRule="exact"/>
        <w:ind w:left="800"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392.95pt;height:25.7pt;mso-position-horizontal-relative:char;mso-position-vertical-relative:line" coordorigin="0,0" coordsize="7859,514">
            <v:group style="position:absolute;left:29;top:15;width:7815;height:2" coordorigin="29,15" coordsize="7815,2">
              <v:shape style="position:absolute;left:29;top:15;width:7815;height:2" coordorigin="29,15" coordsize="7815,0" path="m29,15l7844,15e" filled="false" stroked="true" strokeweight="1.5pt" strokecolor="#000000">
                <v:path arrowok="t"/>
              </v:shape>
            </v:group>
            <v:group style="position:absolute;left:15;top:499;width:2579;height:2" coordorigin="15,499" coordsize="2579,2">
              <v:shape style="position:absolute;left:15;top:499;width:2579;height:2" coordorigin="15,499" coordsize="2579,0" path="m15,499l2594,499e" filled="false" stroked="true" strokeweight="1.5pt" strokecolor="#000000">
                <v:path arrowok="t"/>
              </v:shape>
              <v:shape style="position:absolute;left:2594;top:30;width:10;height:454" type="#_x0000_t75" stroked="false">
                <v:imagedata r:id="rId142" o:title=""/>
              </v:shape>
            </v:group>
            <v:group style="position:absolute;left:2594;top:499;width:1418;height:2" coordorigin="2594,499" coordsize="1418,2">
              <v:shape style="position:absolute;left:2594;top:499;width:1418;height:2" coordorigin="2594,499" coordsize="1418,0" path="m2594,499l4011,499e" filled="false" stroked="true" strokeweight="1.5pt" strokecolor="#000000">
                <v:path arrowok="t"/>
              </v:shape>
              <v:shape style="position:absolute;left:4011;top:30;width:10;height:454" type="#_x0000_t75" stroked="false">
                <v:imagedata r:id="rId142" o:title=""/>
              </v:shape>
            </v:group>
            <v:group style="position:absolute;left:4011;top:499;width:1419;height:2" coordorigin="4011,499" coordsize="1419,2">
              <v:shape style="position:absolute;left:4011;top:499;width:1419;height:2" coordorigin="4011,499" coordsize="1419,0" path="m4011,499l5429,499e" filled="false" stroked="true" strokeweight="1.5pt" strokecolor="#000000">
                <v:path arrowok="t"/>
              </v:shape>
              <v:shape style="position:absolute;left:5429;top:30;width:10;height:454" type="#_x0000_t75" stroked="false">
                <v:imagedata r:id="rId142" o:title=""/>
              </v:shape>
            </v:group>
            <v:group style="position:absolute;left:5429;top:499;width:858;height:2" coordorigin="5429,499" coordsize="858,2">
              <v:shape style="position:absolute;left:5429;top:499;width:858;height:2" coordorigin="5429,499" coordsize="858,0" path="m5429,499l6287,499e" filled="false" stroked="true" strokeweight="1.5pt" strokecolor="#000000">
                <v:path arrowok="t"/>
              </v:shape>
              <v:shape style="position:absolute;left:6287;top:30;width:10;height:454" type="#_x0000_t75" stroked="false">
                <v:imagedata r:id="rId142" o:title=""/>
              </v:shape>
            </v:group>
            <v:group style="position:absolute;left:6287;top:499;width:1557;height:2" coordorigin="6287,499" coordsize="1557,2">
              <v:shape style="position:absolute;left:6287;top:499;width:1557;height:2" coordorigin="6287,499" coordsize="1557,0" path="m6287,499l7844,499e" filled="false" stroked="true" strokeweight="1.5pt" strokecolor="#000000">
                <v:path arrowok="t"/>
              </v:shape>
              <v:shape style="position:absolute;left:953;top:16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2767;top:16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与本公司关系</w:t>
                      </w:r>
                    </w:p>
                  </w:txbxContent>
                </v:textbox>
                <w10:wrap type="none"/>
              </v:shape>
              <v:shape style="position:absolute;left:4365;top:16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5683;top:16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时间</w:t>
                      </w:r>
                    </w:p>
                  </w:txbxContent>
                </v:textbox>
                <w10:wrap type="none"/>
              </v:shape>
              <v:shape style="position:absolute;left:6617;top:16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未结算原因</w:t>
                      </w:r>
                    </w:p>
                  </w:txbxContent>
                </v:textbox>
                <w10:wrap type="none"/>
              </v:shape>
            </v:group>
          </v:group>
        </w:pict>
      </w:r>
      <w:r>
        <w:rPr>
          <w:rFonts w:ascii="宋体" w:hAnsi="宋体" w:cs="宋体" w:eastAsia="宋体" w:hint="default"/>
          <w:position w:val="-9"/>
          <w:sz w:val="20"/>
          <w:szCs w:val="20"/>
        </w:rPr>
      </w:r>
    </w:p>
    <w:p>
      <w:pPr>
        <w:spacing w:after="0" w:line="513" w:lineRule="exact"/>
        <w:rPr>
          <w:rFonts w:ascii="宋体" w:hAnsi="宋体" w:cs="宋体" w:eastAsia="宋体" w:hint="default"/>
          <w:sz w:val="20"/>
          <w:szCs w:val="20"/>
        </w:rPr>
        <w:sectPr>
          <w:pgSz w:w="11910" w:h="16840"/>
          <w:pgMar w:header="686" w:footer="1270" w:top="1360" w:bottom="1460" w:left="1520" w:right="1160"/>
        </w:sectPr>
      </w:pPr>
    </w:p>
    <w:p>
      <w:pPr>
        <w:spacing w:line="240" w:lineRule="auto" w:before="12"/>
        <w:rPr>
          <w:rFonts w:ascii="宋体" w:hAnsi="宋体" w:cs="宋体" w:eastAsia="宋体" w:hint="default"/>
          <w:b/>
          <w:bCs/>
          <w:sz w:val="21"/>
          <w:szCs w:val="21"/>
        </w:rPr>
      </w:pPr>
    </w:p>
    <w:p>
      <w:pPr>
        <w:spacing w:line="3684" w:lineRule="exact"/>
        <w:ind w:left="800" w:right="0" w:firstLine="0"/>
        <w:rPr>
          <w:rFonts w:ascii="宋体" w:hAnsi="宋体" w:cs="宋体" w:eastAsia="宋体" w:hint="default"/>
          <w:sz w:val="20"/>
          <w:szCs w:val="20"/>
        </w:rPr>
      </w:pPr>
      <w:r>
        <w:rPr>
          <w:rFonts w:ascii="宋体" w:hAnsi="宋体" w:cs="宋体" w:eastAsia="宋体" w:hint="default"/>
          <w:position w:val="-73"/>
          <w:sz w:val="20"/>
          <w:szCs w:val="20"/>
        </w:rPr>
        <w:pict>
          <v:group style="width:394.05pt;height:184.2pt;mso-position-horizontal-relative:char;mso-position-vertical-relative:line" coordorigin="0,0" coordsize="7881,3684">
            <v:group style="position:absolute;left:29;top:15;width:7815;height:2" coordorigin="29,15" coordsize="7815,2">
              <v:shape style="position:absolute;left:29;top:15;width:7815;height:2" coordorigin="29,15" coordsize="7815,0" path="m29,15l7844,15e" filled="false" stroked="true" strokeweight="1.5pt" strokecolor="#000000">
                <v:path arrowok="t"/>
              </v:shape>
              <v:shape style="position:absolute;left:2565;top:1;width:3761;height:682" type="#_x0000_t75" stroked="false">
                <v:imagedata r:id="rId143" o:title=""/>
              </v:shape>
            </v:group>
            <v:group style="position:absolute;left:15;top:3669;width:2579;height:2" coordorigin="15,3669" coordsize="2579,2">
              <v:shape style="position:absolute;left:15;top:3669;width:2579;height:2" coordorigin="15,3669" coordsize="2579,0" path="m15,3669l2594,3669e" filled="false" stroked="true" strokeweight="1.5pt" strokecolor="#000000">
                <v:path arrowok="t"/>
              </v:shape>
            </v:group>
            <v:group style="position:absolute;left:2594;top:3669;width:1418;height:2" coordorigin="2594,3669" coordsize="1418,2">
              <v:shape style="position:absolute;left:2594;top:3669;width:1418;height:2" coordorigin="2594,3669" coordsize="1418,0" path="m2594,3669l4011,3669e" filled="false" stroked="true" strokeweight="1.5pt" strokecolor="#000000">
                <v:path arrowok="t"/>
              </v:shape>
            </v:group>
            <v:group style="position:absolute;left:4011;top:3669;width:1419;height:2" coordorigin="4011,3669" coordsize="1419,2">
              <v:shape style="position:absolute;left:4011;top:3669;width:1419;height:2" coordorigin="4011,3669" coordsize="1419,0" path="m4011,3669l5429,3669e" filled="false" stroked="true" strokeweight="1.5pt" strokecolor="#000000">
                <v:path arrowok="t"/>
              </v:shape>
            </v:group>
            <v:group style="position:absolute;left:5429;top:3669;width:858;height:2" coordorigin="5429,3669" coordsize="858,2">
              <v:shape style="position:absolute;left:5429;top:3669;width:858;height:2" coordorigin="5429,3669" coordsize="858,0" path="m5429,3669l6287,3669e" filled="false" stroked="true" strokeweight="1.5pt" strokecolor="#000000">
                <v:path arrowok="t"/>
              </v:shape>
              <v:shape style="position:absolute;left:1;top:625;width:7880;height:3029" type="#_x0000_t75" stroked="false">
                <v:imagedata r:id="rId144" o:title=""/>
              </v:shape>
            </v:group>
            <v:group style="position:absolute;left:6287;top:3669;width:1557;height:2" coordorigin="6287,3669" coordsize="1557,2">
              <v:shape style="position:absolute;left:6287;top:3669;width:1557;height:2" coordorigin="6287,3669" coordsize="1557,0" path="m6287,3669l7844,3669e" filled="false" stroked="true" strokeweight="1.5pt" strokecolor="#000000">
                <v:path arrowok="t"/>
              </v:shape>
              <v:shape style="position:absolute;left:137;top:252;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吉林经济技术开发区财政局</w:t>
                      </w:r>
                    </w:p>
                  </w:txbxContent>
                </v:textbox>
                <w10:wrap type="none"/>
              </v:shape>
              <v:shape style="position:absolute;left:2767;top:96;width:1080;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吉林高琦之财</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政局</w:t>
                      </w:r>
                    </w:p>
                  </w:txbxContent>
                </v:textbox>
                <w10:wrap type="none"/>
              </v:shape>
              <v:shape style="position:absolute;left:4292;top:252;width:1835;height:190" type="#_x0000_t202" filled="false" stroked="false">
                <v:textbox inset="0,0,0,0">
                  <w:txbxContent>
                    <w:p>
                      <w:pPr>
                        <w:tabs>
                          <w:tab w:pos="1250" w:val="left" w:leader="none"/>
                        </w:tabs>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30,692,221.35</w:t>
                        <w:tab/>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137;top:886;width:3620;height:180" type="#_x0000_t202" filled="false" stroked="false">
                <v:textbox inset="0,0,0,0">
                  <w:txbxContent>
                    <w:p>
                      <w:pPr>
                        <w:tabs>
                          <w:tab w:pos="271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吉林省海达电缆制造有限公司</w:t>
                        <w:tab/>
                        <w:t>设备供应商</w:t>
                      </w:r>
                    </w:p>
                  </w:txbxContent>
                </v:textbox>
                <w10:wrap type="none"/>
              </v:shape>
              <v:shape style="position:absolute;left:4382;top:886;width:1738;height:190" type="#_x0000_t202" filled="false" stroked="false">
                <v:textbox inset="0,0,0,0">
                  <w:txbxContent>
                    <w:p>
                      <w:pPr>
                        <w:tabs>
                          <w:tab w:pos="1160" w:val="left" w:leader="none"/>
                        </w:tabs>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1,125,000.00</w:t>
                        <w:tab/>
                      </w:r>
                      <w:r>
                        <w:rPr>
                          <w:rFonts w:ascii="Times New Roman" w:hAnsi="Times New Roman" w:cs="Times New Roman" w:eastAsia="Times New Roman" w:hint="default"/>
                          <w:spacing w:val="-2"/>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137;top:1519;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吉林市吉化北方机械修造厂</w:t>
                      </w:r>
                    </w:p>
                  </w:txbxContent>
                </v:textbox>
                <w10:wrap type="none"/>
              </v:shape>
              <v:shape style="position:absolute;left:2857;top:151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设备供应商</w:t>
                      </w:r>
                    </w:p>
                  </w:txbxContent>
                </v:textbox>
                <w10:wrap type="none"/>
              </v:shape>
              <v:shape style="position:absolute;left:4382;top:96;width:3354;height:1760" type="#_x0000_t202" filled="false" stroked="false">
                <v:textbox inset="0,0,0,0">
                  <w:txbxContent>
                    <w:p>
                      <w:pPr>
                        <w:spacing w:line="180" w:lineRule="exact" w:before="0"/>
                        <w:ind w:left="2018" w:right="0" w:firstLine="0"/>
                        <w:jc w:val="left"/>
                        <w:rPr>
                          <w:rFonts w:ascii="宋体" w:hAnsi="宋体" w:cs="宋体" w:eastAsia="宋体" w:hint="default"/>
                          <w:sz w:val="18"/>
                          <w:szCs w:val="18"/>
                        </w:rPr>
                      </w:pPr>
                      <w:r>
                        <w:rPr>
                          <w:rFonts w:ascii="宋体" w:hAnsi="宋体" w:cs="宋体" w:eastAsia="宋体" w:hint="default"/>
                          <w:spacing w:val="10"/>
                          <w:sz w:val="18"/>
                          <w:szCs w:val="18"/>
                        </w:rPr>
                        <w:t>土地使用权证书</w:t>
                      </w:r>
                    </w:p>
                    <w:p>
                      <w:pPr>
                        <w:spacing w:before="76"/>
                        <w:ind w:left="2018" w:right="0" w:firstLine="0"/>
                        <w:jc w:val="left"/>
                        <w:rPr>
                          <w:rFonts w:ascii="宋体" w:hAnsi="宋体" w:cs="宋体" w:eastAsia="宋体" w:hint="default"/>
                          <w:sz w:val="18"/>
                          <w:szCs w:val="18"/>
                        </w:rPr>
                      </w:pPr>
                      <w:r>
                        <w:rPr>
                          <w:rFonts w:ascii="宋体" w:hAnsi="宋体" w:cs="宋体" w:eastAsia="宋体" w:hint="default"/>
                          <w:sz w:val="18"/>
                          <w:szCs w:val="18"/>
                        </w:rPr>
                        <w:t>尚未取得</w:t>
                      </w:r>
                    </w:p>
                    <w:p>
                      <w:pPr>
                        <w:spacing w:line="316" w:lineRule="auto" w:before="86"/>
                        <w:ind w:left="2018" w:right="0" w:firstLine="0"/>
                        <w:jc w:val="left"/>
                        <w:rPr>
                          <w:rFonts w:ascii="宋体" w:hAnsi="宋体" w:cs="宋体" w:eastAsia="宋体" w:hint="default"/>
                          <w:sz w:val="18"/>
                          <w:szCs w:val="18"/>
                        </w:rPr>
                      </w:pPr>
                      <w:r>
                        <w:rPr>
                          <w:rFonts w:ascii="宋体" w:hAnsi="宋体" w:cs="宋体" w:eastAsia="宋体" w:hint="default"/>
                          <w:spacing w:val="10"/>
                          <w:sz w:val="18"/>
                          <w:szCs w:val="18"/>
                        </w:rPr>
                        <w:t>机器设备尚未收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到</w:t>
                      </w:r>
                    </w:p>
                    <w:p>
                      <w:pPr>
                        <w:spacing w:line="196" w:lineRule="exact" w:before="28"/>
                        <w:ind w:left="2018" w:right="0" w:firstLine="0"/>
                        <w:jc w:val="left"/>
                        <w:rPr>
                          <w:rFonts w:ascii="宋体" w:hAnsi="宋体" w:cs="宋体" w:eastAsia="宋体" w:hint="default"/>
                          <w:sz w:val="18"/>
                          <w:szCs w:val="18"/>
                        </w:rPr>
                      </w:pPr>
                      <w:r>
                        <w:rPr>
                          <w:rFonts w:ascii="宋体" w:hAnsi="宋体" w:cs="宋体" w:eastAsia="宋体" w:hint="default"/>
                          <w:spacing w:val="10"/>
                          <w:sz w:val="18"/>
                          <w:szCs w:val="18"/>
                        </w:rPr>
                        <w:t>机器设备尚未收</w:t>
                      </w:r>
                    </w:p>
                    <w:p>
                      <w:pPr>
                        <w:tabs>
                          <w:tab w:pos="1160" w:val="left" w:leader="none"/>
                        </w:tabs>
                        <w:spacing w:line="163"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1,081,100.00</w:t>
                        <w:tab/>
                      </w:r>
                      <w:r>
                        <w:rPr>
                          <w:rFonts w:ascii="Times New Roman" w:hAnsi="Times New Roman" w:cs="Times New Roman" w:eastAsia="Times New Roman" w:hint="default"/>
                          <w:spacing w:val="-2"/>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line="189" w:lineRule="exact" w:before="0"/>
                        <w:ind w:left="862" w:right="0" w:firstLine="0"/>
                        <w:jc w:val="center"/>
                        <w:rPr>
                          <w:rFonts w:ascii="宋体" w:hAnsi="宋体" w:cs="宋体" w:eastAsia="宋体" w:hint="default"/>
                          <w:sz w:val="18"/>
                          <w:szCs w:val="18"/>
                        </w:rPr>
                      </w:pPr>
                      <w:r>
                        <w:rPr>
                          <w:rFonts w:ascii="宋体" w:hAnsi="宋体" w:cs="宋体" w:eastAsia="宋体" w:hint="default"/>
                          <w:sz w:val="18"/>
                          <w:szCs w:val="18"/>
                        </w:rPr>
                        <w:t>到</w:t>
                      </w:r>
                    </w:p>
                  </w:txbxContent>
                </v:textbox>
                <w10:wrap type="none"/>
              </v:shape>
              <v:shape style="position:absolute;left:137;top:1988;width:2368;height:114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3"/>
                          <w:sz w:val="20"/>
                          <w:szCs w:val="20"/>
                        </w:rPr>
                        <w:t>吉林省九新实业集团房地</w:t>
                      </w:r>
                      <w:r>
                        <w:rPr>
                          <w:rFonts w:ascii="宋体" w:hAnsi="宋体" w:cs="宋体" w:eastAsia="宋体" w:hint="default"/>
                          <w:sz w:val="20"/>
                          <w:szCs w:val="20"/>
                        </w:rPr>
                      </w:r>
                    </w:p>
                    <w:p>
                      <w:pPr>
                        <w:spacing w:before="50"/>
                        <w:ind w:left="0" w:right="0" w:firstLine="0"/>
                        <w:jc w:val="left"/>
                        <w:rPr>
                          <w:rFonts w:ascii="宋体" w:hAnsi="宋体" w:cs="宋体" w:eastAsia="宋体" w:hint="default"/>
                          <w:sz w:val="20"/>
                          <w:szCs w:val="20"/>
                        </w:rPr>
                      </w:pPr>
                      <w:r>
                        <w:rPr>
                          <w:rFonts w:ascii="宋体" w:hAnsi="宋体" w:cs="宋体" w:eastAsia="宋体" w:hint="default"/>
                          <w:sz w:val="20"/>
                          <w:szCs w:val="20"/>
                        </w:rPr>
                        <w:t>产开发有限公司</w:t>
                      </w:r>
                    </w:p>
                    <w:p>
                      <w:pPr>
                        <w:spacing w:line="310" w:lineRule="atLeast" w:before="11"/>
                        <w:ind w:left="0" w:right="0" w:firstLine="0"/>
                        <w:jc w:val="left"/>
                        <w:rPr>
                          <w:rFonts w:ascii="宋体" w:hAnsi="宋体" w:cs="宋体" w:eastAsia="宋体" w:hint="default"/>
                          <w:sz w:val="20"/>
                          <w:szCs w:val="20"/>
                        </w:rPr>
                      </w:pPr>
                      <w:r>
                        <w:rPr>
                          <w:rFonts w:ascii="宋体" w:hAnsi="宋体" w:cs="宋体" w:eastAsia="宋体" w:hint="default"/>
                          <w:spacing w:val="13"/>
                          <w:sz w:val="20"/>
                          <w:szCs w:val="20"/>
                        </w:rPr>
                        <w:t>中国核工业二三建设有限</w:t>
                      </w:r>
                      <w:r>
                        <w:rPr>
                          <w:rFonts w:ascii="宋体" w:hAnsi="宋体" w:cs="宋体" w:eastAsia="宋体" w:hint="default"/>
                          <w:spacing w:val="-81"/>
                          <w:sz w:val="20"/>
                          <w:szCs w:val="20"/>
                        </w:rPr>
                        <w:t> </w:t>
                      </w:r>
                      <w:r>
                        <w:rPr>
                          <w:rFonts w:ascii="宋体" w:hAnsi="宋体" w:cs="宋体" w:eastAsia="宋体" w:hint="default"/>
                          <w:spacing w:val="-81"/>
                          <w:sz w:val="20"/>
                          <w:szCs w:val="20"/>
                        </w:rPr>
                      </w:r>
                      <w:r>
                        <w:rPr>
                          <w:rFonts w:ascii="宋体" w:hAnsi="宋体" w:cs="宋体" w:eastAsia="宋体" w:hint="default"/>
                          <w:sz w:val="20"/>
                          <w:szCs w:val="20"/>
                        </w:rPr>
                        <w:t>公司</w:t>
                      </w:r>
                    </w:p>
                  </w:txbxContent>
                </v:textbox>
                <w10:wrap type="none"/>
              </v:shape>
              <v:shape style="position:absolute;left:2857;top:215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房屋出售方</w:t>
                      </w:r>
                    </w:p>
                  </w:txbxContent>
                </v:textbox>
                <w10:wrap type="none"/>
              </v:shape>
              <v:shape style="position:absolute;left:4426;top:2154;width:2694;height:201" type="#_x0000_t202" filled="false" stroked="false">
                <v:textbox inset="0,0,0,0">
                  <w:txbxContent>
                    <w:p>
                      <w:pPr>
                        <w:tabs>
                          <w:tab w:pos="1115" w:val="left" w:leader="none"/>
                          <w:tab w:pos="1973" w:val="left" w:leader="none"/>
                        </w:tabs>
                        <w:spacing w:line="20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20"/>
                          <w:szCs w:val="20"/>
                        </w:rPr>
                        <w:t>995,100.00</w:t>
                        <w:tab/>
                      </w:r>
                      <w:r>
                        <w:rPr>
                          <w:rFonts w:ascii="Times New Roman" w:hAnsi="Times New Roman" w:cs="Times New Roman" w:eastAsia="Times New Roman" w:hint="default"/>
                          <w:spacing w:val="-2"/>
                          <w:position w:val="1"/>
                          <w:sz w:val="18"/>
                          <w:szCs w:val="18"/>
                        </w:rPr>
                        <w:t>2011</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tab/>
                        <w:t>尚未入伙</w:t>
                      </w:r>
                      <w:r>
                        <w:rPr>
                          <w:rFonts w:ascii="宋体" w:hAnsi="宋体" w:cs="宋体" w:eastAsia="宋体" w:hint="default"/>
                          <w:sz w:val="18"/>
                          <w:szCs w:val="18"/>
                        </w:rPr>
                      </w:r>
                    </w:p>
                  </w:txbxContent>
                </v:textbox>
                <w10:wrap type="none"/>
              </v:shape>
              <v:shape style="position:absolute;left:2857;top:278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设备安装商</w:t>
                      </w:r>
                    </w:p>
                  </w:txbxContent>
                </v:textbox>
                <w10:wrap type="none"/>
              </v:shape>
              <v:shape style="position:absolute;left:4426;top:2787;width:900;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spacing w:val="-1"/>
                          <w:sz w:val="20"/>
                        </w:rPr>
                        <w:t>889,265.00</w:t>
                      </w:r>
                      <w:r>
                        <w:rPr>
                          <w:rFonts w:ascii="Times New Roman"/>
                          <w:sz w:val="20"/>
                        </w:rPr>
                      </w:r>
                    </w:p>
                  </w:txbxContent>
                </v:textbox>
                <w10:wrap type="none"/>
              </v:shape>
              <v:shape style="position:absolute;left:5542;top:2788;width:578;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xbxContent>
                </v:textbox>
                <w10:wrap type="none"/>
              </v:shape>
              <v:shape style="position:absolute;left:6400;top:2632;width:1336;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项目安装尚未完</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成</w:t>
                      </w:r>
                    </w:p>
                  </w:txbxContent>
                </v:textbox>
                <w10:wrap type="none"/>
              </v:shape>
              <v:shape style="position:absolute;left:1133;top:333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177;top:3337;width:1150;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spacing w:val="-1"/>
                          <w:sz w:val="20"/>
                        </w:rPr>
                        <w:t>34,782,686.35</w:t>
                      </w:r>
                      <w:r>
                        <w:rPr>
                          <w:rFonts w:ascii="Times New Roman"/>
                          <w:sz w:val="20"/>
                        </w:rPr>
                      </w:r>
                    </w:p>
                  </w:txbxContent>
                </v:textbox>
                <w10:wrap type="none"/>
              </v:shape>
            </v:group>
          </v:group>
        </w:pict>
      </w:r>
      <w:r>
        <w:rPr>
          <w:rFonts w:ascii="宋体" w:hAnsi="宋体" w:cs="宋体" w:eastAsia="宋体" w:hint="default"/>
          <w:position w:val="-73"/>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993" w:val="left" w:leader="none"/>
          <w:tab w:pos="1434" w:val="left" w:leader="none"/>
        </w:tabs>
        <w:spacing w:line="660" w:lineRule="auto" w:before="35"/>
        <w:ind w:left="269" w:right="448" w:firstLine="626"/>
        <w:jc w:val="left"/>
        <w:rPr>
          <w:rFonts w:ascii="宋体" w:hAnsi="宋体" w:cs="宋体" w:eastAsia="宋体" w:hint="default"/>
          <w:sz w:val="21"/>
          <w:szCs w:val="21"/>
        </w:rPr>
      </w:pPr>
      <w:r>
        <w:rPr/>
        <w:pict>
          <v:shape style="position:absolute;margin-left:84.599998pt;margin-top:59.990356pt;width:430.4pt;height:165.3pt;mso-position-horizontal-relative:page;mso-position-vertical-relative:paragraph;z-index:107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51"/>
                    <w:gridCol w:w="1372"/>
                    <w:gridCol w:w="1049"/>
                    <w:gridCol w:w="1388"/>
                    <w:gridCol w:w="1316"/>
                    <w:gridCol w:w="1079"/>
                    <w:gridCol w:w="1253"/>
                  </w:tblGrid>
                  <w:tr>
                    <w:trPr>
                      <w:trHeight w:val="357" w:hRule="exact"/>
                    </w:trPr>
                    <w:tc>
                      <w:tcPr>
                        <w:tcW w:w="1151"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723"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r>
                      </w:p>
                    </w:tc>
                    <w:tc>
                      <w:tcPr>
                        <w:tcW w:w="1372"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11" w:right="0"/>
                          <w:jc w:val="left"/>
                          <w:rPr>
                            <w:rFonts w:ascii="宋体" w:hAnsi="宋体" w:cs="宋体" w:eastAsia="宋体" w:hint="default"/>
                            <w:sz w:val="21"/>
                            <w:szCs w:val="21"/>
                          </w:rPr>
                        </w:pPr>
                        <w:r>
                          <w:rPr>
                            <w:rFonts w:ascii="宋体" w:hAnsi="宋体" w:cs="宋体" w:eastAsia="宋体" w:hint="default"/>
                            <w:b/>
                            <w:bCs/>
                            <w:sz w:val="21"/>
                            <w:szCs w:val="21"/>
                          </w:rPr>
                          <w:t>存货分类</w:t>
                        </w:r>
                        <w:r>
                          <w:rPr>
                            <w:rFonts w:ascii="宋体" w:hAnsi="宋体" w:cs="宋体" w:eastAsia="宋体" w:hint="default"/>
                            <w:sz w:val="21"/>
                            <w:szCs w:val="21"/>
                          </w:rPr>
                        </w:r>
                      </w:p>
                    </w:tc>
                    <w:tc>
                      <w:tcPr>
                        <w:tcW w:w="6085" w:type="dxa"/>
                        <w:gridSpan w:val="5"/>
                        <w:tcBorders>
                          <w:top w:val="nil" w:sz="6" w:space="0" w:color="auto"/>
                          <w:left w:val="nil" w:sz="6" w:space="0" w:color="auto"/>
                          <w:bottom w:val="single" w:sz="12" w:space="0" w:color="000000"/>
                          <w:right w:val="nil" w:sz="6" w:space="0" w:color="auto"/>
                        </w:tcBorders>
                      </w:tcPr>
                      <w:p>
                        <w:pPr/>
                      </w:p>
                    </w:tc>
                  </w:tr>
                  <w:tr>
                    <w:trPr>
                      <w:trHeight w:val="252" w:hRule="exact"/>
                    </w:trPr>
                    <w:tc>
                      <w:tcPr>
                        <w:tcW w:w="1151" w:type="dxa"/>
                        <w:tcBorders>
                          <w:top w:val="single" w:sz="12" w:space="0" w:color="000000"/>
                          <w:left w:val="nil" w:sz="6" w:space="0" w:color="auto"/>
                          <w:bottom w:val="nil" w:sz="6" w:space="0" w:color="auto"/>
                          <w:right w:val="nil" w:sz="6" w:space="0" w:color="auto"/>
                        </w:tcBorders>
                      </w:tcPr>
                      <w:p>
                        <w:pPr/>
                      </w:p>
                    </w:tc>
                    <w:tc>
                      <w:tcPr>
                        <w:tcW w:w="1372" w:type="dxa"/>
                        <w:tcBorders>
                          <w:top w:val="single" w:sz="12" w:space="0" w:color="000000"/>
                          <w:left w:val="nil" w:sz="6" w:space="0" w:color="auto"/>
                          <w:bottom w:val="nil" w:sz="6" w:space="0" w:color="auto"/>
                          <w:right w:val="nil" w:sz="6" w:space="0" w:color="auto"/>
                        </w:tcBorders>
                      </w:tcPr>
                      <w:p>
                        <w:pPr/>
                      </w:p>
                    </w:tc>
                    <w:tc>
                      <w:tcPr>
                        <w:tcW w:w="1049"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173"/>
                          <w:jc w:val="right"/>
                          <w:rPr>
                            <w:rFonts w:ascii="宋体" w:hAnsi="宋体" w:cs="宋体" w:eastAsia="宋体" w:hint="default"/>
                            <w:sz w:val="18"/>
                            <w:szCs w:val="18"/>
                          </w:rPr>
                        </w:pPr>
                        <w:r>
                          <w:rPr>
                            <w:rFonts w:ascii="宋体" w:hAnsi="宋体" w:cs="宋体" w:eastAsia="宋体" w:hint="default"/>
                            <w:sz w:val="18"/>
                            <w:szCs w:val="18"/>
                          </w:rPr>
                          <w:t>年末余额</w:t>
                        </w:r>
                      </w:p>
                    </w:tc>
                    <w:tc>
                      <w:tcPr>
                        <w:tcW w:w="1388" w:type="dxa"/>
                        <w:tcBorders>
                          <w:top w:val="single" w:sz="12" w:space="0" w:color="000000"/>
                          <w:left w:val="nil" w:sz="6" w:space="0" w:color="auto"/>
                          <w:bottom w:val="nil" w:sz="6" w:space="0" w:color="auto"/>
                          <w:right w:val="nil" w:sz="6" w:space="0" w:color="auto"/>
                        </w:tcBorders>
                      </w:tcPr>
                      <w:p>
                        <w:pPr/>
                      </w:p>
                    </w:tc>
                    <w:tc>
                      <w:tcPr>
                        <w:tcW w:w="1316" w:type="dxa"/>
                        <w:tcBorders>
                          <w:top w:val="single" w:sz="12" w:space="0" w:color="000000"/>
                          <w:left w:val="nil" w:sz="6" w:space="0" w:color="auto"/>
                          <w:bottom w:val="nil" w:sz="6" w:space="0" w:color="auto"/>
                          <w:right w:val="nil" w:sz="6" w:space="0" w:color="auto"/>
                        </w:tcBorders>
                      </w:tcPr>
                      <w:p>
                        <w:pPr/>
                      </w:p>
                    </w:tc>
                    <w:tc>
                      <w:tcPr>
                        <w:tcW w:w="1079"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53" w:type="dxa"/>
                        <w:tcBorders>
                          <w:top w:val="single" w:sz="12" w:space="0" w:color="000000"/>
                          <w:left w:val="nil" w:sz="6" w:space="0" w:color="auto"/>
                          <w:bottom w:val="nil" w:sz="6" w:space="0" w:color="auto"/>
                          <w:right w:val="nil" w:sz="6" w:space="0" w:color="auto"/>
                        </w:tcBorders>
                      </w:tcPr>
                      <w:p>
                        <w:pPr/>
                      </w:p>
                    </w:tc>
                  </w:tr>
                  <w:tr>
                    <w:trPr>
                      <w:trHeight w:val="161" w:hRule="exact"/>
                    </w:trPr>
                    <w:tc>
                      <w:tcPr>
                        <w:tcW w:w="1151" w:type="dxa"/>
                        <w:tcBorders>
                          <w:top w:val="nil" w:sz="6" w:space="0" w:color="auto"/>
                          <w:left w:val="nil" w:sz="6" w:space="0" w:color="auto"/>
                          <w:bottom w:val="nil" w:sz="6" w:space="0" w:color="auto"/>
                          <w:right w:val="nil" w:sz="6" w:space="0" w:color="auto"/>
                        </w:tcBorders>
                      </w:tcPr>
                      <w:p>
                        <w:pPr>
                          <w:pStyle w:val="TableParagraph"/>
                          <w:spacing w:line="171" w:lineRule="exact"/>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2" w:type="dxa"/>
                        <w:tcBorders>
                          <w:top w:val="nil" w:sz="6" w:space="0" w:color="auto"/>
                          <w:left w:val="nil" w:sz="6" w:space="0" w:color="auto"/>
                          <w:bottom w:val="nil" w:sz="6" w:space="0" w:color="auto"/>
                          <w:right w:val="nil" w:sz="6" w:space="0" w:color="auto"/>
                        </w:tcBorders>
                      </w:tcPr>
                      <w:p>
                        <w:pPr/>
                      </w:p>
                    </w:tc>
                    <w:tc>
                      <w:tcPr>
                        <w:tcW w:w="1049"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41" w:hRule="exact"/>
                    </w:trPr>
                    <w:tc>
                      <w:tcPr>
                        <w:tcW w:w="1151"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Style w:val="TableParagraph"/>
                          <w:spacing w:line="170" w:lineRule="exact"/>
                          <w:ind w:left="32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49" w:type="dxa"/>
                        <w:tcBorders>
                          <w:top w:val="nil" w:sz="6" w:space="0" w:color="auto"/>
                          <w:left w:val="nil" w:sz="6" w:space="0" w:color="auto"/>
                          <w:bottom w:val="nil" w:sz="6" w:space="0" w:color="auto"/>
                          <w:right w:val="nil" w:sz="6" w:space="0" w:color="auto"/>
                        </w:tcBorders>
                      </w:tcPr>
                      <w:p>
                        <w:pPr>
                          <w:pStyle w:val="TableParagraph"/>
                          <w:spacing w:line="170" w:lineRule="exact"/>
                          <w:ind w:right="175"/>
                          <w:jc w:val="right"/>
                          <w:rPr>
                            <w:rFonts w:ascii="宋体" w:hAnsi="宋体" w:cs="宋体" w:eastAsia="宋体" w:hint="default"/>
                            <w:sz w:val="18"/>
                            <w:szCs w:val="18"/>
                          </w:rPr>
                        </w:pPr>
                        <w:r>
                          <w:rPr>
                            <w:rFonts w:ascii="宋体" w:hAnsi="宋体" w:cs="宋体" w:eastAsia="宋体" w:hint="default"/>
                            <w:sz w:val="18"/>
                            <w:szCs w:val="18"/>
                          </w:rPr>
                          <w:t>跌价准备</w:t>
                        </w:r>
                      </w:p>
                    </w:tc>
                    <w:tc>
                      <w:tcPr>
                        <w:tcW w:w="1388" w:type="dxa"/>
                        <w:tcBorders>
                          <w:top w:val="nil" w:sz="6" w:space="0" w:color="auto"/>
                          <w:left w:val="nil" w:sz="6" w:space="0" w:color="auto"/>
                          <w:bottom w:val="nil" w:sz="6" w:space="0" w:color="auto"/>
                          <w:right w:val="nil" w:sz="6" w:space="0" w:color="auto"/>
                        </w:tcBorders>
                      </w:tcPr>
                      <w:p>
                        <w:pPr>
                          <w:pStyle w:val="TableParagraph"/>
                          <w:spacing w:line="170" w:lineRule="exact"/>
                          <w:ind w:left="30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16" w:type="dxa"/>
                        <w:tcBorders>
                          <w:top w:val="nil" w:sz="6" w:space="0" w:color="auto"/>
                          <w:left w:val="nil" w:sz="6" w:space="0" w:color="auto"/>
                          <w:bottom w:val="nil" w:sz="6" w:space="0" w:color="auto"/>
                          <w:right w:val="nil" w:sz="6" w:space="0" w:color="auto"/>
                        </w:tcBorders>
                      </w:tcPr>
                      <w:p>
                        <w:pPr>
                          <w:pStyle w:val="TableParagraph"/>
                          <w:spacing w:line="170" w:lineRule="exact"/>
                          <w:ind w:left="26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79" w:type="dxa"/>
                        <w:tcBorders>
                          <w:top w:val="nil" w:sz="6" w:space="0" w:color="auto"/>
                          <w:left w:val="nil" w:sz="6" w:space="0" w:color="auto"/>
                          <w:bottom w:val="nil" w:sz="6" w:space="0" w:color="auto"/>
                          <w:right w:val="nil" w:sz="6" w:space="0" w:color="auto"/>
                        </w:tcBorders>
                      </w:tcPr>
                      <w:p>
                        <w:pPr>
                          <w:pStyle w:val="TableParagraph"/>
                          <w:spacing w:line="170" w:lineRule="exact"/>
                          <w:ind w:left="170"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253" w:type="dxa"/>
                        <w:tcBorders>
                          <w:top w:val="nil" w:sz="6" w:space="0" w:color="auto"/>
                          <w:left w:val="nil" w:sz="6" w:space="0" w:color="auto"/>
                          <w:bottom w:val="nil" w:sz="6" w:space="0" w:color="auto"/>
                          <w:right w:val="nil" w:sz="6" w:space="0" w:color="auto"/>
                        </w:tcBorders>
                      </w:tcPr>
                      <w:p>
                        <w:pPr>
                          <w:pStyle w:val="TableParagraph"/>
                          <w:spacing w:line="170" w:lineRule="exact"/>
                          <w:ind w:left="265"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25" w:hRule="exact"/>
                    </w:trPr>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7"/>
                          <w:jc w:val="right"/>
                          <w:rPr>
                            <w:rFonts w:ascii="Times New Roman" w:hAnsi="Times New Roman" w:cs="Times New Roman" w:eastAsia="Times New Roman" w:hint="default"/>
                            <w:sz w:val="18"/>
                            <w:szCs w:val="18"/>
                          </w:rPr>
                        </w:pPr>
                        <w:r>
                          <w:rPr>
                            <w:rFonts w:ascii="Times New Roman"/>
                            <w:spacing w:val="-1"/>
                            <w:sz w:val="18"/>
                          </w:rPr>
                          <w:t>54,597,363.27</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6"/>
                          <w:jc w:val="right"/>
                          <w:rPr>
                            <w:rFonts w:ascii="Times New Roman" w:hAnsi="Times New Roman" w:cs="Times New Roman" w:eastAsia="Times New Roman" w:hint="default"/>
                            <w:sz w:val="18"/>
                            <w:szCs w:val="18"/>
                          </w:rPr>
                        </w:pPr>
                        <w:r>
                          <w:rPr>
                            <w:rFonts w:ascii="Times New Roman"/>
                            <w:sz w:val="18"/>
                          </w:rPr>
                          <w:t>651,782.12</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5"/>
                          <w:jc w:val="right"/>
                          <w:rPr>
                            <w:rFonts w:ascii="Times New Roman" w:hAnsi="Times New Roman" w:cs="Times New Roman" w:eastAsia="Times New Roman" w:hint="default"/>
                            <w:sz w:val="18"/>
                            <w:szCs w:val="18"/>
                          </w:rPr>
                        </w:pPr>
                        <w:r>
                          <w:rPr>
                            <w:rFonts w:ascii="Times New Roman"/>
                            <w:spacing w:val="-1"/>
                            <w:sz w:val="18"/>
                          </w:rPr>
                          <w:t>53,945,581.15</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20"/>
                          <w:jc w:val="right"/>
                          <w:rPr>
                            <w:rFonts w:ascii="Times New Roman" w:hAnsi="Times New Roman" w:cs="Times New Roman" w:eastAsia="Times New Roman" w:hint="default"/>
                            <w:sz w:val="18"/>
                            <w:szCs w:val="18"/>
                          </w:rPr>
                        </w:pPr>
                        <w:r>
                          <w:rPr>
                            <w:rFonts w:ascii="Times New Roman"/>
                            <w:spacing w:val="-1"/>
                            <w:sz w:val="18"/>
                          </w:rPr>
                          <w:t>46,260,744.06</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58" w:right="0"/>
                          <w:jc w:val="left"/>
                          <w:rPr>
                            <w:rFonts w:ascii="Times New Roman" w:hAnsi="Times New Roman" w:cs="Times New Roman" w:eastAsia="Times New Roman" w:hint="default"/>
                            <w:sz w:val="18"/>
                            <w:szCs w:val="18"/>
                          </w:rPr>
                        </w:pPr>
                        <w:r>
                          <w:rPr>
                            <w:rFonts w:ascii="Times New Roman"/>
                            <w:sz w:val="18"/>
                          </w:rPr>
                          <w:t>608,971.99</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45,651,772.07</w:t>
                        </w:r>
                      </w:p>
                    </w:tc>
                  </w:tr>
                  <w:tr>
                    <w:trPr>
                      <w:trHeight w:val="322" w:hRule="exact"/>
                    </w:trPr>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7"/>
                          <w:jc w:val="right"/>
                          <w:rPr>
                            <w:rFonts w:ascii="Times New Roman" w:hAnsi="Times New Roman" w:cs="Times New Roman" w:eastAsia="Times New Roman" w:hint="default"/>
                            <w:sz w:val="18"/>
                            <w:szCs w:val="18"/>
                          </w:rPr>
                        </w:pPr>
                        <w:r>
                          <w:rPr>
                            <w:rFonts w:ascii="Times New Roman"/>
                            <w:sz w:val="18"/>
                          </w:rPr>
                          <w:t>28,538.44</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7"/>
                          <w:jc w:val="right"/>
                          <w:rPr>
                            <w:rFonts w:ascii="Times New Roman" w:hAnsi="Times New Roman" w:cs="Times New Roman" w:eastAsia="Times New Roman" w:hint="default"/>
                            <w:sz w:val="18"/>
                            <w:szCs w:val="18"/>
                          </w:rPr>
                        </w:pPr>
                        <w:r>
                          <w:rPr>
                            <w:rFonts w:ascii="Times New Roman"/>
                            <w:sz w:val="18"/>
                          </w:rPr>
                          <w:t>---</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5"/>
                          <w:jc w:val="right"/>
                          <w:rPr>
                            <w:rFonts w:ascii="Times New Roman" w:hAnsi="Times New Roman" w:cs="Times New Roman" w:eastAsia="Times New Roman" w:hint="default"/>
                            <w:sz w:val="18"/>
                            <w:szCs w:val="18"/>
                          </w:rPr>
                        </w:pPr>
                        <w:r>
                          <w:rPr>
                            <w:rFonts w:ascii="Times New Roman"/>
                            <w:sz w:val="18"/>
                          </w:rPr>
                          <w:t>28,538.44</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0"/>
                          <w:jc w:val="right"/>
                          <w:rPr>
                            <w:rFonts w:ascii="Times New Roman" w:hAnsi="Times New Roman" w:cs="Times New Roman" w:eastAsia="Times New Roman" w:hint="default"/>
                            <w:sz w:val="18"/>
                            <w:szCs w:val="18"/>
                          </w:rPr>
                        </w:pPr>
                        <w:r>
                          <w:rPr>
                            <w:rFonts w:ascii="Times New Roman"/>
                            <w:sz w:val="18"/>
                          </w:rPr>
                          <w:t>12,214.23</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8"/>
                          <w:jc w:val="right"/>
                          <w:rPr>
                            <w:rFonts w:ascii="Times New Roman" w:hAnsi="Times New Roman" w:cs="Times New Roman" w:eastAsia="Times New Roman" w:hint="default"/>
                            <w:sz w:val="18"/>
                            <w:szCs w:val="18"/>
                          </w:rPr>
                        </w:pPr>
                        <w:r>
                          <w:rPr>
                            <w:rFonts w:ascii="Times New Roman"/>
                            <w:sz w:val="18"/>
                          </w:rPr>
                          <w:t>---</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12,214.23</w:t>
                        </w:r>
                      </w:p>
                    </w:tc>
                  </w:tr>
                  <w:tr>
                    <w:trPr>
                      <w:trHeight w:val="322" w:hRule="exact"/>
                    </w:trPr>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8"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7"/>
                          <w:jc w:val="right"/>
                          <w:rPr>
                            <w:rFonts w:ascii="Times New Roman" w:hAnsi="Times New Roman" w:cs="Times New Roman" w:eastAsia="Times New Roman" w:hint="default"/>
                            <w:sz w:val="18"/>
                            <w:szCs w:val="18"/>
                          </w:rPr>
                        </w:pPr>
                        <w:r>
                          <w:rPr>
                            <w:rFonts w:ascii="Times New Roman"/>
                            <w:spacing w:val="-1"/>
                            <w:sz w:val="18"/>
                          </w:rPr>
                          <w:t>6,876,750.56</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7"/>
                          <w:jc w:val="right"/>
                          <w:rPr>
                            <w:rFonts w:ascii="Times New Roman" w:hAnsi="Times New Roman" w:cs="Times New Roman" w:eastAsia="Times New Roman" w:hint="default"/>
                            <w:sz w:val="18"/>
                            <w:szCs w:val="18"/>
                          </w:rPr>
                        </w:pPr>
                        <w:r>
                          <w:rPr>
                            <w:rFonts w:ascii="Times New Roman"/>
                            <w:sz w:val="18"/>
                          </w:rPr>
                          <w:t>---</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55"/>
                          <w:jc w:val="right"/>
                          <w:rPr>
                            <w:rFonts w:ascii="Times New Roman" w:hAnsi="Times New Roman" w:cs="Times New Roman" w:eastAsia="Times New Roman" w:hint="default"/>
                            <w:sz w:val="18"/>
                            <w:szCs w:val="18"/>
                          </w:rPr>
                        </w:pPr>
                        <w:r>
                          <w:rPr>
                            <w:rFonts w:ascii="Times New Roman"/>
                            <w:spacing w:val="-1"/>
                            <w:sz w:val="18"/>
                          </w:rPr>
                          <w:t>6,876,750.56</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20"/>
                          <w:jc w:val="right"/>
                          <w:rPr>
                            <w:rFonts w:ascii="Times New Roman" w:hAnsi="Times New Roman" w:cs="Times New Roman" w:eastAsia="Times New Roman" w:hint="default"/>
                            <w:sz w:val="18"/>
                            <w:szCs w:val="18"/>
                          </w:rPr>
                        </w:pPr>
                        <w:r>
                          <w:rPr>
                            <w:rFonts w:ascii="Times New Roman"/>
                            <w:spacing w:val="-1"/>
                            <w:sz w:val="18"/>
                          </w:rPr>
                          <w:t>4,756,164.67</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8"/>
                          <w:jc w:val="right"/>
                          <w:rPr>
                            <w:rFonts w:ascii="Times New Roman" w:hAnsi="Times New Roman" w:cs="Times New Roman" w:eastAsia="Times New Roman" w:hint="default"/>
                            <w:sz w:val="18"/>
                            <w:szCs w:val="18"/>
                          </w:rPr>
                        </w:pPr>
                        <w:r>
                          <w:rPr>
                            <w:rFonts w:ascii="Times New Roman"/>
                            <w:sz w:val="18"/>
                          </w:rPr>
                          <w:t>---</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4,756,164.67</w:t>
                        </w:r>
                      </w:p>
                    </w:tc>
                  </w:tr>
                  <w:tr>
                    <w:trPr>
                      <w:trHeight w:val="322" w:hRule="exact"/>
                    </w:trPr>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8"/>
                          <w:jc w:val="right"/>
                          <w:rPr>
                            <w:rFonts w:ascii="Times New Roman" w:hAnsi="Times New Roman" w:cs="Times New Roman" w:eastAsia="Times New Roman" w:hint="default"/>
                            <w:sz w:val="18"/>
                            <w:szCs w:val="18"/>
                          </w:rPr>
                        </w:pPr>
                        <w:r>
                          <w:rPr>
                            <w:rFonts w:ascii="Times New Roman"/>
                            <w:spacing w:val="-1"/>
                            <w:sz w:val="18"/>
                          </w:rPr>
                          <w:t>17,223,093.11</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7"/>
                          <w:jc w:val="right"/>
                          <w:rPr>
                            <w:rFonts w:ascii="Times New Roman" w:hAnsi="Times New Roman" w:cs="Times New Roman" w:eastAsia="Times New Roman" w:hint="default"/>
                            <w:sz w:val="18"/>
                            <w:szCs w:val="18"/>
                          </w:rPr>
                        </w:pPr>
                        <w:r>
                          <w:rPr>
                            <w:rFonts w:ascii="Times New Roman"/>
                            <w:sz w:val="18"/>
                          </w:rPr>
                          <w:t>---</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6"/>
                          <w:jc w:val="right"/>
                          <w:rPr>
                            <w:rFonts w:ascii="Times New Roman" w:hAnsi="Times New Roman" w:cs="Times New Roman" w:eastAsia="Times New Roman" w:hint="default"/>
                            <w:sz w:val="18"/>
                            <w:szCs w:val="18"/>
                          </w:rPr>
                        </w:pPr>
                        <w:r>
                          <w:rPr>
                            <w:rFonts w:ascii="Times New Roman"/>
                            <w:spacing w:val="-1"/>
                            <w:sz w:val="18"/>
                          </w:rPr>
                          <w:t>17,223,093.11</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1"/>
                          <w:jc w:val="right"/>
                          <w:rPr>
                            <w:rFonts w:ascii="Times New Roman" w:hAnsi="Times New Roman" w:cs="Times New Roman" w:eastAsia="Times New Roman" w:hint="default"/>
                            <w:sz w:val="18"/>
                            <w:szCs w:val="18"/>
                          </w:rPr>
                        </w:pPr>
                        <w:r>
                          <w:rPr>
                            <w:rFonts w:ascii="Times New Roman"/>
                            <w:spacing w:val="-1"/>
                            <w:sz w:val="18"/>
                          </w:rPr>
                          <w:t>10,267,854.20</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8"/>
                          <w:jc w:val="right"/>
                          <w:rPr>
                            <w:rFonts w:ascii="Times New Roman" w:hAnsi="Times New Roman" w:cs="Times New Roman" w:eastAsia="Times New Roman" w:hint="default"/>
                            <w:sz w:val="18"/>
                            <w:szCs w:val="18"/>
                          </w:rPr>
                        </w:pPr>
                        <w:r>
                          <w:rPr>
                            <w:rFonts w:ascii="Times New Roman"/>
                            <w:sz w:val="18"/>
                          </w:rPr>
                          <w:t>---</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10,267,854.20</w:t>
                        </w:r>
                      </w:p>
                    </w:tc>
                  </w:tr>
                  <w:tr>
                    <w:trPr>
                      <w:trHeight w:val="322" w:hRule="exact"/>
                    </w:trPr>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自制半成品</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7"/>
                          <w:jc w:val="right"/>
                          <w:rPr>
                            <w:rFonts w:ascii="Times New Roman" w:hAnsi="Times New Roman" w:cs="Times New Roman" w:eastAsia="Times New Roman" w:hint="default"/>
                            <w:sz w:val="18"/>
                            <w:szCs w:val="18"/>
                          </w:rPr>
                        </w:pPr>
                        <w:r>
                          <w:rPr>
                            <w:rFonts w:ascii="Times New Roman"/>
                            <w:spacing w:val="-1"/>
                            <w:sz w:val="18"/>
                          </w:rPr>
                          <w:t>24,047,295.45</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7"/>
                          <w:jc w:val="right"/>
                          <w:rPr>
                            <w:rFonts w:ascii="Times New Roman" w:hAnsi="Times New Roman" w:cs="Times New Roman" w:eastAsia="Times New Roman" w:hint="default"/>
                            <w:sz w:val="18"/>
                            <w:szCs w:val="18"/>
                          </w:rPr>
                        </w:pPr>
                        <w:r>
                          <w:rPr>
                            <w:rFonts w:ascii="Times New Roman"/>
                            <w:sz w:val="18"/>
                          </w:rPr>
                          <w:t>---</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5"/>
                          <w:jc w:val="right"/>
                          <w:rPr>
                            <w:rFonts w:ascii="Times New Roman" w:hAnsi="Times New Roman" w:cs="Times New Roman" w:eastAsia="Times New Roman" w:hint="default"/>
                            <w:sz w:val="18"/>
                            <w:szCs w:val="18"/>
                          </w:rPr>
                        </w:pPr>
                        <w:r>
                          <w:rPr>
                            <w:rFonts w:ascii="Times New Roman"/>
                            <w:spacing w:val="-1"/>
                            <w:sz w:val="18"/>
                          </w:rPr>
                          <w:t>24,047,295.45</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0"/>
                          <w:jc w:val="right"/>
                          <w:rPr>
                            <w:rFonts w:ascii="Times New Roman" w:hAnsi="Times New Roman" w:cs="Times New Roman" w:eastAsia="Times New Roman" w:hint="default"/>
                            <w:sz w:val="18"/>
                            <w:szCs w:val="18"/>
                          </w:rPr>
                        </w:pPr>
                        <w:r>
                          <w:rPr>
                            <w:rFonts w:ascii="Times New Roman"/>
                            <w:spacing w:val="-1"/>
                            <w:sz w:val="18"/>
                          </w:rPr>
                          <w:t>14,481,327.04</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8"/>
                          <w:jc w:val="right"/>
                          <w:rPr>
                            <w:rFonts w:ascii="Times New Roman" w:hAnsi="Times New Roman" w:cs="Times New Roman" w:eastAsia="Times New Roman" w:hint="default"/>
                            <w:sz w:val="18"/>
                            <w:szCs w:val="18"/>
                          </w:rPr>
                        </w:pPr>
                        <w:r>
                          <w:rPr>
                            <w:rFonts w:ascii="Times New Roman"/>
                            <w:sz w:val="18"/>
                          </w:rPr>
                          <w:t>---</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14,481,327.04</w:t>
                        </w:r>
                      </w:p>
                    </w:tc>
                  </w:tr>
                  <w:tr>
                    <w:trPr>
                      <w:trHeight w:val="322" w:hRule="exact"/>
                    </w:trPr>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8"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7"/>
                          <w:jc w:val="right"/>
                          <w:rPr>
                            <w:rFonts w:ascii="Times New Roman" w:hAnsi="Times New Roman" w:cs="Times New Roman" w:eastAsia="Times New Roman" w:hint="default"/>
                            <w:sz w:val="18"/>
                            <w:szCs w:val="18"/>
                          </w:rPr>
                        </w:pPr>
                        <w:r>
                          <w:rPr>
                            <w:rFonts w:ascii="Times New Roman"/>
                            <w:spacing w:val="-1"/>
                            <w:sz w:val="18"/>
                          </w:rPr>
                          <w:t>12,390,364.53</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7"/>
                          <w:jc w:val="right"/>
                          <w:rPr>
                            <w:rFonts w:ascii="Times New Roman" w:hAnsi="Times New Roman" w:cs="Times New Roman" w:eastAsia="Times New Roman" w:hint="default"/>
                            <w:sz w:val="18"/>
                            <w:szCs w:val="18"/>
                          </w:rPr>
                        </w:pPr>
                        <w:r>
                          <w:rPr>
                            <w:rFonts w:ascii="Times New Roman"/>
                            <w:sz w:val="18"/>
                          </w:rPr>
                          <w:t>---</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55"/>
                          <w:jc w:val="right"/>
                          <w:rPr>
                            <w:rFonts w:ascii="Times New Roman" w:hAnsi="Times New Roman" w:cs="Times New Roman" w:eastAsia="Times New Roman" w:hint="default"/>
                            <w:sz w:val="18"/>
                            <w:szCs w:val="18"/>
                          </w:rPr>
                        </w:pPr>
                        <w:r>
                          <w:rPr>
                            <w:rFonts w:ascii="Times New Roman"/>
                            <w:spacing w:val="-1"/>
                            <w:sz w:val="18"/>
                          </w:rPr>
                          <w:t>12,390,364.53</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20"/>
                          <w:jc w:val="right"/>
                          <w:rPr>
                            <w:rFonts w:ascii="Times New Roman" w:hAnsi="Times New Roman" w:cs="Times New Roman" w:eastAsia="Times New Roman" w:hint="default"/>
                            <w:sz w:val="18"/>
                            <w:szCs w:val="18"/>
                          </w:rPr>
                        </w:pPr>
                        <w:r>
                          <w:rPr>
                            <w:rFonts w:ascii="Times New Roman"/>
                            <w:spacing w:val="-1"/>
                            <w:sz w:val="18"/>
                          </w:rPr>
                          <w:t>2,949,967.58</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8"/>
                          <w:jc w:val="right"/>
                          <w:rPr>
                            <w:rFonts w:ascii="Times New Roman" w:hAnsi="Times New Roman" w:cs="Times New Roman" w:eastAsia="Times New Roman" w:hint="default"/>
                            <w:sz w:val="18"/>
                            <w:szCs w:val="18"/>
                          </w:rPr>
                        </w:pPr>
                        <w:r>
                          <w:rPr>
                            <w:rFonts w:ascii="Times New Roman"/>
                            <w:sz w:val="18"/>
                          </w:rPr>
                          <w:t>---</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2,949,967.58</w:t>
                        </w:r>
                      </w:p>
                    </w:tc>
                  </w:tr>
                  <w:tr>
                    <w:trPr>
                      <w:trHeight w:val="328" w:hRule="exact"/>
                    </w:trPr>
                    <w:tc>
                      <w:tcPr>
                        <w:tcW w:w="1151"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1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72"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left="133" w:right="0"/>
                          <w:jc w:val="left"/>
                          <w:rPr>
                            <w:rFonts w:ascii="Times New Roman" w:hAnsi="Times New Roman" w:cs="Times New Roman" w:eastAsia="Times New Roman" w:hint="default"/>
                            <w:sz w:val="18"/>
                            <w:szCs w:val="18"/>
                          </w:rPr>
                        </w:pPr>
                        <w:r>
                          <w:rPr>
                            <w:rFonts w:ascii="Times New Roman"/>
                            <w:sz w:val="18"/>
                          </w:rPr>
                          <w:t>115,163,405.36</w:t>
                        </w:r>
                      </w:p>
                    </w:tc>
                    <w:tc>
                      <w:tcPr>
                        <w:tcW w:w="1049"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16"/>
                          <w:jc w:val="right"/>
                          <w:rPr>
                            <w:rFonts w:ascii="Times New Roman" w:hAnsi="Times New Roman" w:cs="Times New Roman" w:eastAsia="Times New Roman" w:hint="default"/>
                            <w:sz w:val="18"/>
                            <w:szCs w:val="18"/>
                          </w:rPr>
                        </w:pPr>
                        <w:r>
                          <w:rPr>
                            <w:rFonts w:ascii="Times New Roman"/>
                            <w:sz w:val="18"/>
                          </w:rPr>
                          <w:t>651,782.12</w:t>
                        </w:r>
                      </w:p>
                    </w:tc>
                    <w:tc>
                      <w:tcPr>
                        <w:tcW w:w="1388"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55"/>
                          <w:jc w:val="right"/>
                          <w:rPr>
                            <w:rFonts w:ascii="Times New Roman" w:hAnsi="Times New Roman" w:cs="Times New Roman" w:eastAsia="Times New Roman" w:hint="default"/>
                            <w:sz w:val="18"/>
                            <w:szCs w:val="18"/>
                          </w:rPr>
                        </w:pPr>
                        <w:r>
                          <w:rPr>
                            <w:rFonts w:ascii="Times New Roman"/>
                            <w:spacing w:val="-2"/>
                            <w:sz w:val="18"/>
                          </w:rPr>
                          <w:t>114,511,623.24</w:t>
                        </w:r>
                      </w:p>
                    </w:tc>
                    <w:tc>
                      <w:tcPr>
                        <w:tcW w:w="1316"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20"/>
                          <w:jc w:val="right"/>
                          <w:rPr>
                            <w:rFonts w:ascii="Times New Roman" w:hAnsi="Times New Roman" w:cs="Times New Roman" w:eastAsia="Times New Roman" w:hint="default"/>
                            <w:sz w:val="18"/>
                            <w:szCs w:val="18"/>
                          </w:rPr>
                        </w:pPr>
                        <w:r>
                          <w:rPr>
                            <w:rFonts w:ascii="Times New Roman"/>
                            <w:spacing w:val="-1"/>
                            <w:sz w:val="18"/>
                          </w:rPr>
                          <w:t>78,728,271.78</w:t>
                        </w:r>
                      </w:p>
                    </w:tc>
                    <w:tc>
                      <w:tcPr>
                        <w:tcW w:w="1079"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left="158" w:right="0"/>
                          <w:jc w:val="left"/>
                          <w:rPr>
                            <w:rFonts w:ascii="Times New Roman" w:hAnsi="Times New Roman" w:cs="Times New Roman" w:eastAsia="Times New Roman" w:hint="default"/>
                            <w:sz w:val="18"/>
                            <w:szCs w:val="18"/>
                          </w:rPr>
                        </w:pPr>
                        <w:r>
                          <w:rPr>
                            <w:rFonts w:ascii="Times New Roman"/>
                            <w:sz w:val="18"/>
                          </w:rPr>
                          <w:t>608,971.99</w:t>
                        </w:r>
                      </w:p>
                    </w:tc>
                    <w:tc>
                      <w:tcPr>
                        <w:tcW w:w="1253"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78,119,299.79</w:t>
                        </w:r>
                      </w:p>
                    </w:tc>
                  </w:tr>
                </w:tbl>
                <w:p>
                  <w:pPr/>
                </w:p>
              </w:txbxContent>
            </v:textbox>
            <w10:wrap type="none"/>
          </v:shape>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年末预付款项中无持本公司</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b/>
          <w:bCs/>
          <w:w w:val="99"/>
          <w:sz w:val="21"/>
          <w:szCs w:val="21"/>
        </w:rPr>
        <w:t> </w:t>
      </w:r>
      <w:r>
        <w:rPr>
          <w:rFonts w:ascii="宋体" w:hAnsi="宋体" w:cs="宋体" w:eastAsia="宋体" w:hint="default"/>
          <w:b/>
          <w:bCs/>
          <w:w w:val="95"/>
          <w:sz w:val="21"/>
          <w:szCs w:val="21"/>
        </w:rPr>
        <w:t>(六)</w:t>
        <w:tab/>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13"/>
        <w:rPr>
          <w:rFonts w:ascii="宋体" w:hAnsi="宋体" w:cs="宋体" w:eastAsia="宋体" w:hint="default"/>
          <w:b/>
          <w:bCs/>
          <w:sz w:val="4"/>
          <w:szCs w:val="4"/>
        </w:rPr>
      </w:pPr>
    </w:p>
    <w:p>
      <w:pPr>
        <w:spacing w:line="2917" w:lineRule="exact"/>
        <w:ind w:left="143" w:right="0" w:firstLine="0"/>
        <w:rPr>
          <w:rFonts w:ascii="宋体" w:hAnsi="宋体" w:cs="宋体" w:eastAsia="宋体" w:hint="default"/>
          <w:sz w:val="20"/>
          <w:szCs w:val="20"/>
        </w:rPr>
      </w:pPr>
      <w:r>
        <w:rPr>
          <w:rFonts w:ascii="宋体" w:hAnsi="宋体" w:cs="宋体" w:eastAsia="宋体" w:hint="default"/>
          <w:position w:val="-57"/>
          <w:sz w:val="20"/>
          <w:szCs w:val="20"/>
        </w:rPr>
        <w:pict>
          <v:group style="width:433.65pt;height:145.9pt;mso-position-horizontal-relative:char;mso-position-vertical-relative:line" coordorigin="0,0" coordsize="8673,2918">
            <v:shape style="position:absolute;left:1158;top:0;width:3815;height:370" type="#_x0000_t75" stroked="false">
              <v:imagedata r:id="rId145" o:title=""/>
            </v:shape>
            <v:shape style="position:absolute;left:1158;top:312;width:7514;height:380" type="#_x0000_t75" stroked="false">
              <v:imagedata r:id="rId146" o:title=""/>
            </v:shape>
            <v:shape style="position:absolute;left:0;top:635;width:8672;height:2282" type="#_x0000_t75" stroked="false">
              <v:imagedata r:id="rId147" o:title=""/>
            </v:shape>
          </v:group>
        </w:pict>
      </w:r>
      <w:r>
        <w:rPr>
          <w:rFonts w:ascii="宋体" w:hAnsi="宋体" w:cs="宋体" w:eastAsia="宋体" w:hint="default"/>
          <w:position w:val="-57"/>
          <w:sz w:val="20"/>
          <w:szCs w:val="20"/>
        </w:rPr>
      </w:r>
    </w:p>
    <w:p>
      <w:pPr>
        <w:spacing w:line="240" w:lineRule="auto" w:before="5"/>
        <w:rPr>
          <w:rFonts w:ascii="宋体" w:hAnsi="宋体" w:cs="宋体" w:eastAsia="宋体" w:hint="default"/>
          <w:b/>
          <w:bCs/>
          <w:sz w:val="11"/>
          <w:szCs w:val="11"/>
        </w:rPr>
      </w:pPr>
    </w:p>
    <w:p>
      <w:pPr>
        <w:spacing w:before="35"/>
        <w:ind w:left="887" w:right="448" w:firstLine="0"/>
        <w:jc w:val="left"/>
        <w:rPr>
          <w:rFonts w:ascii="宋体" w:hAnsi="宋体" w:cs="宋体" w:eastAsia="宋体" w:hint="default"/>
          <w:sz w:val="21"/>
          <w:szCs w:val="21"/>
        </w:rPr>
      </w:pPr>
      <w:r>
        <w:rPr>
          <w:rFonts w:ascii="宋体" w:hAnsi="宋体" w:cs="宋体" w:eastAsia="宋体" w:hint="default"/>
          <w:sz w:val="21"/>
          <w:szCs w:val="21"/>
        </w:rPr>
        <w:t>本公司年末数中无用于担保的存货担保。</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tabs>
          <w:tab w:pos="1434" w:val="left" w:leader="none"/>
        </w:tabs>
        <w:spacing w:before="0"/>
        <w:ind w:left="895" w:right="448"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存货跌价准备</w:t>
      </w:r>
      <w:r>
        <w:rPr>
          <w:rFonts w:ascii="宋体" w:hAnsi="宋体" w:cs="宋体" w:eastAsia="宋体" w:hint="default"/>
          <w:sz w:val="21"/>
          <w:szCs w:val="21"/>
        </w:rPr>
      </w:r>
    </w:p>
    <w:p>
      <w:pPr>
        <w:spacing w:line="1338" w:lineRule="exact"/>
        <w:ind w:left="142"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33.8pt;height:66.9pt;mso-position-horizontal-relative:char;mso-position-vertical-relative:line" coordorigin="0,0" coordsize="8676,1338">
            <v:group style="position:absolute;left:29;top:15;width:8614;height:2" coordorigin="29,15" coordsize="8614,2">
              <v:shape style="position:absolute;left:29;top:15;width:8614;height:2" coordorigin="29,15" coordsize="8614,0" path="m29,15l8643,15e" filled="false" stroked="true" strokeweight="1.5pt" strokecolor="#000000">
                <v:path arrowok="t"/>
              </v:shape>
              <v:shape style="position:absolute;left:1805;top:1;width:5171;height:691" type="#_x0000_t75" stroked="false">
                <v:imagedata r:id="rId148" o:title=""/>
              </v:shape>
            </v:group>
            <v:group style="position:absolute;left:15;top:1323;width:1820;height:2" coordorigin="15,1323" coordsize="1820,2">
              <v:shape style="position:absolute;left:15;top:1323;width:1820;height:2" coordorigin="15,1323" coordsize="1820,0" path="m15,1323l1834,1323e" filled="false" stroked="true" strokeweight="1.5pt" strokecolor="#000000">
                <v:path arrowok="t"/>
              </v:shape>
            </v:group>
            <v:group style="position:absolute;left:1834;top:1323;width:1257;height:2" coordorigin="1834,1323" coordsize="1257,2">
              <v:shape style="position:absolute;left:1834;top:1323;width:1257;height:2" coordorigin="1834,1323" coordsize="1257,0" path="m1834,1323l3091,1323e" filled="false" stroked="true" strokeweight="1.5pt" strokecolor="#000000">
                <v:path arrowok="t"/>
              </v:shape>
            </v:group>
            <v:group style="position:absolute;left:3091;top:1323;width:1571;height:2" coordorigin="3091,1323" coordsize="1571,2">
              <v:shape style="position:absolute;left:3091;top:1323;width:1571;height:2" coordorigin="3091,1323" coordsize="1571,0" path="m3091,1323l4661,1323e" filled="false" stroked="true" strokeweight="1.5pt" strokecolor="#000000">
                <v:path arrowok="t"/>
              </v:shape>
            </v:group>
            <v:group style="position:absolute;left:4661;top:1323;width:1142;height:2" coordorigin="4661,1323" coordsize="1142,2">
              <v:shape style="position:absolute;left:4661;top:1323;width:1142;height:2" coordorigin="4661,1323" coordsize="1142,0" path="m4661,1323l5803,1323e" filled="false" stroked="true" strokeweight="1.5pt" strokecolor="#000000">
                <v:path arrowok="t"/>
              </v:shape>
            </v:group>
            <v:group style="position:absolute;left:5803;top:1323;width:1136;height:2" coordorigin="5803,1323" coordsize="1136,2">
              <v:shape style="position:absolute;left:5803;top:1323;width:1136;height:2" coordorigin="5803,1323" coordsize="1136,0" path="m5803,1323l6938,1323e" filled="false" stroked="true" strokeweight="1.5pt" strokecolor="#000000">
                <v:path arrowok="t"/>
              </v:shape>
              <v:shape style="position:absolute;left:1;top:635;width:8675;height:673" type="#_x0000_t75" stroked="false">
                <v:imagedata r:id="rId149" o:title=""/>
              </v:shape>
            </v:group>
            <v:group style="position:absolute;left:6938;top:1323;width:1706;height:2" coordorigin="6938,1323" coordsize="1706,2">
              <v:shape style="position:absolute;left:6938;top:1323;width:1706;height:2" coordorigin="6938,1323" coordsize="1706,0" path="m6938,1323l8643,1323e" filled="false" stroked="true" strokeweight="1.5pt" strokecolor="#000000">
                <v:path arrowok="t"/>
              </v:shape>
              <v:shape style="position:absolute;left:5354;top:9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本年减少额</w:t>
                      </w:r>
                    </w:p>
                  </w:txbxContent>
                </v:textbox>
                <w10:wrap type="none"/>
              </v:shape>
              <v:shape style="position:absolute;left:573;top:25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存货种类</w:t>
                      </w:r>
                    </w:p>
                  </w:txbxContent>
                </v:textbox>
                <w10:wrap type="none"/>
              </v:shape>
              <v:shape style="position:absolute;left:2107;top:25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430;top:25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本年计提额</w:t>
                      </w:r>
                    </w:p>
                  </w:txbxContent>
                </v:textbox>
                <w10:wrap type="none"/>
              </v:shape>
              <v:shape style="position:absolute;left:7432;top:25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5056;top:418;width:1499;height:180" type="#_x0000_t202" filled="false" stroked="false">
                <v:textbox inset="0,0,0,0">
                  <w:txbxContent>
                    <w:p>
                      <w:pPr>
                        <w:tabs>
                          <w:tab w:pos="1138"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转回</w:t>
                        <w:tab/>
                        <w:t>转销</w:t>
                      </w:r>
                    </w:p>
                  </w:txbxContent>
                </v:textbox>
                <w10:wrap type="none"/>
              </v:shape>
              <v:shape style="position:absolute;left:137;top:74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原材料</w:t>
                      </w:r>
                    </w:p>
                  </w:txbxContent>
                </v:textbox>
                <w10:wrap type="none"/>
              </v:shape>
              <v:shape style="position:absolute;left:753;top:106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177;top:748;width:812;height:502"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608,971.99</w:t>
                      </w:r>
                    </w:p>
                    <w:p>
                      <w:pPr>
                        <w:spacing w:line="203" w:lineRule="exact" w:before="114"/>
                        <w:ind w:left="0" w:right="0" w:firstLine="0"/>
                        <w:jc w:val="left"/>
                        <w:rPr>
                          <w:rFonts w:ascii="Times New Roman" w:hAnsi="Times New Roman" w:cs="Times New Roman" w:eastAsia="Times New Roman" w:hint="default"/>
                          <w:sz w:val="18"/>
                          <w:szCs w:val="18"/>
                        </w:rPr>
                      </w:pPr>
                      <w:r>
                        <w:rPr>
                          <w:rFonts w:ascii="Times New Roman"/>
                          <w:sz w:val="18"/>
                        </w:rPr>
                        <w:t>608,971.99</w:t>
                      </w:r>
                    </w:p>
                  </w:txbxContent>
                </v:textbox>
                <w10:wrap type="none"/>
              </v:shape>
              <v:shape style="position:absolute;left:3838;top:748;width:721;height:502"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42,810.13</w:t>
                      </w:r>
                    </w:p>
                    <w:p>
                      <w:pPr>
                        <w:spacing w:line="203" w:lineRule="exact" w:before="114"/>
                        <w:ind w:left="0" w:right="0" w:firstLine="0"/>
                        <w:jc w:val="left"/>
                        <w:rPr>
                          <w:rFonts w:ascii="Times New Roman" w:hAnsi="Times New Roman" w:cs="Times New Roman" w:eastAsia="Times New Roman" w:hint="default"/>
                          <w:sz w:val="18"/>
                          <w:szCs w:val="18"/>
                        </w:rPr>
                      </w:pPr>
                      <w:r>
                        <w:rPr>
                          <w:rFonts w:ascii="Times New Roman"/>
                          <w:sz w:val="18"/>
                        </w:rPr>
                        <w:t>42,810.13</w:t>
                      </w:r>
                    </w:p>
                  </w:txbxContent>
                </v:textbox>
                <w10:wrap type="none"/>
              </v:shape>
              <v:shape style="position:absolute;left:5519;top:748;width:181;height:502"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p>
                      <w:pPr>
                        <w:spacing w:line="203" w:lineRule="exact" w:before="114"/>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654;top:748;width:181;height:502"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p>
                      <w:pPr>
                        <w:spacing w:line="203" w:lineRule="exact" w:before="114"/>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725;top:748;width:812;height:502"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651,782.12</w:t>
                      </w:r>
                    </w:p>
                    <w:p>
                      <w:pPr>
                        <w:spacing w:line="203" w:lineRule="exact" w:before="114"/>
                        <w:ind w:left="0" w:right="0" w:firstLine="0"/>
                        <w:jc w:val="left"/>
                        <w:rPr>
                          <w:rFonts w:ascii="Times New Roman" w:hAnsi="Times New Roman" w:cs="Times New Roman" w:eastAsia="Times New Roman" w:hint="default"/>
                          <w:sz w:val="18"/>
                          <w:szCs w:val="18"/>
                        </w:rPr>
                      </w:pPr>
                      <w:r>
                        <w:rPr>
                          <w:rFonts w:ascii="Times New Roman"/>
                          <w:sz w:val="18"/>
                        </w:rPr>
                        <w:t>651,782.12</w:t>
                      </w:r>
                    </w:p>
                  </w:txbxContent>
                </v:textbox>
                <w10:wrap type="none"/>
              </v:shape>
            </v:group>
          </v:group>
        </w:pict>
      </w:r>
      <w:r>
        <w:rPr>
          <w:rFonts w:ascii="宋体" w:hAnsi="宋体" w:cs="宋体" w:eastAsia="宋体" w:hint="default"/>
          <w:position w:val="-26"/>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tabs>
          <w:tab w:pos="1434" w:val="left" w:leader="none"/>
        </w:tabs>
        <w:spacing w:before="35"/>
        <w:ind w:left="895" w:right="448"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存货跌价准备情况</w:t>
      </w:r>
      <w:r>
        <w:rPr>
          <w:rFonts w:ascii="宋体" w:hAnsi="宋体" w:cs="宋体" w:eastAsia="宋体" w:hint="default"/>
          <w:sz w:val="21"/>
          <w:szCs w:val="21"/>
        </w:rPr>
      </w:r>
    </w:p>
    <w:p>
      <w:pPr>
        <w:spacing w:line="1005" w:lineRule="exact"/>
        <w:ind w:left="142"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434.25pt;height:50.3pt;mso-position-horizontal-relative:char;mso-position-vertical-relative:line" coordorigin="0,0" coordsize="8685,1006">
            <v:group style="position:absolute;left:29;top:15;width:6454;height:2" coordorigin="29,15" coordsize="6454,2">
              <v:shape style="position:absolute;left:29;top:15;width:6454;height:2" coordorigin="29,15" coordsize="6454,0" path="m29,15l6483,15e" filled="false" stroked="true" strokeweight="1.5pt" strokecolor="#000000">
                <v:path arrowok="t"/>
              </v:shape>
            </v:group>
            <v:group style="position:absolute;left:6483;top:15;width:2187;height:2" coordorigin="6483,15" coordsize="2187,2">
              <v:shape style="position:absolute;left:6483;top:15;width:2187;height:2" coordorigin="6483,15" coordsize="2187,0" path="m6483,15l8669,15e" filled="false" stroked="true" strokeweight="1.5pt" strokecolor="#000000">
                <v:path arrowok="t"/>
              </v:shape>
            </v:group>
            <v:group style="position:absolute;left:15;top:991;width:1700;height:2" coordorigin="15,991" coordsize="1700,2">
              <v:shape style="position:absolute;left:15;top:991;width:1700;height:2" coordorigin="15,991" coordsize="1700,0" path="m15,991l1714,991e" filled="false" stroked="true" strokeweight="1.5pt" strokecolor="#000000">
                <v:path arrowok="t"/>
              </v:shape>
            </v:group>
            <v:group style="position:absolute;left:1714;top:991;width:2212;height:2" coordorigin="1714,991" coordsize="2212,2">
              <v:shape style="position:absolute;left:1714;top:991;width:2212;height:2" coordorigin="1714,991" coordsize="2212,0" path="m1714,991l3926,991e" filled="false" stroked="true" strokeweight="1.5pt" strokecolor="#000000">
                <v:path arrowok="t"/>
              </v:shape>
            </v:group>
            <v:group style="position:absolute;left:3926;top:991;width:2528;height:2" coordorigin="3926,991" coordsize="2528,2">
              <v:shape style="position:absolute;left:3926;top:991;width:2528;height:2" coordorigin="3926,991" coordsize="2528,0" path="m3926,991l6453,991e" filled="false" stroked="true" strokeweight="1.5pt" strokecolor="#000000">
                <v:path arrowok="t"/>
              </v:shape>
              <v:shape style="position:absolute;left:1;top:1;width:8680;height:974" type="#_x0000_t75" stroked="false">
                <v:imagedata r:id="rId150" o:title=""/>
              </v:shape>
            </v:group>
            <v:group style="position:absolute;left:6453;top:991;width:30;height:2" coordorigin="6453,991" coordsize="30,2">
              <v:shape style="position:absolute;left:6453;top:991;width:30;height:2" coordorigin="6453,991" coordsize="30,0" path="m6453,991l6483,991e" filled="false" stroked="true" strokeweight="1.5pt" strokecolor="#000000">
                <v:path arrowok="t"/>
              </v:shape>
            </v:group>
            <v:group style="position:absolute;left:6483;top:991;width:2187;height:2" coordorigin="6483,991" coordsize="2187,2">
              <v:shape style="position:absolute;left:6483;top:991;width:2187;height:2" coordorigin="6483,991" coordsize="2187,0" path="m6483,991l8669,991e" filled="false" stroked="true" strokeweight="1.5pt" strokecolor="#000000">
                <v:path arrowok="t"/>
              </v:shape>
              <v:shape style="position:absolute;left:694;top:25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1834;top:25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计提存货跌价准备的依据</w:t>
                      </w:r>
                    </w:p>
                  </w:txbxContent>
                </v:textbox>
                <w10:wrap type="none"/>
              </v:shape>
              <v:shape style="position:absolute;left:137;top:73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原材料</w:t>
                      </w:r>
                    </w:p>
                  </w:txbxContent>
                </v:textbox>
                <w10:wrap type="none"/>
              </v:shape>
              <v:shape style="position:absolute;left:1827;top:96;width:6726;height:822" type="#_x0000_t202" filled="false" stroked="false">
                <v:textbox inset="0,0,0,0">
                  <w:txbxContent>
                    <w:p>
                      <w:pPr>
                        <w:tabs>
                          <w:tab w:pos="4745" w:val="left" w:leader="none"/>
                        </w:tabs>
                        <w:spacing w:line="180" w:lineRule="exact" w:before="0"/>
                        <w:ind w:left="2287" w:right="0" w:firstLine="0"/>
                        <w:jc w:val="left"/>
                        <w:rPr>
                          <w:rFonts w:ascii="宋体" w:hAnsi="宋体" w:cs="宋体" w:eastAsia="宋体" w:hint="default"/>
                          <w:sz w:val="18"/>
                          <w:szCs w:val="18"/>
                        </w:rPr>
                      </w:pPr>
                      <w:r>
                        <w:rPr>
                          <w:rFonts w:ascii="宋体" w:hAnsi="宋体" w:cs="宋体" w:eastAsia="宋体" w:hint="default"/>
                          <w:sz w:val="18"/>
                          <w:szCs w:val="18"/>
                        </w:rPr>
                        <w:t>本年转回存货跌价准备的原</w:t>
                        <w:tab/>
                        <w:t>本年转回金额占该项存货</w:t>
                      </w:r>
                    </w:p>
                    <w:p>
                      <w:pPr>
                        <w:tabs>
                          <w:tab w:pos="5105" w:val="left" w:leader="none"/>
                        </w:tabs>
                        <w:spacing w:before="76"/>
                        <w:ind w:left="3277" w:right="0" w:firstLine="0"/>
                        <w:jc w:val="left"/>
                        <w:rPr>
                          <w:rFonts w:ascii="宋体" w:hAnsi="宋体" w:cs="宋体" w:eastAsia="宋体" w:hint="default"/>
                          <w:sz w:val="18"/>
                          <w:szCs w:val="18"/>
                        </w:rPr>
                      </w:pPr>
                      <w:r>
                        <w:rPr>
                          <w:rFonts w:ascii="宋体" w:hAnsi="宋体" w:cs="宋体" w:eastAsia="宋体" w:hint="default"/>
                          <w:sz w:val="18"/>
                          <w:szCs w:val="18"/>
                        </w:rPr>
                        <w:t>因</w:t>
                        <w:tab/>
                        <w:t>年末余额的比例</w:t>
                      </w:r>
                    </w:p>
                    <w:p>
                      <w:pPr>
                        <w:tabs>
                          <w:tab w:pos="4342" w:val="left" w:leader="none"/>
                          <w:tab w:pos="5645" w:val="left" w:leader="none"/>
                        </w:tabs>
                        <w:spacing w:line="243" w:lineRule="exact" w:before="86"/>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可变现净值低于账面价值</w:t>
                        <w:tab/>
                      </w:r>
                      <w:r>
                        <w:rPr>
                          <w:rFonts w:ascii="Times New Roman" w:hAnsi="Times New Roman" w:cs="Times New Roman" w:eastAsia="Times New Roman" w:hint="default"/>
                          <w:sz w:val="18"/>
                          <w:szCs w:val="18"/>
                        </w:rPr>
                        <w:t>---</w:t>
                        <w:tab/>
                        <w:t>---</w:t>
                      </w:r>
                    </w:p>
                  </w:txbxContent>
                </v:textbox>
                <w10:wrap type="none"/>
              </v:shape>
            </v:group>
          </v:group>
        </w:pict>
      </w:r>
      <w:r>
        <w:rPr>
          <w:rFonts w:ascii="宋体" w:hAnsi="宋体" w:cs="宋体" w:eastAsia="宋体" w:hint="default"/>
          <w:position w:val="-19"/>
          <w:sz w:val="20"/>
          <w:szCs w:val="20"/>
        </w:rPr>
      </w:r>
    </w:p>
    <w:p>
      <w:pPr>
        <w:spacing w:after="0" w:line="1005" w:lineRule="exact"/>
        <w:rPr>
          <w:rFonts w:ascii="宋体" w:hAnsi="宋体" w:cs="宋体" w:eastAsia="宋体" w:hint="default"/>
          <w:sz w:val="20"/>
          <w:szCs w:val="20"/>
        </w:rPr>
        <w:sectPr>
          <w:pgSz w:w="11910" w:h="16840"/>
          <w:pgMar w:header="686" w:footer="1270" w:top="1360" w:bottom="1460" w:left="1520" w:right="1440"/>
        </w:sectPr>
      </w:pPr>
    </w:p>
    <w:p>
      <w:pPr>
        <w:spacing w:line="240" w:lineRule="auto" w:before="4"/>
        <w:rPr>
          <w:rFonts w:ascii="宋体" w:hAnsi="宋体" w:cs="宋体" w:eastAsia="宋体" w:hint="default"/>
          <w:b/>
          <w:bCs/>
          <w:sz w:val="26"/>
          <w:szCs w:val="26"/>
        </w:rPr>
      </w:pPr>
    </w:p>
    <w:tbl>
      <w:tblPr>
        <w:tblW w:w="0" w:type="auto"/>
        <w:jc w:val="left"/>
        <w:tblInd w:w="172" w:type="dxa"/>
        <w:tblLayout w:type="fixed"/>
        <w:tblCellMar>
          <w:top w:w="0" w:type="dxa"/>
          <w:left w:w="0" w:type="dxa"/>
          <w:bottom w:w="0" w:type="dxa"/>
          <w:right w:w="0" w:type="dxa"/>
        </w:tblCellMar>
        <w:tblLook w:val="01E0"/>
      </w:tblPr>
      <w:tblGrid>
        <w:gridCol w:w="3524"/>
        <w:gridCol w:w="3170"/>
        <w:gridCol w:w="1477"/>
        <w:gridCol w:w="568"/>
      </w:tblGrid>
      <w:tr>
        <w:trPr>
          <w:trHeight w:val="357" w:hRule="exact"/>
        </w:trPr>
        <w:tc>
          <w:tcPr>
            <w:tcW w:w="3524" w:type="dxa"/>
            <w:tcBorders>
              <w:top w:val="nil" w:sz="6" w:space="0" w:color="auto"/>
              <w:left w:val="nil" w:sz="6" w:space="0" w:color="auto"/>
              <w:bottom w:val="single" w:sz="12" w:space="0" w:color="000000"/>
              <w:right w:val="nil" w:sz="6" w:space="0" w:color="auto"/>
            </w:tcBorders>
          </w:tcPr>
          <w:p>
            <w:pPr>
              <w:pStyle w:val="TableParagraph"/>
              <w:tabs>
                <w:tab w:pos="821" w:val="left" w:leader="none"/>
              </w:tabs>
              <w:spacing w:line="240" w:lineRule="auto" w:before="35"/>
              <w:ind w:left="97" w:right="0"/>
              <w:jc w:val="left"/>
              <w:rPr>
                <w:rFonts w:ascii="宋体" w:hAnsi="宋体" w:cs="宋体" w:eastAsia="宋体" w:hint="default"/>
                <w:sz w:val="21"/>
                <w:szCs w:val="21"/>
              </w:rPr>
            </w:pPr>
            <w:r>
              <w:rPr>
                <w:rFonts w:ascii="宋体" w:hAnsi="宋体" w:cs="宋体" w:eastAsia="宋体" w:hint="default"/>
                <w:b/>
                <w:bCs/>
                <w:w w:val="95"/>
                <w:sz w:val="21"/>
                <w:szCs w:val="21"/>
              </w:rPr>
              <w:t>(七)</w:t>
              <w:tab/>
            </w:r>
            <w:r>
              <w:rPr>
                <w:rFonts w:ascii="宋体" w:hAnsi="宋体" w:cs="宋体" w:eastAsia="宋体" w:hint="default"/>
                <w:b/>
                <w:bCs/>
                <w:sz w:val="21"/>
                <w:szCs w:val="21"/>
              </w:rPr>
              <w:t>其他流动资产</w:t>
            </w:r>
            <w:r>
              <w:rPr>
                <w:rFonts w:ascii="宋体" w:hAnsi="宋体" w:cs="宋体" w:eastAsia="宋体" w:hint="default"/>
                <w:sz w:val="21"/>
                <w:szCs w:val="21"/>
              </w:rPr>
            </w:r>
          </w:p>
        </w:tc>
        <w:tc>
          <w:tcPr>
            <w:tcW w:w="5216" w:type="dxa"/>
            <w:gridSpan w:val="3"/>
            <w:tcBorders>
              <w:top w:val="nil" w:sz="6" w:space="0" w:color="auto"/>
              <w:left w:val="nil" w:sz="6" w:space="0" w:color="auto"/>
              <w:bottom w:val="single" w:sz="12" w:space="0" w:color="000000"/>
              <w:right w:val="nil" w:sz="6" w:space="0" w:color="auto"/>
            </w:tcBorders>
          </w:tcPr>
          <w:p>
            <w:pPr/>
          </w:p>
        </w:tc>
      </w:tr>
      <w:tr>
        <w:trPr>
          <w:trHeight w:val="333" w:hRule="exact"/>
        </w:trPr>
        <w:tc>
          <w:tcPr>
            <w:tcW w:w="3524"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1309"/>
              <w:jc w:val="right"/>
              <w:rPr>
                <w:rFonts w:ascii="宋体" w:hAnsi="宋体" w:cs="宋体" w:eastAsia="宋体" w:hint="default"/>
                <w:sz w:val="18"/>
                <w:szCs w:val="18"/>
              </w:rPr>
            </w:pPr>
            <w:r>
              <w:rPr>
                <w:rFonts w:ascii="宋体" w:hAnsi="宋体" w:cs="宋体" w:eastAsia="宋体" w:hint="default"/>
                <w:sz w:val="18"/>
                <w:szCs w:val="18"/>
              </w:rPr>
              <w:t>项目</w:t>
            </w:r>
          </w:p>
        </w:tc>
        <w:tc>
          <w:tcPr>
            <w:tcW w:w="3170"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71"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147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477"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568" w:type="dxa"/>
            <w:tcBorders>
              <w:top w:val="single" w:sz="12" w:space="0" w:color="000000"/>
              <w:left w:val="nil" w:sz="6" w:space="0" w:color="auto"/>
              <w:bottom w:val="nil" w:sz="6" w:space="0" w:color="auto"/>
              <w:right w:val="nil" w:sz="6" w:space="0" w:color="auto"/>
            </w:tcBorders>
          </w:tcPr>
          <w:p>
            <w:pPr/>
          </w:p>
        </w:tc>
      </w:tr>
      <w:tr>
        <w:trPr>
          <w:trHeight w:val="327"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银行理财产品</w:t>
            </w:r>
            <w:r>
              <w:rPr>
                <w:rFonts w:ascii="Times New Roman" w:hAnsi="Times New Roman" w:cs="Times New Roman" w:eastAsia="Times New Roman" w:hint="default"/>
                <w:sz w:val="18"/>
                <w:szCs w:val="18"/>
              </w:rPr>
              <w:t>*</w:t>
            </w:r>
          </w:p>
        </w:tc>
        <w:tc>
          <w:tcPr>
            <w:tcW w:w="317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75"/>
              <w:jc w:val="right"/>
              <w:rPr>
                <w:rFonts w:ascii="Times New Roman" w:hAnsi="Times New Roman" w:cs="Times New Roman" w:eastAsia="Times New Roman" w:hint="default"/>
                <w:sz w:val="18"/>
                <w:szCs w:val="18"/>
              </w:rPr>
            </w:pPr>
            <w:r>
              <w:rPr>
                <w:rFonts w:ascii="Times New Roman"/>
                <w:spacing w:val="-1"/>
                <w:sz w:val="18"/>
              </w:rPr>
              <w:t>30,000,000.00</w:t>
            </w:r>
          </w:p>
        </w:tc>
        <w:tc>
          <w:tcPr>
            <w:tcW w:w="1477" w:type="dxa"/>
            <w:tcBorders>
              <w:top w:val="nil" w:sz="6" w:space="0" w:color="auto"/>
              <w:left w:val="nil" w:sz="6" w:space="0" w:color="auto"/>
              <w:bottom w:val="nil" w:sz="6" w:space="0" w:color="auto"/>
              <w:right w:val="nil" w:sz="6" w:space="0" w:color="auto"/>
            </w:tcBorders>
          </w:tcPr>
          <w:p>
            <w:pPr/>
          </w:p>
        </w:tc>
        <w:tc>
          <w:tcPr>
            <w:tcW w:w="56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27" w:hRule="exact"/>
        </w:trPr>
        <w:tc>
          <w:tcPr>
            <w:tcW w:w="3524"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309"/>
              <w:jc w:val="right"/>
              <w:rPr>
                <w:rFonts w:ascii="宋体" w:hAnsi="宋体" w:cs="宋体" w:eastAsia="宋体" w:hint="default"/>
                <w:sz w:val="18"/>
                <w:szCs w:val="18"/>
              </w:rPr>
            </w:pPr>
            <w:r>
              <w:rPr>
                <w:rFonts w:ascii="宋体" w:hAnsi="宋体" w:cs="宋体" w:eastAsia="宋体" w:hint="default"/>
                <w:sz w:val="18"/>
                <w:szCs w:val="18"/>
              </w:rPr>
              <w:t>合计</w:t>
            </w:r>
          </w:p>
        </w:tc>
        <w:tc>
          <w:tcPr>
            <w:tcW w:w="3170"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475"/>
              <w:jc w:val="right"/>
              <w:rPr>
                <w:rFonts w:ascii="Times New Roman" w:hAnsi="Times New Roman" w:cs="Times New Roman" w:eastAsia="Times New Roman" w:hint="default"/>
                <w:sz w:val="18"/>
                <w:szCs w:val="18"/>
              </w:rPr>
            </w:pPr>
            <w:r>
              <w:rPr>
                <w:rFonts w:ascii="Times New Roman"/>
                <w:spacing w:val="-1"/>
                <w:sz w:val="18"/>
              </w:rPr>
              <w:t>30,000,000.00</w:t>
            </w:r>
          </w:p>
        </w:tc>
        <w:tc>
          <w:tcPr>
            <w:tcW w:w="1477" w:type="dxa"/>
            <w:tcBorders>
              <w:top w:val="nil" w:sz="6" w:space="0" w:color="auto"/>
              <w:left w:val="nil" w:sz="6" w:space="0" w:color="auto"/>
              <w:bottom w:val="single" w:sz="12" w:space="0" w:color="000000"/>
              <w:right w:val="nil" w:sz="6" w:space="0" w:color="auto"/>
            </w:tcBorders>
          </w:tcPr>
          <w:p>
            <w:pPr/>
          </w:p>
        </w:tc>
        <w:tc>
          <w:tcPr>
            <w:tcW w:w="568"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bl>
    <w:p>
      <w:pPr>
        <w:spacing w:line="240" w:lineRule="auto" w:before="13"/>
        <w:rPr>
          <w:rFonts w:ascii="宋体" w:hAnsi="宋体" w:cs="宋体" w:eastAsia="宋体" w:hint="default"/>
          <w:b/>
          <w:bCs/>
          <w:sz w:val="7"/>
          <w:szCs w:val="7"/>
        </w:rPr>
      </w:pPr>
    </w:p>
    <w:p>
      <w:pPr>
        <w:spacing w:before="35"/>
        <w:ind w:left="887" w:right="259" w:firstLine="0"/>
        <w:jc w:val="left"/>
        <w:rPr>
          <w:rFonts w:ascii="宋体" w:hAnsi="宋体" w:cs="宋体" w:eastAsia="宋体" w:hint="default"/>
          <w:sz w:val="21"/>
          <w:szCs w:val="21"/>
        </w:rPr>
      </w:pPr>
      <w:r>
        <w:rPr/>
        <w:pict>
          <v:group style="position:absolute;margin-left:83.639999pt;margin-top:-56.726044pt;width:439.35pt;height:49.3pt;mso-position-horizontal-relative:page;mso-position-vertical-relative:paragraph;z-index:-779584" coordorigin="1673,-1135" coordsize="8787,986">
            <v:shape style="position:absolute;left:5725;top:-1135;width:2324;height:370" type="#_x0000_t75" stroked="false">
              <v:imagedata r:id="rId151" o:title=""/>
            </v:shape>
            <v:shape style="position:absolute;left:1673;top:-813;width:8786;height:664" type="#_x0000_t75" stroked="false">
              <v:imagedata r:id="rId152" o:title=""/>
            </v:shape>
            <w10:wrap type="none"/>
          </v:group>
        </w:pict>
      </w:r>
      <w:r>
        <w:rPr>
          <w:rFonts w:ascii="Times New Roman" w:hAnsi="Times New Roman" w:cs="Times New Roman" w:eastAsia="Times New Roman" w:hint="default"/>
          <w:sz w:val="21"/>
          <w:szCs w:val="21"/>
        </w:rPr>
        <w:t>*</w:t>
      </w:r>
      <w:r>
        <w:rPr>
          <w:rFonts w:ascii="宋体" w:hAnsi="宋体" w:cs="宋体" w:eastAsia="宋体" w:hint="default"/>
          <w:sz w:val="21"/>
          <w:szCs w:val="21"/>
        </w:rPr>
        <w:t>系本公司之子公司江西先材购买的银行理财产品。</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tbl>
      <w:tblPr>
        <w:tblW w:w="0" w:type="auto"/>
        <w:jc w:val="left"/>
        <w:tblInd w:w="157" w:type="dxa"/>
        <w:tblLayout w:type="fixed"/>
        <w:tblCellMar>
          <w:top w:w="0" w:type="dxa"/>
          <w:left w:w="0" w:type="dxa"/>
          <w:bottom w:w="0" w:type="dxa"/>
          <w:right w:w="0" w:type="dxa"/>
        </w:tblCellMar>
        <w:tblLook w:val="01E0"/>
      </w:tblPr>
      <w:tblGrid>
        <w:gridCol w:w="2941"/>
        <w:gridCol w:w="1657"/>
        <w:gridCol w:w="1355"/>
        <w:gridCol w:w="979"/>
        <w:gridCol w:w="481"/>
        <w:gridCol w:w="1421"/>
      </w:tblGrid>
      <w:tr>
        <w:trPr>
          <w:trHeight w:val="357" w:hRule="exact"/>
        </w:trPr>
        <w:tc>
          <w:tcPr>
            <w:tcW w:w="2941" w:type="dxa"/>
            <w:tcBorders>
              <w:top w:val="nil" w:sz="6" w:space="0" w:color="auto"/>
              <w:left w:val="nil" w:sz="6" w:space="0" w:color="auto"/>
              <w:bottom w:val="single" w:sz="12" w:space="0" w:color="000000"/>
              <w:right w:val="nil" w:sz="6" w:space="0" w:color="auto"/>
            </w:tcBorders>
          </w:tcPr>
          <w:p>
            <w:pPr>
              <w:pStyle w:val="TableParagraph"/>
              <w:tabs>
                <w:tab w:pos="836" w:val="left" w:leader="none"/>
              </w:tabs>
              <w:spacing w:line="240" w:lineRule="auto" w:before="35"/>
              <w:ind w:left="108"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八</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投资性房地产</w:t>
            </w:r>
            <w:r>
              <w:rPr>
                <w:rFonts w:ascii="宋体" w:hAnsi="宋体" w:cs="宋体" w:eastAsia="宋体" w:hint="default"/>
                <w:sz w:val="21"/>
                <w:szCs w:val="21"/>
              </w:rPr>
            </w:r>
          </w:p>
        </w:tc>
        <w:tc>
          <w:tcPr>
            <w:tcW w:w="5893" w:type="dxa"/>
            <w:gridSpan w:val="5"/>
            <w:tcBorders>
              <w:top w:val="nil" w:sz="6" w:space="0" w:color="auto"/>
              <w:left w:val="nil" w:sz="6" w:space="0" w:color="auto"/>
              <w:bottom w:val="single" w:sz="12" w:space="0" w:color="000000"/>
              <w:right w:val="nil" w:sz="6" w:space="0" w:color="auto"/>
            </w:tcBorders>
          </w:tcPr>
          <w:p>
            <w:pPr/>
          </w:p>
        </w:tc>
      </w:tr>
      <w:tr>
        <w:trPr>
          <w:trHeight w:val="332" w:hRule="exact"/>
        </w:trPr>
        <w:tc>
          <w:tcPr>
            <w:tcW w:w="2941"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44"/>
              <w:jc w:val="center"/>
              <w:rPr>
                <w:rFonts w:ascii="宋体" w:hAnsi="宋体" w:cs="宋体" w:eastAsia="宋体" w:hint="default"/>
                <w:sz w:val="18"/>
                <w:szCs w:val="18"/>
              </w:rPr>
            </w:pPr>
            <w:r>
              <w:rPr>
                <w:rFonts w:ascii="宋体" w:hAnsi="宋体" w:cs="宋体" w:eastAsia="宋体" w:hint="default"/>
                <w:sz w:val="18"/>
                <w:szCs w:val="18"/>
              </w:rPr>
              <w:t>项目</w:t>
            </w:r>
          </w:p>
        </w:tc>
        <w:tc>
          <w:tcPr>
            <w:tcW w:w="165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388"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55"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07"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979"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27"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481" w:type="dxa"/>
            <w:tcBorders>
              <w:top w:val="single" w:sz="12" w:space="0" w:color="000000"/>
              <w:left w:val="nil" w:sz="6" w:space="0" w:color="auto"/>
              <w:bottom w:val="nil" w:sz="6" w:space="0" w:color="auto"/>
              <w:right w:val="nil" w:sz="6" w:space="0" w:color="auto"/>
            </w:tcBorders>
          </w:tcPr>
          <w:p>
            <w:pPr/>
          </w:p>
        </w:tc>
        <w:tc>
          <w:tcPr>
            <w:tcW w:w="1421"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69"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327" w:hRule="exact"/>
        </w:trPr>
        <w:tc>
          <w:tcPr>
            <w:tcW w:w="294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．账面原值合计</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5"/>
              <w:jc w:val="right"/>
              <w:rPr>
                <w:rFonts w:ascii="Times New Roman" w:hAnsi="Times New Roman" w:cs="Times New Roman" w:eastAsia="Times New Roman" w:hint="default"/>
                <w:sz w:val="18"/>
                <w:szCs w:val="18"/>
              </w:rPr>
            </w:pPr>
            <w:r>
              <w:rPr>
                <w:rFonts w:ascii="Times New Roman"/>
                <w:spacing w:val="-1"/>
                <w:sz w:val="18"/>
              </w:rPr>
              <w:t>11,121,454.02</w:t>
            </w: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6"/>
              <w:jc w:val="right"/>
              <w:rPr>
                <w:rFonts w:ascii="Times New Roman" w:hAnsi="Times New Roman" w:cs="Times New Roman" w:eastAsia="Times New Roman" w:hint="default"/>
                <w:sz w:val="18"/>
                <w:szCs w:val="18"/>
              </w:rPr>
            </w:pPr>
            <w:r>
              <w:rPr>
                <w:rFonts w:ascii="Times New Roman"/>
                <w:sz w:val="18"/>
              </w:rPr>
              <w:t>---</w:t>
            </w:r>
          </w:p>
        </w:tc>
        <w:tc>
          <w:tcPr>
            <w:tcW w:w="979" w:type="dxa"/>
            <w:tcBorders>
              <w:top w:val="nil" w:sz="6" w:space="0" w:color="auto"/>
              <w:left w:val="nil" w:sz="6" w:space="0" w:color="auto"/>
              <w:bottom w:val="nil" w:sz="6" w:space="0" w:color="auto"/>
              <w:right w:val="nil" w:sz="6" w:space="0" w:color="auto"/>
            </w:tcBorders>
          </w:tcPr>
          <w:p>
            <w:pPr/>
          </w:p>
        </w:tc>
        <w:tc>
          <w:tcPr>
            <w:tcW w:w="48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1" w:right="0"/>
              <w:jc w:val="left"/>
              <w:rPr>
                <w:rFonts w:ascii="Times New Roman" w:hAnsi="Times New Roman" w:cs="Times New Roman" w:eastAsia="Times New Roman" w:hint="default"/>
                <w:sz w:val="18"/>
                <w:szCs w:val="18"/>
              </w:rPr>
            </w:pPr>
            <w:r>
              <w:rPr>
                <w:rFonts w:ascii="Times New Roman"/>
                <w:sz w:val="18"/>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11,121,454.02</w:t>
            </w:r>
          </w:p>
        </w:tc>
      </w:tr>
      <w:tr>
        <w:trPr>
          <w:trHeight w:val="322" w:hRule="exact"/>
        </w:trPr>
        <w:tc>
          <w:tcPr>
            <w:tcW w:w="294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05"/>
              <w:jc w:val="right"/>
              <w:rPr>
                <w:rFonts w:ascii="Times New Roman" w:hAnsi="Times New Roman" w:cs="Times New Roman" w:eastAsia="Times New Roman" w:hint="default"/>
                <w:sz w:val="18"/>
                <w:szCs w:val="18"/>
              </w:rPr>
            </w:pPr>
            <w:r>
              <w:rPr>
                <w:rFonts w:ascii="Times New Roman"/>
                <w:spacing w:val="-1"/>
                <w:sz w:val="18"/>
              </w:rPr>
              <w:t>11,121,454.02</w:t>
            </w: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6"/>
              <w:jc w:val="right"/>
              <w:rPr>
                <w:rFonts w:ascii="Times New Roman" w:hAnsi="Times New Roman" w:cs="Times New Roman" w:eastAsia="Times New Roman" w:hint="default"/>
                <w:sz w:val="18"/>
                <w:szCs w:val="18"/>
              </w:rPr>
            </w:pPr>
            <w:r>
              <w:rPr>
                <w:rFonts w:ascii="Times New Roman"/>
                <w:sz w:val="18"/>
              </w:rPr>
              <w:t>---</w:t>
            </w:r>
          </w:p>
        </w:tc>
        <w:tc>
          <w:tcPr>
            <w:tcW w:w="979" w:type="dxa"/>
            <w:tcBorders>
              <w:top w:val="nil" w:sz="6" w:space="0" w:color="auto"/>
              <w:left w:val="nil" w:sz="6" w:space="0" w:color="auto"/>
              <w:bottom w:val="nil" w:sz="6" w:space="0" w:color="auto"/>
              <w:right w:val="nil" w:sz="6" w:space="0" w:color="auto"/>
            </w:tcBorders>
          </w:tcPr>
          <w:p>
            <w:pPr/>
          </w:p>
        </w:tc>
        <w:tc>
          <w:tcPr>
            <w:tcW w:w="48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1" w:right="0"/>
              <w:jc w:val="left"/>
              <w:rPr>
                <w:rFonts w:ascii="Times New Roman" w:hAnsi="Times New Roman" w:cs="Times New Roman" w:eastAsia="Times New Roman" w:hint="default"/>
                <w:sz w:val="18"/>
                <w:szCs w:val="18"/>
              </w:rPr>
            </w:pPr>
            <w:r>
              <w:rPr>
                <w:rFonts w:ascii="Times New Roman"/>
                <w:sz w:val="18"/>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11,121,454.02</w:t>
            </w:r>
          </w:p>
        </w:tc>
      </w:tr>
      <w:tr>
        <w:trPr>
          <w:trHeight w:val="322" w:hRule="exact"/>
        </w:trPr>
        <w:tc>
          <w:tcPr>
            <w:tcW w:w="294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．累计折旧和累计摊销合计</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05"/>
              <w:jc w:val="right"/>
              <w:rPr>
                <w:rFonts w:ascii="Times New Roman" w:hAnsi="Times New Roman" w:cs="Times New Roman" w:eastAsia="Times New Roman" w:hint="default"/>
                <w:sz w:val="18"/>
                <w:szCs w:val="18"/>
              </w:rPr>
            </w:pPr>
            <w:r>
              <w:rPr>
                <w:rFonts w:ascii="Times New Roman"/>
                <w:spacing w:val="-1"/>
                <w:sz w:val="18"/>
              </w:rPr>
              <w:t>2,900,261.57</w:t>
            </w: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5"/>
              <w:jc w:val="right"/>
              <w:rPr>
                <w:rFonts w:ascii="Times New Roman" w:hAnsi="Times New Roman" w:cs="Times New Roman" w:eastAsia="Times New Roman" w:hint="default"/>
                <w:sz w:val="18"/>
                <w:szCs w:val="18"/>
              </w:rPr>
            </w:pPr>
            <w:r>
              <w:rPr>
                <w:rFonts w:ascii="Times New Roman"/>
                <w:sz w:val="18"/>
              </w:rPr>
              <w:t>500,465.40</w:t>
            </w:r>
          </w:p>
        </w:tc>
        <w:tc>
          <w:tcPr>
            <w:tcW w:w="979" w:type="dxa"/>
            <w:tcBorders>
              <w:top w:val="nil" w:sz="6" w:space="0" w:color="auto"/>
              <w:left w:val="nil" w:sz="6" w:space="0" w:color="auto"/>
              <w:bottom w:val="nil" w:sz="6" w:space="0" w:color="auto"/>
              <w:right w:val="nil" w:sz="6" w:space="0" w:color="auto"/>
            </w:tcBorders>
          </w:tcPr>
          <w:p>
            <w:pPr/>
          </w:p>
        </w:tc>
        <w:tc>
          <w:tcPr>
            <w:tcW w:w="48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1" w:right="0"/>
              <w:jc w:val="left"/>
              <w:rPr>
                <w:rFonts w:ascii="Times New Roman" w:hAnsi="Times New Roman" w:cs="Times New Roman" w:eastAsia="Times New Roman" w:hint="default"/>
                <w:sz w:val="18"/>
                <w:szCs w:val="18"/>
              </w:rPr>
            </w:pPr>
            <w:r>
              <w:rPr>
                <w:rFonts w:ascii="Times New Roman"/>
                <w:sz w:val="18"/>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3,400,726.97</w:t>
            </w:r>
          </w:p>
        </w:tc>
      </w:tr>
      <w:tr>
        <w:trPr>
          <w:trHeight w:val="322" w:hRule="exact"/>
        </w:trPr>
        <w:tc>
          <w:tcPr>
            <w:tcW w:w="294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05"/>
              <w:jc w:val="right"/>
              <w:rPr>
                <w:rFonts w:ascii="Times New Roman" w:hAnsi="Times New Roman" w:cs="Times New Roman" w:eastAsia="Times New Roman" w:hint="default"/>
                <w:sz w:val="18"/>
                <w:szCs w:val="18"/>
              </w:rPr>
            </w:pPr>
            <w:r>
              <w:rPr>
                <w:rFonts w:ascii="Times New Roman"/>
                <w:spacing w:val="-1"/>
                <w:sz w:val="18"/>
              </w:rPr>
              <w:t>2,900,261.57</w:t>
            </w: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5"/>
              <w:jc w:val="right"/>
              <w:rPr>
                <w:rFonts w:ascii="Times New Roman" w:hAnsi="Times New Roman" w:cs="Times New Roman" w:eastAsia="Times New Roman" w:hint="default"/>
                <w:sz w:val="18"/>
                <w:szCs w:val="18"/>
              </w:rPr>
            </w:pPr>
            <w:r>
              <w:rPr>
                <w:rFonts w:ascii="Times New Roman"/>
                <w:sz w:val="18"/>
              </w:rPr>
              <w:t>500,465.40</w:t>
            </w:r>
          </w:p>
        </w:tc>
        <w:tc>
          <w:tcPr>
            <w:tcW w:w="979" w:type="dxa"/>
            <w:tcBorders>
              <w:top w:val="nil" w:sz="6" w:space="0" w:color="auto"/>
              <w:left w:val="nil" w:sz="6" w:space="0" w:color="auto"/>
              <w:bottom w:val="nil" w:sz="6" w:space="0" w:color="auto"/>
              <w:right w:val="nil" w:sz="6" w:space="0" w:color="auto"/>
            </w:tcBorders>
          </w:tcPr>
          <w:p>
            <w:pPr/>
          </w:p>
        </w:tc>
        <w:tc>
          <w:tcPr>
            <w:tcW w:w="48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1" w:right="0"/>
              <w:jc w:val="left"/>
              <w:rPr>
                <w:rFonts w:ascii="Times New Roman" w:hAnsi="Times New Roman" w:cs="Times New Roman" w:eastAsia="Times New Roman" w:hint="default"/>
                <w:sz w:val="18"/>
                <w:szCs w:val="18"/>
              </w:rPr>
            </w:pPr>
            <w:r>
              <w:rPr>
                <w:rFonts w:ascii="Times New Roman"/>
                <w:sz w:val="18"/>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3,400,726.97</w:t>
            </w:r>
          </w:p>
        </w:tc>
      </w:tr>
      <w:tr>
        <w:trPr>
          <w:trHeight w:val="322" w:hRule="exact"/>
        </w:trPr>
        <w:tc>
          <w:tcPr>
            <w:tcW w:w="294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．投资性房地产净值合计</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05"/>
              <w:jc w:val="right"/>
              <w:rPr>
                <w:rFonts w:ascii="Times New Roman" w:hAnsi="Times New Roman" w:cs="Times New Roman" w:eastAsia="Times New Roman" w:hint="default"/>
                <w:sz w:val="18"/>
                <w:szCs w:val="18"/>
              </w:rPr>
            </w:pPr>
            <w:r>
              <w:rPr>
                <w:rFonts w:ascii="Times New Roman"/>
                <w:spacing w:val="-1"/>
                <w:sz w:val="18"/>
              </w:rPr>
              <w:t>8,221,192.45</w:t>
            </w: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6"/>
              <w:jc w:val="right"/>
              <w:rPr>
                <w:rFonts w:ascii="Times New Roman" w:hAnsi="Times New Roman" w:cs="Times New Roman" w:eastAsia="Times New Roman" w:hint="default"/>
                <w:sz w:val="18"/>
                <w:szCs w:val="18"/>
              </w:rPr>
            </w:pPr>
            <w:r>
              <w:rPr>
                <w:rFonts w:ascii="Times New Roman"/>
                <w:sz w:val="18"/>
              </w:rPr>
              <w:t>---</w:t>
            </w:r>
          </w:p>
        </w:tc>
        <w:tc>
          <w:tcPr>
            <w:tcW w:w="979" w:type="dxa"/>
            <w:tcBorders>
              <w:top w:val="nil" w:sz="6" w:space="0" w:color="auto"/>
              <w:left w:val="nil" w:sz="6" w:space="0" w:color="auto"/>
              <w:bottom w:val="nil" w:sz="6" w:space="0" w:color="auto"/>
              <w:right w:val="nil" w:sz="6" w:space="0" w:color="auto"/>
            </w:tcBorders>
          </w:tcPr>
          <w:p>
            <w:pPr/>
          </w:p>
        </w:tc>
        <w:tc>
          <w:tcPr>
            <w:tcW w:w="48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1" w:right="0"/>
              <w:jc w:val="left"/>
              <w:rPr>
                <w:rFonts w:ascii="Times New Roman" w:hAnsi="Times New Roman" w:cs="Times New Roman" w:eastAsia="Times New Roman" w:hint="default"/>
                <w:sz w:val="18"/>
                <w:szCs w:val="18"/>
              </w:rPr>
            </w:pPr>
            <w:r>
              <w:rPr>
                <w:rFonts w:ascii="Times New Roman"/>
                <w:sz w:val="18"/>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7,720,727.05</w:t>
            </w:r>
          </w:p>
        </w:tc>
      </w:tr>
      <w:tr>
        <w:trPr>
          <w:trHeight w:val="256" w:hRule="exact"/>
        </w:trPr>
        <w:tc>
          <w:tcPr>
            <w:tcW w:w="294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05"/>
              <w:jc w:val="right"/>
              <w:rPr>
                <w:rFonts w:ascii="Times New Roman" w:hAnsi="Times New Roman" w:cs="Times New Roman" w:eastAsia="Times New Roman" w:hint="default"/>
                <w:sz w:val="18"/>
                <w:szCs w:val="18"/>
              </w:rPr>
            </w:pPr>
            <w:r>
              <w:rPr>
                <w:rFonts w:ascii="Times New Roman"/>
                <w:spacing w:val="-1"/>
                <w:sz w:val="18"/>
              </w:rPr>
              <w:t>8,221,192.45</w:t>
            </w: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6"/>
              <w:jc w:val="right"/>
              <w:rPr>
                <w:rFonts w:ascii="Times New Roman" w:hAnsi="Times New Roman" w:cs="Times New Roman" w:eastAsia="Times New Roman" w:hint="default"/>
                <w:sz w:val="18"/>
                <w:szCs w:val="18"/>
              </w:rPr>
            </w:pPr>
            <w:r>
              <w:rPr>
                <w:rFonts w:ascii="Times New Roman"/>
                <w:sz w:val="18"/>
              </w:rPr>
              <w:t>---</w:t>
            </w:r>
          </w:p>
        </w:tc>
        <w:tc>
          <w:tcPr>
            <w:tcW w:w="979" w:type="dxa"/>
            <w:tcBorders>
              <w:top w:val="nil" w:sz="6" w:space="0" w:color="auto"/>
              <w:left w:val="nil" w:sz="6" w:space="0" w:color="auto"/>
              <w:bottom w:val="nil" w:sz="6" w:space="0" w:color="auto"/>
              <w:right w:val="nil" w:sz="6" w:space="0" w:color="auto"/>
            </w:tcBorders>
          </w:tcPr>
          <w:p>
            <w:pPr/>
          </w:p>
        </w:tc>
        <w:tc>
          <w:tcPr>
            <w:tcW w:w="48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1" w:right="0"/>
              <w:jc w:val="left"/>
              <w:rPr>
                <w:rFonts w:ascii="Times New Roman" w:hAnsi="Times New Roman" w:cs="Times New Roman" w:eastAsia="Times New Roman" w:hint="default"/>
                <w:sz w:val="18"/>
                <w:szCs w:val="18"/>
              </w:rPr>
            </w:pPr>
            <w:r>
              <w:rPr>
                <w:rFonts w:ascii="Times New Roman"/>
                <w:sz w:val="18"/>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7,720,727.05</w:t>
            </w:r>
          </w:p>
        </w:tc>
      </w:tr>
      <w:tr>
        <w:trPr>
          <w:trHeight w:val="459" w:hRule="exact"/>
        </w:trPr>
        <w:tc>
          <w:tcPr>
            <w:tcW w:w="294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22"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．投资性房地产减值准备累计金</w:t>
            </w:r>
            <w:r>
              <w:rPr>
                <w:rFonts w:ascii="宋体" w:hAnsi="宋体" w:cs="宋体" w:eastAsia="宋体" w:hint="default"/>
                <w:sz w:val="18"/>
                <w:szCs w:val="18"/>
              </w:rPr>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206"/>
              <w:jc w:val="right"/>
              <w:rPr>
                <w:rFonts w:ascii="Times New Roman" w:hAnsi="Times New Roman" w:cs="Times New Roman" w:eastAsia="Times New Roman" w:hint="default"/>
                <w:sz w:val="18"/>
                <w:szCs w:val="18"/>
              </w:rPr>
            </w:pPr>
            <w:r>
              <w:rPr>
                <w:rFonts w:ascii="Times New Roman"/>
                <w:sz w:val="18"/>
              </w:rPr>
              <w:t>---</w:t>
            </w: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226"/>
              <w:jc w:val="right"/>
              <w:rPr>
                <w:rFonts w:ascii="Times New Roman" w:hAnsi="Times New Roman" w:cs="Times New Roman" w:eastAsia="Times New Roman" w:hint="default"/>
                <w:sz w:val="18"/>
                <w:szCs w:val="18"/>
              </w:rPr>
            </w:pPr>
            <w:r>
              <w:rPr>
                <w:rFonts w:ascii="Times New Roman"/>
                <w:sz w:val="18"/>
              </w:rPr>
              <w:t>---</w:t>
            </w:r>
          </w:p>
        </w:tc>
        <w:tc>
          <w:tcPr>
            <w:tcW w:w="979" w:type="dxa"/>
            <w:tcBorders>
              <w:top w:val="nil" w:sz="6" w:space="0" w:color="auto"/>
              <w:left w:val="nil" w:sz="6" w:space="0" w:color="auto"/>
              <w:bottom w:val="nil" w:sz="6" w:space="0" w:color="auto"/>
              <w:right w:val="nil" w:sz="6" w:space="0" w:color="auto"/>
            </w:tcBorders>
          </w:tcPr>
          <w:p>
            <w:pPr/>
          </w:p>
        </w:tc>
        <w:tc>
          <w:tcPr>
            <w:tcW w:w="48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236" w:hRule="exact"/>
        </w:trPr>
        <w:tc>
          <w:tcPr>
            <w:tcW w:w="2941"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额合计</w:t>
            </w:r>
          </w:p>
        </w:tc>
        <w:tc>
          <w:tcPr>
            <w:tcW w:w="1657"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1460" w:type="dxa"/>
            <w:gridSpan w:val="2"/>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
        </w:tc>
      </w:tr>
      <w:tr>
        <w:trPr>
          <w:trHeight w:val="327" w:hRule="exact"/>
        </w:trPr>
        <w:tc>
          <w:tcPr>
            <w:tcW w:w="2941"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6"/>
              <w:jc w:val="right"/>
              <w:rPr>
                <w:rFonts w:ascii="Times New Roman" w:hAnsi="Times New Roman" w:cs="Times New Roman" w:eastAsia="Times New Roman" w:hint="default"/>
                <w:sz w:val="18"/>
                <w:szCs w:val="18"/>
              </w:rPr>
            </w:pPr>
            <w:r>
              <w:rPr>
                <w:rFonts w:ascii="Times New Roman"/>
                <w:sz w:val="18"/>
              </w:rPr>
              <w:t>---</w:t>
            </w: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6"/>
              <w:jc w:val="right"/>
              <w:rPr>
                <w:rFonts w:ascii="Times New Roman" w:hAnsi="Times New Roman" w:cs="Times New Roman" w:eastAsia="Times New Roman" w:hint="default"/>
                <w:sz w:val="18"/>
                <w:szCs w:val="18"/>
              </w:rPr>
            </w:pPr>
            <w:r>
              <w:rPr>
                <w:rFonts w:ascii="Times New Roman"/>
                <w:sz w:val="18"/>
              </w:rPr>
              <w:t>---</w:t>
            </w:r>
          </w:p>
        </w:tc>
        <w:tc>
          <w:tcPr>
            <w:tcW w:w="146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5"/>
              <w:ind w:right="268"/>
              <w:jc w:val="right"/>
              <w:rPr>
                <w:rFonts w:ascii="Times New Roman" w:hAnsi="Times New Roman" w:cs="Times New Roman" w:eastAsia="Times New Roman" w:hint="default"/>
                <w:sz w:val="18"/>
                <w:szCs w:val="18"/>
              </w:rPr>
            </w:pPr>
            <w:r>
              <w:rPr>
                <w:rFonts w:ascii="Times New Roman"/>
                <w:sz w:val="18"/>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z w:val="18"/>
              </w:rPr>
              <w:t>---</w:t>
            </w:r>
          </w:p>
        </w:tc>
      </w:tr>
      <w:tr>
        <w:trPr>
          <w:trHeight w:val="322" w:hRule="exact"/>
        </w:trPr>
        <w:tc>
          <w:tcPr>
            <w:tcW w:w="294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．投资性房地产账面价值合计</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05"/>
              <w:jc w:val="right"/>
              <w:rPr>
                <w:rFonts w:ascii="Times New Roman" w:hAnsi="Times New Roman" w:cs="Times New Roman" w:eastAsia="Times New Roman" w:hint="default"/>
                <w:sz w:val="18"/>
                <w:szCs w:val="18"/>
              </w:rPr>
            </w:pPr>
            <w:r>
              <w:rPr>
                <w:rFonts w:ascii="Times New Roman"/>
                <w:spacing w:val="-1"/>
                <w:sz w:val="18"/>
              </w:rPr>
              <w:t>8,221,192.45</w:t>
            </w: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6"/>
              <w:jc w:val="right"/>
              <w:rPr>
                <w:rFonts w:ascii="Times New Roman" w:hAnsi="Times New Roman" w:cs="Times New Roman" w:eastAsia="Times New Roman" w:hint="default"/>
                <w:sz w:val="18"/>
                <w:szCs w:val="18"/>
              </w:rPr>
            </w:pPr>
            <w:r>
              <w:rPr>
                <w:rFonts w:ascii="Times New Roman"/>
                <w:sz w:val="18"/>
              </w:rPr>
              <w:t>---</w:t>
            </w:r>
          </w:p>
        </w:tc>
        <w:tc>
          <w:tcPr>
            <w:tcW w:w="146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0"/>
              <w:ind w:right="267"/>
              <w:jc w:val="right"/>
              <w:rPr>
                <w:rFonts w:ascii="Times New Roman" w:hAnsi="Times New Roman" w:cs="Times New Roman" w:eastAsia="Times New Roman" w:hint="default"/>
                <w:sz w:val="18"/>
                <w:szCs w:val="18"/>
              </w:rPr>
            </w:pPr>
            <w:r>
              <w:rPr>
                <w:rFonts w:ascii="Times New Roman"/>
                <w:sz w:val="18"/>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7,720,727.05</w:t>
            </w:r>
          </w:p>
        </w:tc>
      </w:tr>
      <w:tr>
        <w:trPr>
          <w:trHeight w:val="327" w:hRule="exact"/>
        </w:trPr>
        <w:tc>
          <w:tcPr>
            <w:tcW w:w="294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657"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205"/>
              <w:jc w:val="right"/>
              <w:rPr>
                <w:rFonts w:ascii="Times New Roman" w:hAnsi="Times New Roman" w:cs="Times New Roman" w:eastAsia="Times New Roman" w:hint="default"/>
                <w:sz w:val="18"/>
                <w:szCs w:val="18"/>
              </w:rPr>
            </w:pPr>
            <w:r>
              <w:rPr>
                <w:rFonts w:ascii="Times New Roman"/>
                <w:spacing w:val="-1"/>
                <w:sz w:val="18"/>
              </w:rPr>
              <w:t>8,221,192.45</w:t>
            </w:r>
          </w:p>
        </w:tc>
        <w:tc>
          <w:tcPr>
            <w:tcW w:w="1355"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226"/>
              <w:jc w:val="right"/>
              <w:rPr>
                <w:rFonts w:ascii="Times New Roman" w:hAnsi="Times New Roman" w:cs="Times New Roman" w:eastAsia="Times New Roman" w:hint="default"/>
                <w:sz w:val="18"/>
                <w:szCs w:val="18"/>
              </w:rPr>
            </w:pPr>
            <w:r>
              <w:rPr>
                <w:rFonts w:ascii="Times New Roman"/>
                <w:sz w:val="18"/>
              </w:rPr>
              <w:t>---</w:t>
            </w:r>
          </w:p>
        </w:tc>
        <w:tc>
          <w:tcPr>
            <w:tcW w:w="1460"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50"/>
              <w:ind w:right="267"/>
              <w:jc w:val="right"/>
              <w:rPr>
                <w:rFonts w:ascii="Times New Roman" w:hAnsi="Times New Roman" w:cs="Times New Roman" w:eastAsia="Times New Roman" w:hint="default"/>
                <w:sz w:val="18"/>
                <w:szCs w:val="18"/>
              </w:rPr>
            </w:pPr>
            <w:r>
              <w:rPr>
                <w:rFonts w:ascii="Times New Roman"/>
                <w:sz w:val="18"/>
              </w:rPr>
              <w:t>---</w:t>
            </w:r>
          </w:p>
        </w:tc>
        <w:tc>
          <w:tcPr>
            <w:tcW w:w="1421"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7,720,727.05</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tabs>
          <w:tab w:pos="993" w:val="left" w:leader="none"/>
        </w:tabs>
        <w:spacing w:before="0"/>
        <w:ind w:left="265" w:right="259" w:firstLine="0"/>
        <w:jc w:val="left"/>
        <w:rPr>
          <w:rFonts w:ascii="宋体" w:hAnsi="宋体" w:cs="宋体" w:eastAsia="宋体" w:hint="default"/>
          <w:sz w:val="21"/>
          <w:szCs w:val="21"/>
        </w:rPr>
      </w:pPr>
      <w:r>
        <w:rPr/>
        <w:pict>
          <v:group style="position:absolute;margin-left:83.160004pt;margin-top:-219.336166pt;width:444.2pt;height:193.65pt;mso-position-horizontal-relative:page;mso-position-vertical-relative:paragraph;z-index:-779560" coordorigin="1663,-4387" coordsize="8884,3873">
            <v:shape style="position:absolute;left:4524;top:-4387;width:4439;height:370" type="#_x0000_t75" stroked="false">
              <v:imagedata r:id="rId153" o:title=""/>
            </v:shape>
            <v:shape style="position:absolute;left:1663;top:-4075;width:8884;height:3560" type="#_x0000_t75" stroked="false">
              <v:imagedata r:id="rId154" o:title=""/>
            </v:shape>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九</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固定资产</w:t>
      </w:r>
      <w:r>
        <w:rPr>
          <w:rFonts w:ascii="宋体" w:hAnsi="宋体" w:cs="宋体" w:eastAsia="宋体" w:hint="default"/>
          <w:sz w:val="21"/>
          <w:szCs w:val="21"/>
        </w:rPr>
      </w:r>
    </w:p>
    <w:p>
      <w:pPr>
        <w:tabs>
          <w:tab w:pos="1434" w:val="left" w:leader="none"/>
        </w:tabs>
        <w:spacing w:before="79"/>
        <w:ind w:left="895" w:right="259" w:firstLine="0"/>
        <w:jc w:val="left"/>
        <w:rPr>
          <w:rFonts w:ascii="宋体" w:hAnsi="宋体" w:cs="宋体" w:eastAsia="宋体" w:hint="default"/>
          <w:sz w:val="21"/>
          <w:szCs w:val="21"/>
        </w:rPr>
      </w:pPr>
      <w:r>
        <w:rPr/>
        <w:pict>
          <v:group style="position:absolute;margin-left:83.160004pt;margin-top:19.783819pt;width:447.6pt;height:280.5pt;mso-position-horizontal-relative:page;mso-position-vertical-relative:paragraph;z-index:-779536" coordorigin="1663,396" coordsize="8952,5610">
            <v:shape style="position:absolute;left:4043;top:396;width:5005;height:379" type="#_x0000_t75" stroked="false">
              <v:imagedata r:id="rId155" o:title=""/>
            </v:shape>
            <v:shape style="position:absolute;left:1663;top:733;width:8952;height:5272" type="#_x0000_t75" stroked="false">
              <v:imagedata r:id="rId156" o:title=""/>
            </v:shape>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固定资产情况</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245" w:type="dxa"/>
        <w:tblLayout w:type="fixed"/>
        <w:tblCellMar>
          <w:top w:w="0" w:type="dxa"/>
          <w:left w:w="0" w:type="dxa"/>
          <w:bottom w:w="0" w:type="dxa"/>
          <w:right w:w="0" w:type="dxa"/>
        </w:tblCellMar>
        <w:tblLook w:val="01E0"/>
      </w:tblPr>
      <w:tblGrid>
        <w:gridCol w:w="2342"/>
        <w:gridCol w:w="1607"/>
        <w:gridCol w:w="1805"/>
        <w:gridCol w:w="1620"/>
        <w:gridCol w:w="1378"/>
      </w:tblGrid>
      <w:tr>
        <w:trPr>
          <w:trHeight w:val="714" w:hRule="exact"/>
        </w:trPr>
        <w:tc>
          <w:tcPr>
            <w:tcW w:w="2342" w:type="dxa"/>
            <w:tcBorders>
              <w:top w:val="single" w:sz="12" w:space="0" w:color="000000"/>
              <w:left w:val="nil" w:sz="6" w:space="0" w:color="auto"/>
              <w:bottom w:val="nil" w:sz="6" w:space="0" w:color="auto"/>
              <w:right w:val="nil" w:sz="6" w:space="0" w:color="auto"/>
            </w:tcBorders>
          </w:tcPr>
          <w:p>
            <w:pPr>
              <w:pStyle w:val="TableParagraph"/>
              <w:spacing w:line="355" w:lineRule="auto" w:before="25"/>
              <w:ind w:left="35" w:right="686" w:firstLine="900"/>
              <w:jc w:val="left"/>
              <w:rPr>
                <w:rFonts w:ascii="宋体" w:hAnsi="宋体" w:cs="宋体" w:eastAsia="宋体" w:hint="default"/>
                <w:sz w:val="18"/>
                <w:szCs w:val="18"/>
              </w:rPr>
            </w:pPr>
            <w:r>
              <w:rPr>
                <w:rFonts w:ascii="宋体" w:hAnsi="宋体" w:cs="宋体" w:eastAsia="宋体" w:hint="default"/>
                <w:sz w:val="18"/>
                <w:szCs w:val="18"/>
              </w:rPr>
              <w:t>项目 一、账面原值合计：</w:t>
            </w:r>
          </w:p>
        </w:tc>
        <w:tc>
          <w:tcPr>
            <w:tcW w:w="1607"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right="264"/>
              <w:jc w:val="center"/>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153"/>
              <w:ind w:right="185"/>
              <w:jc w:val="center"/>
              <w:rPr>
                <w:rFonts w:ascii="Times New Roman" w:hAnsi="Times New Roman" w:cs="Times New Roman" w:eastAsia="Times New Roman" w:hint="default"/>
                <w:sz w:val="18"/>
                <w:szCs w:val="18"/>
              </w:rPr>
            </w:pPr>
            <w:r>
              <w:rPr>
                <w:rFonts w:ascii="Times New Roman"/>
                <w:sz w:val="18"/>
              </w:rPr>
              <w:t>345,218,774.77</w:t>
            </w:r>
          </w:p>
        </w:tc>
        <w:tc>
          <w:tcPr>
            <w:tcW w:w="1805"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334" w:right="0"/>
              <w:jc w:val="left"/>
              <w:rPr>
                <w:rFonts w:ascii="宋体" w:hAnsi="宋体" w:cs="宋体" w:eastAsia="宋体" w:hint="default"/>
                <w:sz w:val="18"/>
                <w:szCs w:val="18"/>
              </w:rPr>
            </w:pPr>
            <w:r>
              <w:rPr>
                <w:rFonts w:ascii="宋体" w:hAnsi="宋体" w:cs="宋体" w:eastAsia="宋体" w:hint="default"/>
                <w:sz w:val="18"/>
                <w:szCs w:val="18"/>
              </w:rPr>
              <w:t>本年增加</w:t>
            </w:r>
          </w:p>
          <w:p>
            <w:pPr>
              <w:pStyle w:val="TableParagraph"/>
              <w:spacing w:line="240" w:lineRule="auto" w:before="153"/>
              <w:ind w:left="473" w:right="0"/>
              <w:jc w:val="left"/>
              <w:rPr>
                <w:rFonts w:ascii="Times New Roman" w:hAnsi="Times New Roman" w:cs="Times New Roman" w:eastAsia="Times New Roman" w:hint="default"/>
                <w:sz w:val="18"/>
                <w:szCs w:val="18"/>
              </w:rPr>
            </w:pPr>
            <w:r>
              <w:rPr>
                <w:rFonts w:ascii="Times New Roman"/>
                <w:sz w:val="18"/>
              </w:rPr>
              <w:t>69,075,870.02</w:t>
            </w:r>
          </w:p>
        </w:tc>
        <w:tc>
          <w:tcPr>
            <w:tcW w:w="1620"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296" w:right="0"/>
              <w:jc w:val="left"/>
              <w:rPr>
                <w:rFonts w:ascii="宋体" w:hAnsi="宋体" w:cs="宋体" w:eastAsia="宋体" w:hint="default"/>
                <w:sz w:val="18"/>
                <w:szCs w:val="18"/>
              </w:rPr>
            </w:pPr>
            <w:r>
              <w:rPr>
                <w:rFonts w:ascii="宋体" w:hAnsi="宋体" w:cs="宋体" w:eastAsia="宋体" w:hint="default"/>
                <w:sz w:val="18"/>
                <w:szCs w:val="18"/>
              </w:rPr>
              <w:t>本年减少</w:t>
            </w:r>
          </w:p>
          <w:p>
            <w:pPr>
              <w:pStyle w:val="TableParagraph"/>
              <w:spacing w:line="240" w:lineRule="auto" w:before="153"/>
              <w:ind w:left="450" w:right="0"/>
              <w:jc w:val="left"/>
              <w:rPr>
                <w:rFonts w:ascii="Times New Roman" w:hAnsi="Times New Roman" w:cs="Times New Roman" w:eastAsia="Times New Roman" w:hint="default"/>
                <w:sz w:val="18"/>
                <w:szCs w:val="18"/>
              </w:rPr>
            </w:pPr>
            <w:r>
              <w:rPr>
                <w:rFonts w:ascii="Times New Roman"/>
                <w:sz w:val="18"/>
              </w:rPr>
              <w:t>3,965,649.66</w:t>
            </w:r>
          </w:p>
        </w:tc>
        <w:tc>
          <w:tcPr>
            <w:tcW w:w="1378"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306" w:right="0"/>
              <w:jc w:val="left"/>
              <w:rPr>
                <w:rFonts w:ascii="宋体" w:hAnsi="宋体" w:cs="宋体" w:eastAsia="宋体" w:hint="default"/>
                <w:sz w:val="18"/>
                <w:szCs w:val="18"/>
              </w:rPr>
            </w:pPr>
            <w:r>
              <w:rPr>
                <w:rFonts w:ascii="宋体" w:hAnsi="宋体" w:cs="宋体" w:eastAsia="宋体" w:hint="default"/>
                <w:sz w:val="18"/>
                <w:szCs w:val="18"/>
              </w:rPr>
              <w:t>年末余额</w:t>
            </w:r>
          </w:p>
          <w:p>
            <w:pPr>
              <w:pStyle w:val="TableParagraph"/>
              <w:spacing w:line="240" w:lineRule="auto" w:before="153"/>
              <w:ind w:left="216" w:right="0"/>
              <w:jc w:val="left"/>
              <w:rPr>
                <w:rFonts w:ascii="Times New Roman" w:hAnsi="Times New Roman" w:cs="Times New Roman" w:eastAsia="Times New Roman" w:hint="default"/>
                <w:sz w:val="18"/>
                <w:szCs w:val="18"/>
              </w:rPr>
            </w:pPr>
            <w:r>
              <w:rPr>
                <w:rFonts w:ascii="Times New Roman"/>
                <w:sz w:val="18"/>
              </w:rPr>
              <w:t>410,328,995.13</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2"/>
              <w:jc w:val="right"/>
              <w:rPr>
                <w:rFonts w:ascii="Times New Roman" w:hAnsi="Times New Roman" w:cs="Times New Roman" w:eastAsia="Times New Roman" w:hint="default"/>
                <w:sz w:val="18"/>
                <w:szCs w:val="18"/>
              </w:rPr>
            </w:pPr>
            <w:r>
              <w:rPr>
                <w:rFonts w:ascii="Times New Roman"/>
                <w:spacing w:val="-1"/>
                <w:sz w:val="18"/>
              </w:rPr>
              <w:t>207,799,940.54</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4"/>
              <w:jc w:val="right"/>
              <w:rPr>
                <w:rFonts w:ascii="Times New Roman" w:hAnsi="Times New Roman" w:cs="Times New Roman" w:eastAsia="Times New Roman" w:hint="default"/>
                <w:sz w:val="18"/>
                <w:szCs w:val="18"/>
              </w:rPr>
            </w:pPr>
            <w:r>
              <w:rPr>
                <w:rFonts w:ascii="Times New Roman"/>
                <w:spacing w:val="-1"/>
                <w:sz w:val="18"/>
              </w:rPr>
              <w:t>2,273,387.15</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210,073,327.69</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7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2"/>
              <w:jc w:val="right"/>
              <w:rPr>
                <w:rFonts w:ascii="Times New Roman" w:hAnsi="Times New Roman" w:cs="Times New Roman" w:eastAsia="Times New Roman" w:hint="default"/>
                <w:sz w:val="18"/>
                <w:szCs w:val="18"/>
              </w:rPr>
            </w:pPr>
            <w:r>
              <w:rPr>
                <w:rFonts w:ascii="Times New Roman"/>
                <w:spacing w:val="-1"/>
                <w:sz w:val="18"/>
              </w:rPr>
              <w:t>82,058,565.41</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4"/>
              <w:jc w:val="right"/>
              <w:rPr>
                <w:rFonts w:ascii="Times New Roman" w:hAnsi="Times New Roman" w:cs="Times New Roman" w:eastAsia="Times New Roman" w:hint="default"/>
                <w:sz w:val="18"/>
                <w:szCs w:val="18"/>
              </w:rPr>
            </w:pPr>
            <w:r>
              <w:rPr>
                <w:rFonts w:ascii="Times New Roman"/>
                <w:spacing w:val="-1"/>
                <w:sz w:val="18"/>
              </w:rPr>
              <w:t>61,894,956.69</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22"/>
              <w:jc w:val="right"/>
              <w:rPr>
                <w:rFonts w:ascii="Times New Roman" w:hAnsi="Times New Roman" w:cs="Times New Roman" w:eastAsia="Times New Roman" w:hint="default"/>
                <w:sz w:val="18"/>
                <w:szCs w:val="18"/>
              </w:rPr>
            </w:pPr>
            <w:r>
              <w:rPr>
                <w:rFonts w:ascii="Times New Roman"/>
                <w:spacing w:val="-1"/>
                <w:sz w:val="18"/>
              </w:rPr>
              <w:t>3,188,709.16</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140,764,812.94</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57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2"/>
              <w:jc w:val="right"/>
              <w:rPr>
                <w:rFonts w:ascii="Times New Roman" w:hAnsi="Times New Roman" w:cs="Times New Roman" w:eastAsia="Times New Roman" w:hint="default"/>
                <w:sz w:val="18"/>
                <w:szCs w:val="18"/>
              </w:rPr>
            </w:pPr>
            <w:r>
              <w:rPr>
                <w:rFonts w:ascii="Times New Roman"/>
                <w:spacing w:val="-1"/>
                <w:sz w:val="18"/>
              </w:rPr>
              <w:t>14,836,731.67</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4"/>
              <w:jc w:val="right"/>
              <w:rPr>
                <w:rFonts w:ascii="Times New Roman" w:hAnsi="Times New Roman" w:cs="Times New Roman" w:eastAsia="Times New Roman" w:hint="default"/>
                <w:sz w:val="18"/>
                <w:szCs w:val="18"/>
              </w:rPr>
            </w:pPr>
            <w:r>
              <w:rPr>
                <w:rFonts w:ascii="Times New Roman"/>
                <w:sz w:val="18"/>
              </w:rPr>
              <w:t>742,644.86</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21"/>
              <w:jc w:val="right"/>
              <w:rPr>
                <w:rFonts w:ascii="Times New Roman" w:hAnsi="Times New Roman" w:cs="Times New Roman" w:eastAsia="Times New Roman" w:hint="default"/>
                <w:sz w:val="18"/>
                <w:szCs w:val="18"/>
              </w:rPr>
            </w:pPr>
            <w:r>
              <w:rPr>
                <w:rFonts w:ascii="Times New Roman"/>
                <w:sz w:val="18"/>
              </w:rPr>
              <w:t>681,322.50</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14,898,054.03</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7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2"/>
              <w:jc w:val="right"/>
              <w:rPr>
                <w:rFonts w:ascii="Times New Roman" w:hAnsi="Times New Roman" w:cs="Times New Roman" w:eastAsia="Times New Roman" w:hint="default"/>
                <w:sz w:val="18"/>
                <w:szCs w:val="18"/>
              </w:rPr>
            </w:pPr>
            <w:r>
              <w:rPr>
                <w:rFonts w:ascii="Times New Roman"/>
                <w:spacing w:val="-1"/>
                <w:sz w:val="18"/>
              </w:rPr>
              <w:t>40,523,537.15</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6"/>
              <w:jc w:val="right"/>
              <w:rPr>
                <w:rFonts w:ascii="Times New Roman" w:hAnsi="Times New Roman" w:cs="Times New Roman" w:eastAsia="Times New Roman" w:hint="default"/>
                <w:sz w:val="18"/>
                <w:szCs w:val="18"/>
              </w:rPr>
            </w:pPr>
            <w:r>
              <w:rPr>
                <w:rFonts w:ascii="Times New Roman"/>
                <w:spacing w:val="-1"/>
                <w:sz w:val="18"/>
              </w:rPr>
              <w:t>4,164,881.32</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22"/>
              <w:jc w:val="right"/>
              <w:rPr>
                <w:rFonts w:ascii="Times New Roman" w:hAnsi="Times New Roman" w:cs="Times New Roman" w:eastAsia="Times New Roman" w:hint="default"/>
                <w:sz w:val="18"/>
                <w:szCs w:val="18"/>
              </w:rPr>
            </w:pPr>
            <w:r>
              <w:rPr>
                <w:rFonts w:ascii="Times New Roman"/>
                <w:sz w:val="18"/>
              </w:rPr>
              <w:t>95,618.00</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44,592,800.47</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sz w:val="18"/>
                <w:szCs w:val="18"/>
              </w:rPr>
              <w:t>二、累计折旧合计：</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2"/>
              <w:jc w:val="right"/>
              <w:rPr>
                <w:rFonts w:ascii="Times New Roman" w:hAnsi="Times New Roman" w:cs="Times New Roman" w:eastAsia="Times New Roman" w:hint="default"/>
                <w:sz w:val="18"/>
                <w:szCs w:val="18"/>
              </w:rPr>
            </w:pPr>
            <w:r>
              <w:rPr>
                <w:rFonts w:ascii="Times New Roman"/>
                <w:spacing w:val="-1"/>
                <w:sz w:val="18"/>
              </w:rPr>
              <w:t>75,262,961.03</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4"/>
              <w:jc w:val="right"/>
              <w:rPr>
                <w:rFonts w:ascii="Times New Roman" w:hAnsi="Times New Roman" w:cs="Times New Roman" w:eastAsia="Times New Roman" w:hint="default"/>
                <w:sz w:val="18"/>
                <w:szCs w:val="18"/>
              </w:rPr>
            </w:pPr>
            <w:r>
              <w:rPr>
                <w:rFonts w:ascii="Times New Roman"/>
                <w:spacing w:val="-1"/>
                <w:sz w:val="18"/>
              </w:rPr>
              <w:t>28,590,752.71</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14"/>
              <w:jc w:val="right"/>
              <w:rPr>
                <w:rFonts w:ascii="Times New Roman" w:hAnsi="Times New Roman" w:cs="Times New Roman" w:eastAsia="Times New Roman" w:hint="default"/>
                <w:sz w:val="18"/>
                <w:szCs w:val="18"/>
              </w:rPr>
            </w:pPr>
            <w:r>
              <w:rPr>
                <w:rFonts w:ascii="Times New Roman"/>
                <w:sz w:val="18"/>
              </w:rPr>
              <w:t>942,805.16</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102,910,908.58</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2"/>
              <w:jc w:val="right"/>
              <w:rPr>
                <w:rFonts w:ascii="Times New Roman" w:hAnsi="Times New Roman" w:cs="Times New Roman" w:eastAsia="Times New Roman" w:hint="default"/>
                <w:sz w:val="18"/>
                <w:szCs w:val="18"/>
              </w:rPr>
            </w:pPr>
            <w:r>
              <w:rPr>
                <w:rFonts w:ascii="Times New Roman"/>
                <w:spacing w:val="-1"/>
                <w:sz w:val="18"/>
              </w:rPr>
              <w:t>20,918,889.88</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4"/>
              <w:jc w:val="right"/>
              <w:rPr>
                <w:rFonts w:ascii="Times New Roman" w:hAnsi="Times New Roman" w:cs="Times New Roman" w:eastAsia="Times New Roman" w:hint="default"/>
                <w:sz w:val="18"/>
                <w:szCs w:val="18"/>
              </w:rPr>
            </w:pPr>
            <w:r>
              <w:rPr>
                <w:rFonts w:ascii="Times New Roman"/>
                <w:spacing w:val="-1"/>
                <w:sz w:val="18"/>
              </w:rPr>
              <w:t>9,380,793.08</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30,299,682.96</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7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2"/>
              <w:jc w:val="right"/>
              <w:rPr>
                <w:rFonts w:ascii="Times New Roman" w:hAnsi="Times New Roman" w:cs="Times New Roman" w:eastAsia="Times New Roman" w:hint="default"/>
                <w:sz w:val="18"/>
                <w:szCs w:val="18"/>
              </w:rPr>
            </w:pPr>
            <w:r>
              <w:rPr>
                <w:rFonts w:ascii="Times New Roman"/>
                <w:spacing w:val="-1"/>
                <w:sz w:val="18"/>
              </w:rPr>
              <w:t>27,115,643.87</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4"/>
              <w:jc w:val="right"/>
              <w:rPr>
                <w:rFonts w:ascii="Times New Roman" w:hAnsi="Times New Roman" w:cs="Times New Roman" w:eastAsia="Times New Roman" w:hint="default"/>
                <w:sz w:val="18"/>
                <w:szCs w:val="18"/>
              </w:rPr>
            </w:pPr>
            <w:r>
              <w:rPr>
                <w:rFonts w:ascii="Times New Roman"/>
                <w:spacing w:val="-1"/>
                <w:sz w:val="18"/>
              </w:rPr>
              <w:t>9,642,512.78</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15"/>
              <w:jc w:val="right"/>
              <w:rPr>
                <w:rFonts w:ascii="Times New Roman" w:hAnsi="Times New Roman" w:cs="Times New Roman" w:eastAsia="Times New Roman" w:hint="default"/>
                <w:sz w:val="18"/>
                <w:szCs w:val="18"/>
              </w:rPr>
            </w:pPr>
            <w:r>
              <w:rPr>
                <w:rFonts w:ascii="Times New Roman"/>
                <w:sz w:val="18"/>
              </w:rPr>
              <w:t>346,149.49</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36,412,007.16</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7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2"/>
              <w:jc w:val="right"/>
              <w:rPr>
                <w:rFonts w:ascii="Times New Roman" w:hAnsi="Times New Roman" w:cs="Times New Roman" w:eastAsia="Times New Roman" w:hint="default"/>
                <w:sz w:val="18"/>
                <w:szCs w:val="18"/>
              </w:rPr>
            </w:pPr>
            <w:r>
              <w:rPr>
                <w:rFonts w:ascii="Times New Roman"/>
                <w:spacing w:val="-1"/>
                <w:sz w:val="18"/>
              </w:rPr>
              <w:t>6,419,653.88</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4"/>
              <w:jc w:val="right"/>
              <w:rPr>
                <w:rFonts w:ascii="Times New Roman" w:hAnsi="Times New Roman" w:cs="Times New Roman" w:eastAsia="Times New Roman" w:hint="default"/>
                <w:sz w:val="18"/>
                <w:szCs w:val="18"/>
              </w:rPr>
            </w:pPr>
            <w:r>
              <w:rPr>
                <w:rFonts w:ascii="Times New Roman"/>
                <w:spacing w:val="-1"/>
                <w:sz w:val="18"/>
              </w:rPr>
              <w:t>2,377,983.80</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14"/>
              <w:jc w:val="right"/>
              <w:rPr>
                <w:rFonts w:ascii="Times New Roman" w:hAnsi="Times New Roman" w:cs="Times New Roman" w:eastAsia="Times New Roman" w:hint="default"/>
                <w:sz w:val="18"/>
                <w:szCs w:val="18"/>
              </w:rPr>
            </w:pPr>
            <w:r>
              <w:rPr>
                <w:rFonts w:ascii="Times New Roman"/>
                <w:sz w:val="18"/>
              </w:rPr>
              <w:t>580,950.81</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8,216,686.87</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57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2"/>
              <w:jc w:val="right"/>
              <w:rPr>
                <w:rFonts w:ascii="Times New Roman" w:hAnsi="Times New Roman" w:cs="Times New Roman" w:eastAsia="Times New Roman" w:hint="default"/>
                <w:sz w:val="18"/>
                <w:szCs w:val="18"/>
              </w:rPr>
            </w:pPr>
            <w:r>
              <w:rPr>
                <w:rFonts w:ascii="Times New Roman"/>
                <w:spacing w:val="-1"/>
                <w:sz w:val="18"/>
              </w:rPr>
              <w:t>20,808,773.40</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6"/>
              <w:jc w:val="right"/>
              <w:rPr>
                <w:rFonts w:ascii="Times New Roman" w:hAnsi="Times New Roman" w:cs="Times New Roman" w:eastAsia="Times New Roman" w:hint="default"/>
                <w:sz w:val="18"/>
                <w:szCs w:val="18"/>
              </w:rPr>
            </w:pPr>
            <w:r>
              <w:rPr>
                <w:rFonts w:ascii="Times New Roman"/>
                <w:spacing w:val="-1"/>
                <w:sz w:val="18"/>
              </w:rPr>
              <w:t>7,189,463.05</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14"/>
              <w:jc w:val="right"/>
              <w:rPr>
                <w:rFonts w:ascii="Times New Roman" w:hAnsi="Times New Roman" w:cs="Times New Roman" w:eastAsia="Times New Roman" w:hint="default"/>
                <w:sz w:val="18"/>
                <w:szCs w:val="18"/>
              </w:rPr>
            </w:pPr>
            <w:r>
              <w:rPr>
                <w:rFonts w:ascii="Times New Roman"/>
                <w:sz w:val="18"/>
              </w:rPr>
              <w:t>15,704.86</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27,982,531.59</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sz w:val="18"/>
                <w:szCs w:val="18"/>
              </w:rPr>
              <w:t>三、固定资产账面净值合计</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2"/>
              <w:jc w:val="right"/>
              <w:rPr>
                <w:rFonts w:ascii="Times New Roman" w:hAnsi="Times New Roman" w:cs="Times New Roman" w:eastAsia="Times New Roman" w:hint="default"/>
                <w:sz w:val="18"/>
                <w:szCs w:val="18"/>
              </w:rPr>
            </w:pPr>
            <w:r>
              <w:rPr>
                <w:rFonts w:ascii="Times New Roman"/>
                <w:spacing w:val="-1"/>
                <w:sz w:val="18"/>
              </w:rPr>
              <w:t>269,955,813.74</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5"/>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22"/>
              <w:jc w:val="right"/>
              <w:rPr>
                <w:rFonts w:ascii="Times New Roman" w:hAnsi="Times New Roman" w:cs="Times New Roman" w:eastAsia="Times New Roman" w:hint="default"/>
                <w:sz w:val="18"/>
                <w:szCs w:val="18"/>
              </w:rPr>
            </w:pPr>
            <w:r>
              <w:rPr>
                <w:rFonts w:ascii="Times New Roman"/>
                <w:sz w:val="18"/>
              </w:rPr>
              <w:t>---</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307,418,086.55</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2"/>
              <w:jc w:val="right"/>
              <w:rPr>
                <w:rFonts w:ascii="Times New Roman" w:hAnsi="Times New Roman" w:cs="Times New Roman" w:eastAsia="Times New Roman" w:hint="default"/>
                <w:sz w:val="18"/>
                <w:szCs w:val="18"/>
              </w:rPr>
            </w:pPr>
            <w:r>
              <w:rPr>
                <w:rFonts w:ascii="Times New Roman"/>
                <w:spacing w:val="-1"/>
                <w:sz w:val="18"/>
              </w:rPr>
              <w:t>186,881,050.66</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5"/>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22"/>
              <w:jc w:val="right"/>
              <w:rPr>
                <w:rFonts w:ascii="Times New Roman" w:hAnsi="Times New Roman" w:cs="Times New Roman" w:eastAsia="Times New Roman" w:hint="default"/>
                <w:sz w:val="18"/>
                <w:szCs w:val="18"/>
              </w:rPr>
            </w:pPr>
            <w:r>
              <w:rPr>
                <w:rFonts w:ascii="Times New Roman"/>
                <w:sz w:val="18"/>
              </w:rPr>
              <w:t>---</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179,773,644.73</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57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2"/>
              <w:jc w:val="right"/>
              <w:rPr>
                <w:rFonts w:ascii="Times New Roman" w:hAnsi="Times New Roman" w:cs="Times New Roman" w:eastAsia="Times New Roman" w:hint="default"/>
                <w:sz w:val="18"/>
                <w:szCs w:val="18"/>
              </w:rPr>
            </w:pPr>
            <w:r>
              <w:rPr>
                <w:rFonts w:ascii="Times New Roman"/>
                <w:spacing w:val="-1"/>
                <w:sz w:val="18"/>
              </w:rPr>
              <w:t>54,942,921.54</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5"/>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22"/>
              <w:jc w:val="right"/>
              <w:rPr>
                <w:rFonts w:ascii="Times New Roman" w:hAnsi="Times New Roman" w:cs="Times New Roman" w:eastAsia="Times New Roman" w:hint="default"/>
                <w:sz w:val="18"/>
                <w:szCs w:val="18"/>
              </w:rPr>
            </w:pPr>
            <w:r>
              <w:rPr>
                <w:rFonts w:ascii="Times New Roman"/>
                <w:sz w:val="18"/>
              </w:rPr>
              <w:t>---</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104,352,805.78</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7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2"/>
              <w:jc w:val="right"/>
              <w:rPr>
                <w:rFonts w:ascii="Times New Roman" w:hAnsi="Times New Roman" w:cs="Times New Roman" w:eastAsia="Times New Roman" w:hint="default"/>
                <w:sz w:val="18"/>
                <w:szCs w:val="18"/>
              </w:rPr>
            </w:pPr>
            <w:r>
              <w:rPr>
                <w:rFonts w:ascii="Times New Roman"/>
                <w:spacing w:val="-1"/>
                <w:sz w:val="18"/>
              </w:rPr>
              <w:t>8,417,077.79</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5"/>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22"/>
              <w:jc w:val="right"/>
              <w:rPr>
                <w:rFonts w:ascii="Times New Roman" w:hAnsi="Times New Roman" w:cs="Times New Roman" w:eastAsia="Times New Roman" w:hint="default"/>
                <w:sz w:val="18"/>
                <w:szCs w:val="18"/>
              </w:rPr>
            </w:pPr>
            <w:r>
              <w:rPr>
                <w:rFonts w:ascii="Times New Roman"/>
                <w:sz w:val="18"/>
              </w:rPr>
              <w:t>---</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6,681,367.16</w:t>
            </w:r>
          </w:p>
        </w:tc>
      </w:tr>
      <w:tr>
        <w:trPr>
          <w:trHeight w:val="356" w:hRule="exact"/>
        </w:trPr>
        <w:tc>
          <w:tcPr>
            <w:tcW w:w="2342"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left="57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607"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332"/>
              <w:jc w:val="right"/>
              <w:rPr>
                <w:rFonts w:ascii="Times New Roman" w:hAnsi="Times New Roman" w:cs="Times New Roman" w:eastAsia="Times New Roman" w:hint="default"/>
                <w:sz w:val="18"/>
                <w:szCs w:val="18"/>
              </w:rPr>
            </w:pPr>
            <w:r>
              <w:rPr>
                <w:rFonts w:ascii="Times New Roman"/>
                <w:spacing w:val="-1"/>
                <w:sz w:val="18"/>
              </w:rPr>
              <w:t>19,714,763.75</w:t>
            </w:r>
          </w:p>
        </w:tc>
        <w:tc>
          <w:tcPr>
            <w:tcW w:w="1805"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295"/>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20"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222"/>
              <w:jc w:val="right"/>
              <w:rPr>
                <w:rFonts w:ascii="Times New Roman" w:hAnsi="Times New Roman" w:cs="Times New Roman" w:eastAsia="Times New Roman" w:hint="default"/>
                <w:sz w:val="18"/>
                <w:szCs w:val="18"/>
              </w:rPr>
            </w:pPr>
            <w:r>
              <w:rPr>
                <w:rFonts w:ascii="Times New Roman"/>
                <w:sz w:val="18"/>
              </w:rPr>
              <w:t>---</w:t>
            </w:r>
          </w:p>
        </w:tc>
        <w:tc>
          <w:tcPr>
            <w:tcW w:w="1378"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16,610,268.88</w:t>
            </w:r>
          </w:p>
        </w:tc>
      </w:tr>
    </w:tbl>
    <w:p>
      <w:pPr>
        <w:spacing w:after="0" w:line="240" w:lineRule="auto"/>
        <w:jc w:val="right"/>
        <w:rPr>
          <w:rFonts w:ascii="Times New Roman" w:hAnsi="Times New Roman" w:cs="Times New Roman" w:eastAsia="Times New Roman" w:hint="default"/>
          <w:sz w:val="18"/>
          <w:szCs w:val="18"/>
        </w:rPr>
        <w:sectPr>
          <w:pgSz w:w="11910" w:h="16840"/>
          <w:pgMar w:header="686" w:footer="1270" w:top="1360" w:bottom="1460" w:left="1520" w:right="1180"/>
        </w:sectPr>
      </w:pPr>
    </w:p>
    <w:p>
      <w:pPr>
        <w:spacing w:line="240" w:lineRule="auto" w:before="1"/>
        <w:rPr>
          <w:rFonts w:ascii="宋体" w:hAnsi="宋体" w:cs="宋体" w:eastAsia="宋体" w:hint="default"/>
          <w:b/>
          <w:bCs/>
          <w:sz w:val="23"/>
          <w:szCs w:val="23"/>
        </w:rPr>
      </w:pPr>
    </w:p>
    <w:tbl>
      <w:tblPr>
        <w:tblW w:w="0" w:type="auto"/>
        <w:jc w:val="left"/>
        <w:tblInd w:w="245" w:type="dxa"/>
        <w:tblLayout w:type="fixed"/>
        <w:tblCellMar>
          <w:top w:w="0" w:type="dxa"/>
          <w:left w:w="0" w:type="dxa"/>
          <w:bottom w:w="0" w:type="dxa"/>
          <w:right w:w="0" w:type="dxa"/>
        </w:tblCellMar>
        <w:tblLook w:val="01E0"/>
      </w:tblPr>
      <w:tblGrid>
        <w:gridCol w:w="2342"/>
        <w:gridCol w:w="2103"/>
        <w:gridCol w:w="1768"/>
        <w:gridCol w:w="1158"/>
        <w:gridCol w:w="1381"/>
      </w:tblGrid>
      <w:tr>
        <w:trPr>
          <w:trHeight w:val="364" w:hRule="exact"/>
        </w:trPr>
        <w:tc>
          <w:tcPr>
            <w:tcW w:w="2342"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四、减值准备合计</w:t>
            </w:r>
          </w:p>
        </w:tc>
        <w:tc>
          <w:tcPr>
            <w:tcW w:w="2103" w:type="dxa"/>
            <w:tcBorders>
              <w:top w:val="single" w:sz="12" w:space="0" w:color="000000"/>
              <w:left w:val="nil" w:sz="6" w:space="0" w:color="auto"/>
              <w:bottom w:val="nil" w:sz="6" w:space="0" w:color="auto"/>
              <w:right w:val="nil" w:sz="6" w:space="0" w:color="auto"/>
            </w:tcBorders>
          </w:tcPr>
          <w:p>
            <w:pPr>
              <w:pStyle w:val="TableParagraph"/>
              <w:spacing w:line="240" w:lineRule="auto" w:before="64"/>
              <w:ind w:right="828"/>
              <w:jc w:val="right"/>
              <w:rPr>
                <w:rFonts w:ascii="Times New Roman" w:hAnsi="Times New Roman" w:cs="Times New Roman" w:eastAsia="Times New Roman" w:hint="default"/>
                <w:sz w:val="18"/>
                <w:szCs w:val="18"/>
              </w:rPr>
            </w:pPr>
            <w:r>
              <w:rPr>
                <w:rFonts w:ascii="Times New Roman"/>
                <w:sz w:val="18"/>
              </w:rPr>
              <w:t>607,233.49</w:t>
            </w:r>
          </w:p>
        </w:tc>
        <w:tc>
          <w:tcPr>
            <w:tcW w:w="1768" w:type="dxa"/>
            <w:tcBorders>
              <w:top w:val="single" w:sz="12" w:space="0" w:color="000000"/>
              <w:left w:val="nil" w:sz="6" w:space="0" w:color="auto"/>
              <w:bottom w:val="nil" w:sz="6" w:space="0" w:color="auto"/>
              <w:right w:val="nil" w:sz="6" w:space="0" w:color="auto"/>
            </w:tcBorders>
          </w:tcPr>
          <w:p>
            <w:pPr>
              <w:pStyle w:val="TableParagraph"/>
              <w:spacing w:line="240" w:lineRule="auto" w:before="64"/>
              <w:ind w:left="74" w:right="0"/>
              <w:jc w:val="center"/>
              <w:rPr>
                <w:rFonts w:ascii="Times New Roman" w:hAnsi="Times New Roman" w:cs="Times New Roman" w:eastAsia="Times New Roman" w:hint="default"/>
                <w:sz w:val="18"/>
                <w:szCs w:val="18"/>
              </w:rPr>
            </w:pPr>
            <w:r>
              <w:rPr>
                <w:rFonts w:ascii="Times New Roman"/>
                <w:sz w:val="18"/>
              </w:rPr>
              <w:t>---</w:t>
            </w:r>
          </w:p>
        </w:tc>
        <w:tc>
          <w:tcPr>
            <w:tcW w:w="1158" w:type="dxa"/>
            <w:tcBorders>
              <w:top w:val="single" w:sz="12" w:space="0" w:color="000000"/>
              <w:left w:val="nil" w:sz="6" w:space="0" w:color="auto"/>
              <w:bottom w:val="nil" w:sz="6" w:space="0" w:color="auto"/>
              <w:right w:val="nil" w:sz="6" w:space="0" w:color="auto"/>
            </w:tcBorders>
          </w:tcPr>
          <w:p>
            <w:pPr>
              <w:pStyle w:val="TableParagraph"/>
              <w:spacing w:line="240" w:lineRule="auto" w:before="64"/>
              <w:ind w:right="218"/>
              <w:jc w:val="right"/>
              <w:rPr>
                <w:rFonts w:ascii="Times New Roman" w:hAnsi="Times New Roman" w:cs="Times New Roman" w:eastAsia="Times New Roman" w:hint="default"/>
                <w:sz w:val="18"/>
                <w:szCs w:val="18"/>
              </w:rPr>
            </w:pPr>
            <w:r>
              <w:rPr>
                <w:rFonts w:ascii="Times New Roman"/>
                <w:sz w:val="18"/>
              </w:rPr>
              <w:t>---</w:t>
            </w:r>
          </w:p>
        </w:tc>
        <w:tc>
          <w:tcPr>
            <w:tcW w:w="1381" w:type="dxa"/>
            <w:tcBorders>
              <w:top w:val="single" w:sz="12" w:space="0" w:color="000000"/>
              <w:left w:val="nil" w:sz="6" w:space="0" w:color="auto"/>
              <w:bottom w:val="nil" w:sz="6" w:space="0" w:color="auto"/>
              <w:right w:val="nil" w:sz="6" w:space="0" w:color="auto"/>
            </w:tcBorders>
          </w:tcPr>
          <w:p>
            <w:pPr>
              <w:pStyle w:val="TableParagraph"/>
              <w:spacing w:line="240" w:lineRule="auto" w:before="64"/>
              <w:ind w:right="33"/>
              <w:jc w:val="right"/>
              <w:rPr>
                <w:rFonts w:ascii="Times New Roman" w:hAnsi="Times New Roman" w:cs="Times New Roman" w:eastAsia="Times New Roman" w:hint="default"/>
                <w:sz w:val="18"/>
                <w:szCs w:val="18"/>
              </w:rPr>
            </w:pPr>
            <w:r>
              <w:rPr>
                <w:rFonts w:ascii="Times New Roman"/>
                <w:sz w:val="18"/>
              </w:rPr>
              <w:t>607,233.49</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2103"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74" w:right="0"/>
              <w:jc w:val="center"/>
              <w:rPr>
                <w:rFonts w:ascii="Times New Roman" w:hAnsi="Times New Roman" w:cs="Times New Roman" w:eastAsia="Times New Roman" w:hint="default"/>
                <w:sz w:val="18"/>
                <w:szCs w:val="18"/>
              </w:rPr>
            </w:pPr>
            <w:r>
              <w:rPr>
                <w:rFonts w:ascii="Times New Roman"/>
                <w:sz w:val="18"/>
              </w:rPr>
              <w:t>---</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18"/>
              <w:jc w:val="right"/>
              <w:rPr>
                <w:rFonts w:ascii="Times New Roman" w:hAnsi="Times New Roman" w:cs="Times New Roman" w:eastAsia="Times New Roman" w:hint="default"/>
                <w:sz w:val="18"/>
                <w:szCs w:val="18"/>
              </w:rPr>
            </w:pPr>
            <w:r>
              <w:rPr>
                <w:rFonts w:ascii="Times New Roman"/>
                <w:sz w:val="18"/>
              </w:rPr>
              <w:t>---</w:t>
            </w:r>
          </w:p>
        </w:tc>
        <w:tc>
          <w:tcPr>
            <w:tcW w:w="1381" w:type="dxa"/>
            <w:tcBorders>
              <w:top w:val="nil" w:sz="6" w:space="0" w:color="auto"/>
              <w:left w:val="nil" w:sz="6" w:space="0" w:color="auto"/>
              <w:bottom w:val="nil" w:sz="6" w:space="0" w:color="auto"/>
              <w:right w:val="nil" w:sz="6" w:space="0" w:color="auto"/>
            </w:tcBorders>
          </w:tcPr>
          <w:p>
            <w:pP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7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828"/>
              <w:jc w:val="right"/>
              <w:rPr>
                <w:rFonts w:ascii="Times New Roman" w:hAnsi="Times New Roman" w:cs="Times New Roman" w:eastAsia="Times New Roman" w:hint="default"/>
                <w:sz w:val="18"/>
                <w:szCs w:val="18"/>
              </w:rPr>
            </w:pPr>
            <w:r>
              <w:rPr>
                <w:rFonts w:ascii="Times New Roman"/>
                <w:sz w:val="18"/>
              </w:rPr>
              <w:t>607,233.49</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74" w:right="0"/>
              <w:jc w:val="center"/>
              <w:rPr>
                <w:rFonts w:ascii="Times New Roman" w:hAnsi="Times New Roman" w:cs="Times New Roman" w:eastAsia="Times New Roman" w:hint="default"/>
                <w:sz w:val="18"/>
                <w:szCs w:val="18"/>
              </w:rPr>
            </w:pPr>
            <w:r>
              <w:rPr>
                <w:rFonts w:ascii="Times New Roman"/>
                <w:sz w:val="18"/>
              </w:rPr>
              <w:t>---</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18"/>
              <w:jc w:val="right"/>
              <w:rPr>
                <w:rFonts w:ascii="Times New Roman" w:hAnsi="Times New Roman" w:cs="Times New Roman" w:eastAsia="Times New Roman" w:hint="default"/>
                <w:sz w:val="18"/>
                <w:szCs w:val="18"/>
              </w:rPr>
            </w:pPr>
            <w:r>
              <w:rPr>
                <w:rFonts w:ascii="Times New Roman"/>
                <w:sz w:val="18"/>
              </w:rPr>
              <w:t>---</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z w:val="18"/>
              </w:rPr>
              <w:t>607,233.49</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7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2103"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74" w:right="0"/>
              <w:jc w:val="center"/>
              <w:rPr>
                <w:rFonts w:ascii="Times New Roman" w:hAnsi="Times New Roman" w:cs="Times New Roman" w:eastAsia="Times New Roman" w:hint="default"/>
                <w:sz w:val="18"/>
                <w:szCs w:val="18"/>
              </w:rPr>
            </w:pPr>
            <w:r>
              <w:rPr>
                <w:rFonts w:ascii="Times New Roman"/>
                <w:sz w:val="18"/>
              </w:rPr>
              <w:t>---</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18"/>
              <w:jc w:val="right"/>
              <w:rPr>
                <w:rFonts w:ascii="Times New Roman" w:hAnsi="Times New Roman" w:cs="Times New Roman" w:eastAsia="Times New Roman" w:hint="default"/>
                <w:sz w:val="18"/>
                <w:szCs w:val="18"/>
              </w:rPr>
            </w:pPr>
            <w:r>
              <w:rPr>
                <w:rFonts w:ascii="Times New Roman"/>
                <w:sz w:val="18"/>
              </w:rPr>
              <w:t>---</w:t>
            </w:r>
          </w:p>
        </w:tc>
        <w:tc>
          <w:tcPr>
            <w:tcW w:w="1381" w:type="dxa"/>
            <w:tcBorders>
              <w:top w:val="nil" w:sz="6" w:space="0" w:color="auto"/>
              <w:left w:val="nil" w:sz="6" w:space="0" w:color="auto"/>
              <w:bottom w:val="nil" w:sz="6" w:space="0" w:color="auto"/>
              <w:right w:val="nil" w:sz="6" w:space="0" w:color="auto"/>
            </w:tcBorders>
          </w:tcPr>
          <w:p>
            <w:pP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57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2103"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74" w:right="0"/>
              <w:jc w:val="center"/>
              <w:rPr>
                <w:rFonts w:ascii="Times New Roman" w:hAnsi="Times New Roman" w:cs="Times New Roman" w:eastAsia="Times New Roman" w:hint="default"/>
                <w:sz w:val="18"/>
                <w:szCs w:val="18"/>
              </w:rPr>
            </w:pPr>
            <w:r>
              <w:rPr>
                <w:rFonts w:ascii="Times New Roman"/>
                <w:sz w:val="18"/>
              </w:rPr>
              <w:t>---</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18"/>
              <w:jc w:val="right"/>
              <w:rPr>
                <w:rFonts w:ascii="Times New Roman" w:hAnsi="Times New Roman" w:cs="Times New Roman" w:eastAsia="Times New Roman" w:hint="default"/>
                <w:sz w:val="18"/>
                <w:szCs w:val="18"/>
              </w:rPr>
            </w:pPr>
            <w:r>
              <w:rPr>
                <w:rFonts w:ascii="Times New Roman"/>
                <w:sz w:val="18"/>
              </w:rPr>
              <w:t>---</w:t>
            </w:r>
          </w:p>
        </w:tc>
        <w:tc>
          <w:tcPr>
            <w:tcW w:w="1381" w:type="dxa"/>
            <w:tcBorders>
              <w:top w:val="nil" w:sz="6" w:space="0" w:color="auto"/>
              <w:left w:val="nil" w:sz="6" w:space="0" w:color="auto"/>
              <w:bottom w:val="nil" w:sz="6" w:space="0" w:color="auto"/>
              <w:right w:val="nil" w:sz="6" w:space="0" w:color="auto"/>
            </w:tcBorders>
          </w:tcPr>
          <w:p>
            <w:pP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sz w:val="18"/>
                <w:szCs w:val="18"/>
              </w:rPr>
              <w:t>五、固定资产账面价值合计</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828"/>
              <w:jc w:val="right"/>
              <w:rPr>
                <w:rFonts w:ascii="Times New Roman" w:hAnsi="Times New Roman" w:cs="Times New Roman" w:eastAsia="Times New Roman" w:hint="default"/>
                <w:sz w:val="18"/>
                <w:szCs w:val="18"/>
              </w:rPr>
            </w:pPr>
            <w:r>
              <w:rPr>
                <w:rFonts w:ascii="Times New Roman"/>
                <w:spacing w:val="-1"/>
                <w:sz w:val="18"/>
              </w:rPr>
              <w:t>269,348,580.25</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74" w:right="0"/>
              <w:jc w:val="center"/>
              <w:rPr>
                <w:rFonts w:ascii="Times New Roman" w:hAnsi="Times New Roman" w:cs="Times New Roman" w:eastAsia="Times New Roman" w:hint="default"/>
                <w:sz w:val="18"/>
                <w:szCs w:val="18"/>
              </w:rPr>
            </w:pPr>
            <w:r>
              <w:rPr>
                <w:rFonts w:ascii="Times New Roman"/>
                <w:sz w:val="18"/>
              </w:rPr>
              <w:t>---</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18"/>
              <w:jc w:val="right"/>
              <w:rPr>
                <w:rFonts w:ascii="Times New Roman" w:hAnsi="Times New Roman" w:cs="Times New Roman" w:eastAsia="Times New Roman" w:hint="default"/>
                <w:sz w:val="18"/>
                <w:szCs w:val="18"/>
              </w:rPr>
            </w:pPr>
            <w:r>
              <w:rPr>
                <w:rFonts w:ascii="Times New Roman"/>
                <w:sz w:val="18"/>
              </w:rPr>
              <w:t>---</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306,810,853.06</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828"/>
              <w:jc w:val="right"/>
              <w:rPr>
                <w:rFonts w:ascii="Times New Roman" w:hAnsi="Times New Roman" w:cs="Times New Roman" w:eastAsia="Times New Roman" w:hint="default"/>
                <w:sz w:val="18"/>
                <w:szCs w:val="18"/>
              </w:rPr>
            </w:pPr>
            <w:r>
              <w:rPr>
                <w:rFonts w:ascii="Times New Roman"/>
                <w:spacing w:val="-1"/>
                <w:sz w:val="18"/>
              </w:rPr>
              <w:t>186,881,050.66</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74" w:right="0"/>
              <w:jc w:val="center"/>
              <w:rPr>
                <w:rFonts w:ascii="Times New Roman" w:hAnsi="Times New Roman" w:cs="Times New Roman" w:eastAsia="Times New Roman" w:hint="default"/>
                <w:sz w:val="18"/>
                <w:szCs w:val="18"/>
              </w:rPr>
            </w:pPr>
            <w:r>
              <w:rPr>
                <w:rFonts w:ascii="Times New Roman"/>
                <w:sz w:val="18"/>
              </w:rPr>
              <w:t>---</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18"/>
              <w:jc w:val="right"/>
              <w:rPr>
                <w:rFonts w:ascii="Times New Roman" w:hAnsi="Times New Roman" w:cs="Times New Roman" w:eastAsia="Times New Roman" w:hint="default"/>
                <w:sz w:val="18"/>
                <w:szCs w:val="18"/>
              </w:rPr>
            </w:pPr>
            <w:r>
              <w:rPr>
                <w:rFonts w:ascii="Times New Roman"/>
                <w:sz w:val="18"/>
              </w:rPr>
              <w:t>---</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179,773,644.73</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57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829"/>
              <w:jc w:val="right"/>
              <w:rPr>
                <w:rFonts w:ascii="Times New Roman" w:hAnsi="Times New Roman" w:cs="Times New Roman" w:eastAsia="Times New Roman" w:hint="default"/>
                <w:sz w:val="18"/>
                <w:szCs w:val="18"/>
              </w:rPr>
            </w:pPr>
            <w:r>
              <w:rPr>
                <w:rFonts w:ascii="Times New Roman"/>
                <w:spacing w:val="-1"/>
                <w:sz w:val="18"/>
              </w:rPr>
              <w:t>54,335,688.05</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74" w:right="0"/>
              <w:jc w:val="center"/>
              <w:rPr>
                <w:rFonts w:ascii="Times New Roman" w:hAnsi="Times New Roman" w:cs="Times New Roman" w:eastAsia="Times New Roman" w:hint="default"/>
                <w:sz w:val="18"/>
                <w:szCs w:val="18"/>
              </w:rPr>
            </w:pPr>
            <w:r>
              <w:rPr>
                <w:rFonts w:ascii="Times New Roman"/>
                <w:sz w:val="18"/>
              </w:rPr>
              <w:t>---</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18"/>
              <w:jc w:val="right"/>
              <w:rPr>
                <w:rFonts w:ascii="Times New Roman" w:hAnsi="Times New Roman" w:cs="Times New Roman" w:eastAsia="Times New Roman" w:hint="default"/>
                <w:sz w:val="18"/>
                <w:szCs w:val="18"/>
              </w:rPr>
            </w:pPr>
            <w:r>
              <w:rPr>
                <w:rFonts w:ascii="Times New Roman"/>
                <w:sz w:val="18"/>
              </w:rPr>
              <w:t>---</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103,745,572.29</w:t>
            </w:r>
          </w:p>
        </w:tc>
      </w:tr>
      <w:tr>
        <w:trPr>
          <w:trHeight w:val="3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7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828"/>
              <w:jc w:val="right"/>
              <w:rPr>
                <w:rFonts w:ascii="Times New Roman" w:hAnsi="Times New Roman" w:cs="Times New Roman" w:eastAsia="Times New Roman" w:hint="default"/>
                <w:sz w:val="18"/>
                <w:szCs w:val="18"/>
              </w:rPr>
            </w:pPr>
            <w:r>
              <w:rPr>
                <w:rFonts w:ascii="Times New Roman"/>
                <w:spacing w:val="-1"/>
                <w:sz w:val="18"/>
              </w:rPr>
              <w:t>8,417,077.79</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74" w:right="0"/>
              <w:jc w:val="center"/>
              <w:rPr>
                <w:rFonts w:ascii="Times New Roman" w:hAnsi="Times New Roman" w:cs="Times New Roman" w:eastAsia="Times New Roman" w:hint="default"/>
                <w:sz w:val="18"/>
                <w:szCs w:val="18"/>
              </w:rPr>
            </w:pPr>
            <w:r>
              <w:rPr>
                <w:rFonts w:ascii="Times New Roman"/>
                <w:sz w:val="18"/>
              </w:rPr>
              <w:t>---</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18"/>
              <w:jc w:val="right"/>
              <w:rPr>
                <w:rFonts w:ascii="Times New Roman" w:hAnsi="Times New Roman" w:cs="Times New Roman" w:eastAsia="Times New Roman" w:hint="default"/>
                <w:sz w:val="18"/>
                <w:szCs w:val="18"/>
              </w:rPr>
            </w:pPr>
            <w:r>
              <w:rPr>
                <w:rFonts w:ascii="Times New Roman"/>
                <w:sz w:val="18"/>
              </w:rPr>
              <w:t>---</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6,681,367.16</w:t>
            </w:r>
          </w:p>
        </w:tc>
      </w:tr>
      <w:tr>
        <w:trPr>
          <w:trHeight w:val="356" w:hRule="exact"/>
        </w:trPr>
        <w:tc>
          <w:tcPr>
            <w:tcW w:w="2342"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left="57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2103"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829"/>
              <w:jc w:val="right"/>
              <w:rPr>
                <w:rFonts w:ascii="Times New Roman" w:hAnsi="Times New Roman" w:cs="Times New Roman" w:eastAsia="Times New Roman" w:hint="default"/>
                <w:sz w:val="18"/>
                <w:szCs w:val="18"/>
              </w:rPr>
            </w:pPr>
            <w:r>
              <w:rPr>
                <w:rFonts w:ascii="Times New Roman"/>
                <w:spacing w:val="-1"/>
                <w:sz w:val="18"/>
              </w:rPr>
              <w:t>19,714,763.75</w:t>
            </w:r>
          </w:p>
        </w:tc>
        <w:tc>
          <w:tcPr>
            <w:tcW w:w="1768"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74" w:right="0"/>
              <w:jc w:val="center"/>
              <w:rPr>
                <w:rFonts w:ascii="Times New Roman" w:hAnsi="Times New Roman" w:cs="Times New Roman" w:eastAsia="Times New Roman" w:hint="default"/>
                <w:sz w:val="18"/>
                <w:szCs w:val="18"/>
              </w:rPr>
            </w:pPr>
            <w:r>
              <w:rPr>
                <w:rFonts w:ascii="Times New Roman"/>
                <w:sz w:val="18"/>
              </w:rPr>
              <w:t>---</w:t>
            </w:r>
          </w:p>
        </w:tc>
        <w:tc>
          <w:tcPr>
            <w:tcW w:w="1158"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218"/>
              <w:jc w:val="right"/>
              <w:rPr>
                <w:rFonts w:ascii="Times New Roman" w:hAnsi="Times New Roman" w:cs="Times New Roman" w:eastAsia="Times New Roman" w:hint="default"/>
                <w:sz w:val="18"/>
                <w:szCs w:val="18"/>
              </w:rPr>
            </w:pPr>
            <w:r>
              <w:rPr>
                <w:rFonts w:ascii="Times New Roman"/>
                <w:sz w:val="18"/>
              </w:rPr>
              <w:t>---</w:t>
            </w:r>
          </w:p>
        </w:tc>
        <w:tc>
          <w:tcPr>
            <w:tcW w:w="1381"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pacing w:val="-1"/>
                <w:sz w:val="18"/>
              </w:rPr>
              <w:t>16,610,268.88</w:t>
            </w:r>
          </w:p>
        </w:tc>
      </w:tr>
    </w:tbl>
    <w:p>
      <w:pPr>
        <w:spacing w:before="48"/>
        <w:ind w:left="895" w:right="235" w:firstLine="0"/>
        <w:jc w:val="left"/>
        <w:rPr>
          <w:rFonts w:ascii="宋体" w:hAnsi="宋体" w:cs="宋体" w:eastAsia="宋体" w:hint="default"/>
          <w:sz w:val="21"/>
          <w:szCs w:val="21"/>
        </w:rPr>
      </w:pPr>
      <w:r>
        <w:rPr/>
        <w:pict>
          <v:group style="position:absolute;margin-left:83.160004pt;margin-top:-177.726044pt;width:447.6pt;height:175.5pt;mso-position-horizontal-relative:page;mso-position-vertical-relative:paragraph;z-index:-779248" coordorigin="1663,-3555" coordsize="8952,3510">
            <v:shape style="position:absolute;left:4043;top:-3555;width:5005;height:379" type="#_x0000_t75" stroked="false">
              <v:imagedata r:id="rId157" o:title=""/>
            </v:shape>
            <v:shape style="position:absolute;left:1663;top:-3217;width:8952;height:3172" type="#_x0000_t75" stroked="false">
              <v:imagedata r:id="rId158" o:title=""/>
            </v:shape>
            <w10:wrap type="none"/>
          </v:group>
        </w:pict>
      </w:r>
      <w:r>
        <w:rPr>
          <w:rFonts w:ascii="宋体" w:hAnsi="宋体" w:cs="宋体" w:eastAsia="宋体" w:hint="default"/>
          <w:sz w:val="21"/>
          <w:szCs w:val="21"/>
        </w:rPr>
        <w:t>本年折旧额</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28,590,752.71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p>
    <w:p>
      <w:pPr>
        <w:spacing w:line="304" w:lineRule="auto" w:before="80"/>
        <w:ind w:left="895" w:right="3330" w:firstLine="0"/>
        <w:jc w:val="left"/>
        <w:rPr>
          <w:rFonts w:ascii="宋体" w:hAnsi="宋体" w:cs="宋体" w:eastAsia="宋体" w:hint="default"/>
          <w:sz w:val="21"/>
          <w:szCs w:val="21"/>
        </w:rPr>
      </w:pPr>
      <w:r>
        <w:rPr>
          <w:rFonts w:ascii="宋体" w:hAnsi="宋体" w:cs="宋体" w:eastAsia="宋体" w:hint="default"/>
          <w:sz w:val="21"/>
          <w:szCs w:val="21"/>
        </w:rPr>
        <w:t>本年由在建工程转入固定资产原价为 </w:t>
      </w:r>
      <w:r>
        <w:rPr>
          <w:rFonts w:ascii="Times New Roman" w:hAnsi="Times New Roman" w:cs="Times New Roman" w:eastAsia="Times New Roman" w:hint="default"/>
          <w:sz w:val="21"/>
          <w:szCs w:val="21"/>
        </w:rPr>
        <w:t>50,698,971.17</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元。 年末无用于抵押或担保的固定资产。</w:t>
      </w:r>
    </w:p>
    <w:p>
      <w:pPr>
        <w:spacing w:line="240" w:lineRule="auto" w:before="0"/>
        <w:rPr>
          <w:rFonts w:ascii="宋体" w:hAnsi="宋体" w:cs="宋体" w:eastAsia="宋体" w:hint="default"/>
          <w:sz w:val="20"/>
          <w:szCs w:val="20"/>
        </w:rPr>
      </w:pPr>
    </w:p>
    <w:p>
      <w:pPr>
        <w:tabs>
          <w:tab w:pos="1553" w:val="left" w:leader="none"/>
        </w:tabs>
        <w:spacing w:before="177"/>
        <w:ind w:left="895" w:right="235" w:firstLine="0"/>
        <w:jc w:val="left"/>
        <w:rPr>
          <w:rFonts w:ascii="宋体" w:hAnsi="宋体" w:cs="宋体" w:eastAsia="宋体" w:hint="default"/>
          <w:sz w:val="21"/>
          <w:szCs w:val="21"/>
        </w:rPr>
      </w:pPr>
      <w:r>
        <w:rPr/>
        <w:pict>
          <v:group style="position:absolute;margin-left:83.639999pt;margin-top:24.174868pt;width:454.05pt;height:197.2pt;mso-position-horizontal-relative:page;mso-position-vertical-relative:paragraph;z-index:-779152" coordorigin="1673,483" coordsize="9081,3944">
            <v:group style="position:absolute;left:1692;top:498;width:4670;height:2" coordorigin="1692,498" coordsize="4670,2">
              <v:shape style="position:absolute;left:1692;top:498;width:4670;height:2" coordorigin="1692,498" coordsize="4670,0" path="m1692,498l6361,498e" filled="false" stroked="true" strokeweight="1.5pt" strokecolor="#000000">
                <v:path arrowok="t"/>
              </v:shape>
            </v:group>
            <v:group style="position:absolute;left:6361;top:498;width:2098;height:2" coordorigin="6361,498" coordsize="2098,2">
              <v:shape style="position:absolute;left:6361;top:498;width:2098;height:2" coordorigin="6361,498" coordsize="2098,0" path="m6361,498l8459,498e" filled="false" stroked="true" strokeweight="1.5pt" strokecolor="#000000">
                <v:path arrowok="t"/>
              </v:shape>
            </v:group>
            <v:group style="position:absolute;left:8459;top:498;width:2273;height:2" coordorigin="8459,498" coordsize="2273,2">
              <v:shape style="position:absolute;left:8459;top:498;width:2273;height:2" coordorigin="8459,498" coordsize="2273,0" path="m8459,498l10732,498e" filled="false" stroked="true" strokeweight="1.5pt" strokecolor="#000000">
                <v:path arrowok="t"/>
              </v:shape>
              <v:shape style="position:absolute;left:4602;top:485;width:3895;height:750" type="#_x0000_t75" stroked="false">
                <v:imagedata r:id="rId159" o:title=""/>
              </v:shape>
              <v:shape style="position:absolute;left:1673;top:1187;width:9080;height:3240" type="#_x0000_t75" stroked="false">
                <v:imagedata r:id="rId160" o:title=""/>
              </v:shape>
              <v:shape style="position:absolute;left:2983;top:77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5125;top:7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6499;top:770;width:3998;height:180" type="#_x0000_t202" filled="false" stroked="false">
                <v:textbox inset="0,0,0,0">
                  <w:txbxContent>
                    <w:p>
                      <w:pPr>
                        <w:tabs>
                          <w:tab w:pos="219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未办妥产权证书的原因</w:t>
                        <w:tab/>
                        <w:t>预计办结产权证书时间</w:t>
                      </w:r>
                    </w:p>
                  </w:txbxContent>
                </v:textbox>
                <w10:wrap type="none"/>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年末未办妥产权证书的固定资产情况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tbl>
      <w:tblPr>
        <w:tblW w:w="0" w:type="auto"/>
        <w:jc w:val="left"/>
        <w:tblInd w:w="157" w:type="dxa"/>
        <w:tblLayout w:type="fixed"/>
        <w:tblCellMar>
          <w:top w:w="0" w:type="dxa"/>
          <w:left w:w="0" w:type="dxa"/>
          <w:bottom w:w="0" w:type="dxa"/>
          <w:right w:w="0" w:type="dxa"/>
        </w:tblCellMar>
        <w:tblLook w:val="01E0"/>
      </w:tblPr>
      <w:tblGrid>
        <w:gridCol w:w="3214"/>
        <w:gridCol w:w="1445"/>
        <w:gridCol w:w="1891"/>
        <w:gridCol w:w="2504"/>
      </w:tblGrid>
      <w:tr>
        <w:trPr>
          <w:trHeight w:val="355" w:hRule="exact"/>
        </w:trPr>
        <w:tc>
          <w:tcPr>
            <w:tcW w:w="321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长春高琦中俄科技园</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19,777,791.37</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7" w:right="0"/>
              <w:jc w:val="left"/>
              <w:rPr>
                <w:rFonts w:ascii="宋体" w:hAnsi="宋体" w:cs="宋体" w:eastAsia="宋体" w:hint="default"/>
                <w:sz w:val="18"/>
                <w:szCs w:val="18"/>
              </w:rPr>
            </w:pPr>
            <w:r>
              <w:rPr>
                <w:rFonts w:ascii="宋体" w:hAnsi="宋体" w:cs="宋体" w:eastAsia="宋体" w:hint="default"/>
                <w:sz w:val="18"/>
                <w:szCs w:val="18"/>
              </w:rPr>
              <w:t>待办中</w:t>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43" w:right="0"/>
              <w:jc w:val="left"/>
              <w:rPr>
                <w:rFonts w:ascii="宋体" w:hAnsi="宋体" w:cs="宋体" w:eastAsia="宋体" w:hint="default"/>
                <w:sz w:val="18"/>
                <w:szCs w:val="18"/>
              </w:rPr>
            </w:pPr>
            <w:r>
              <w:rPr>
                <w:rFonts w:ascii="宋体" w:hAnsi="宋体" w:cs="宋体" w:eastAsia="宋体" w:hint="default"/>
                <w:sz w:val="18"/>
                <w:szCs w:val="18"/>
              </w:rPr>
              <w:t>未确定权证办结时间</w:t>
            </w:r>
          </w:p>
        </w:tc>
      </w:tr>
      <w:tr>
        <w:trPr>
          <w:trHeight w:val="322" w:hRule="exact"/>
        </w:trPr>
        <w:tc>
          <w:tcPr>
            <w:tcW w:w="321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吉林高琦厂房及综合办公楼</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36,254,684.75</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待办中</w:t>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43" w:right="0"/>
              <w:jc w:val="left"/>
              <w:rPr>
                <w:rFonts w:ascii="宋体" w:hAnsi="宋体" w:cs="宋体" w:eastAsia="宋体" w:hint="default"/>
                <w:sz w:val="18"/>
                <w:szCs w:val="18"/>
              </w:rPr>
            </w:pPr>
            <w:r>
              <w:rPr>
                <w:rFonts w:ascii="宋体" w:hAnsi="宋体" w:cs="宋体" w:eastAsia="宋体" w:hint="default"/>
                <w:sz w:val="18"/>
                <w:szCs w:val="18"/>
              </w:rPr>
              <w:t>未确定权证办结时间</w:t>
            </w:r>
          </w:p>
        </w:tc>
      </w:tr>
      <w:tr>
        <w:trPr>
          <w:trHeight w:val="322" w:hRule="exact"/>
        </w:trPr>
        <w:tc>
          <w:tcPr>
            <w:tcW w:w="321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联东国际工业城房产（北京）</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7,000,000.00</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待办中</w:t>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43" w:right="0"/>
              <w:jc w:val="left"/>
              <w:rPr>
                <w:rFonts w:ascii="宋体" w:hAnsi="宋体" w:cs="宋体" w:eastAsia="宋体" w:hint="default"/>
                <w:sz w:val="18"/>
                <w:szCs w:val="18"/>
              </w:rPr>
            </w:pPr>
            <w:r>
              <w:rPr>
                <w:rFonts w:ascii="宋体" w:hAnsi="宋体" w:cs="宋体" w:eastAsia="宋体" w:hint="default"/>
                <w:sz w:val="18"/>
                <w:szCs w:val="18"/>
              </w:rPr>
              <w:t>未确定权证办结时间</w:t>
            </w:r>
          </w:p>
        </w:tc>
      </w:tr>
      <w:tr>
        <w:trPr>
          <w:trHeight w:val="323" w:hRule="exact"/>
        </w:trPr>
        <w:tc>
          <w:tcPr>
            <w:tcW w:w="321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香港广场</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1011A</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号房（合肥）</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z w:val="18"/>
              </w:rPr>
              <w:t>852,932.00</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宋体" w:hAnsi="宋体" w:cs="宋体" w:eastAsia="宋体" w:hint="default"/>
                <w:sz w:val="18"/>
                <w:szCs w:val="18"/>
              </w:rPr>
              <w:t>整栋楼盘统一办理</w:t>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43" w:right="0"/>
              <w:jc w:val="left"/>
              <w:rPr>
                <w:rFonts w:ascii="宋体" w:hAnsi="宋体" w:cs="宋体" w:eastAsia="宋体" w:hint="default"/>
                <w:sz w:val="18"/>
                <w:szCs w:val="18"/>
              </w:rPr>
            </w:pPr>
            <w:r>
              <w:rPr>
                <w:rFonts w:ascii="宋体" w:hAnsi="宋体" w:cs="宋体" w:eastAsia="宋体" w:hint="default"/>
                <w:sz w:val="18"/>
                <w:szCs w:val="18"/>
              </w:rPr>
              <w:t>未确定权证办结时间</w:t>
            </w:r>
          </w:p>
        </w:tc>
      </w:tr>
      <w:tr>
        <w:trPr>
          <w:trHeight w:val="322" w:hRule="exact"/>
        </w:trPr>
        <w:tc>
          <w:tcPr>
            <w:tcW w:w="321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铂宫国际</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1909 </w:t>
            </w:r>
            <w:r>
              <w:rPr>
                <w:rFonts w:ascii="宋体" w:hAnsi="宋体" w:cs="宋体" w:eastAsia="宋体" w:hint="default"/>
                <w:sz w:val="18"/>
                <w:szCs w:val="18"/>
              </w:rPr>
              <w:t>号房（南宁）</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966,920.00</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整栋楼盘统一办理</w:t>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43" w:right="0"/>
              <w:jc w:val="left"/>
              <w:rPr>
                <w:rFonts w:ascii="宋体" w:hAnsi="宋体" w:cs="宋体" w:eastAsia="宋体" w:hint="default"/>
                <w:sz w:val="18"/>
                <w:szCs w:val="18"/>
              </w:rPr>
            </w:pPr>
            <w:r>
              <w:rPr>
                <w:rFonts w:ascii="宋体" w:hAnsi="宋体" w:cs="宋体" w:eastAsia="宋体" w:hint="default"/>
                <w:sz w:val="18"/>
                <w:szCs w:val="18"/>
              </w:rPr>
              <w:t>未确定权证办结时间</w:t>
            </w:r>
          </w:p>
        </w:tc>
      </w:tr>
      <w:tr>
        <w:trPr>
          <w:trHeight w:val="321" w:hRule="exact"/>
        </w:trPr>
        <w:tc>
          <w:tcPr>
            <w:tcW w:w="321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武汉房产</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1,374,160.32</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整栋楼盘统一办理</w:t>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43" w:right="0"/>
              <w:jc w:val="left"/>
              <w:rPr>
                <w:rFonts w:ascii="宋体" w:hAnsi="宋体" w:cs="宋体" w:eastAsia="宋体" w:hint="default"/>
                <w:sz w:val="18"/>
                <w:szCs w:val="18"/>
              </w:rPr>
            </w:pPr>
            <w:r>
              <w:rPr>
                <w:rFonts w:ascii="宋体" w:hAnsi="宋体" w:cs="宋体" w:eastAsia="宋体" w:hint="default"/>
                <w:sz w:val="18"/>
                <w:szCs w:val="18"/>
              </w:rPr>
              <w:t>未确定权证办结时间</w:t>
            </w:r>
          </w:p>
        </w:tc>
      </w:tr>
      <w:tr>
        <w:trPr>
          <w:trHeight w:val="323" w:hRule="exact"/>
        </w:trPr>
        <w:tc>
          <w:tcPr>
            <w:tcW w:w="321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汇景国际</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号（石家庄）</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z w:val="18"/>
              </w:rPr>
              <w:t>895,563.00</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宋体" w:hAnsi="宋体" w:cs="宋体" w:eastAsia="宋体" w:hint="default"/>
                <w:sz w:val="18"/>
                <w:szCs w:val="18"/>
              </w:rPr>
              <w:t>待办中</w:t>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43" w:right="0"/>
              <w:jc w:val="left"/>
              <w:rPr>
                <w:rFonts w:ascii="宋体" w:hAnsi="宋体" w:cs="宋体" w:eastAsia="宋体" w:hint="default"/>
                <w:sz w:val="18"/>
                <w:szCs w:val="18"/>
              </w:rPr>
            </w:pPr>
            <w:r>
              <w:rPr>
                <w:rFonts w:ascii="宋体" w:hAnsi="宋体" w:cs="宋体" w:eastAsia="宋体" w:hint="default"/>
                <w:sz w:val="18"/>
                <w:szCs w:val="18"/>
              </w:rPr>
              <w:t>未确定权证办结时间</w:t>
            </w:r>
          </w:p>
        </w:tc>
      </w:tr>
      <w:tr>
        <w:trPr>
          <w:trHeight w:val="320" w:hRule="exact"/>
        </w:trPr>
        <w:tc>
          <w:tcPr>
            <w:tcW w:w="321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长春办事处房产（兆丰国际）</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2,187,863.00</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待办中</w:t>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43" w:right="0"/>
              <w:jc w:val="left"/>
              <w:rPr>
                <w:rFonts w:ascii="宋体" w:hAnsi="宋体" w:cs="宋体" w:eastAsia="宋体" w:hint="default"/>
                <w:sz w:val="18"/>
                <w:szCs w:val="18"/>
              </w:rPr>
            </w:pPr>
            <w:r>
              <w:rPr>
                <w:rFonts w:ascii="宋体" w:hAnsi="宋体" w:cs="宋体" w:eastAsia="宋体" w:hint="default"/>
                <w:sz w:val="18"/>
                <w:szCs w:val="18"/>
              </w:rPr>
              <w:t>未确定权证办结时间</w:t>
            </w:r>
          </w:p>
        </w:tc>
      </w:tr>
      <w:tr>
        <w:trPr>
          <w:trHeight w:val="322" w:hRule="exact"/>
        </w:trPr>
        <w:tc>
          <w:tcPr>
            <w:tcW w:w="321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成都房产（喜年广场）</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1,396,926.00</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待办中</w:t>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43" w:right="0"/>
              <w:jc w:val="left"/>
              <w:rPr>
                <w:rFonts w:ascii="宋体" w:hAnsi="宋体" w:cs="宋体" w:eastAsia="宋体" w:hint="default"/>
                <w:sz w:val="18"/>
                <w:szCs w:val="18"/>
              </w:rPr>
            </w:pPr>
            <w:r>
              <w:rPr>
                <w:rFonts w:ascii="宋体" w:hAnsi="宋体" w:cs="宋体" w:eastAsia="宋体" w:hint="default"/>
                <w:sz w:val="18"/>
                <w:szCs w:val="18"/>
              </w:rPr>
              <w:t>未确定权证办结时间</w:t>
            </w:r>
          </w:p>
        </w:tc>
      </w:tr>
      <w:tr>
        <w:trPr>
          <w:trHeight w:val="329" w:hRule="exact"/>
        </w:trPr>
        <w:tc>
          <w:tcPr>
            <w:tcW w:w="3214"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241"/>
              <w:jc w:val="center"/>
              <w:rPr>
                <w:rFonts w:ascii="宋体" w:hAnsi="宋体" w:cs="宋体" w:eastAsia="宋体" w:hint="default"/>
                <w:sz w:val="18"/>
                <w:szCs w:val="18"/>
              </w:rPr>
            </w:pPr>
            <w:r>
              <w:rPr>
                <w:rFonts w:ascii="宋体" w:hAnsi="宋体" w:cs="宋体" w:eastAsia="宋体" w:hint="default"/>
                <w:sz w:val="18"/>
                <w:szCs w:val="18"/>
              </w:rPr>
              <w:t>合计</w:t>
            </w:r>
          </w:p>
        </w:tc>
        <w:tc>
          <w:tcPr>
            <w:tcW w:w="1445"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70,706,840.44</w:t>
            </w:r>
          </w:p>
        </w:tc>
        <w:tc>
          <w:tcPr>
            <w:tcW w:w="1891" w:type="dxa"/>
            <w:tcBorders>
              <w:top w:val="nil" w:sz="6" w:space="0" w:color="auto"/>
              <w:left w:val="nil" w:sz="6" w:space="0" w:color="auto"/>
              <w:bottom w:val="single" w:sz="12" w:space="0" w:color="000000"/>
              <w:right w:val="nil" w:sz="6" w:space="0" w:color="auto"/>
            </w:tcBorders>
          </w:tcPr>
          <w:p>
            <w:pPr/>
          </w:p>
        </w:tc>
        <w:tc>
          <w:tcPr>
            <w:tcW w:w="2504" w:type="dxa"/>
            <w:tcBorders>
              <w:top w:val="nil" w:sz="6" w:space="0" w:color="auto"/>
              <w:left w:val="nil" w:sz="6" w:space="0" w:color="auto"/>
              <w:bottom w:val="single" w:sz="12" w:space="0" w:color="000000"/>
              <w:right w:val="nil" w:sz="6" w:space="0" w:color="auto"/>
            </w:tcBorders>
          </w:tcPr>
          <w:p>
            <w:pPr/>
          </w:p>
        </w:tc>
      </w:tr>
    </w:tbl>
    <w:p>
      <w:pPr>
        <w:spacing w:line="240" w:lineRule="auto" w:before="11"/>
        <w:rPr>
          <w:rFonts w:ascii="宋体" w:hAnsi="宋体" w:cs="宋体" w:eastAsia="宋体" w:hint="default"/>
          <w:b/>
          <w:bCs/>
          <w:sz w:val="21"/>
          <w:szCs w:val="21"/>
        </w:rPr>
      </w:pPr>
    </w:p>
    <w:p>
      <w:pPr>
        <w:spacing w:before="35"/>
        <w:ind w:left="895" w:right="2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、年末无通过融资租赁租入的固定资产。</w:t>
      </w:r>
      <w:r>
        <w:rPr>
          <w:rFonts w:ascii="宋体" w:hAnsi="宋体" w:cs="宋体" w:eastAsia="宋体" w:hint="default"/>
          <w:sz w:val="21"/>
          <w:szCs w:val="21"/>
        </w:rPr>
      </w:r>
    </w:p>
    <w:p>
      <w:pPr>
        <w:spacing w:before="79"/>
        <w:ind w:left="895" w:right="2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、年末无通过经营租赁租出的固定资产。</w:t>
      </w:r>
      <w:r>
        <w:rPr>
          <w:rFonts w:ascii="宋体" w:hAnsi="宋体" w:cs="宋体" w:eastAsia="宋体" w:hint="default"/>
          <w:sz w:val="21"/>
          <w:szCs w:val="21"/>
        </w:rPr>
      </w:r>
    </w:p>
    <w:p>
      <w:pPr>
        <w:spacing w:before="79"/>
        <w:ind w:left="895" w:right="2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、年末无暂时闲置的固定资产。</w:t>
      </w:r>
      <w:r>
        <w:rPr>
          <w:rFonts w:ascii="宋体" w:hAnsi="宋体" w:cs="宋体" w:eastAsia="宋体" w:hint="default"/>
          <w:sz w:val="21"/>
          <w:szCs w:val="21"/>
        </w:rPr>
      </w:r>
    </w:p>
    <w:p>
      <w:pPr>
        <w:spacing w:before="80"/>
        <w:ind w:left="895" w:right="2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、年末无持有待售的固定资产情况。</w:t>
      </w:r>
      <w:r>
        <w:rPr>
          <w:rFonts w:ascii="宋体" w:hAnsi="宋体" w:cs="宋体" w:eastAsia="宋体" w:hint="default"/>
          <w:sz w:val="21"/>
          <w:szCs w:val="21"/>
        </w:rPr>
      </w:r>
    </w:p>
    <w:p>
      <w:pPr>
        <w:spacing w:line="240" w:lineRule="auto" w:before="10"/>
        <w:rPr>
          <w:rFonts w:ascii="宋体" w:hAnsi="宋体" w:cs="宋体" w:eastAsia="宋体" w:hint="default"/>
          <w:b/>
          <w:bCs/>
          <w:sz w:val="26"/>
          <w:szCs w:val="26"/>
        </w:rPr>
      </w:pPr>
    </w:p>
    <w:p>
      <w:pPr>
        <w:tabs>
          <w:tab w:pos="993" w:val="left" w:leader="none"/>
        </w:tabs>
        <w:spacing w:before="0"/>
        <w:ind w:left="265" w:right="235"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十</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在建工程</w:t>
      </w:r>
      <w:r>
        <w:rPr>
          <w:rFonts w:ascii="宋体" w:hAnsi="宋体" w:cs="宋体" w:eastAsia="宋体" w:hint="default"/>
          <w:sz w:val="21"/>
          <w:szCs w:val="21"/>
        </w:rPr>
      </w:r>
    </w:p>
    <w:p>
      <w:pPr>
        <w:tabs>
          <w:tab w:pos="1434" w:val="left" w:leader="none"/>
        </w:tabs>
        <w:spacing w:before="79"/>
        <w:ind w:left="895" w:right="235"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在建工程情况</w:t>
      </w:r>
      <w:r>
        <w:rPr>
          <w:rFonts w:ascii="宋体" w:hAnsi="宋体" w:cs="宋体" w:eastAsia="宋体" w:hint="default"/>
          <w:sz w:val="21"/>
          <w:szCs w:val="21"/>
        </w:rPr>
      </w:r>
    </w:p>
    <w:p>
      <w:pPr>
        <w:spacing w:line="1327" w:lineRule="exact"/>
        <w:ind w:left="142"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56.1pt;height:66.4pt;mso-position-horizontal-relative:char;mso-position-vertical-relative:line" coordorigin="0,0" coordsize="9122,1328">
            <v:group style="position:absolute;left:29;top:15;width:9062;height:2" coordorigin="29,15" coordsize="9062,2">
              <v:shape style="position:absolute;left:29;top:15;width:9062;height:2" coordorigin="29,15" coordsize="9062,0" path="m29,15l9091,15e" filled="false" stroked="true" strokeweight="1.5pt" strokecolor="#000000">
                <v:path arrowok="t"/>
              </v:shape>
              <v:shape style="position:absolute;left:1780;top:1;width:3636;height:370" type="#_x0000_t75" stroked="false">
                <v:imagedata r:id="rId161" o:title=""/>
              </v:shape>
            </v:group>
            <v:group style="position:absolute;left:15;top:1312;width:1794;height:2" coordorigin="15,1312" coordsize="1794,2">
              <v:shape style="position:absolute;left:15;top:1312;width:1794;height:2" coordorigin="15,1312" coordsize="1794,0" path="m15,1312l1809,1312e" filled="false" stroked="true" strokeweight="1.5pt" strokecolor="#000000">
                <v:path arrowok="t"/>
              </v:shape>
              <v:shape style="position:absolute;left:1;top:313;width:9121;height:1013" type="#_x0000_t75" stroked="false">
                <v:imagedata r:id="rId162" o:title=""/>
              </v:shape>
            </v:group>
            <v:group style="position:absolute;left:1809;top:1312;width:1324;height:2" coordorigin="1809,1312" coordsize="1324,2">
              <v:shape style="position:absolute;left:1809;top:1312;width:1324;height:2" coordorigin="1809,1312" coordsize="1324,0" path="m1809,1312l3133,1312e" filled="false" stroked="true" strokeweight="1.5pt" strokecolor="#000000">
                <v:path arrowok="t"/>
              </v:shape>
              <v:shape style="position:absolute;left:3104;top:644;width:67;height:682" type="#_x0000_t75" stroked="false">
                <v:imagedata r:id="rId163" o:title=""/>
              </v:shape>
            </v:group>
            <v:group style="position:absolute;left:3133;top:1312;width:970;height:2" coordorigin="3133,1312" coordsize="970,2">
              <v:shape style="position:absolute;left:3133;top:1312;width:970;height:2" coordorigin="3133,1312" coordsize="970,0" path="m3133,1312l4102,1312e" filled="false" stroked="true" strokeweight="1.5pt" strokecolor="#000000">
                <v:path arrowok="t"/>
              </v:shape>
              <v:shape style="position:absolute;left:4073;top:644;width:67;height:682" type="#_x0000_t75" stroked="false">
                <v:imagedata r:id="rId163" o:title=""/>
              </v:shape>
            </v:group>
            <v:group style="position:absolute;left:4102;top:1312;width:1276;height:2" coordorigin="4102,1312" coordsize="1276,2">
              <v:shape style="position:absolute;left:4102;top:1312;width:1276;height:2" coordorigin="4102,1312" coordsize="1276,0" path="m4102,1312l5378,1312e" filled="false" stroked="true" strokeweight="1.5pt" strokecolor="#000000">
                <v:path arrowok="t"/>
              </v:shape>
              <v:shape style="position:absolute;left:5349;top:644;width:67;height:682" type="#_x0000_t75" stroked="false">
                <v:imagedata r:id="rId163" o:title=""/>
              </v:shape>
            </v:group>
            <v:group style="position:absolute;left:5378;top:1312;width:1419;height:2" coordorigin="5378,1312" coordsize="1419,2">
              <v:shape style="position:absolute;left:5378;top:1312;width:1419;height:2" coordorigin="5378,1312" coordsize="1419,0" path="m5378,1312l6796,1312e" filled="false" stroked="true" strokeweight="1.5pt" strokecolor="#000000">
                <v:path arrowok="t"/>
              </v:shape>
              <v:shape style="position:absolute;left:6767;top:644;width:67;height:682" type="#_x0000_t75" stroked="false">
                <v:imagedata r:id="rId163" o:title=""/>
              </v:shape>
            </v:group>
            <v:group style="position:absolute;left:6796;top:1312;width:992;height:2" coordorigin="6796,1312" coordsize="992,2">
              <v:shape style="position:absolute;left:6796;top:1312;width:992;height:2" coordorigin="6796,1312" coordsize="992,0" path="m6796,1312l7787,1312e" filled="false" stroked="true" strokeweight="1.5pt" strokecolor="#000000">
                <v:path arrowok="t"/>
              </v:shape>
              <v:shape style="position:absolute;left:7759;top:644;width:67;height:682" type="#_x0000_t75" stroked="false">
                <v:imagedata r:id="rId163" o:title=""/>
              </v:shape>
            </v:group>
            <v:group style="position:absolute;left:7787;top:1312;width:1304;height:2" coordorigin="7787,1312" coordsize="1304,2">
              <v:shape style="position:absolute;left:7787;top:1312;width:1304;height:2" coordorigin="7787,1312" coordsize="1304,0" path="m7787,1312l9091,1312e" filled="false" stroked="true" strokeweight="1.5pt" strokecolor="#000000">
                <v:path arrowok="t"/>
              </v:shape>
              <v:shape style="position:absolute;left:741;top:25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2115;top:96;width:1866;height:502" type="#_x0000_t202" filled="false" stroked="false">
                <v:textbox inset="0,0,0,0">
                  <w:txbxContent>
                    <w:p>
                      <w:pPr>
                        <w:spacing w:line="180" w:lineRule="exact" w:before="0"/>
                        <w:ind w:left="1123"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p>
                      <w:pPr>
                        <w:tabs>
                          <w:tab w:pos="1145" w:val="left" w:leader="none"/>
                        </w:tabs>
                        <w:spacing w:before="86"/>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tab/>
                        <w:t>减值准备</w:t>
                      </w:r>
                    </w:p>
                  </w:txbxContent>
                </v:textbox>
                <w10:wrap type="none"/>
              </v:shape>
              <v:shape style="position:absolute;left:4383;top:41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5732;top:41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6877;top:96;width:779;height:502" type="#_x0000_t202" filled="false" stroked="false">
                <v:textbox inset="0,0,0,0">
                  <w:txbxContent>
                    <w:p>
                      <w:pPr>
                        <w:spacing w:line="180" w:lineRule="exact" w:before="0"/>
                        <w:ind w:left="58" w:right="0" w:hanging="59"/>
                        <w:jc w:val="left"/>
                        <w:rPr>
                          <w:rFonts w:ascii="宋体" w:hAnsi="宋体" w:cs="宋体" w:eastAsia="宋体" w:hint="default"/>
                          <w:sz w:val="18"/>
                          <w:szCs w:val="18"/>
                        </w:rPr>
                      </w:pPr>
                      <w:r>
                        <w:rPr>
                          <w:rFonts w:ascii="宋体" w:hAnsi="宋体" w:cs="宋体" w:eastAsia="宋体" w:hint="default"/>
                          <w:sz w:val="18"/>
                          <w:szCs w:val="18"/>
                        </w:rPr>
                        <w:t>年初余额</w:t>
                      </w:r>
                    </w:p>
                    <w:p>
                      <w:pPr>
                        <w:spacing w:before="86"/>
                        <w:ind w:left="58" w:right="0" w:firstLine="0"/>
                        <w:jc w:val="left"/>
                        <w:rPr>
                          <w:rFonts w:ascii="宋体" w:hAnsi="宋体" w:cs="宋体" w:eastAsia="宋体" w:hint="default"/>
                          <w:sz w:val="18"/>
                          <w:szCs w:val="18"/>
                        </w:rPr>
                      </w:pPr>
                      <w:r>
                        <w:rPr>
                          <w:rFonts w:ascii="宋体" w:hAnsi="宋体" w:cs="宋体" w:eastAsia="宋体" w:hint="default"/>
                          <w:sz w:val="18"/>
                          <w:szCs w:val="18"/>
                        </w:rPr>
                        <w:t>减值准备</w:t>
                      </w:r>
                    </w:p>
                  </w:txbxContent>
                </v:textbox>
                <w10:wrap type="none"/>
              </v:shape>
              <v:shape style="position:absolute;left:8081;top:41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137;top:739;width:1574;height:492"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长春高琦 </w:t>
                      </w:r>
                      <w:r>
                        <w:rPr>
                          <w:rFonts w:ascii="Times New Roman" w:hAnsi="Times New Roman" w:cs="Times New Roman" w:eastAsia="Times New Roman" w:hint="default"/>
                          <w:sz w:val="18"/>
                          <w:szCs w:val="18"/>
                        </w:rPr>
                        <w:t>300 </w:t>
                      </w:r>
                      <w:r>
                        <w:rPr>
                          <w:rFonts w:ascii="Times New Roman" w:hAnsi="Times New Roman" w:cs="Times New Roman" w:eastAsia="Times New Roman" w:hint="default"/>
                          <w:spacing w:val="9"/>
                          <w:sz w:val="18"/>
                          <w:szCs w:val="18"/>
                        </w:rPr>
                        <w:t> </w:t>
                      </w:r>
                      <w:r>
                        <w:rPr>
                          <w:rFonts w:ascii="宋体" w:hAnsi="宋体" w:cs="宋体" w:eastAsia="宋体" w:hint="default"/>
                          <w:spacing w:val="6"/>
                          <w:sz w:val="18"/>
                          <w:szCs w:val="18"/>
                        </w:rPr>
                        <w:t>吨聚</w:t>
                      </w:r>
                      <w:r>
                        <w:rPr>
                          <w:rFonts w:ascii="宋体" w:hAnsi="宋体" w:cs="宋体" w:eastAsia="宋体" w:hint="default"/>
                          <w:sz w:val="18"/>
                          <w:szCs w:val="18"/>
                        </w:rPr>
                      </w:r>
                    </w:p>
                    <w:p>
                      <w:pPr>
                        <w:spacing w:before="63"/>
                        <w:ind w:left="0" w:right="0" w:firstLine="0"/>
                        <w:jc w:val="left"/>
                        <w:rPr>
                          <w:rFonts w:ascii="宋体" w:hAnsi="宋体" w:cs="宋体" w:eastAsia="宋体" w:hint="default"/>
                          <w:sz w:val="18"/>
                          <w:szCs w:val="18"/>
                        </w:rPr>
                      </w:pPr>
                      <w:r>
                        <w:rPr>
                          <w:rFonts w:ascii="宋体" w:hAnsi="宋体" w:cs="宋体" w:eastAsia="宋体" w:hint="default"/>
                          <w:sz w:val="18"/>
                          <w:szCs w:val="18"/>
                        </w:rPr>
                        <w:t>酰亚胺纤维项目</w:t>
                      </w:r>
                    </w:p>
                  </w:txbxContent>
                </v:textbox>
                <w10:wrap type="none"/>
              </v:shape>
              <v:shape style="position:absolute;left:2085;top:90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2,513,874.26</w:t>
                      </w:r>
                    </w:p>
                  </w:txbxContent>
                </v:textbox>
                <w10:wrap type="none"/>
              </v:shape>
              <v:shape style="position:absolute;left:3818;top:903;width:2877;height:180" type="#_x0000_t202" filled="false" stroked="false">
                <v:textbox inset="0,0,0,0">
                  <w:txbxContent>
                    <w:p>
                      <w:pPr>
                        <w:tabs>
                          <w:tab w:pos="511" w:val="left" w:leader="none"/>
                          <w:tab w:pos="1840"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2,513,874.26</w:t>
                        <w:tab/>
                        <w:t>10,126,624.20</w:t>
                      </w:r>
                    </w:p>
                  </w:txbxContent>
                </v:textbox>
                <w10:wrap type="none"/>
              </v:shape>
              <v:shape style="position:absolute;left:7504;top:903;width:1480;height:180" type="#_x0000_t202" filled="false" stroked="false">
                <v:textbox inset="0,0,0,0">
                  <w:txbxContent>
                    <w:p>
                      <w:pPr>
                        <w:tabs>
                          <w:tab w:pos="444"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10,126,624.20</w:t>
                      </w:r>
                      <w:r>
                        <w:rPr>
                          <w:rFonts w:ascii="Times New Roman"/>
                          <w:sz w:val="18"/>
                        </w:rPr>
                      </w:r>
                    </w:p>
                  </w:txbxContent>
                </v:textbox>
                <w10:wrap type="none"/>
              </v:shape>
            </v:group>
          </v:group>
        </w:pict>
      </w:r>
      <w:r>
        <w:rPr>
          <w:rFonts w:ascii="宋体" w:hAnsi="宋体" w:cs="宋体" w:eastAsia="宋体" w:hint="default"/>
          <w:position w:val="-26"/>
          <w:sz w:val="20"/>
          <w:szCs w:val="20"/>
        </w:rPr>
      </w:r>
    </w:p>
    <w:p>
      <w:pPr>
        <w:spacing w:after="0" w:line="1327" w:lineRule="exact"/>
        <w:rPr>
          <w:rFonts w:ascii="宋体" w:hAnsi="宋体" w:cs="宋体" w:eastAsia="宋体" w:hint="default"/>
          <w:sz w:val="20"/>
          <w:szCs w:val="20"/>
        </w:rPr>
        <w:sectPr>
          <w:pgSz w:w="11910" w:h="16840"/>
          <w:pgMar w:header="686" w:footer="1270" w:top="1360" w:bottom="1460" w:left="1520" w:right="1000"/>
        </w:sectPr>
      </w:pPr>
    </w:p>
    <w:p>
      <w:pPr>
        <w:spacing w:line="240" w:lineRule="auto" w:before="3"/>
        <w:rPr>
          <w:rFonts w:ascii="Times New Roman" w:hAnsi="Times New Roman" w:cs="Times New Roman" w:eastAsia="Times New Roman" w:hint="default"/>
          <w:sz w:val="26"/>
          <w:szCs w:val="26"/>
        </w:rPr>
      </w:pPr>
      <w:r>
        <w:rPr/>
        <w:pict>
          <v:group style="position:absolute;margin-left:83.160004pt;margin-top:83.099998pt;width:456.1pt;height:175.15pt;mso-position-horizontal-relative:page;mso-position-vertical-relative:page;z-index:-779128" coordorigin="1663,1662" coordsize="9122,3503">
            <v:shape style="position:absolute;left:3450;top:1662;width:6031;height:979" type="#_x0000_t75" stroked="false">
              <v:imagedata r:id="rId164" o:title=""/>
            </v:shape>
            <v:shape style="position:absolute;left:1663;top:2591;width:9121;height:2574" type="#_x0000_t75" stroked="false">
              <v:imagedata r:id="rId165" o:title=""/>
            </v:shape>
            <w10:wrap type="none"/>
          </v:group>
        </w:pict>
      </w:r>
    </w:p>
    <w:tbl>
      <w:tblPr>
        <w:tblW w:w="0" w:type="auto"/>
        <w:jc w:val="left"/>
        <w:tblInd w:w="157" w:type="dxa"/>
        <w:tblLayout w:type="fixed"/>
        <w:tblCellMar>
          <w:top w:w="0" w:type="dxa"/>
          <w:left w:w="0" w:type="dxa"/>
          <w:bottom w:w="0" w:type="dxa"/>
          <w:right w:w="0" w:type="dxa"/>
        </w:tblCellMar>
        <w:tblLook w:val="01E0"/>
      </w:tblPr>
      <w:tblGrid>
        <w:gridCol w:w="1844"/>
        <w:gridCol w:w="1565"/>
        <w:gridCol w:w="694"/>
        <w:gridCol w:w="1348"/>
        <w:gridCol w:w="1633"/>
        <w:gridCol w:w="717"/>
        <w:gridCol w:w="1202"/>
        <w:gridCol w:w="72"/>
      </w:tblGrid>
      <w:tr>
        <w:trPr>
          <w:trHeight w:val="643" w:hRule="exact"/>
        </w:trPr>
        <w:tc>
          <w:tcPr>
            <w:tcW w:w="1844" w:type="dxa"/>
            <w:tcBorders>
              <w:top w:val="single" w:sz="12" w:space="0" w:color="000000"/>
              <w:left w:val="nil" w:sz="6" w:space="0" w:color="auto"/>
              <w:bottom w:val="nil" w:sz="6" w:space="0" w:color="auto"/>
              <w:right w:val="nil" w:sz="6" w:space="0" w:color="auto"/>
            </w:tcBorders>
          </w:tcPr>
          <w:p>
            <w:pPr>
              <w:pStyle w:val="TableParagraph"/>
              <w:spacing w:line="316" w:lineRule="auto" w:before="10"/>
              <w:ind w:left="122" w:right="134"/>
              <w:jc w:val="left"/>
              <w:rPr>
                <w:rFonts w:ascii="宋体" w:hAnsi="宋体" w:cs="宋体" w:eastAsia="宋体" w:hint="default"/>
                <w:sz w:val="18"/>
                <w:szCs w:val="18"/>
              </w:rPr>
            </w:pPr>
            <w:r>
              <w:rPr>
                <w:rFonts w:ascii="宋体" w:hAnsi="宋体" w:cs="宋体" w:eastAsia="宋体" w:hint="default"/>
                <w:spacing w:val="15"/>
                <w:sz w:val="18"/>
                <w:szCs w:val="18"/>
              </w:rPr>
              <w:t>吉林高琦高性能耐</w:t>
            </w:r>
            <w:r>
              <w:rPr>
                <w:rFonts w:ascii="宋体" w:hAnsi="宋体" w:cs="宋体" w:eastAsia="宋体" w:hint="default"/>
                <w:spacing w:val="-84"/>
                <w:sz w:val="18"/>
                <w:szCs w:val="18"/>
              </w:rPr>
              <w:t> </w:t>
            </w:r>
            <w:r>
              <w:rPr>
                <w:rFonts w:ascii="宋体" w:hAnsi="宋体" w:cs="宋体" w:eastAsia="宋体" w:hint="default"/>
                <w:spacing w:val="15"/>
                <w:sz w:val="18"/>
                <w:szCs w:val="18"/>
              </w:rPr>
              <w:t>热聚酰亚胺纤维项</w:t>
            </w:r>
            <w:r>
              <w:rPr>
                <w:rFonts w:ascii="宋体" w:hAnsi="宋体" w:cs="宋体" w:eastAsia="宋体" w:hint="default"/>
                <w:spacing w:val="-72"/>
                <w:sz w:val="18"/>
                <w:szCs w:val="18"/>
              </w:rPr>
              <w:t> </w:t>
            </w:r>
            <w:r>
              <w:rPr>
                <w:rFonts w:ascii="宋体" w:hAnsi="宋体" w:cs="宋体" w:eastAsia="宋体" w:hint="default"/>
                <w:sz w:val="18"/>
                <w:szCs w:val="18"/>
              </w:rPr>
            </w:r>
          </w:p>
        </w:tc>
        <w:tc>
          <w:tcPr>
            <w:tcW w:w="156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391"/>
              <w:jc w:val="right"/>
              <w:rPr>
                <w:rFonts w:ascii="Times New Roman" w:hAnsi="Times New Roman" w:cs="Times New Roman" w:eastAsia="Times New Roman" w:hint="default"/>
                <w:sz w:val="18"/>
                <w:szCs w:val="18"/>
              </w:rPr>
            </w:pPr>
            <w:r>
              <w:rPr>
                <w:rFonts w:ascii="Times New Roman"/>
                <w:spacing w:val="-1"/>
                <w:sz w:val="18"/>
              </w:rPr>
              <w:t>73,339,347.22</w:t>
            </w:r>
          </w:p>
        </w:tc>
        <w:tc>
          <w:tcPr>
            <w:tcW w:w="694"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118"/>
              <w:jc w:val="right"/>
              <w:rPr>
                <w:rFonts w:ascii="Times New Roman" w:hAnsi="Times New Roman" w:cs="Times New Roman" w:eastAsia="Times New Roman" w:hint="default"/>
                <w:sz w:val="18"/>
                <w:szCs w:val="18"/>
              </w:rPr>
            </w:pPr>
            <w:r>
              <w:rPr>
                <w:rFonts w:ascii="Times New Roman"/>
                <w:sz w:val="18"/>
              </w:rPr>
              <w:t>---</w:t>
            </w:r>
          </w:p>
        </w:tc>
        <w:tc>
          <w:tcPr>
            <w:tcW w:w="1348"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190"/>
              <w:jc w:val="right"/>
              <w:rPr>
                <w:rFonts w:ascii="Times New Roman" w:hAnsi="Times New Roman" w:cs="Times New Roman" w:eastAsia="Times New Roman" w:hint="default"/>
                <w:sz w:val="18"/>
                <w:szCs w:val="18"/>
              </w:rPr>
            </w:pPr>
            <w:r>
              <w:rPr>
                <w:rFonts w:ascii="Times New Roman"/>
                <w:spacing w:val="-1"/>
                <w:sz w:val="18"/>
              </w:rPr>
              <w:t>73,339,347.22</w:t>
            </w:r>
          </w:p>
        </w:tc>
        <w:tc>
          <w:tcPr>
            <w:tcW w:w="163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403"/>
              <w:jc w:val="right"/>
              <w:rPr>
                <w:rFonts w:ascii="Times New Roman" w:hAnsi="Times New Roman" w:cs="Times New Roman" w:eastAsia="Times New Roman" w:hint="default"/>
                <w:sz w:val="18"/>
                <w:szCs w:val="18"/>
              </w:rPr>
            </w:pPr>
            <w:r>
              <w:rPr>
                <w:rFonts w:ascii="Times New Roman"/>
                <w:spacing w:val="-1"/>
                <w:sz w:val="18"/>
              </w:rPr>
              <w:t>22,394,862.77</w:t>
            </w:r>
          </w:p>
        </w:tc>
        <w:tc>
          <w:tcPr>
            <w:tcW w:w="71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130"/>
              <w:jc w:val="right"/>
              <w:rPr>
                <w:rFonts w:ascii="Times New Roman" w:hAnsi="Times New Roman" w:cs="Times New Roman" w:eastAsia="Times New Roman" w:hint="default"/>
                <w:sz w:val="18"/>
                <w:szCs w:val="18"/>
              </w:rPr>
            </w:pPr>
            <w:r>
              <w:rPr>
                <w:rFonts w:ascii="Times New Roman"/>
                <w:sz w:val="18"/>
              </w:rPr>
              <w:t>---</w:t>
            </w:r>
          </w:p>
        </w:tc>
        <w:tc>
          <w:tcPr>
            <w:tcW w:w="120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33"/>
              <w:jc w:val="right"/>
              <w:rPr>
                <w:rFonts w:ascii="Times New Roman" w:hAnsi="Times New Roman" w:cs="Times New Roman" w:eastAsia="Times New Roman" w:hint="default"/>
                <w:sz w:val="18"/>
                <w:szCs w:val="18"/>
              </w:rPr>
            </w:pPr>
            <w:r>
              <w:rPr>
                <w:rFonts w:ascii="Times New Roman"/>
                <w:spacing w:val="-1"/>
                <w:sz w:val="18"/>
              </w:rPr>
              <w:t>22,394,862.77</w:t>
            </w:r>
          </w:p>
        </w:tc>
        <w:tc>
          <w:tcPr>
            <w:tcW w:w="72" w:type="dxa"/>
            <w:vMerge w:val="restart"/>
            <w:tcBorders>
              <w:top w:val="nil" w:sz="6" w:space="0" w:color="auto"/>
              <w:left w:val="nil" w:sz="6" w:space="0" w:color="auto"/>
              <w:right w:val="nil" w:sz="6" w:space="0" w:color="auto"/>
            </w:tcBorders>
          </w:tcPr>
          <w:p>
            <w:pPr/>
          </w:p>
        </w:tc>
      </w:tr>
      <w:tr>
        <w:trPr>
          <w:trHeight w:val="313" w:hRule="exact"/>
        </w:trPr>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6"/>
              <w:ind w:left="122" w:right="0"/>
              <w:jc w:val="left"/>
              <w:rPr>
                <w:rFonts w:ascii="宋体" w:hAnsi="宋体" w:cs="宋体" w:eastAsia="宋体" w:hint="default"/>
                <w:sz w:val="18"/>
                <w:szCs w:val="18"/>
              </w:rPr>
            </w:pPr>
            <w:r>
              <w:rPr>
                <w:rFonts w:ascii="宋体" w:hAnsi="宋体" w:cs="宋体" w:eastAsia="宋体" w:hint="default"/>
                <w:sz w:val="18"/>
                <w:szCs w:val="18"/>
              </w:rPr>
              <w:t>目</w:t>
            </w:r>
          </w:p>
        </w:tc>
        <w:tc>
          <w:tcPr>
            <w:tcW w:w="1565" w:type="dxa"/>
            <w:tcBorders>
              <w:top w:val="nil" w:sz="6" w:space="0" w:color="auto"/>
              <w:left w:val="nil" w:sz="6" w:space="0" w:color="auto"/>
              <w:bottom w:val="nil" w:sz="6" w:space="0" w:color="auto"/>
              <w:right w:val="nil" w:sz="6" w:space="0" w:color="auto"/>
            </w:tcBorders>
          </w:tcPr>
          <w:p>
            <w:pPr/>
          </w:p>
        </w:tc>
        <w:tc>
          <w:tcPr>
            <w:tcW w:w="694" w:type="dxa"/>
            <w:tcBorders>
              <w:top w:val="nil" w:sz="6" w:space="0" w:color="auto"/>
              <w:left w:val="nil" w:sz="6" w:space="0" w:color="auto"/>
              <w:bottom w:val="nil" w:sz="6" w:space="0" w:color="auto"/>
              <w:right w:val="nil" w:sz="6" w:space="0" w:color="auto"/>
            </w:tcBorders>
          </w:tcPr>
          <w:p>
            <w:pPr/>
          </w:p>
        </w:tc>
        <w:tc>
          <w:tcPr>
            <w:tcW w:w="1348"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c>
          <w:tcPr>
            <w:tcW w:w="717"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nil" w:sz="6" w:space="0" w:color="auto"/>
            </w:tcBorders>
          </w:tcPr>
          <w:p>
            <w:pPr/>
          </w:p>
        </w:tc>
        <w:tc>
          <w:tcPr>
            <w:tcW w:w="72" w:type="dxa"/>
            <w:vMerge/>
            <w:tcBorders>
              <w:left w:val="nil" w:sz="6" w:space="0" w:color="auto"/>
              <w:right w:val="nil" w:sz="6" w:space="0" w:color="auto"/>
            </w:tcBorders>
          </w:tcPr>
          <w:p>
            <w:pPr/>
          </w:p>
        </w:tc>
      </w:tr>
      <w:tr>
        <w:trPr>
          <w:trHeight w:val="251" w:hRule="exact"/>
        </w:trPr>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pacing w:val="15"/>
                <w:sz w:val="18"/>
                <w:szCs w:val="18"/>
              </w:rPr>
              <w:t>长春高琦模压机加</w:t>
            </w:r>
            <w:r>
              <w:rPr>
                <w:rFonts w:ascii="宋体" w:hAnsi="宋体" w:cs="宋体" w:eastAsia="宋体" w:hint="default"/>
                <w:spacing w:val="-72"/>
                <w:sz w:val="18"/>
                <w:szCs w:val="18"/>
              </w:rPr>
              <w:t> </w:t>
            </w:r>
            <w:r>
              <w:rPr>
                <w:rFonts w:ascii="宋体" w:hAnsi="宋体" w:cs="宋体" w:eastAsia="宋体" w:hint="default"/>
                <w:sz w:val="18"/>
                <w:szCs w:val="18"/>
              </w:rPr>
            </w:r>
          </w:p>
        </w:tc>
        <w:tc>
          <w:tcPr>
            <w:tcW w:w="1565" w:type="dxa"/>
            <w:tcBorders>
              <w:top w:val="nil" w:sz="6" w:space="0" w:color="auto"/>
              <w:left w:val="nil" w:sz="6" w:space="0" w:color="auto"/>
              <w:bottom w:val="nil" w:sz="6" w:space="0" w:color="auto"/>
              <w:right w:val="nil" w:sz="6" w:space="0" w:color="auto"/>
            </w:tcBorders>
          </w:tcPr>
          <w:p>
            <w:pPr/>
          </w:p>
        </w:tc>
        <w:tc>
          <w:tcPr>
            <w:tcW w:w="694" w:type="dxa"/>
            <w:tcBorders>
              <w:top w:val="nil" w:sz="6" w:space="0" w:color="auto"/>
              <w:left w:val="nil" w:sz="6" w:space="0" w:color="auto"/>
              <w:bottom w:val="nil" w:sz="6" w:space="0" w:color="auto"/>
              <w:right w:val="nil" w:sz="6" w:space="0" w:color="auto"/>
            </w:tcBorders>
          </w:tcPr>
          <w:p>
            <w:pPr/>
          </w:p>
        </w:tc>
        <w:tc>
          <w:tcPr>
            <w:tcW w:w="1348"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c>
          <w:tcPr>
            <w:tcW w:w="717"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nil" w:sz="6" w:space="0" w:color="auto"/>
            </w:tcBorders>
          </w:tcPr>
          <w:p>
            <w:pPr/>
          </w:p>
        </w:tc>
        <w:tc>
          <w:tcPr>
            <w:tcW w:w="72" w:type="dxa"/>
            <w:vMerge/>
            <w:tcBorders>
              <w:left w:val="nil" w:sz="6" w:space="0" w:color="auto"/>
              <w:right w:val="nil" w:sz="6" w:space="0" w:color="auto"/>
            </w:tcBorders>
          </w:tcPr>
          <w:p>
            <w:pPr/>
          </w:p>
        </w:tc>
      </w:tr>
      <w:tr>
        <w:trPr>
          <w:trHeight w:val="634" w:hRule="exact"/>
        </w:trPr>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22" w:right="0"/>
              <w:jc w:val="left"/>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86"/>
              <w:ind w:left="122" w:right="0"/>
              <w:jc w:val="left"/>
              <w:rPr>
                <w:rFonts w:ascii="宋体" w:hAnsi="宋体" w:cs="宋体" w:eastAsia="宋体" w:hint="default"/>
                <w:sz w:val="18"/>
                <w:szCs w:val="18"/>
              </w:rPr>
            </w:pPr>
            <w:r>
              <w:rPr>
                <w:rFonts w:ascii="宋体" w:hAnsi="宋体" w:cs="宋体" w:eastAsia="宋体" w:hint="default"/>
                <w:spacing w:val="15"/>
                <w:sz w:val="18"/>
                <w:szCs w:val="18"/>
              </w:rPr>
              <w:t>长春高琦聚酰亚胺</w:t>
            </w:r>
            <w:r>
              <w:rPr>
                <w:rFonts w:ascii="宋体" w:hAnsi="宋体" w:cs="宋体" w:eastAsia="宋体" w:hint="default"/>
                <w:spacing w:val="-72"/>
                <w:sz w:val="18"/>
                <w:szCs w:val="18"/>
              </w:rPr>
              <w:t> </w:t>
            </w:r>
            <w:r>
              <w:rPr>
                <w:rFonts w:ascii="宋体" w:hAnsi="宋体" w:cs="宋体" w:eastAsia="宋体" w:hint="default"/>
                <w:sz w:val="18"/>
                <w:szCs w:val="18"/>
              </w:rPr>
            </w:r>
          </w:p>
        </w:tc>
        <w:tc>
          <w:tcPr>
            <w:tcW w:w="1565" w:type="dxa"/>
            <w:tcBorders>
              <w:top w:val="nil" w:sz="6" w:space="0" w:color="auto"/>
              <w:left w:val="nil" w:sz="6" w:space="0" w:color="auto"/>
              <w:bottom w:val="nil" w:sz="6" w:space="0" w:color="auto"/>
              <w:right w:val="nil" w:sz="6" w:space="0" w:color="auto"/>
            </w:tcBorders>
          </w:tcPr>
          <w:p>
            <w:pPr>
              <w:pStyle w:val="TableParagraph"/>
              <w:spacing w:line="150" w:lineRule="exact"/>
              <w:ind w:right="39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694" w:type="dxa"/>
            <w:tcBorders>
              <w:top w:val="nil" w:sz="6" w:space="0" w:color="auto"/>
              <w:left w:val="nil" w:sz="6" w:space="0" w:color="auto"/>
              <w:bottom w:val="nil" w:sz="6" w:space="0" w:color="auto"/>
              <w:right w:val="nil" w:sz="6" w:space="0" w:color="auto"/>
            </w:tcBorders>
          </w:tcPr>
          <w:p>
            <w:pPr>
              <w:pStyle w:val="TableParagraph"/>
              <w:spacing w:line="167" w:lineRule="exact"/>
              <w:ind w:right="118"/>
              <w:jc w:val="right"/>
              <w:rPr>
                <w:rFonts w:ascii="Times New Roman" w:hAnsi="Times New Roman" w:cs="Times New Roman" w:eastAsia="Times New Roman" w:hint="default"/>
                <w:sz w:val="18"/>
                <w:szCs w:val="18"/>
              </w:rPr>
            </w:pPr>
            <w:r>
              <w:rPr>
                <w:rFonts w:ascii="Times New Roman"/>
                <w:sz w:val="18"/>
              </w:rPr>
              <w:t>---</w:t>
            </w:r>
          </w:p>
        </w:tc>
        <w:tc>
          <w:tcPr>
            <w:tcW w:w="1348" w:type="dxa"/>
            <w:tcBorders>
              <w:top w:val="nil" w:sz="6" w:space="0" w:color="auto"/>
              <w:left w:val="nil" w:sz="6" w:space="0" w:color="auto"/>
              <w:bottom w:val="nil" w:sz="6" w:space="0" w:color="auto"/>
              <w:right w:val="nil" w:sz="6" w:space="0" w:color="auto"/>
            </w:tcBorders>
          </w:tcPr>
          <w:p>
            <w:pPr>
              <w:pStyle w:val="TableParagraph"/>
              <w:spacing w:line="150" w:lineRule="exact"/>
              <w:ind w:right="19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633" w:type="dxa"/>
            <w:tcBorders>
              <w:top w:val="nil" w:sz="6" w:space="0" w:color="auto"/>
              <w:left w:val="nil" w:sz="6" w:space="0" w:color="auto"/>
              <w:bottom w:val="nil" w:sz="6" w:space="0" w:color="auto"/>
              <w:right w:val="nil" w:sz="6" w:space="0" w:color="auto"/>
            </w:tcBorders>
          </w:tcPr>
          <w:p>
            <w:pPr>
              <w:pStyle w:val="TableParagraph"/>
              <w:spacing w:line="167" w:lineRule="exact"/>
              <w:ind w:right="404"/>
              <w:jc w:val="right"/>
              <w:rPr>
                <w:rFonts w:ascii="Times New Roman" w:hAnsi="Times New Roman" w:cs="Times New Roman" w:eastAsia="Times New Roman" w:hint="default"/>
                <w:sz w:val="18"/>
                <w:szCs w:val="18"/>
              </w:rPr>
            </w:pPr>
            <w:r>
              <w:rPr>
                <w:rFonts w:ascii="Times New Roman"/>
                <w:sz w:val="18"/>
              </w:rPr>
              <w:t>---</w:t>
            </w:r>
          </w:p>
        </w:tc>
        <w:tc>
          <w:tcPr>
            <w:tcW w:w="717" w:type="dxa"/>
            <w:tcBorders>
              <w:top w:val="nil" w:sz="6" w:space="0" w:color="auto"/>
              <w:left w:val="nil" w:sz="6" w:space="0" w:color="auto"/>
              <w:bottom w:val="nil" w:sz="6" w:space="0" w:color="auto"/>
              <w:right w:val="nil" w:sz="6" w:space="0" w:color="auto"/>
            </w:tcBorders>
          </w:tcPr>
          <w:p>
            <w:pPr>
              <w:pStyle w:val="TableParagraph"/>
              <w:spacing w:line="167" w:lineRule="exact"/>
              <w:ind w:right="130"/>
              <w:jc w:val="right"/>
              <w:rPr>
                <w:rFonts w:ascii="Times New Roman" w:hAnsi="Times New Roman" w:cs="Times New Roman" w:eastAsia="Times New Roman" w:hint="default"/>
                <w:sz w:val="18"/>
                <w:szCs w:val="18"/>
              </w:rPr>
            </w:pPr>
            <w:r>
              <w:rPr>
                <w:rFonts w:ascii="Times New Roman"/>
                <w:sz w:val="18"/>
              </w:rPr>
              <w:t>---</w:t>
            </w:r>
          </w:p>
        </w:tc>
        <w:tc>
          <w:tcPr>
            <w:tcW w:w="1202" w:type="dxa"/>
            <w:tcBorders>
              <w:top w:val="nil" w:sz="6" w:space="0" w:color="auto"/>
              <w:left w:val="nil" w:sz="6" w:space="0" w:color="auto"/>
              <w:bottom w:val="nil" w:sz="6" w:space="0" w:color="auto"/>
              <w:right w:val="nil" w:sz="6" w:space="0" w:color="auto"/>
            </w:tcBorders>
          </w:tcPr>
          <w:p>
            <w:pPr>
              <w:pStyle w:val="TableParagraph"/>
              <w:spacing w:line="167" w:lineRule="exact"/>
              <w:ind w:right="34"/>
              <w:jc w:val="right"/>
              <w:rPr>
                <w:rFonts w:ascii="Times New Roman" w:hAnsi="Times New Roman" w:cs="Times New Roman" w:eastAsia="Times New Roman" w:hint="default"/>
                <w:sz w:val="18"/>
                <w:szCs w:val="18"/>
              </w:rPr>
            </w:pPr>
            <w:r>
              <w:rPr>
                <w:rFonts w:ascii="Times New Roman"/>
                <w:sz w:val="18"/>
              </w:rPr>
              <w:t>---</w:t>
            </w:r>
          </w:p>
        </w:tc>
        <w:tc>
          <w:tcPr>
            <w:tcW w:w="72" w:type="dxa"/>
            <w:vMerge/>
            <w:tcBorders>
              <w:left w:val="nil" w:sz="6" w:space="0" w:color="auto"/>
              <w:bottom w:val="nil" w:sz="6" w:space="0" w:color="auto"/>
              <w:right w:val="nil" w:sz="6" w:space="0" w:color="auto"/>
            </w:tcBorders>
          </w:tcPr>
          <w:p>
            <w:pPr/>
          </w:p>
        </w:tc>
      </w:tr>
      <w:tr>
        <w:trPr>
          <w:trHeight w:val="391" w:hRule="exact"/>
        </w:trPr>
        <w:tc>
          <w:tcPr>
            <w:tcW w:w="3409" w:type="dxa"/>
            <w:gridSpan w:val="2"/>
            <w:tcBorders>
              <w:top w:val="nil" w:sz="6" w:space="0" w:color="auto"/>
              <w:left w:val="nil" w:sz="6" w:space="0" w:color="auto"/>
              <w:bottom w:val="nil" w:sz="6" w:space="0" w:color="auto"/>
              <w:right w:val="nil" w:sz="6" w:space="0" w:color="auto"/>
            </w:tcBorders>
          </w:tcPr>
          <w:p>
            <w:pPr>
              <w:pStyle w:val="TableParagraph"/>
              <w:spacing w:line="138" w:lineRule="exact"/>
              <w:ind w:left="2204" w:right="0"/>
              <w:jc w:val="left"/>
              <w:rPr>
                <w:rFonts w:ascii="Times New Roman" w:hAnsi="Times New Roman" w:cs="Times New Roman" w:eastAsia="Times New Roman" w:hint="default"/>
                <w:sz w:val="18"/>
                <w:szCs w:val="18"/>
              </w:rPr>
            </w:pPr>
            <w:r>
              <w:rPr>
                <w:rFonts w:ascii="Times New Roman"/>
                <w:sz w:val="18"/>
              </w:rPr>
              <w:t>133,760.68</w:t>
            </w:r>
          </w:p>
          <w:p>
            <w:pPr>
              <w:pStyle w:val="TableParagraph"/>
              <w:spacing w:line="204"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OLED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项目</w:t>
            </w:r>
          </w:p>
        </w:tc>
        <w:tc>
          <w:tcPr>
            <w:tcW w:w="694" w:type="dxa"/>
            <w:tcBorders>
              <w:top w:val="nil" w:sz="6" w:space="0" w:color="auto"/>
              <w:left w:val="nil" w:sz="6" w:space="0" w:color="auto"/>
              <w:bottom w:val="nil" w:sz="6" w:space="0" w:color="auto"/>
              <w:right w:val="nil" w:sz="6" w:space="0" w:color="auto"/>
            </w:tcBorders>
          </w:tcPr>
          <w:p>
            <w:pPr>
              <w:pStyle w:val="TableParagraph"/>
              <w:spacing w:line="184" w:lineRule="exact"/>
              <w:ind w:right="118"/>
              <w:jc w:val="right"/>
              <w:rPr>
                <w:rFonts w:ascii="Times New Roman" w:hAnsi="Times New Roman" w:cs="Times New Roman" w:eastAsia="Times New Roman" w:hint="default"/>
                <w:sz w:val="18"/>
                <w:szCs w:val="18"/>
              </w:rPr>
            </w:pPr>
            <w:r>
              <w:rPr>
                <w:rFonts w:ascii="Times New Roman"/>
                <w:sz w:val="18"/>
              </w:rPr>
              <w:t>---</w:t>
            </w:r>
          </w:p>
        </w:tc>
        <w:tc>
          <w:tcPr>
            <w:tcW w:w="1348" w:type="dxa"/>
            <w:tcBorders>
              <w:top w:val="nil" w:sz="6" w:space="0" w:color="auto"/>
              <w:left w:val="nil" w:sz="6" w:space="0" w:color="auto"/>
              <w:bottom w:val="nil" w:sz="6" w:space="0" w:color="auto"/>
              <w:right w:val="nil" w:sz="6" w:space="0" w:color="auto"/>
            </w:tcBorders>
          </w:tcPr>
          <w:p>
            <w:pPr>
              <w:pStyle w:val="TableParagraph"/>
              <w:spacing w:line="184" w:lineRule="exact"/>
              <w:ind w:right="190"/>
              <w:jc w:val="right"/>
              <w:rPr>
                <w:rFonts w:ascii="Times New Roman" w:hAnsi="Times New Roman" w:cs="Times New Roman" w:eastAsia="Times New Roman" w:hint="default"/>
                <w:sz w:val="18"/>
                <w:szCs w:val="18"/>
              </w:rPr>
            </w:pPr>
            <w:r>
              <w:rPr>
                <w:rFonts w:ascii="Times New Roman"/>
                <w:sz w:val="18"/>
              </w:rPr>
              <w:t>133,760.68</w:t>
            </w:r>
          </w:p>
        </w:tc>
        <w:tc>
          <w:tcPr>
            <w:tcW w:w="1633" w:type="dxa"/>
            <w:tcBorders>
              <w:top w:val="nil" w:sz="6" w:space="0" w:color="auto"/>
              <w:left w:val="nil" w:sz="6" w:space="0" w:color="auto"/>
              <w:bottom w:val="nil" w:sz="6" w:space="0" w:color="auto"/>
              <w:right w:val="nil" w:sz="6" w:space="0" w:color="auto"/>
            </w:tcBorders>
          </w:tcPr>
          <w:p>
            <w:pPr>
              <w:pStyle w:val="TableParagraph"/>
              <w:spacing w:line="184" w:lineRule="exact"/>
              <w:ind w:right="404"/>
              <w:jc w:val="right"/>
              <w:rPr>
                <w:rFonts w:ascii="Times New Roman" w:hAnsi="Times New Roman" w:cs="Times New Roman" w:eastAsia="Times New Roman" w:hint="default"/>
                <w:sz w:val="18"/>
                <w:szCs w:val="18"/>
              </w:rPr>
            </w:pPr>
            <w:r>
              <w:rPr>
                <w:rFonts w:ascii="Times New Roman"/>
                <w:sz w:val="18"/>
              </w:rPr>
              <w:t>---</w:t>
            </w:r>
          </w:p>
        </w:tc>
        <w:tc>
          <w:tcPr>
            <w:tcW w:w="717" w:type="dxa"/>
            <w:tcBorders>
              <w:top w:val="nil" w:sz="6" w:space="0" w:color="auto"/>
              <w:left w:val="nil" w:sz="6" w:space="0" w:color="auto"/>
              <w:bottom w:val="nil" w:sz="6" w:space="0" w:color="auto"/>
              <w:right w:val="nil" w:sz="6" w:space="0" w:color="auto"/>
            </w:tcBorders>
          </w:tcPr>
          <w:p>
            <w:pPr>
              <w:pStyle w:val="TableParagraph"/>
              <w:spacing w:line="184" w:lineRule="exact"/>
              <w:ind w:right="130"/>
              <w:jc w:val="right"/>
              <w:rPr>
                <w:rFonts w:ascii="Times New Roman" w:hAnsi="Times New Roman" w:cs="Times New Roman" w:eastAsia="Times New Roman" w:hint="default"/>
                <w:sz w:val="18"/>
                <w:szCs w:val="18"/>
              </w:rPr>
            </w:pPr>
            <w:r>
              <w:rPr>
                <w:rFonts w:ascii="Times New Roman"/>
                <w:sz w:val="18"/>
              </w:rPr>
              <w:t>---</w:t>
            </w:r>
          </w:p>
        </w:tc>
        <w:tc>
          <w:tcPr>
            <w:tcW w:w="1274" w:type="dxa"/>
            <w:gridSpan w:val="2"/>
            <w:tcBorders>
              <w:top w:val="nil" w:sz="6" w:space="0" w:color="auto"/>
              <w:left w:val="nil" w:sz="6" w:space="0" w:color="auto"/>
              <w:bottom w:val="nil" w:sz="6" w:space="0" w:color="auto"/>
              <w:right w:val="nil" w:sz="6" w:space="0" w:color="auto"/>
            </w:tcBorders>
          </w:tcPr>
          <w:p>
            <w:pPr>
              <w:pStyle w:val="TableParagraph"/>
              <w:spacing w:line="184" w:lineRule="exact"/>
              <w:ind w:right="106"/>
              <w:jc w:val="right"/>
              <w:rPr>
                <w:rFonts w:ascii="Times New Roman" w:hAnsi="Times New Roman" w:cs="Times New Roman" w:eastAsia="Times New Roman" w:hint="default"/>
                <w:sz w:val="18"/>
                <w:szCs w:val="18"/>
              </w:rPr>
            </w:pPr>
            <w:r>
              <w:rPr>
                <w:rFonts w:ascii="Times New Roman"/>
                <w:sz w:val="18"/>
              </w:rPr>
              <w:t>---</w:t>
            </w:r>
          </w:p>
        </w:tc>
      </w:tr>
      <w:tr>
        <w:trPr>
          <w:trHeight w:val="556" w:hRule="exact"/>
        </w:trPr>
        <w:tc>
          <w:tcPr>
            <w:tcW w:w="3409" w:type="dxa"/>
            <w:gridSpan w:val="2"/>
            <w:tcBorders>
              <w:top w:val="nil" w:sz="6" w:space="0" w:color="auto"/>
              <w:left w:val="nil" w:sz="6" w:space="0" w:color="auto"/>
              <w:bottom w:val="nil" w:sz="6" w:space="0" w:color="auto"/>
              <w:right w:val="nil" w:sz="6" w:space="0" w:color="auto"/>
            </w:tcBorders>
          </w:tcPr>
          <w:p>
            <w:pPr>
              <w:pStyle w:val="TableParagraph"/>
              <w:spacing w:line="216" w:lineRule="exact" w:before="8"/>
              <w:ind w:left="122" w:right="0"/>
              <w:jc w:val="left"/>
              <w:rPr>
                <w:rFonts w:ascii="宋体" w:hAnsi="宋体" w:cs="宋体" w:eastAsia="宋体" w:hint="default"/>
                <w:sz w:val="18"/>
                <w:szCs w:val="18"/>
              </w:rPr>
            </w:pPr>
            <w:r>
              <w:rPr>
                <w:rFonts w:ascii="宋体" w:hAnsi="宋体" w:cs="宋体" w:eastAsia="宋体" w:hint="default"/>
                <w:spacing w:val="15"/>
                <w:sz w:val="18"/>
                <w:szCs w:val="18"/>
              </w:rPr>
              <w:t>江西先材纳米技术</w:t>
            </w:r>
            <w:r>
              <w:rPr>
                <w:rFonts w:ascii="宋体" w:hAnsi="宋体" w:cs="宋体" w:eastAsia="宋体" w:hint="default"/>
                <w:spacing w:val="-72"/>
                <w:sz w:val="18"/>
                <w:szCs w:val="18"/>
              </w:rPr>
              <w:t> </w:t>
            </w:r>
            <w:r>
              <w:rPr>
                <w:rFonts w:ascii="宋体" w:hAnsi="宋体" w:cs="宋体" w:eastAsia="宋体" w:hint="default"/>
                <w:sz w:val="18"/>
                <w:szCs w:val="18"/>
              </w:rPr>
            </w:r>
          </w:p>
          <w:p>
            <w:pPr>
              <w:pStyle w:val="TableParagraph"/>
              <w:spacing w:line="142" w:lineRule="exact"/>
              <w:ind w:left="2070" w:right="0"/>
              <w:jc w:val="left"/>
              <w:rPr>
                <w:rFonts w:ascii="Times New Roman" w:hAnsi="Times New Roman" w:cs="Times New Roman" w:eastAsia="Times New Roman" w:hint="default"/>
                <w:sz w:val="18"/>
                <w:szCs w:val="18"/>
              </w:rPr>
            </w:pPr>
            <w:r>
              <w:rPr>
                <w:rFonts w:ascii="Times New Roman"/>
                <w:sz w:val="18"/>
              </w:rPr>
              <w:t>3,439,238.27</w:t>
            </w:r>
          </w:p>
          <w:p>
            <w:pPr>
              <w:pStyle w:val="TableParagraph"/>
              <w:spacing w:line="190" w:lineRule="exact"/>
              <w:ind w:left="122" w:right="0"/>
              <w:jc w:val="left"/>
              <w:rPr>
                <w:rFonts w:ascii="宋体" w:hAnsi="宋体" w:cs="宋体" w:eastAsia="宋体" w:hint="default"/>
                <w:sz w:val="18"/>
                <w:szCs w:val="18"/>
              </w:rPr>
            </w:pPr>
            <w:r>
              <w:rPr>
                <w:rFonts w:ascii="宋体" w:hAnsi="宋体" w:cs="宋体" w:eastAsia="宋体" w:hint="default"/>
                <w:sz w:val="18"/>
                <w:szCs w:val="18"/>
              </w:rPr>
              <w:t>生产线</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18"/>
              <w:jc w:val="right"/>
              <w:rPr>
                <w:rFonts w:ascii="Times New Roman" w:hAnsi="Times New Roman" w:cs="Times New Roman" w:eastAsia="Times New Roman" w:hint="default"/>
                <w:sz w:val="18"/>
                <w:szCs w:val="18"/>
              </w:rPr>
            </w:pPr>
            <w:r>
              <w:rPr>
                <w:rFonts w:ascii="Times New Roman"/>
                <w:sz w:val="18"/>
              </w:rPr>
              <w:t>---</w:t>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90"/>
              <w:jc w:val="right"/>
              <w:rPr>
                <w:rFonts w:ascii="Times New Roman" w:hAnsi="Times New Roman" w:cs="Times New Roman" w:eastAsia="Times New Roman" w:hint="default"/>
                <w:sz w:val="18"/>
                <w:szCs w:val="18"/>
              </w:rPr>
            </w:pPr>
            <w:r>
              <w:rPr>
                <w:rFonts w:ascii="Times New Roman"/>
                <w:spacing w:val="-1"/>
                <w:sz w:val="18"/>
              </w:rPr>
              <w:t>3,439,238.27</w:t>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402"/>
              <w:jc w:val="right"/>
              <w:rPr>
                <w:rFonts w:ascii="Times New Roman" w:hAnsi="Times New Roman" w:cs="Times New Roman" w:eastAsia="Times New Roman" w:hint="default"/>
                <w:sz w:val="18"/>
                <w:szCs w:val="18"/>
              </w:rPr>
            </w:pPr>
            <w:r>
              <w:rPr>
                <w:rFonts w:ascii="Times New Roman"/>
                <w:sz w:val="18"/>
              </w:rPr>
              <w:t>433,969.70</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30"/>
              <w:jc w:val="right"/>
              <w:rPr>
                <w:rFonts w:ascii="Times New Roman" w:hAnsi="Times New Roman" w:cs="Times New Roman" w:eastAsia="Times New Roman" w:hint="default"/>
                <w:sz w:val="18"/>
                <w:szCs w:val="18"/>
              </w:rPr>
            </w:pPr>
            <w:r>
              <w:rPr>
                <w:rFonts w:ascii="Times New Roman"/>
                <w:sz w:val="18"/>
              </w:rPr>
              <w:t>---</w:t>
            </w:r>
          </w:p>
        </w:tc>
        <w:tc>
          <w:tcPr>
            <w:tcW w:w="127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356" w:right="0"/>
              <w:jc w:val="left"/>
              <w:rPr>
                <w:rFonts w:ascii="Times New Roman" w:hAnsi="Times New Roman" w:cs="Times New Roman" w:eastAsia="Times New Roman" w:hint="default"/>
                <w:sz w:val="18"/>
                <w:szCs w:val="18"/>
              </w:rPr>
            </w:pPr>
            <w:r>
              <w:rPr>
                <w:rFonts w:ascii="Times New Roman"/>
                <w:sz w:val="18"/>
              </w:rPr>
              <w:t>433,969.70</w:t>
            </w:r>
          </w:p>
        </w:tc>
      </w:tr>
      <w:tr>
        <w:trPr>
          <w:trHeight w:val="400" w:hRule="exact"/>
        </w:trPr>
        <w:tc>
          <w:tcPr>
            <w:tcW w:w="3409" w:type="dxa"/>
            <w:gridSpan w:val="2"/>
            <w:tcBorders>
              <w:top w:val="nil" w:sz="6" w:space="0" w:color="auto"/>
              <w:left w:val="nil" w:sz="6" w:space="0" w:color="auto"/>
              <w:bottom w:val="nil" w:sz="6" w:space="0" w:color="auto"/>
              <w:right w:val="nil" w:sz="6" w:space="0" w:color="auto"/>
            </w:tcBorders>
          </w:tcPr>
          <w:p>
            <w:pPr>
              <w:pStyle w:val="TableParagraph"/>
              <w:tabs>
                <w:tab w:pos="2204" w:val="left" w:leader="none"/>
              </w:tabs>
              <w:spacing w:line="240" w:lineRule="auto" w:before="86"/>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长春聚明设备</w:t>
              <w:tab/>
            </w:r>
            <w:r>
              <w:rPr>
                <w:rFonts w:ascii="Times New Roman" w:hAnsi="Times New Roman" w:cs="Times New Roman" w:eastAsia="Times New Roman" w:hint="default"/>
                <w:sz w:val="18"/>
                <w:szCs w:val="18"/>
              </w:rPr>
              <w:t>326,506.58</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18"/>
              <w:jc w:val="right"/>
              <w:rPr>
                <w:rFonts w:ascii="Times New Roman" w:hAnsi="Times New Roman" w:cs="Times New Roman" w:eastAsia="Times New Roman" w:hint="default"/>
                <w:sz w:val="18"/>
                <w:szCs w:val="18"/>
              </w:rPr>
            </w:pPr>
            <w:r>
              <w:rPr>
                <w:rFonts w:ascii="Times New Roman"/>
                <w:sz w:val="18"/>
              </w:rPr>
              <w:t>---</w:t>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90"/>
              <w:jc w:val="right"/>
              <w:rPr>
                <w:rFonts w:ascii="Times New Roman" w:hAnsi="Times New Roman" w:cs="Times New Roman" w:eastAsia="Times New Roman" w:hint="default"/>
                <w:sz w:val="18"/>
                <w:szCs w:val="18"/>
              </w:rPr>
            </w:pPr>
            <w:r>
              <w:rPr>
                <w:rFonts w:ascii="Times New Roman"/>
                <w:sz w:val="18"/>
              </w:rPr>
              <w:t>326,506.58</w:t>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404"/>
              <w:jc w:val="right"/>
              <w:rPr>
                <w:rFonts w:ascii="Times New Roman" w:hAnsi="Times New Roman" w:cs="Times New Roman" w:eastAsia="Times New Roman" w:hint="default"/>
                <w:sz w:val="18"/>
                <w:szCs w:val="18"/>
              </w:rPr>
            </w:pPr>
            <w:r>
              <w:rPr>
                <w:rFonts w:ascii="Times New Roman"/>
                <w:sz w:val="18"/>
              </w:rPr>
              <w:t>---</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30"/>
              <w:jc w:val="right"/>
              <w:rPr>
                <w:rFonts w:ascii="Times New Roman" w:hAnsi="Times New Roman" w:cs="Times New Roman" w:eastAsia="Times New Roman" w:hint="default"/>
                <w:sz w:val="18"/>
                <w:szCs w:val="18"/>
              </w:rPr>
            </w:pPr>
            <w:r>
              <w:rPr>
                <w:rFonts w:ascii="Times New Roman"/>
                <w:sz w:val="18"/>
              </w:rPr>
              <w:t>---</w:t>
            </w:r>
          </w:p>
        </w:tc>
        <w:tc>
          <w:tcPr>
            <w:tcW w:w="127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5"/>
              <w:ind w:right="106"/>
              <w:jc w:val="right"/>
              <w:rPr>
                <w:rFonts w:ascii="Times New Roman" w:hAnsi="Times New Roman" w:cs="Times New Roman" w:eastAsia="Times New Roman" w:hint="default"/>
                <w:sz w:val="18"/>
                <w:szCs w:val="18"/>
              </w:rPr>
            </w:pPr>
            <w:r>
              <w:rPr>
                <w:rFonts w:ascii="Times New Roman"/>
                <w:sz w:val="18"/>
              </w:rPr>
              <w:t>---</w:t>
            </w:r>
          </w:p>
        </w:tc>
      </w:tr>
      <w:tr>
        <w:trPr>
          <w:trHeight w:val="324" w:hRule="exact"/>
        </w:trPr>
        <w:tc>
          <w:tcPr>
            <w:tcW w:w="3409" w:type="dxa"/>
            <w:gridSpan w:val="2"/>
            <w:tcBorders>
              <w:top w:val="nil" w:sz="6" w:space="0" w:color="auto"/>
              <w:left w:val="nil" w:sz="6" w:space="0" w:color="auto"/>
              <w:bottom w:val="single" w:sz="12" w:space="0" w:color="000000"/>
              <w:right w:val="nil" w:sz="6" w:space="0" w:color="auto"/>
            </w:tcBorders>
          </w:tcPr>
          <w:p>
            <w:pPr>
              <w:pStyle w:val="TableParagraph"/>
              <w:tabs>
                <w:tab w:pos="1979" w:val="left" w:leader="none"/>
              </w:tabs>
              <w:spacing w:line="240" w:lineRule="auto" w:before="8"/>
              <w:ind w:left="7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合计</w:t>
              <w:tab/>
            </w:r>
            <w:r>
              <w:rPr>
                <w:rFonts w:ascii="Times New Roman" w:hAnsi="Times New Roman" w:cs="Times New Roman" w:eastAsia="Times New Roman" w:hint="default"/>
                <w:sz w:val="18"/>
                <w:szCs w:val="18"/>
              </w:rPr>
              <w:t>79,752,727.01</w:t>
            </w:r>
          </w:p>
        </w:tc>
        <w:tc>
          <w:tcPr>
            <w:tcW w:w="694"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118"/>
              <w:jc w:val="right"/>
              <w:rPr>
                <w:rFonts w:ascii="Times New Roman" w:hAnsi="Times New Roman" w:cs="Times New Roman" w:eastAsia="Times New Roman" w:hint="default"/>
                <w:sz w:val="18"/>
                <w:szCs w:val="18"/>
              </w:rPr>
            </w:pPr>
            <w:r>
              <w:rPr>
                <w:rFonts w:ascii="Times New Roman"/>
                <w:sz w:val="18"/>
              </w:rPr>
              <w:t>---</w:t>
            </w:r>
          </w:p>
        </w:tc>
        <w:tc>
          <w:tcPr>
            <w:tcW w:w="1348"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190"/>
              <w:jc w:val="right"/>
              <w:rPr>
                <w:rFonts w:ascii="Times New Roman" w:hAnsi="Times New Roman" w:cs="Times New Roman" w:eastAsia="Times New Roman" w:hint="default"/>
                <w:sz w:val="18"/>
                <w:szCs w:val="18"/>
              </w:rPr>
            </w:pPr>
            <w:r>
              <w:rPr>
                <w:rFonts w:ascii="Times New Roman"/>
                <w:spacing w:val="-1"/>
                <w:sz w:val="18"/>
              </w:rPr>
              <w:t>79,752,727.01</w:t>
            </w:r>
          </w:p>
        </w:tc>
        <w:tc>
          <w:tcPr>
            <w:tcW w:w="1633"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403"/>
              <w:jc w:val="right"/>
              <w:rPr>
                <w:rFonts w:ascii="Times New Roman" w:hAnsi="Times New Roman" w:cs="Times New Roman" w:eastAsia="Times New Roman" w:hint="default"/>
                <w:sz w:val="18"/>
                <w:szCs w:val="18"/>
              </w:rPr>
            </w:pPr>
            <w:r>
              <w:rPr>
                <w:rFonts w:ascii="Times New Roman"/>
                <w:spacing w:val="-1"/>
                <w:sz w:val="18"/>
              </w:rPr>
              <w:t>32,955,456.67</w:t>
            </w:r>
          </w:p>
        </w:tc>
        <w:tc>
          <w:tcPr>
            <w:tcW w:w="717"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130"/>
              <w:jc w:val="right"/>
              <w:rPr>
                <w:rFonts w:ascii="Times New Roman" w:hAnsi="Times New Roman" w:cs="Times New Roman" w:eastAsia="Times New Roman" w:hint="default"/>
                <w:sz w:val="18"/>
                <w:szCs w:val="18"/>
              </w:rPr>
            </w:pPr>
            <w:r>
              <w:rPr>
                <w:rFonts w:ascii="Times New Roman"/>
                <w:sz w:val="18"/>
              </w:rPr>
              <w:t>---</w:t>
            </w:r>
          </w:p>
        </w:tc>
        <w:tc>
          <w:tcPr>
            <w:tcW w:w="1274"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47"/>
              <w:ind w:left="132" w:right="0"/>
              <w:jc w:val="left"/>
              <w:rPr>
                <w:rFonts w:ascii="Times New Roman" w:hAnsi="Times New Roman" w:cs="Times New Roman" w:eastAsia="Times New Roman" w:hint="default"/>
                <w:sz w:val="18"/>
                <w:szCs w:val="18"/>
              </w:rPr>
            </w:pPr>
            <w:r>
              <w:rPr>
                <w:rFonts w:ascii="Times New Roman"/>
                <w:sz w:val="18"/>
              </w:rPr>
              <w:t>32,955,456.67</w:t>
            </w:r>
          </w:p>
        </w:tc>
      </w:tr>
    </w:tbl>
    <w:p>
      <w:pPr>
        <w:spacing w:after="0" w:line="240" w:lineRule="auto"/>
        <w:jc w:val="left"/>
        <w:rPr>
          <w:rFonts w:ascii="Times New Roman" w:hAnsi="Times New Roman" w:cs="Times New Roman" w:eastAsia="Times New Roman" w:hint="default"/>
          <w:sz w:val="18"/>
          <w:szCs w:val="18"/>
        </w:rPr>
        <w:sectPr>
          <w:pgSz w:w="11910" w:h="16840"/>
          <w:pgMar w:header="686" w:footer="1270" w:top="1360" w:bottom="1460" w:left="1520" w:right="1000"/>
        </w:sectPr>
      </w:pPr>
    </w:p>
    <w:p>
      <w:pPr>
        <w:spacing w:line="240" w:lineRule="auto" w:before="2"/>
        <w:rPr>
          <w:rFonts w:ascii="Times New Roman" w:hAnsi="Times New Roman" w:cs="Times New Roman" w:eastAsia="Times New Roman" w:hint="default"/>
          <w:sz w:val="7"/>
          <w:szCs w:val="7"/>
        </w:rPr>
      </w:pPr>
    </w:p>
    <w:p>
      <w:pPr>
        <w:spacing w:line="474" w:lineRule="exact"/>
        <w:ind w:left="10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708.75pt;height:23.7pt;mso-position-horizontal-relative:char;mso-position-vertical-relative:line" coordorigin="0,0" coordsize="14175,474">
            <v:shape style="position:absolute;left:0;top:0;width:1546;height:434" type="#_x0000_t75" stroked="false">
              <v:imagedata r:id="rId26" o:title=""/>
            </v:shape>
            <v:group style="position:absolute;left:149;top:467;width:14019;height:2" coordorigin="149,467" coordsize="14019,2">
              <v:shape style="position:absolute;left:149;top:467;width:14019;height:2" coordorigin="149,467" coordsize="14019,0" path="m149,467l14167,467e" filled="false" stroked="true" strokeweight=".71999pt" strokecolor="#000000">
                <v:path arrowok="t"/>
              </v:shape>
              <v:shape style="position:absolute;left:12833;top:232;width:130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v:group>
          </v:group>
        </w:pict>
      </w:r>
      <w:r>
        <w:rPr>
          <w:rFonts w:ascii="Times New Roman" w:hAnsi="Times New Roman" w:cs="Times New Roman" w:eastAsia="Times New Roman" w:hint="default"/>
          <w:position w:val="-8"/>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7"/>
          <w:szCs w:val="17"/>
        </w:rPr>
      </w:pPr>
    </w:p>
    <w:p>
      <w:pPr>
        <w:tabs>
          <w:tab w:pos="1434" w:val="left" w:leader="none"/>
        </w:tabs>
        <w:spacing w:before="35"/>
        <w:ind w:left="895" w:right="0" w:firstLine="0"/>
        <w:jc w:val="left"/>
        <w:rPr>
          <w:rFonts w:ascii="宋体" w:hAnsi="宋体" w:cs="宋体" w:eastAsia="宋体" w:hint="default"/>
          <w:sz w:val="21"/>
          <w:szCs w:val="21"/>
        </w:rPr>
      </w:pPr>
      <w:r>
        <w:rPr/>
        <w:pict>
          <v:group style="position:absolute;margin-left:65.121002pt;margin-top:17.073685pt;width:743.95pt;height:315.4pt;mso-position-horizontal-relative:page;mso-position-vertical-relative:paragraph;z-index:-778816" coordorigin="1302,341" coordsize="14879,6308">
            <v:group style="position:absolute;left:1332;top:356;width:14828;height:2" coordorigin="1332,356" coordsize="14828,2">
              <v:shape style="position:absolute;left:1332;top:356;width:14828;height:2" coordorigin="1332,356" coordsize="14828,0" path="m1332,356l16159,356e" filled="false" stroked="true" strokeweight="1.5pt" strokecolor="#000000">
                <v:path arrowok="t"/>
              </v:shape>
              <v:shape style="position:absolute;left:2660;top:343;width:12148;height:1181" type="#_x0000_t75" stroked="false">
                <v:imagedata r:id="rId168" o:title=""/>
              </v:shape>
            </v:group>
            <v:group style="position:absolute;left:1317;top:6634;width:1372;height:2" coordorigin="1317,6634" coordsize="1372,2">
              <v:shape style="position:absolute;left:1317;top:6634;width:1372;height:2" coordorigin="1317,6634" coordsize="1372,0" path="m1317,6634l2689,6634e" filled="false" stroked="true" strokeweight="1.5pt" strokecolor="#000000">
                <v:path arrowok="t"/>
              </v:shape>
            </v:group>
            <v:group style="position:absolute;left:2689;top:6634;width:1413;height:2" coordorigin="2689,6634" coordsize="1413,2">
              <v:shape style="position:absolute;left:2689;top:6634;width:1413;height:2" coordorigin="2689,6634" coordsize="1413,0" path="m2689,6634l4101,6634e" filled="false" stroked="true" strokeweight="1.5pt" strokecolor="#000000">
                <v:path arrowok="t"/>
              </v:shape>
            </v:group>
            <v:group style="position:absolute;left:4101;top:6634;width:1412;height:2" coordorigin="4101,6634" coordsize="1412,2">
              <v:shape style="position:absolute;left:4101;top:6634;width:1412;height:2" coordorigin="4101,6634" coordsize="1412,0" path="m4101,6634l5513,6634e" filled="false" stroked="true" strokeweight="1.5pt" strokecolor="#000000">
                <v:path arrowok="t"/>
              </v:shape>
            </v:group>
            <v:group style="position:absolute;left:5513;top:6634;width:1256;height:2" coordorigin="5513,6634" coordsize="1256,2">
              <v:shape style="position:absolute;left:5513;top:6634;width:1256;height:2" coordorigin="5513,6634" coordsize="1256,0" path="m5513,6634l6768,6634e" filled="false" stroked="true" strokeweight="1.5pt" strokecolor="#000000">
                <v:path arrowok="t"/>
              </v:shape>
            </v:group>
            <v:group style="position:absolute;left:6768;top:6634;width:1326;height:2" coordorigin="6768,6634" coordsize="1326,2">
              <v:shape style="position:absolute;left:6768;top:6634;width:1326;height:2" coordorigin="6768,6634" coordsize="1326,0" path="m6768,6634l8094,6634e" filled="false" stroked="true" strokeweight="1.5pt" strokecolor="#000000">
                <v:path arrowok="t"/>
              </v:shape>
            </v:group>
            <v:group style="position:absolute;left:8094;top:6634;width:714;height:2" coordorigin="8094,6634" coordsize="714,2">
              <v:shape style="position:absolute;left:8094;top:6634;width:714;height:2" coordorigin="8094,6634" coordsize="714,0" path="m8094,6634l8808,6634e" filled="false" stroked="true" strokeweight="1.5pt" strokecolor="#000000">
                <v:path arrowok="t"/>
              </v:shape>
            </v:group>
            <v:group style="position:absolute;left:8808;top:6634;width:941;height:2" coordorigin="8808,6634" coordsize="941,2">
              <v:shape style="position:absolute;left:8808;top:6634;width:941;height:2" coordorigin="8808,6634" coordsize="941,0" path="m8808,6634l9749,6634e" filled="false" stroked="true" strokeweight="1.5pt" strokecolor="#000000">
                <v:path arrowok="t"/>
              </v:shape>
            </v:group>
            <v:group style="position:absolute;left:9749;top:6634;width:786;height:2" coordorigin="9749,6634" coordsize="786,2">
              <v:shape style="position:absolute;left:9749;top:6634;width:786;height:2" coordorigin="9749,6634" coordsize="786,0" path="m9749,6634l10535,6634e" filled="false" stroked="true" strokeweight="1.5pt" strokecolor="#000000">
                <v:path arrowok="t"/>
              </v:shape>
            </v:group>
            <v:group style="position:absolute;left:10535;top:6634;width:1097;height:2" coordorigin="10535,6634" coordsize="1097,2">
              <v:shape style="position:absolute;left:10535;top:6634;width:1097;height:2" coordorigin="10535,6634" coordsize="1097,0" path="m10535,6634l11631,6634e" filled="false" stroked="true" strokeweight="1.5pt" strokecolor="#000000">
                <v:path arrowok="t"/>
              </v:shape>
            </v:group>
            <v:group style="position:absolute;left:11631;top:6634;width:1142;height:2" coordorigin="11631,6634" coordsize="1142,2">
              <v:shape style="position:absolute;left:11631;top:6634;width:1142;height:2" coordorigin="11631,6634" coordsize="1142,0" path="m11631,6634l12773,6634e" filled="false" stroked="true" strokeweight="1.5pt" strokecolor="#000000">
                <v:path arrowok="t"/>
              </v:shape>
            </v:group>
            <v:group style="position:absolute;left:12773;top:6634;width:964;height:2" coordorigin="12773,6634" coordsize="964,2">
              <v:shape style="position:absolute;left:12773;top:6634;width:964;height:2" coordorigin="12773,6634" coordsize="964,0" path="m12773,6634l13736,6634e" filled="false" stroked="true" strokeweight="1.5pt" strokecolor="#000000">
                <v:path arrowok="t"/>
              </v:shape>
            </v:group>
            <v:group style="position:absolute;left:13736;top:6634;width:1034;height:2" coordorigin="13736,6634" coordsize="1034,2">
              <v:shape style="position:absolute;left:13736;top:6634;width:1034;height:2" coordorigin="13736,6634" coordsize="1034,0" path="m13736,6634l14769,6634e" filled="false" stroked="true" strokeweight="1.5pt" strokecolor="#000000">
                <v:path arrowok="t"/>
              </v:shape>
              <v:shape style="position:absolute;left:1313;top:1475;width:14868;height:5143" type="#_x0000_t75" stroked="false">
                <v:imagedata r:id="rId169" o:title=""/>
              </v:shape>
            </v:group>
            <v:group style="position:absolute;left:14769;top:6634;width:1390;height:2" coordorigin="14769,6634" coordsize="1390,2">
              <v:shape style="position:absolute;left:14769;top:6634;width:1390;height:2" coordorigin="14769,6634" coordsize="1390,0" path="m14769,6634l16159,6634e" filled="false" stroked="true" strokeweight="1.5pt" strokecolor="#000000">
                <v:path arrowok="t"/>
              </v:shape>
              <v:shape style="position:absolute;left:8275;top:65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4452;top:8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5785;top:843;width:2190;height:180" type="#_x0000_t202" filled="false" stroked="false">
                <v:textbox inset="0,0,0,0">
                  <w:txbxContent>
                    <w:p>
                      <w:pPr>
                        <w:tabs>
                          <w:tab w:pos="110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tab/>
                        <w:t>转入固定资产</w:t>
                      </w:r>
                    </w:p>
                  </w:txbxContent>
                </v:textbox>
                <w10:wrap type="none"/>
              </v:shape>
              <v:shape style="position:absolute;left:8923;top:469;width:1493;height:555" type="#_x0000_t202" filled="false" stroked="false">
                <v:textbox inset="0,0,0,0">
                  <w:txbxContent>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工程投入</w:t>
                      </w:r>
                    </w:p>
                    <w:p>
                      <w:pPr>
                        <w:spacing w:line="187" w:lineRule="exact" w:before="0"/>
                        <w:ind w:left="952" w:right="0" w:firstLine="0"/>
                        <w:jc w:val="left"/>
                        <w:rPr>
                          <w:rFonts w:ascii="宋体" w:hAnsi="宋体" w:cs="宋体" w:eastAsia="宋体" w:hint="default"/>
                          <w:sz w:val="18"/>
                          <w:szCs w:val="18"/>
                        </w:rPr>
                      </w:pPr>
                      <w:r>
                        <w:rPr>
                          <w:rFonts w:ascii="宋体" w:hAnsi="宋体" w:cs="宋体" w:eastAsia="宋体" w:hint="default"/>
                          <w:sz w:val="18"/>
                          <w:szCs w:val="18"/>
                        </w:rPr>
                        <w:t>工程进</w:t>
                      </w:r>
                    </w:p>
                    <w:p>
                      <w:pPr>
                        <w:spacing w:line="211"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占预算比</w:t>
                      </w:r>
                    </w:p>
                  </w:txbxContent>
                </v:textbox>
                <w10:wrap type="none"/>
              </v:shape>
              <v:shape style="position:absolute;left:1472;top:84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工程项目名称</w:t>
                      </w:r>
                    </w:p>
                  </w:txbxContent>
                </v:textbox>
                <w10:wrap type="none"/>
              </v:shape>
              <v:shape style="position:absolute;left:3129;top:84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预算数</w:t>
                      </w:r>
                    </w:p>
                  </w:txbxContent>
                </v:textbox>
                <w10:wrap type="none"/>
              </v:shape>
              <v:shape style="position:absolute;left:10727;top:469;width:3891;height:555" type="#_x0000_t202" filled="false" stroked="false">
                <v:textbox inset="0,0,0,0">
                  <w:txbxContent>
                    <w:p>
                      <w:pPr>
                        <w:tabs>
                          <w:tab w:pos="1029" w:val="left" w:leader="none"/>
                          <w:tab w:pos="217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利息资本</w:t>
                        <w:tab/>
                        <w:t>其中：本年</w:t>
                        <w:tab/>
                        <w:t>本年利息</w:t>
                      </w:r>
                    </w:p>
                    <w:p>
                      <w:pPr>
                        <w:tabs>
                          <w:tab w:pos="1029" w:val="left" w:leader="none"/>
                          <w:tab w:pos="2171" w:val="left" w:leader="none"/>
                          <w:tab w:pos="3170" w:val="left" w:leader="none"/>
                        </w:tabs>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化累计金</w:t>
                        <w:tab/>
                        <w:t>利息资本化</w:t>
                        <w:tab/>
                        <w:t>资本化率</w:t>
                        <w:tab/>
                        <w:t>资金来源</w:t>
                      </w:r>
                    </w:p>
                  </w:txbxContent>
                </v:textbox>
                <w10:wrap type="none"/>
              </v:shape>
              <v:shape style="position:absolute;left:15107;top:8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8275;top:1030;width:5120;height:378" type="#_x0000_t202" filled="false" stroked="false">
                <v:textbox inset="0,0,0,0">
                  <w:txbxContent>
                    <w:p>
                      <w:pPr>
                        <w:tabs>
                          <w:tab w:pos="1586" w:val="left" w:leader="none"/>
                        </w:tabs>
                        <w:spacing w:line="163"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减少</w:t>
                        <w:tab/>
                      </w:r>
                      <w:r>
                        <w:rPr>
                          <w:rFonts w:ascii="宋体" w:hAnsi="宋体" w:cs="宋体" w:eastAsia="宋体" w:hint="default"/>
                          <w:spacing w:val="-8"/>
                          <w:sz w:val="18"/>
                          <w:szCs w:val="18"/>
                        </w:rPr>
                        <w:t>度（</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w:t>
                      </w:r>
                    </w:p>
                    <w:p>
                      <w:pPr>
                        <w:tabs>
                          <w:tab w:pos="2721" w:val="left" w:leader="none"/>
                          <w:tab w:pos="3751" w:val="left" w:leader="none"/>
                          <w:tab w:pos="4849" w:val="left" w:leader="none"/>
                        </w:tabs>
                        <w:spacing w:line="214" w:lineRule="exact" w:before="0"/>
                        <w:ind w:left="782"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额</w:t>
                        <w:tab/>
                        <w:t>金额</w:t>
                        <w:tab/>
                      </w:r>
                      <w:r>
                        <w:rPr>
                          <w:rFonts w:ascii="Times New Roman" w:hAnsi="Times New Roman" w:cs="Times New Roman" w:eastAsia="Times New Roman" w:hint="default"/>
                          <w:sz w:val="18"/>
                          <w:szCs w:val="18"/>
                        </w:rPr>
                        <w:t>(%)</w:t>
                      </w:r>
                    </w:p>
                  </w:txbxContent>
                </v:textbox>
                <w10:wrap type="none"/>
              </v:shape>
              <v:shape style="position:absolute;left:1440;top:1570;width:1160;height:4952" type="#_x0000_t202" filled="false" stroked="false">
                <v:textbox inset="0,0,0,0">
                  <w:txbxContent>
                    <w:p>
                      <w:pPr>
                        <w:spacing w:line="194" w:lineRule="exact" w:before="0"/>
                        <w:ind w:left="0" w:right="0" w:firstLine="0"/>
                        <w:jc w:val="both"/>
                        <w:rPr>
                          <w:rFonts w:ascii="Times New Roman" w:hAnsi="Times New Roman" w:cs="Times New Roman" w:eastAsia="Times New Roman" w:hint="default"/>
                          <w:sz w:val="18"/>
                          <w:szCs w:val="18"/>
                        </w:rPr>
                      </w:pPr>
                      <w:r>
                        <w:rPr>
                          <w:rFonts w:ascii="宋体" w:hAnsi="宋体" w:cs="宋体" w:eastAsia="宋体" w:hint="default"/>
                          <w:spacing w:val="12"/>
                          <w:sz w:val="18"/>
                          <w:szCs w:val="18"/>
                        </w:rPr>
                        <w:t>长春高琦</w:t>
                      </w:r>
                      <w:r>
                        <w:rPr>
                          <w:rFonts w:ascii="宋体" w:hAnsi="宋体" w:cs="宋体" w:eastAsia="宋体" w:hint="default"/>
                          <w:spacing w:val="16"/>
                          <w:sz w:val="18"/>
                          <w:szCs w:val="18"/>
                        </w:rPr>
                        <w:t> </w:t>
                      </w:r>
                      <w:r>
                        <w:rPr>
                          <w:rFonts w:ascii="Times New Roman" w:hAnsi="Times New Roman" w:cs="Times New Roman" w:eastAsia="Times New Roman" w:hint="default"/>
                          <w:sz w:val="18"/>
                          <w:szCs w:val="18"/>
                        </w:rPr>
                        <w:t>300</w:t>
                      </w:r>
                    </w:p>
                    <w:p>
                      <w:pPr>
                        <w:spacing w:line="316" w:lineRule="auto" w:before="63"/>
                        <w:ind w:left="0" w:right="0" w:firstLine="0"/>
                        <w:jc w:val="both"/>
                        <w:rPr>
                          <w:rFonts w:ascii="宋体" w:hAnsi="宋体" w:cs="宋体" w:eastAsia="宋体" w:hint="default"/>
                          <w:sz w:val="18"/>
                          <w:szCs w:val="18"/>
                        </w:rPr>
                      </w:pPr>
                      <w:r>
                        <w:rPr>
                          <w:rFonts w:ascii="宋体" w:hAnsi="宋体" w:cs="宋体" w:eastAsia="宋体" w:hint="default"/>
                          <w:spacing w:val="13"/>
                          <w:sz w:val="18"/>
                          <w:szCs w:val="18"/>
                        </w:rPr>
                        <w:t>吨聚酰亚胺纤 </w:t>
                      </w:r>
                      <w:r>
                        <w:rPr>
                          <w:rFonts w:ascii="宋体" w:hAnsi="宋体" w:cs="宋体" w:eastAsia="宋体" w:hint="default"/>
                          <w:sz w:val="18"/>
                          <w:szCs w:val="18"/>
                        </w:rPr>
                        <w:t>维项目</w:t>
                      </w:r>
                    </w:p>
                    <w:p>
                      <w:pPr>
                        <w:spacing w:line="316" w:lineRule="auto" w:before="28"/>
                        <w:ind w:left="0" w:right="0" w:firstLine="0"/>
                        <w:jc w:val="both"/>
                        <w:rPr>
                          <w:rFonts w:ascii="宋体" w:hAnsi="宋体" w:cs="宋体" w:eastAsia="宋体" w:hint="default"/>
                          <w:sz w:val="18"/>
                          <w:szCs w:val="18"/>
                        </w:rPr>
                      </w:pPr>
                      <w:r>
                        <w:rPr>
                          <w:rFonts w:ascii="宋体" w:hAnsi="宋体" w:cs="宋体" w:eastAsia="宋体" w:hint="default"/>
                          <w:spacing w:val="13"/>
                          <w:sz w:val="18"/>
                          <w:szCs w:val="18"/>
                        </w:rPr>
                        <w:t>吉林高琦高性 能耐热聚酰亚 </w:t>
                      </w:r>
                      <w:r>
                        <w:rPr>
                          <w:rFonts w:ascii="宋体" w:hAnsi="宋体" w:cs="宋体" w:eastAsia="宋体" w:hint="default"/>
                          <w:sz w:val="18"/>
                          <w:szCs w:val="18"/>
                        </w:rPr>
                        <w:t>胺纤维项目</w:t>
                      </w:r>
                    </w:p>
                    <w:p>
                      <w:pPr>
                        <w:spacing w:line="316" w:lineRule="auto" w:before="29"/>
                        <w:ind w:left="0" w:right="0" w:firstLine="0"/>
                        <w:jc w:val="both"/>
                        <w:rPr>
                          <w:rFonts w:ascii="宋体" w:hAnsi="宋体" w:cs="宋体" w:eastAsia="宋体" w:hint="default"/>
                          <w:sz w:val="18"/>
                          <w:szCs w:val="18"/>
                        </w:rPr>
                      </w:pPr>
                      <w:r>
                        <w:rPr>
                          <w:rFonts w:ascii="宋体" w:hAnsi="宋体" w:cs="宋体" w:eastAsia="宋体" w:hint="default"/>
                          <w:spacing w:val="13"/>
                          <w:sz w:val="18"/>
                          <w:szCs w:val="18"/>
                        </w:rPr>
                        <w:t>长春高琦模压 </w:t>
                      </w:r>
                      <w:r>
                        <w:rPr>
                          <w:rFonts w:ascii="宋体" w:hAnsi="宋体" w:cs="宋体" w:eastAsia="宋体" w:hint="default"/>
                          <w:sz w:val="18"/>
                          <w:szCs w:val="18"/>
                        </w:rPr>
                        <w:t>机加项目</w:t>
                      </w:r>
                    </w:p>
                    <w:p>
                      <w:pPr>
                        <w:spacing w:line="309" w:lineRule="auto" w:before="28"/>
                        <w:ind w:left="0" w:right="0" w:firstLine="0"/>
                        <w:jc w:val="both"/>
                        <w:rPr>
                          <w:rFonts w:ascii="宋体" w:hAnsi="宋体" w:cs="宋体" w:eastAsia="宋体" w:hint="default"/>
                          <w:sz w:val="18"/>
                          <w:szCs w:val="18"/>
                        </w:rPr>
                      </w:pPr>
                      <w:r>
                        <w:rPr>
                          <w:rFonts w:ascii="宋体" w:hAnsi="宋体" w:cs="宋体" w:eastAsia="宋体" w:hint="default"/>
                          <w:spacing w:val="13"/>
                          <w:sz w:val="18"/>
                          <w:szCs w:val="18"/>
                        </w:rPr>
                        <w:t>长春高琦聚酰 </w:t>
                      </w:r>
                      <w:r>
                        <w:rPr>
                          <w:rFonts w:ascii="宋体" w:hAnsi="宋体" w:cs="宋体" w:eastAsia="宋体" w:hint="default"/>
                          <w:sz w:val="18"/>
                          <w:szCs w:val="18"/>
                        </w:rPr>
                        <w:t>亚胺 </w:t>
                      </w:r>
                      <w:r>
                        <w:rPr>
                          <w:rFonts w:ascii="Times New Roman" w:hAnsi="Times New Roman" w:cs="Times New Roman" w:eastAsia="Times New Roman" w:hint="default"/>
                          <w:sz w:val="18"/>
                          <w:szCs w:val="18"/>
                        </w:rPr>
                        <w:t>OLED</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项 目</w:t>
                      </w:r>
                    </w:p>
                    <w:p>
                      <w:pPr>
                        <w:spacing w:line="316" w:lineRule="auto" w:before="34"/>
                        <w:ind w:left="0" w:right="0" w:firstLine="0"/>
                        <w:jc w:val="both"/>
                        <w:rPr>
                          <w:rFonts w:ascii="宋体" w:hAnsi="宋体" w:cs="宋体" w:eastAsia="宋体" w:hint="default"/>
                          <w:sz w:val="18"/>
                          <w:szCs w:val="18"/>
                        </w:rPr>
                      </w:pPr>
                      <w:r>
                        <w:rPr>
                          <w:rFonts w:ascii="宋体" w:hAnsi="宋体" w:cs="宋体" w:eastAsia="宋体" w:hint="default"/>
                          <w:spacing w:val="13"/>
                          <w:sz w:val="18"/>
                          <w:szCs w:val="18"/>
                        </w:rPr>
                        <w:t>江西先材纳米 </w:t>
                      </w:r>
                      <w:r>
                        <w:rPr>
                          <w:rFonts w:ascii="宋体" w:hAnsi="宋体" w:cs="宋体" w:eastAsia="宋体" w:hint="default"/>
                          <w:sz w:val="18"/>
                          <w:szCs w:val="18"/>
                        </w:rPr>
                        <w:t>技术生产线</w:t>
                      </w:r>
                    </w:p>
                    <w:p>
                      <w:pPr>
                        <w:spacing w:line="316" w:lineRule="auto" w:before="29"/>
                        <w:ind w:left="0" w:right="0" w:firstLine="0"/>
                        <w:jc w:val="both"/>
                        <w:rPr>
                          <w:rFonts w:ascii="宋体" w:hAnsi="宋体" w:cs="宋体" w:eastAsia="宋体" w:hint="default"/>
                          <w:sz w:val="18"/>
                          <w:szCs w:val="18"/>
                        </w:rPr>
                      </w:pPr>
                      <w:r>
                        <w:rPr>
                          <w:rFonts w:ascii="宋体" w:hAnsi="宋体" w:cs="宋体" w:eastAsia="宋体" w:hint="default"/>
                          <w:spacing w:val="13"/>
                          <w:sz w:val="18"/>
                          <w:szCs w:val="18"/>
                        </w:rPr>
                        <w:t>长春聚明安装 </w:t>
                      </w:r>
                      <w:r>
                        <w:rPr>
                          <w:rFonts w:ascii="宋体" w:hAnsi="宋体" w:cs="宋体" w:eastAsia="宋体" w:hint="default"/>
                          <w:sz w:val="18"/>
                          <w:szCs w:val="18"/>
                        </w:rPr>
                        <w:t>设备</w:t>
                      </w:r>
                    </w:p>
                    <w:p>
                      <w:pPr>
                        <w:spacing w:before="59"/>
                        <w:ind w:left="0" w:right="12"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重大在建工程项目变动情况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1678" w:type="dxa"/>
        <w:tblLayout w:type="fixed"/>
        <w:tblCellMar>
          <w:top w:w="0" w:type="dxa"/>
          <w:left w:w="0" w:type="dxa"/>
          <w:bottom w:w="0" w:type="dxa"/>
          <w:right w:w="0" w:type="dxa"/>
        </w:tblCellMar>
        <w:tblLook w:val="01E0"/>
      </w:tblPr>
      <w:tblGrid>
        <w:gridCol w:w="1349"/>
        <w:gridCol w:w="1333"/>
        <w:gridCol w:w="1267"/>
        <w:gridCol w:w="1470"/>
        <w:gridCol w:w="670"/>
        <w:gridCol w:w="863"/>
        <w:gridCol w:w="784"/>
        <w:gridCol w:w="1120"/>
        <w:gridCol w:w="1301"/>
        <w:gridCol w:w="747"/>
        <w:gridCol w:w="1051"/>
        <w:gridCol w:w="1294"/>
      </w:tblGrid>
      <w:tr>
        <w:trPr>
          <w:trHeight w:val="649" w:hRule="exact"/>
        </w:trPr>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86"/>
              <w:jc w:val="right"/>
              <w:rPr>
                <w:rFonts w:ascii="Times New Roman" w:hAnsi="Times New Roman" w:cs="Times New Roman" w:eastAsia="Times New Roman" w:hint="default"/>
                <w:sz w:val="18"/>
                <w:szCs w:val="18"/>
              </w:rPr>
            </w:pPr>
            <w:r>
              <w:rPr>
                <w:rFonts w:ascii="Times New Roman"/>
                <w:spacing w:val="-1"/>
                <w:sz w:val="18"/>
              </w:rPr>
              <w:t>123,142,700.00</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7"/>
              <w:jc w:val="right"/>
              <w:rPr>
                <w:rFonts w:ascii="Times New Roman" w:hAnsi="Times New Roman" w:cs="Times New Roman" w:eastAsia="Times New Roman" w:hint="default"/>
                <w:sz w:val="18"/>
                <w:szCs w:val="18"/>
              </w:rPr>
            </w:pPr>
            <w:r>
              <w:rPr>
                <w:rFonts w:ascii="Times New Roman"/>
                <w:spacing w:val="-1"/>
                <w:sz w:val="18"/>
              </w:rPr>
              <w:t>10,126,624.20</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20"/>
              <w:jc w:val="right"/>
              <w:rPr>
                <w:rFonts w:ascii="Times New Roman" w:hAnsi="Times New Roman" w:cs="Times New Roman" w:eastAsia="Times New Roman" w:hint="default"/>
                <w:sz w:val="18"/>
                <w:szCs w:val="18"/>
              </w:rPr>
            </w:pPr>
            <w:r>
              <w:rPr>
                <w:rFonts w:ascii="Times New Roman"/>
                <w:spacing w:val="-1"/>
                <w:sz w:val="18"/>
              </w:rPr>
              <w:t>4,903,755.35</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10"/>
              <w:jc w:val="right"/>
              <w:rPr>
                <w:rFonts w:ascii="Times New Roman" w:hAnsi="Times New Roman" w:cs="Times New Roman" w:eastAsia="Times New Roman" w:hint="default"/>
                <w:sz w:val="18"/>
                <w:szCs w:val="18"/>
              </w:rPr>
            </w:pPr>
            <w:r>
              <w:rPr>
                <w:rFonts w:ascii="Times New Roman"/>
                <w:spacing w:val="-1"/>
                <w:sz w:val="18"/>
              </w:rPr>
              <w:t>12,516,505.29</w:t>
            </w:r>
          </w:p>
        </w:tc>
        <w:tc>
          <w:tcPr>
            <w:tcW w:w="67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2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42"/>
              <w:jc w:val="right"/>
              <w:rPr>
                <w:rFonts w:ascii="Times New Roman" w:hAnsi="Times New Roman" w:cs="Times New Roman" w:eastAsia="Times New Roman" w:hint="default"/>
                <w:sz w:val="18"/>
                <w:szCs w:val="18"/>
              </w:rPr>
            </w:pPr>
            <w:r>
              <w:rPr>
                <w:rFonts w:ascii="Times New Roman"/>
                <w:sz w:val="18"/>
              </w:rPr>
              <w:t>12.21</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41"/>
              <w:jc w:val="right"/>
              <w:rPr>
                <w:rFonts w:ascii="Times New Roman" w:hAnsi="Times New Roman" w:cs="Times New Roman" w:eastAsia="Times New Roman" w:hint="default"/>
                <w:sz w:val="18"/>
                <w:szCs w:val="18"/>
              </w:rPr>
            </w:pPr>
            <w:r>
              <w:rPr>
                <w:rFonts w:ascii="Times New Roman"/>
                <w:sz w:val="18"/>
              </w:rPr>
              <w:t>12.21</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65"/>
              <w:jc w:val="right"/>
              <w:rPr>
                <w:rFonts w:ascii="Times New Roman" w:hAnsi="Times New Roman" w:cs="Times New Roman" w:eastAsia="Times New Roman" w:hint="default"/>
                <w:sz w:val="18"/>
                <w:szCs w:val="18"/>
              </w:rPr>
            </w:pPr>
            <w:r>
              <w:rPr>
                <w:rFonts w:ascii="Times New Roman"/>
                <w:sz w:val="18"/>
              </w:rPr>
              <w:t>---</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23"/>
              <w:jc w:val="right"/>
              <w:rPr>
                <w:rFonts w:ascii="Times New Roman" w:hAnsi="Times New Roman" w:cs="Times New Roman" w:eastAsia="Times New Roman" w:hint="default"/>
                <w:sz w:val="18"/>
                <w:szCs w:val="18"/>
              </w:rPr>
            </w:pPr>
            <w:r>
              <w:rPr>
                <w:rFonts w:ascii="Times New Roman"/>
                <w:sz w:val="18"/>
              </w:rPr>
              <w:t>---</w:t>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sz w:val="18"/>
              </w:rPr>
              <w:t>---</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7" w:right="0"/>
              <w:jc w:val="left"/>
              <w:rPr>
                <w:rFonts w:ascii="宋体" w:hAnsi="宋体" w:cs="宋体" w:eastAsia="宋体" w:hint="default"/>
                <w:sz w:val="18"/>
                <w:szCs w:val="18"/>
              </w:rPr>
            </w:pPr>
            <w:r>
              <w:rPr>
                <w:rFonts w:ascii="宋体" w:hAnsi="宋体" w:cs="宋体" w:eastAsia="宋体" w:hint="default"/>
                <w:sz w:val="18"/>
                <w:szCs w:val="18"/>
              </w:rPr>
              <w:t>自筹资金</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Times New Roman" w:hAnsi="Times New Roman" w:cs="Times New Roman" w:eastAsia="Times New Roman" w:hint="default"/>
                <w:sz w:val="18"/>
                <w:szCs w:val="18"/>
              </w:rPr>
            </w:pPr>
            <w:r>
              <w:rPr>
                <w:rFonts w:ascii="Times New Roman"/>
                <w:spacing w:val="-1"/>
                <w:sz w:val="18"/>
              </w:rPr>
              <w:t>2,513,874.26</w:t>
            </w:r>
          </w:p>
        </w:tc>
      </w:tr>
      <w:tr>
        <w:trPr>
          <w:trHeight w:val="868" w:hRule="exact"/>
        </w:trPr>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86"/>
              <w:jc w:val="right"/>
              <w:rPr>
                <w:rFonts w:ascii="Times New Roman" w:hAnsi="Times New Roman" w:cs="Times New Roman" w:eastAsia="Times New Roman" w:hint="default"/>
                <w:sz w:val="18"/>
                <w:szCs w:val="18"/>
              </w:rPr>
            </w:pPr>
            <w:r>
              <w:rPr>
                <w:rFonts w:ascii="Times New Roman"/>
                <w:spacing w:val="-1"/>
                <w:sz w:val="18"/>
              </w:rPr>
              <w:t>331,408,300.00</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07"/>
              <w:jc w:val="right"/>
              <w:rPr>
                <w:rFonts w:ascii="Times New Roman" w:hAnsi="Times New Roman" w:cs="Times New Roman" w:eastAsia="Times New Roman" w:hint="default"/>
                <w:sz w:val="18"/>
                <w:szCs w:val="18"/>
              </w:rPr>
            </w:pPr>
            <w:r>
              <w:rPr>
                <w:rFonts w:ascii="Times New Roman"/>
                <w:spacing w:val="-1"/>
                <w:sz w:val="18"/>
              </w:rPr>
              <w:t>22,394,862.77</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20"/>
              <w:jc w:val="right"/>
              <w:rPr>
                <w:rFonts w:ascii="Times New Roman" w:hAnsi="Times New Roman" w:cs="Times New Roman" w:eastAsia="Times New Roman" w:hint="default"/>
                <w:sz w:val="18"/>
                <w:szCs w:val="18"/>
              </w:rPr>
            </w:pPr>
            <w:r>
              <w:rPr>
                <w:rFonts w:ascii="Times New Roman"/>
                <w:spacing w:val="-1"/>
                <w:sz w:val="18"/>
              </w:rPr>
              <w:t>87,165,517.27</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264"/>
              <w:jc w:val="right"/>
              <w:rPr>
                <w:rFonts w:ascii="Times New Roman" w:hAnsi="Times New Roman" w:cs="Times New Roman" w:eastAsia="Times New Roman" w:hint="default"/>
                <w:sz w:val="18"/>
                <w:szCs w:val="18"/>
              </w:rPr>
            </w:pPr>
            <w:r>
              <w:rPr>
                <w:rFonts w:ascii="Times New Roman"/>
                <w:spacing w:val="-1"/>
                <w:sz w:val="18"/>
              </w:rPr>
              <w:t>36,221,032.82</w:t>
            </w:r>
          </w:p>
        </w:tc>
        <w:tc>
          <w:tcPr>
            <w:tcW w:w="6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22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42"/>
              <w:jc w:val="right"/>
              <w:rPr>
                <w:rFonts w:ascii="Times New Roman" w:hAnsi="Times New Roman" w:cs="Times New Roman" w:eastAsia="Times New Roman" w:hint="default"/>
                <w:sz w:val="18"/>
                <w:szCs w:val="18"/>
              </w:rPr>
            </w:pPr>
            <w:r>
              <w:rPr>
                <w:rFonts w:ascii="Times New Roman"/>
                <w:sz w:val="18"/>
              </w:rPr>
              <w:t>33.06</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40"/>
              <w:jc w:val="right"/>
              <w:rPr>
                <w:rFonts w:ascii="Times New Roman" w:hAnsi="Times New Roman" w:cs="Times New Roman" w:eastAsia="Times New Roman" w:hint="default"/>
                <w:sz w:val="18"/>
                <w:szCs w:val="18"/>
              </w:rPr>
            </w:pPr>
            <w:r>
              <w:rPr>
                <w:rFonts w:ascii="Times New Roman"/>
                <w:sz w:val="18"/>
              </w:rPr>
              <w:t>33.06</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63"/>
              <w:jc w:val="right"/>
              <w:rPr>
                <w:rFonts w:ascii="Times New Roman" w:hAnsi="Times New Roman" w:cs="Times New Roman" w:eastAsia="Times New Roman" w:hint="default"/>
                <w:sz w:val="18"/>
                <w:szCs w:val="18"/>
              </w:rPr>
            </w:pPr>
            <w:r>
              <w:rPr>
                <w:rFonts w:ascii="Times New Roman"/>
                <w:sz w:val="18"/>
              </w:rPr>
              <w:t>486,301.69</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322"/>
              <w:jc w:val="right"/>
              <w:rPr>
                <w:rFonts w:ascii="Times New Roman" w:hAnsi="Times New Roman" w:cs="Times New Roman" w:eastAsia="Times New Roman" w:hint="default"/>
                <w:sz w:val="18"/>
                <w:szCs w:val="18"/>
              </w:rPr>
            </w:pPr>
            <w:r>
              <w:rPr>
                <w:rFonts w:ascii="Times New Roman"/>
                <w:sz w:val="18"/>
              </w:rPr>
              <w:t>397,603.36</w:t>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05"/>
              <w:jc w:val="right"/>
              <w:rPr>
                <w:rFonts w:ascii="Times New Roman" w:hAnsi="Times New Roman" w:cs="Times New Roman" w:eastAsia="Times New Roman" w:hint="default"/>
                <w:sz w:val="18"/>
                <w:szCs w:val="18"/>
              </w:rPr>
            </w:pPr>
            <w:r>
              <w:rPr>
                <w:rFonts w:ascii="Times New Roman"/>
                <w:sz w:val="18"/>
              </w:rPr>
              <w:t>6.37</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募投资金</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33"/>
              <w:jc w:val="right"/>
              <w:rPr>
                <w:rFonts w:ascii="Times New Roman" w:hAnsi="Times New Roman" w:cs="Times New Roman" w:eastAsia="Times New Roman" w:hint="default"/>
                <w:sz w:val="18"/>
                <w:szCs w:val="18"/>
              </w:rPr>
            </w:pPr>
            <w:r>
              <w:rPr>
                <w:rFonts w:ascii="Times New Roman"/>
                <w:spacing w:val="-1"/>
                <w:sz w:val="18"/>
              </w:rPr>
              <w:t>73,339,347.22</w:t>
            </w:r>
          </w:p>
        </w:tc>
      </w:tr>
      <w:tr>
        <w:trPr>
          <w:trHeight w:val="790" w:hRule="exact"/>
        </w:trPr>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86"/>
              <w:jc w:val="right"/>
              <w:rPr>
                <w:rFonts w:ascii="Times New Roman" w:hAnsi="Times New Roman" w:cs="Times New Roman" w:eastAsia="Times New Roman" w:hint="default"/>
                <w:sz w:val="18"/>
                <w:szCs w:val="18"/>
              </w:rPr>
            </w:pPr>
            <w:r>
              <w:rPr>
                <w:rFonts w:ascii="Times New Roman"/>
                <w:sz w:val="18"/>
              </w:rPr>
              <w:t>360,000.00</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z w:val="18"/>
              </w:rPr>
              <w:t>---</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20"/>
              <w:jc w:val="right"/>
              <w:rPr>
                <w:rFonts w:ascii="Times New Roman" w:hAnsi="Times New Roman" w:cs="Times New Roman" w:eastAsia="Times New Roman" w:hint="default"/>
                <w:sz w:val="18"/>
                <w:szCs w:val="18"/>
              </w:rPr>
            </w:pPr>
            <w:r>
              <w:rPr>
                <w:rFonts w:ascii="Times New Roman"/>
                <w:sz w:val="18"/>
              </w:rPr>
              <w:t>360,732.96</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264"/>
              <w:jc w:val="right"/>
              <w:rPr>
                <w:rFonts w:ascii="Times New Roman" w:hAnsi="Times New Roman" w:cs="Times New Roman" w:eastAsia="Times New Roman" w:hint="default"/>
                <w:sz w:val="18"/>
                <w:szCs w:val="18"/>
              </w:rPr>
            </w:pPr>
            <w:r>
              <w:rPr>
                <w:rFonts w:ascii="Times New Roman"/>
                <w:sz w:val="18"/>
              </w:rPr>
              <w:t>360,732.96</w:t>
            </w:r>
          </w:p>
        </w:tc>
        <w:tc>
          <w:tcPr>
            <w:tcW w:w="6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22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42"/>
              <w:jc w:val="right"/>
              <w:rPr>
                <w:rFonts w:ascii="Times New Roman" w:hAnsi="Times New Roman" w:cs="Times New Roman" w:eastAsia="Times New Roman" w:hint="default"/>
                <w:sz w:val="18"/>
                <w:szCs w:val="18"/>
              </w:rPr>
            </w:pPr>
            <w:r>
              <w:rPr>
                <w:rFonts w:ascii="Times New Roman"/>
                <w:sz w:val="18"/>
              </w:rPr>
              <w:t>100.00</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40"/>
              <w:jc w:val="right"/>
              <w:rPr>
                <w:rFonts w:ascii="Times New Roman" w:hAnsi="Times New Roman" w:cs="Times New Roman" w:eastAsia="Times New Roman" w:hint="default"/>
                <w:sz w:val="18"/>
                <w:szCs w:val="18"/>
              </w:rPr>
            </w:pPr>
            <w:r>
              <w:rPr>
                <w:rFonts w:ascii="Times New Roman"/>
                <w:sz w:val="18"/>
              </w:rPr>
              <w:t>100.00</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65"/>
              <w:jc w:val="right"/>
              <w:rPr>
                <w:rFonts w:ascii="Times New Roman" w:hAnsi="Times New Roman" w:cs="Times New Roman" w:eastAsia="Times New Roman" w:hint="default"/>
                <w:sz w:val="18"/>
                <w:szCs w:val="18"/>
              </w:rPr>
            </w:pPr>
            <w:r>
              <w:rPr>
                <w:rFonts w:ascii="Times New Roman"/>
                <w:sz w:val="18"/>
              </w:rPr>
              <w:t>---</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323"/>
              <w:jc w:val="right"/>
              <w:rPr>
                <w:rFonts w:ascii="Times New Roman" w:hAnsi="Times New Roman" w:cs="Times New Roman" w:eastAsia="Times New Roman" w:hint="default"/>
                <w:sz w:val="18"/>
                <w:szCs w:val="18"/>
              </w:rPr>
            </w:pPr>
            <w:r>
              <w:rPr>
                <w:rFonts w:ascii="Times New Roman"/>
                <w:sz w:val="18"/>
              </w:rPr>
              <w:t>---</w:t>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自筹资金</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z w:val="18"/>
              </w:rPr>
              <w:t>---</w:t>
            </w:r>
          </w:p>
        </w:tc>
      </w:tr>
      <w:tr>
        <w:trPr>
          <w:trHeight w:val="790" w:hRule="exact"/>
        </w:trPr>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86"/>
              <w:jc w:val="right"/>
              <w:rPr>
                <w:rFonts w:ascii="Times New Roman" w:hAnsi="Times New Roman" w:cs="Times New Roman" w:eastAsia="Times New Roman" w:hint="default"/>
                <w:sz w:val="18"/>
                <w:szCs w:val="18"/>
              </w:rPr>
            </w:pPr>
            <w:r>
              <w:rPr>
                <w:rFonts w:ascii="Times New Roman"/>
                <w:spacing w:val="-1"/>
                <w:sz w:val="18"/>
              </w:rPr>
              <w:t>2,000,000.00</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z w:val="18"/>
              </w:rPr>
              <w:t>---</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20"/>
              <w:jc w:val="right"/>
              <w:rPr>
                <w:rFonts w:ascii="Times New Roman" w:hAnsi="Times New Roman" w:cs="Times New Roman" w:eastAsia="Times New Roman" w:hint="default"/>
                <w:sz w:val="18"/>
                <w:szCs w:val="18"/>
              </w:rPr>
            </w:pPr>
            <w:r>
              <w:rPr>
                <w:rFonts w:ascii="Times New Roman"/>
                <w:sz w:val="18"/>
              </w:rPr>
              <w:t>133,760.68</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265"/>
              <w:jc w:val="right"/>
              <w:rPr>
                <w:rFonts w:ascii="Times New Roman" w:hAnsi="Times New Roman" w:cs="Times New Roman" w:eastAsia="Times New Roman" w:hint="default"/>
                <w:sz w:val="18"/>
                <w:szCs w:val="18"/>
              </w:rPr>
            </w:pPr>
            <w:r>
              <w:rPr>
                <w:rFonts w:ascii="Times New Roman"/>
                <w:sz w:val="18"/>
              </w:rPr>
              <w:t>---</w:t>
            </w:r>
          </w:p>
        </w:tc>
        <w:tc>
          <w:tcPr>
            <w:tcW w:w="6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22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42"/>
              <w:jc w:val="right"/>
              <w:rPr>
                <w:rFonts w:ascii="Times New Roman" w:hAnsi="Times New Roman" w:cs="Times New Roman" w:eastAsia="Times New Roman" w:hint="default"/>
                <w:sz w:val="18"/>
                <w:szCs w:val="18"/>
              </w:rPr>
            </w:pPr>
            <w:r>
              <w:rPr>
                <w:rFonts w:ascii="Times New Roman"/>
                <w:sz w:val="18"/>
              </w:rPr>
              <w:t>6.69</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41"/>
              <w:jc w:val="right"/>
              <w:rPr>
                <w:rFonts w:ascii="Times New Roman" w:hAnsi="Times New Roman" w:cs="Times New Roman" w:eastAsia="Times New Roman" w:hint="default"/>
                <w:sz w:val="18"/>
                <w:szCs w:val="18"/>
              </w:rPr>
            </w:pPr>
            <w:r>
              <w:rPr>
                <w:rFonts w:ascii="Times New Roman"/>
                <w:sz w:val="18"/>
              </w:rPr>
              <w:t>6.69</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65"/>
              <w:jc w:val="right"/>
              <w:rPr>
                <w:rFonts w:ascii="Times New Roman" w:hAnsi="Times New Roman" w:cs="Times New Roman" w:eastAsia="Times New Roman" w:hint="default"/>
                <w:sz w:val="18"/>
                <w:szCs w:val="18"/>
              </w:rPr>
            </w:pPr>
            <w:r>
              <w:rPr>
                <w:rFonts w:ascii="Times New Roman"/>
                <w:sz w:val="18"/>
              </w:rPr>
              <w:t>---</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323"/>
              <w:jc w:val="right"/>
              <w:rPr>
                <w:rFonts w:ascii="Times New Roman" w:hAnsi="Times New Roman" w:cs="Times New Roman" w:eastAsia="Times New Roman" w:hint="default"/>
                <w:sz w:val="18"/>
                <w:szCs w:val="18"/>
              </w:rPr>
            </w:pPr>
            <w:r>
              <w:rPr>
                <w:rFonts w:ascii="Times New Roman"/>
                <w:sz w:val="18"/>
              </w:rPr>
              <w:t>---</w:t>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自筹资金</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133,760.68</w:t>
            </w:r>
          </w:p>
        </w:tc>
      </w:tr>
      <w:tr>
        <w:trPr>
          <w:trHeight w:val="712" w:hRule="exact"/>
        </w:trPr>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86"/>
              <w:jc w:val="right"/>
              <w:rPr>
                <w:rFonts w:ascii="Times New Roman" w:hAnsi="Times New Roman" w:cs="Times New Roman" w:eastAsia="Times New Roman" w:hint="default"/>
                <w:sz w:val="18"/>
                <w:szCs w:val="18"/>
              </w:rPr>
            </w:pPr>
            <w:r>
              <w:rPr>
                <w:rFonts w:ascii="Times New Roman"/>
                <w:spacing w:val="-1"/>
                <w:sz w:val="18"/>
              </w:rPr>
              <w:t>19,361,400.00</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433,969.70</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20"/>
              <w:jc w:val="right"/>
              <w:rPr>
                <w:rFonts w:ascii="Times New Roman" w:hAnsi="Times New Roman" w:cs="Times New Roman" w:eastAsia="Times New Roman" w:hint="default"/>
                <w:sz w:val="18"/>
                <w:szCs w:val="18"/>
              </w:rPr>
            </w:pPr>
            <w:r>
              <w:rPr>
                <w:rFonts w:ascii="Times New Roman"/>
                <w:spacing w:val="-1"/>
                <w:sz w:val="18"/>
              </w:rPr>
              <w:t>4,605,968.67</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264"/>
              <w:jc w:val="right"/>
              <w:rPr>
                <w:rFonts w:ascii="Times New Roman" w:hAnsi="Times New Roman" w:cs="Times New Roman" w:eastAsia="Times New Roman" w:hint="default"/>
                <w:sz w:val="18"/>
                <w:szCs w:val="18"/>
              </w:rPr>
            </w:pPr>
            <w:r>
              <w:rPr>
                <w:rFonts w:ascii="Times New Roman"/>
                <w:spacing w:val="-1"/>
                <w:sz w:val="18"/>
              </w:rPr>
              <w:t>1,600,700.10</w:t>
            </w:r>
          </w:p>
        </w:tc>
        <w:tc>
          <w:tcPr>
            <w:tcW w:w="6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22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42"/>
              <w:jc w:val="right"/>
              <w:rPr>
                <w:rFonts w:ascii="Times New Roman" w:hAnsi="Times New Roman" w:cs="Times New Roman" w:eastAsia="Times New Roman" w:hint="default"/>
                <w:sz w:val="18"/>
                <w:szCs w:val="18"/>
              </w:rPr>
            </w:pPr>
            <w:r>
              <w:rPr>
                <w:rFonts w:ascii="Times New Roman"/>
                <w:sz w:val="18"/>
              </w:rPr>
              <w:t>26.03</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41"/>
              <w:jc w:val="right"/>
              <w:rPr>
                <w:rFonts w:ascii="Times New Roman" w:hAnsi="Times New Roman" w:cs="Times New Roman" w:eastAsia="Times New Roman" w:hint="default"/>
                <w:sz w:val="18"/>
                <w:szCs w:val="18"/>
              </w:rPr>
            </w:pPr>
            <w:r>
              <w:rPr>
                <w:rFonts w:ascii="Times New Roman"/>
                <w:sz w:val="18"/>
              </w:rPr>
              <w:t>26.03</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65"/>
              <w:jc w:val="right"/>
              <w:rPr>
                <w:rFonts w:ascii="Times New Roman" w:hAnsi="Times New Roman" w:cs="Times New Roman" w:eastAsia="Times New Roman" w:hint="default"/>
                <w:sz w:val="18"/>
                <w:szCs w:val="18"/>
              </w:rPr>
            </w:pPr>
            <w:r>
              <w:rPr>
                <w:rFonts w:ascii="Times New Roman"/>
                <w:sz w:val="18"/>
              </w:rPr>
              <w:t>---</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323"/>
              <w:jc w:val="right"/>
              <w:rPr>
                <w:rFonts w:ascii="Times New Roman" w:hAnsi="Times New Roman" w:cs="Times New Roman" w:eastAsia="Times New Roman" w:hint="default"/>
                <w:sz w:val="18"/>
                <w:szCs w:val="18"/>
              </w:rPr>
            </w:pPr>
            <w:r>
              <w:rPr>
                <w:rFonts w:ascii="Times New Roman"/>
                <w:sz w:val="18"/>
              </w:rPr>
              <w:t>---</w:t>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自筹资金</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3,439,238.27</w:t>
            </w:r>
          </w:p>
        </w:tc>
      </w:tr>
      <w:tr>
        <w:trPr>
          <w:trHeight w:val="576" w:hRule="exact"/>
        </w:trPr>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86"/>
              <w:jc w:val="right"/>
              <w:rPr>
                <w:rFonts w:ascii="Times New Roman" w:hAnsi="Times New Roman" w:cs="Times New Roman" w:eastAsia="Times New Roman" w:hint="default"/>
                <w:sz w:val="18"/>
                <w:szCs w:val="18"/>
              </w:rPr>
            </w:pPr>
            <w:r>
              <w:rPr>
                <w:rFonts w:ascii="Times New Roman"/>
                <w:sz w:val="18"/>
              </w:rPr>
              <w:t>320,000.00</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z w:val="18"/>
              </w:rPr>
              <w:t>---</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21"/>
              <w:jc w:val="right"/>
              <w:rPr>
                <w:rFonts w:ascii="Times New Roman" w:hAnsi="Times New Roman" w:cs="Times New Roman" w:eastAsia="Times New Roman" w:hint="default"/>
                <w:sz w:val="18"/>
                <w:szCs w:val="18"/>
              </w:rPr>
            </w:pPr>
            <w:r>
              <w:rPr>
                <w:rFonts w:ascii="Times New Roman"/>
                <w:sz w:val="18"/>
              </w:rPr>
              <w:t>326,506.58</w:t>
            </w:r>
          </w:p>
        </w:tc>
        <w:tc>
          <w:tcPr>
            <w:tcW w:w="1470" w:type="dxa"/>
            <w:tcBorders>
              <w:top w:val="nil" w:sz="6" w:space="0" w:color="auto"/>
              <w:left w:val="nil" w:sz="6" w:space="0" w:color="auto"/>
              <w:bottom w:val="nil" w:sz="6" w:space="0" w:color="auto"/>
              <w:right w:val="nil" w:sz="6" w:space="0" w:color="auto"/>
            </w:tcBorders>
          </w:tcPr>
          <w:p>
            <w:pPr/>
          </w:p>
        </w:tc>
        <w:tc>
          <w:tcPr>
            <w:tcW w:w="67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2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42"/>
              <w:jc w:val="right"/>
              <w:rPr>
                <w:rFonts w:ascii="Times New Roman" w:hAnsi="Times New Roman" w:cs="Times New Roman" w:eastAsia="Times New Roman" w:hint="default"/>
                <w:sz w:val="18"/>
                <w:szCs w:val="18"/>
              </w:rPr>
            </w:pPr>
            <w:r>
              <w:rPr>
                <w:rFonts w:ascii="Times New Roman"/>
                <w:sz w:val="18"/>
              </w:rPr>
              <w:t>100.00</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41"/>
              <w:jc w:val="right"/>
              <w:rPr>
                <w:rFonts w:ascii="Times New Roman" w:hAnsi="Times New Roman" w:cs="Times New Roman" w:eastAsia="Times New Roman" w:hint="default"/>
                <w:sz w:val="18"/>
                <w:szCs w:val="18"/>
              </w:rPr>
            </w:pPr>
            <w:r>
              <w:rPr>
                <w:rFonts w:ascii="Times New Roman"/>
                <w:sz w:val="18"/>
              </w:rPr>
              <w:t>100.00</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65"/>
              <w:jc w:val="right"/>
              <w:rPr>
                <w:rFonts w:ascii="Times New Roman" w:hAnsi="Times New Roman" w:cs="Times New Roman" w:eastAsia="Times New Roman" w:hint="default"/>
                <w:sz w:val="18"/>
                <w:szCs w:val="18"/>
              </w:rPr>
            </w:pPr>
            <w:r>
              <w:rPr>
                <w:rFonts w:ascii="Times New Roman"/>
                <w:sz w:val="18"/>
              </w:rPr>
              <w:t>---</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323"/>
              <w:jc w:val="right"/>
              <w:rPr>
                <w:rFonts w:ascii="Times New Roman" w:hAnsi="Times New Roman" w:cs="Times New Roman" w:eastAsia="Times New Roman" w:hint="default"/>
                <w:sz w:val="18"/>
                <w:szCs w:val="18"/>
              </w:rPr>
            </w:pPr>
            <w:r>
              <w:rPr>
                <w:rFonts w:ascii="Times New Roman"/>
                <w:sz w:val="18"/>
              </w:rPr>
              <w:t>---</w:t>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自筹资金</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326,506.58</w:t>
            </w:r>
          </w:p>
        </w:tc>
      </w:tr>
      <w:tr>
        <w:trPr>
          <w:trHeight w:val="449" w:hRule="exact"/>
        </w:trPr>
        <w:tc>
          <w:tcPr>
            <w:tcW w:w="1349" w:type="dxa"/>
            <w:tcBorders>
              <w:top w:val="nil" w:sz="6" w:space="0" w:color="auto"/>
              <w:left w:val="nil" w:sz="6" w:space="0" w:color="auto"/>
              <w:bottom w:val="nil" w:sz="6" w:space="0" w:color="auto"/>
              <w:right w:val="nil" w:sz="6" w:space="0" w:color="auto"/>
            </w:tcBorders>
          </w:tcPr>
          <w:p>
            <w:pP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06"/>
              <w:jc w:val="right"/>
              <w:rPr>
                <w:rFonts w:ascii="Times New Roman" w:hAnsi="Times New Roman" w:cs="Times New Roman" w:eastAsia="Times New Roman" w:hint="default"/>
                <w:sz w:val="18"/>
                <w:szCs w:val="18"/>
              </w:rPr>
            </w:pPr>
            <w:r>
              <w:rPr>
                <w:rFonts w:ascii="Times New Roman"/>
                <w:spacing w:val="-1"/>
                <w:sz w:val="18"/>
              </w:rPr>
              <w:t>32,955,456.67</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20"/>
              <w:jc w:val="right"/>
              <w:rPr>
                <w:rFonts w:ascii="Times New Roman" w:hAnsi="Times New Roman" w:cs="Times New Roman" w:eastAsia="Times New Roman" w:hint="default"/>
                <w:sz w:val="18"/>
                <w:szCs w:val="18"/>
              </w:rPr>
            </w:pPr>
            <w:r>
              <w:rPr>
                <w:rFonts w:ascii="Times New Roman"/>
                <w:spacing w:val="-1"/>
                <w:sz w:val="18"/>
              </w:rPr>
              <w:t>97,496,241.51</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64"/>
              <w:jc w:val="right"/>
              <w:rPr>
                <w:rFonts w:ascii="Times New Roman" w:hAnsi="Times New Roman" w:cs="Times New Roman" w:eastAsia="Times New Roman" w:hint="default"/>
                <w:sz w:val="18"/>
                <w:szCs w:val="18"/>
              </w:rPr>
            </w:pPr>
            <w:r>
              <w:rPr>
                <w:rFonts w:ascii="Times New Roman"/>
                <w:spacing w:val="-1"/>
                <w:sz w:val="18"/>
              </w:rPr>
              <w:t>50,698,971.17</w:t>
            </w:r>
          </w:p>
        </w:tc>
        <w:tc>
          <w:tcPr>
            <w:tcW w:w="670"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2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863"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63"/>
              <w:jc w:val="right"/>
              <w:rPr>
                <w:rFonts w:ascii="Times New Roman" w:hAnsi="Times New Roman" w:cs="Times New Roman" w:eastAsia="Times New Roman" w:hint="default"/>
                <w:sz w:val="18"/>
                <w:szCs w:val="18"/>
              </w:rPr>
            </w:pPr>
            <w:r>
              <w:rPr>
                <w:rFonts w:ascii="Times New Roman"/>
                <w:sz w:val="18"/>
              </w:rPr>
              <w:t>486,301.69</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321"/>
              <w:jc w:val="right"/>
              <w:rPr>
                <w:rFonts w:ascii="Times New Roman" w:hAnsi="Times New Roman" w:cs="Times New Roman" w:eastAsia="Times New Roman" w:hint="default"/>
                <w:sz w:val="18"/>
                <w:szCs w:val="18"/>
              </w:rPr>
            </w:pPr>
            <w:r>
              <w:rPr>
                <w:rFonts w:ascii="Times New Roman"/>
                <w:sz w:val="18"/>
              </w:rPr>
              <w:t>397,603.36</w:t>
            </w:r>
          </w:p>
        </w:tc>
        <w:tc>
          <w:tcPr>
            <w:tcW w:w="747"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06"/>
              <w:jc w:val="right"/>
              <w:rPr>
                <w:rFonts w:ascii="Times New Roman" w:hAnsi="Times New Roman" w:cs="Times New Roman" w:eastAsia="Times New Roman" w:hint="default"/>
                <w:sz w:val="18"/>
                <w:szCs w:val="18"/>
              </w:rPr>
            </w:pPr>
            <w:r>
              <w:rPr>
                <w:rFonts w:ascii="Times New Roman"/>
                <w:sz w:val="18"/>
              </w:rPr>
              <w:t>---</w:t>
            </w:r>
          </w:p>
        </w:tc>
        <w:tc>
          <w:tcPr>
            <w:tcW w:w="1051" w:type="dxa"/>
            <w:tcBorders>
              <w:top w:val="nil" w:sz="6" w:space="0" w:color="auto"/>
              <w:left w:val="nil" w:sz="6" w:space="0" w:color="auto"/>
              <w:bottom w:val="nil" w:sz="6" w:space="0" w:color="auto"/>
              <w:right w:val="nil" w:sz="6" w:space="0" w:color="auto"/>
            </w:tcBorders>
          </w:tcPr>
          <w:p>
            <w:pP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33"/>
              <w:jc w:val="right"/>
              <w:rPr>
                <w:rFonts w:ascii="Times New Roman" w:hAnsi="Times New Roman" w:cs="Times New Roman" w:eastAsia="Times New Roman" w:hint="default"/>
                <w:sz w:val="18"/>
                <w:szCs w:val="18"/>
              </w:rPr>
            </w:pPr>
            <w:r>
              <w:rPr>
                <w:rFonts w:ascii="Times New Roman"/>
                <w:spacing w:val="-1"/>
                <w:sz w:val="18"/>
              </w:rPr>
              <w:t>79,752,727.01</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spacing w:before="35"/>
        <w:ind w:left="89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、年末在建工程不存在减值情况，未计提减值准备。</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4"/>
          <w:szCs w:val="24"/>
        </w:rPr>
      </w:pPr>
    </w:p>
    <w:p>
      <w:pPr>
        <w:spacing w:before="76"/>
        <w:ind w:left="0" w:right="899" w:firstLine="0"/>
        <w:jc w:val="right"/>
        <w:rPr>
          <w:rFonts w:ascii="Times New Roman" w:hAnsi="Times New Roman" w:cs="Times New Roman" w:eastAsia="Times New Roman" w:hint="default"/>
          <w:sz w:val="18"/>
          <w:szCs w:val="18"/>
        </w:rPr>
      </w:pPr>
      <w:r>
        <w:rPr>
          <w:rFonts w:ascii="Times New Roman"/>
          <w:sz w:val="18"/>
        </w:rPr>
        <w:t>139</w:t>
      </w:r>
    </w:p>
    <w:p>
      <w:pPr>
        <w:spacing w:after="0"/>
        <w:jc w:val="right"/>
        <w:rPr>
          <w:rFonts w:ascii="Times New Roman" w:hAnsi="Times New Roman" w:cs="Times New Roman" w:eastAsia="Times New Roman" w:hint="default"/>
          <w:sz w:val="18"/>
          <w:szCs w:val="18"/>
        </w:rPr>
        <w:sectPr>
          <w:headerReference w:type="default" r:id="rId166"/>
          <w:footerReference w:type="default" r:id="rId167"/>
          <w:pgSz w:w="16840" w:h="11910" w:orient="landscape"/>
          <w:pgMar w:header="0" w:footer="0" w:top="600" w:bottom="280" w:left="1160" w:right="540"/>
        </w:sectPr>
      </w:pPr>
    </w:p>
    <w:p>
      <w:pPr>
        <w:spacing w:line="240" w:lineRule="auto" w:before="5"/>
        <w:rPr>
          <w:rFonts w:ascii="Times New Roman" w:hAnsi="Times New Roman" w:cs="Times New Roman" w:eastAsia="Times New Roman" w:hint="default"/>
          <w:sz w:val="11"/>
          <w:szCs w:val="11"/>
        </w:rPr>
      </w:pPr>
      <w:r>
        <w:rPr/>
        <w:pict>
          <v:group style="position:absolute;margin-left:116.040001pt;margin-top:110.580002pt;width:393.85pt;height:588.4pt;mso-position-horizontal-relative:page;mso-position-vertical-relative:page;z-index:-778792" coordorigin="2321,2212" coordsize="7877,11768">
            <v:shape style="position:absolute;left:4586;top:2212;width:4133;height:426" type="#_x0000_t75" stroked="false">
              <v:imagedata r:id="rId171" o:title=""/>
            </v:shape>
            <v:shape style="position:absolute;left:2321;top:2590;width:7877;height:11389" type="#_x0000_t75" stroked="false">
              <v:imagedata r:id="rId172" o:title=""/>
            </v:shape>
            <w10:wrap type="none"/>
          </v:group>
        </w:pict>
      </w:r>
    </w:p>
    <w:p>
      <w:pPr>
        <w:spacing w:before="35"/>
        <w:ind w:left="26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无形资产</w:t>
      </w:r>
      <w:r>
        <w:rPr>
          <w:rFonts w:ascii="宋体" w:hAnsi="宋体" w:cs="宋体" w:eastAsia="宋体" w:hint="default"/>
          <w:sz w:val="21"/>
          <w:szCs w:val="21"/>
        </w:rPr>
      </w:r>
    </w:p>
    <w:p>
      <w:pPr>
        <w:tabs>
          <w:tab w:pos="1434" w:val="left" w:leader="none"/>
        </w:tabs>
        <w:spacing w:before="79"/>
        <w:ind w:left="89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无形资产情况</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tbl>
      <w:tblPr>
        <w:tblW w:w="0" w:type="auto"/>
        <w:jc w:val="left"/>
        <w:tblInd w:w="902" w:type="dxa"/>
        <w:tblLayout w:type="fixed"/>
        <w:tblCellMar>
          <w:top w:w="0" w:type="dxa"/>
          <w:left w:w="0" w:type="dxa"/>
          <w:bottom w:w="0" w:type="dxa"/>
          <w:right w:w="0" w:type="dxa"/>
        </w:tblCellMar>
        <w:tblLook w:val="01E0"/>
      </w:tblPr>
      <w:tblGrid>
        <w:gridCol w:w="2314"/>
        <w:gridCol w:w="1395"/>
        <w:gridCol w:w="1363"/>
        <w:gridCol w:w="1307"/>
        <w:gridCol w:w="1295"/>
      </w:tblGrid>
      <w:tr>
        <w:trPr>
          <w:trHeight w:val="772" w:hRule="exact"/>
        </w:trPr>
        <w:tc>
          <w:tcPr>
            <w:tcW w:w="2314"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right="189"/>
              <w:jc w:val="center"/>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143"/>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、账面原值合计</w:t>
            </w:r>
          </w:p>
        </w:tc>
        <w:tc>
          <w:tcPr>
            <w:tcW w:w="1395"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264"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0"/>
              <w:ind w:right="0"/>
              <w:jc w:val="left"/>
              <w:rPr>
                <w:rFonts w:ascii="宋体" w:hAnsi="宋体" w:cs="宋体" w:eastAsia="宋体" w:hint="default"/>
                <w:b/>
                <w:bCs/>
                <w:sz w:val="14"/>
                <w:szCs w:val="14"/>
              </w:rPr>
            </w:pPr>
          </w:p>
          <w:p>
            <w:pPr>
              <w:pStyle w:val="TableParagraph"/>
              <w:spacing w:line="240" w:lineRule="auto"/>
              <w:ind w:left="224" w:right="0"/>
              <w:jc w:val="left"/>
              <w:rPr>
                <w:rFonts w:ascii="Times New Roman" w:hAnsi="Times New Roman" w:cs="Times New Roman" w:eastAsia="Times New Roman" w:hint="default"/>
                <w:sz w:val="18"/>
                <w:szCs w:val="18"/>
              </w:rPr>
            </w:pPr>
            <w:r>
              <w:rPr>
                <w:rFonts w:ascii="Times New Roman"/>
                <w:sz w:val="18"/>
              </w:rPr>
              <w:t>59,951,210.29</w:t>
            </w:r>
          </w:p>
        </w:tc>
        <w:tc>
          <w:tcPr>
            <w:tcW w:w="1363"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right="112"/>
              <w:jc w:val="center"/>
              <w:rPr>
                <w:rFonts w:ascii="宋体" w:hAnsi="宋体" w:cs="宋体" w:eastAsia="宋体" w:hint="default"/>
                <w:sz w:val="18"/>
                <w:szCs w:val="18"/>
              </w:rPr>
            </w:pPr>
            <w:r>
              <w:rPr>
                <w:rFonts w:ascii="宋体" w:hAnsi="宋体" w:cs="宋体" w:eastAsia="宋体" w:hint="default"/>
                <w:sz w:val="18"/>
                <w:szCs w:val="18"/>
              </w:rPr>
              <w:t>本年增加</w:t>
            </w:r>
          </w:p>
          <w:p>
            <w:pPr>
              <w:pStyle w:val="TableParagraph"/>
              <w:spacing w:line="240" w:lineRule="auto" w:before="0"/>
              <w:ind w:right="0"/>
              <w:jc w:val="left"/>
              <w:rPr>
                <w:rFonts w:ascii="宋体" w:hAnsi="宋体" w:cs="宋体" w:eastAsia="宋体" w:hint="default"/>
                <w:b/>
                <w:bCs/>
                <w:sz w:val="14"/>
                <w:szCs w:val="14"/>
              </w:rPr>
            </w:pPr>
          </w:p>
          <w:p>
            <w:pPr>
              <w:pStyle w:val="TableParagraph"/>
              <w:spacing w:line="240" w:lineRule="auto"/>
              <w:ind w:right="56"/>
              <w:jc w:val="center"/>
              <w:rPr>
                <w:rFonts w:ascii="Times New Roman" w:hAnsi="Times New Roman" w:cs="Times New Roman" w:eastAsia="Times New Roman" w:hint="default"/>
                <w:sz w:val="18"/>
                <w:szCs w:val="18"/>
              </w:rPr>
            </w:pPr>
            <w:r>
              <w:rPr>
                <w:rFonts w:ascii="Times New Roman"/>
                <w:sz w:val="18"/>
              </w:rPr>
              <w:t>12,538,721.06</w:t>
            </w:r>
          </w:p>
        </w:tc>
        <w:tc>
          <w:tcPr>
            <w:tcW w:w="1307"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192" w:right="0"/>
              <w:jc w:val="left"/>
              <w:rPr>
                <w:rFonts w:ascii="宋体" w:hAnsi="宋体" w:cs="宋体" w:eastAsia="宋体" w:hint="default"/>
                <w:sz w:val="18"/>
                <w:szCs w:val="18"/>
              </w:rPr>
            </w:pPr>
            <w:r>
              <w:rPr>
                <w:rFonts w:ascii="宋体" w:hAnsi="宋体" w:cs="宋体" w:eastAsia="宋体" w:hint="default"/>
                <w:sz w:val="18"/>
                <w:szCs w:val="18"/>
              </w:rPr>
              <w:t>本年减少</w:t>
            </w:r>
          </w:p>
          <w:p>
            <w:pPr>
              <w:pStyle w:val="TableParagraph"/>
              <w:spacing w:line="240" w:lineRule="auto" w:before="0"/>
              <w:ind w:right="0"/>
              <w:jc w:val="left"/>
              <w:rPr>
                <w:rFonts w:ascii="宋体" w:hAnsi="宋体" w:cs="宋体" w:eastAsia="宋体" w:hint="default"/>
                <w:b/>
                <w:bCs/>
                <w:sz w:val="14"/>
                <w:szCs w:val="14"/>
              </w:rPr>
            </w:pPr>
          </w:p>
          <w:p>
            <w:pPr>
              <w:pStyle w:val="TableParagraph"/>
              <w:spacing w:line="240" w:lineRule="auto"/>
              <w:ind w:left="284" w:right="0"/>
              <w:jc w:val="left"/>
              <w:rPr>
                <w:rFonts w:ascii="Times New Roman" w:hAnsi="Times New Roman" w:cs="Times New Roman" w:eastAsia="Times New Roman" w:hint="default"/>
                <w:sz w:val="18"/>
                <w:szCs w:val="18"/>
              </w:rPr>
            </w:pPr>
            <w:r>
              <w:rPr>
                <w:rFonts w:ascii="Times New Roman"/>
                <w:sz w:val="18"/>
              </w:rPr>
              <w:t>111,951.71</w:t>
            </w:r>
          </w:p>
        </w:tc>
        <w:tc>
          <w:tcPr>
            <w:tcW w:w="1295"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264" w:right="0"/>
              <w:jc w:val="left"/>
              <w:rPr>
                <w:rFonts w:ascii="宋体" w:hAnsi="宋体" w:cs="宋体" w:eastAsia="宋体" w:hint="default"/>
                <w:sz w:val="18"/>
                <w:szCs w:val="18"/>
              </w:rPr>
            </w:pPr>
            <w:r>
              <w:rPr>
                <w:rFonts w:ascii="宋体" w:hAnsi="宋体" w:cs="宋体" w:eastAsia="宋体" w:hint="default"/>
                <w:sz w:val="18"/>
                <w:szCs w:val="18"/>
              </w:rPr>
              <w:t>年末余额</w:t>
            </w:r>
          </w:p>
          <w:p>
            <w:pPr>
              <w:pStyle w:val="TableParagraph"/>
              <w:spacing w:line="240" w:lineRule="auto" w:before="0"/>
              <w:ind w:right="0"/>
              <w:jc w:val="left"/>
              <w:rPr>
                <w:rFonts w:ascii="宋体" w:hAnsi="宋体" w:cs="宋体" w:eastAsia="宋体" w:hint="default"/>
                <w:b/>
                <w:bCs/>
                <w:sz w:val="14"/>
                <w:szCs w:val="14"/>
              </w:rPr>
            </w:pPr>
          </w:p>
          <w:p>
            <w:pPr>
              <w:pStyle w:val="TableParagraph"/>
              <w:spacing w:line="240" w:lineRule="auto"/>
              <w:ind w:left="224" w:right="0"/>
              <w:jc w:val="left"/>
              <w:rPr>
                <w:rFonts w:ascii="Times New Roman" w:hAnsi="Times New Roman" w:cs="Times New Roman" w:eastAsia="Times New Roman" w:hint="default"/>
                <w:sz w:val="18"/>
                <w:szCs w:val="18"/>
              </w:rPr>
            </w:pPr>
            <w:r>
              <w:rPr>
                <w:rFonts w:ascii="Times New Roman"/>
                <w:sz w:val="18"/>
              </w:rPr>
              <w:t>72,377,979.64</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pacing w:val="-1"/>
                <w:sz w:val="18"/>
              </w:rPr>
              <w:t>25,867,945.93</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0"/>
              <w:jc w:val="right"/>
              <w:rPr>
                <w:rFonts w:ascii="Times New Roman" w:hAnsi="Times New Roman" w:cs="Times New Roman" w:eastAsia="Times New Roman" w:hint="default"/>
                <w:sz w:val="18"/>
                <w:szCs w:val="18"/>
              </w:rPr>
            </w:pPr>
            <w:r>
              <w:rPr>
                <w:rFonts w:ascii="Times New Roman"/>
                <w:spacing w:val="-1"/>
                <w:sz w:val="18"/>
              </w:rPr>
              <w:t>12,299,669.78</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pacing w:val="-1"/>
                <w:sz w:val="18"/>
              </w:rPr>
              <w:t>38,167,615.71</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）专有技术</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pacing w:val="-1"/>
                <w:sz w:val="18"/>
              </w:rPr>
              <w:t>21,780,000.00</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pacing w:val="-1"/>
                <w:sz w:val="18"/>
              </w:rPr>
              <w:t>21,780,000.00</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）专利技术</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pacing w:val="-1"/>
                <w:sz w:val="18"/>
              </w:rPr>
              <w:t>11,531,723.97</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pacing w:val="-1"/>
                <w:sz w:val="18"/>
              </w:rPr>
              <w:t>11,531,723.97</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）财务软件</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z w:val="18"/>
              </w:rPr>
              <w:t>771,540.39</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0"/>
              <w:jc w:val="right"/>
              <w:rPr>
                <w:rFonts w:ascii="Times New Roman" w:hAnsi="Times New Roman" w:cs="Times New Roman" w:eastAsia="Times New Roman" w:hint="default"/>
                <w:sz w:val="18"/>
                <w:szCs w:val="18"/>
              </w:rPr>
            </w:pPr>
            <w:r>
              <w:rPr>
                <w:rFonts w:ascii="Times New Roman"/>
                <w:sz w:val="18"/>
              </w:rPr>
              <w:t>31,051.28</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23"/>
              <w:jc w:val="right"/>
              <w:rPr>
                <w:rFonts w:ascii="Times New Roman" w:hAnsi="Times New Roman" w:cs="Times New Roman" w:eastAsia="Times New Roman" w:hint="default"/>
                <w:sz w:val="18"/>
                <w:szCs w:val="18"/>
              </w:rPr>
            </w:pPr>
            <w:r>
              <w:rPr>
                <w:rFonts w:ascii="Times New Roman"/>
                <w:spacing w:val="-2"/>
                <w:sz w:val="18"/>
              </w:rPr>
              <w:t>111,951.71</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z w:val="18"/>
              </w:rPr>
              <w:t>690,639.96</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）商标权</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2"/>
              <w:jc w:val="right"/>
              <w:rPr>
                <w:rFonts w:ascii="Times New Roman" w:hAnsi="Times New Roman" w:cs="Times New Roman" w:eastAsia="Times New Roman" w:hint="default"/>
                <w:sz w:val="15"/>
                <w:szCs w:val="15"/>
              </w:rPr>
            </w:pPr>
            <w:r>
              <w:rPr>
                <w:rFonts w:ascii="Times New Roman"/>
                <w:sz w:val="15"/>
              </w:rPr>
              <w:t>---</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90"/>
              <w:jc w:val="right"/>
              <w:rPr>
                <w:rFonts w:ascii="Times New Roman" w:hAnsi="Times New Roman" w:cs="Times New Roman" w:eastAsia="Times New Roman" w:hint="default"/>
                <w:sz w:val="18"/>
                <w:szCs w:val="18"/>
              </w:rPr>
            </w:pPr>
            <w:r>
              <w:rPr>
                <w:rFonts w:ascii="Times New Roman"/>
                <w:sz w:val="18"/>
              </w:rPr>
              <w:t>208,000.00</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3"/>
              <w:jc w:val="right"/>
              <w:rPr>
                <w:rFonts w:ascii="Times New Roman" w:hAnsi="Times New Roman" w:cs="Times New Roman" w:eastAsia="Times New Roman" w:hint="default"/>
                <w:sz w:val="18"/>
                <w:szCs w:val="18"/>
              </w:rPr>
            </w:pPr>
            <w:r>
              <w:rPr>
                <w:rFonts w:ascii="Times New Roman"/>
                <w:sz w:val="18"/>
              </w:rPr>
              <w:t>208,000.00</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、累计摊销合计</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pacing w:val="-1"/>
                <w:sz w:val="18"/>
              </w:rPr>
              <w:t>7,387,531.77</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1"/>
              <w:jc w:val="right"/>
              <w:rPr>
                <w:rFonts w:ascii="Times New Roman" w:hAnsi="Times New Roman" w:cs="Times New Roman" w:eastAsia="Times New Roman" w:hint="default"/>
                <w:sz w:val="18"/>
                <w:szCs w:val="18"/>
              </w:rPr>
            </w:pPr>
            <w:r>
              <w:rPr>
                <w:rFonts w:ascii="Times New Roman"/>
                <w:spacing w:val="-1"/>
                <w:sz w:val="18"/>
              </w:rPr>
              <w:t>3,406,868.49</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pacing w:val="-1"/>
                <w:sz w:val="18"/>
              </w:rPr>
              <w:t>10,794,400.26</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pacing w:val="-1"/>
                <w:sz w:val="18"/>
              </w:rPr>
              <w:t>1,030,430.64</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0"/>
              <w:jc w:val="right"/>
              <w:rPr>
                <w:rFonts w:ascii="Times New Roman" w:hAnsi="Times New Roman" w:cs="Times New Roman" w:eastAsia="Times New Roman" w:hint="default"/>
                <w:sz w:val="18"/>
                <w:szCs w:val="18"/>
              </w:rPr>
            </w:pPr>
            <w:r>
              <w:rPr>
                <w:rFonts w:ascii="Times New Roman"/>
                <w:sz w:val="18"/>
              </w:rPr>
              <w:t>558,358.14</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pacing w:val="-1"/>
                <w:sz w:val="18"/>
              </w:rPr>
              <w:t>1,588,788.78</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）专有技术</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pacing w:val="-1"/>
                <w:sz w:val="18"/>
              </w:rPr>
              <w:t>1,545,770.17</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1"/>
              <w:jc w:val="right"/>
              <w:rPr>
                <w:rFonts w:ascii="Times New Roman" w:hAnsi="Times New Roman" w:cs="Times New Roman" w:eastAsia="Times New Roman" w:hint="default"/>
                <w:sz w:val="18"/>
                <w:szCs w:val="18"/>
              </w:rPr>
            </w:pPr>
            <w:r>
              <w:rPr>
                <w:rFonts w:ascii="Times New Roman"/>
                <w:spacing w:val="-1"/>
                <w:sz w:val="18"/>
              </w:rPr>
              <w:t>1,977,999.98</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pacing w:val="-1"/>
                <w:sz w:val="18"/>
              </w:rPr>
              <w:t>3,523,770.15</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）专利技术</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pacing w:val="-1"/>
                <w:sz w:val="18"/>
              </w:rPr>
              <w:t>4,802,016.96</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0"/>
              <w:jc w:val="right"/>
              <w:rPr>
                <w:rFonts w:ascii="Times New Roman" w:hAnsi="Times New Roman" w:cs="Times New Roman" w:eastAsia="Times New Roman" w:hint="default"/>
                <w:sz w:val="18"/>
                <w:szCs w:val="18"/>
              </w:rPr>
            </w:pPr>
            <w:r>
              <w:rPr>
                <w:rFonts w:ascii="Times New Roman"/>
                <w:sz w:val="18"/>
              </w:rPr>
              <w:t>799,658.76</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pacing w:val="-1"/>
                <w:sz w:val="18"/>
              </w:rPr>
              <w:t>5,601,675.72</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）财务软件</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z w:val="18"/>
              </w:rPr>
              <w:t>9,314.00</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0"/>
              <w:jc w:val="right"/>
              <w:rPr>
                <w:rFonts w:ascii="Times New Roman" w:hAnsi="Times New Roman" w:cs="Times New Roman" w:eastAsia="Times New Roman" w:hint="default"/>
                <w:sz w:val="18"/>
                <w:szCs w:val="18"/>
              </w:rPr>
            </w:pPr>
            <w:r>
              <w:rPr>
                <w:rFonts w:ascii="Times New Roman"/>
                <w:sz w:val="18"/>
              </w:rPr>
              <w:t>63,918.25</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z w:val="18"/>
              </w:rPr>
              <w:t>73,232.25</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）商标权</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2"/>
              <w:jc w:val="right"/>
              <w:rPr>
                <w:rFonts w:ascii="Times New Roman" w:hAnsi="Times New Roman" w:cs="Times New Roman" w:eastAsia="Times New Roman" w:hint="default"/>
                <w:sz w:val="15"/>
                <w:szCs w:val="15"/>
              </w:rPr>
            </w:pPr>
            <w:r>
              <w:rPr>
                <w:rFonts w:ascii="Times New Roman"/>
                <w:sz w:val="15"/>
              </w:rPr>
              <w:t>---</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90"/>
              <w:jc w:val="right"/>
              <w:rPr>
                <w:rFonts w:ascii="Times New Roman" w:hAnsi="Times New Roman" w:cs="Times New Roman" w:eastAsia="Times New Roman" w:hint="default"/>
                <w:sz w:val="18"/>
                <w:szCs w:val="18"/>
              </w:rPr>
            </w:pPr>
            <w:r>
              <w:rPr>
                <w:rFonts w:ascii="Times New Roman"/>
                <w:sz w:val="18"/>
              </w:rPr>
              <w:t>6,933.36</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3"/>
              <w:jc w:val="right"/>
              <w:rPr>
                <w:rFonts w:ascii="Times New Roman" w:hAnsi="Times New Roman" w:cs="Times New Roman" w:eastAsia="Times New Roman" w:hint="default"/>
                <w:sz w:val="18"/>
                <w:szCs w:val="18"/>
              </w:rPr>
            </w:pPr>
            <w:r>
              <w:rPr>
                <w:rFonts w:ascii="Times New Roman"/>
                <w:sz w:val="18"/>
              </w:rPr>
              <w:t>6,933.36</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、无形资产账面净值合计</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pacing w:val="-1"/>
                <w:sz w:val="18"/>
              </w:rPr>
              <w:t>52,563,678.52</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pacing w:val="-1"/>
                <w:sz w:val="18"/>
              </w:rPr>
              <w:t>61,583,579.38</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pacing w:val="-1"/>
                <w:sz w:val="18"/>
              </w:rPr>
              <w:t>24,837,515.29</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pacing w:val="-1"/>
                <w:sz w:val="18"/>
              </w:rPr>
              <w:t>36,578,826.93</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）专有技术</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pacing w:val="-1"/>
                <w:sz w:val="18"/>
              </w:rPr>
              <w:t>20,234,229.83</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pacing w:val="-1"/>
                <w:sz w:val="18"/>
              </w:rPr>
              <w:t>18,256,229.85</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）专利技术</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pacing w:val="-1"/>
                <w:sz w:val="18"/>
              </w:rPr>
              <w:t>6,729,707.01</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pacing w:val="-1"/>
                <w:sz w:val="18"/>
              </w:rPr>
              <w:t>5,930,048.25</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）财务软件</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z w:val="18"/>
              </w:rPr>
              <w:t>762,226.39</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z w:val="18"/>
              </w:rPr>
              <w:t>617,407.71</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）商标权</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2"/>
              <w:jc w:val="right"/>
              <w:rPr>
                <w:rFonts w:ascii="Times New Roman" w:hAnsi="Times New Roman" w:cs="Times New Roman" w:eastAsia="Times New Roman" w:hint="default"/>
                <w:sz w:val="15"/>
                <w:szCs w:val="15"/>
              </w:rPr>
            </w:pPr>
            <w:r>
              <w:rPr>
                <w:rFonts w:ascii="Times New Roman"/>
                <w:sz w:val="15"/>
              </w:rPr>
              <w:t>---</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3"/>
              <w:jc w:val="right"/>
              <w:rPr>
                <w:rFonts w:ascii="Times New Roman" w:hAnsi="Times New Roman" w:cs="Times New Roman" w:eastAsia="Times New Roman" w:hint="default"/>
                <w:sz w:val="18"/>
                <w:szCs w:val="18"/>
              </w:rPr>
            </w:pPr>
            <w:r>
              <w:rPr>
                <w:rFonts w:ascii="Times New Roman"/>
                <w:sz w:val="18"/>
              </w:rPr>
              <w:t>201,066.64</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、减值准备合计</w:t>
            </w:r>
          </w:p>
        </w:tc>
        <w:tc>
          <w:tcPr>
            <w:tcW w:w="1395" w:type="dxa"/>
            <w:tcBorders>
              <w:top w:val="nil" w:sz="6" w:space="0" w:color="auto"/>
              <w:left w:val="nil" w:sz="6" w:space="0" w:color="auto"/>
              <w:bottom w:val="nil" w:sz="6" w:space="0" w:color="auto"/>
              <w:right w:val="nil" w:sz="6" w:space="0" w:color="auto"/>
            </w:tcBorders>
          </w:tcPr>
          <w:p>
            <w:pP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395" w:type="dxa"/>
            <w:tcBorders>
              <w:top w:val="nil" w:sz="6" w:space="0" w:color="auto"/>
              <w:left w:val="nil" w:sz="6" w:space="0" w:color="auto"/>
              <w:bottom w:val="nil" w:sz="6" w:space="0" w:color="auto"/>
              <w:right w:val="nil" w:sz="6" w:space="0" w:color="auto"/>
            </w:tcBorders>
          </w:tcPr>
          <w:p>
            <w:pP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）专有技术</w:t>
            </w:r>
          </w:p>
        </w:tc>
        <w:tc>
          <w:tcPr>
            <w:tcW w:w="1395" w:type="dxa"/>
            <w:tcBorders>
              <w:top w:val="nil" w:sz="6" w:space="0" w:color="auto"/>
              <w:left w:val="nil" w:sz="6" w:space="0" w:color="auto"/>
              <w:bottom w:val="nil" w:sz="6" w:space="0" w:color="auto"/>
              <w:right w:val="nil" w:sz="6" w:space="0" w:color="auto"/>
            </w:tcBorders>
          </w:tcPr>
          <w:p>
            <w:pP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）专利技术</w:t>
            </w:r>
          </w:p>
        </w:tc>
        <w:tc>
          <w:tcPr>
            <w:tcW w:w="1395" w:type="dxa"/>
            <w:tcBorders>
              <w:top w:val="nil" w:sz="6" w:space="0" w:color="auto"/>
              <w:left w:val="nil" w:sz="6" w:space="0" w:color="auto"/>
              <w:bottom w:val="nil" w:sz="6" w:space="0" w:color="auto"/>
              <w:right w:val="nil" w:sz="6" w:space="0" w:color="auto"/>
            </w:tcBorders>
          </w:tcPr>
          <w:p>
            <w:pP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）财务软件</w:t>
            </w:r>
          </w:p>
        </w:tc>
        <w:tc>
          <w:tcPr>
            <w:tcW w:w="1395" w:type="dxa"/>
            <w:tcBorders>
              <w:top w:val="nil" w:sz="6" w:space="0" w:color="auto"/>
              <w:left w:val="nil" w:sz="6" w:space="0" w:color="auto"/>
              <w:bottom w:val="nil" w:sz="6" w:space="0" w:color="auto"/>
              <w:right w:val="nil" w:sz="6" w:space="0" w:color="auto"/>
            </w:tcBorders>
          </w:tcPr>
          <w:p>
            <w:pP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）商标权</w:t>
            </w:r>
          </w:p>
        </w:tc>
        <w:tc>
          <w:tcPr>
            <w:tcW w:w="1395" w:type="dxa"/>
            <w:tcBorders>
              <w:top w:val="nil" w:sz="6" w:space="0" w:color="auto"/>
              <w:left w:val="nil" w:sz="6" w:space="0" w:color="auto"/>
              <w:bottom w:val="nil" w:sz="6" w:space="0" w:color="auto"/>
              <w:right w:val="nil" w:sz="6" w:space="0" w:color="auto"/>
            </w:tcBorders>
          </w:tcPr>
          <w:p>
            <w:pP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
        </w:tc>
      </w:tr>
      <w:tr>
        <w:trPr>
          <w:trHeight w:val="378"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无形资产账面价值合计</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pacing w:val="-1"/>
                <w:sz w:val="18"/>
              </w:rPr>
              <w:t>52,563,678.52</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pacing w:val="-1"/>
                <w:sz w:val="18"/>
              </w:rPr>
              <w:t>61,583,579.38</w:t>
            </w:r>
          </w:p>
        </w:tc>
      </w:tr>
      <w:tr>
        <w:trPr>
          <w:trHeight w:val="380"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32"/>
              <w:jc w:val="right"/>
              <w:rPr>
                <w:rFonts w:ascii="Times New Roman" w:hAnsi="Times New Roman" w:cs="Times New Roman" w:eastAsia="Times New Roman" w:hint="default"/>
                <w:sz w:val="18"/>
                <w:szCs w:val="18"/>
              </w:rPr>
            </w:pPr>
            <w:r>
              <w:rPr>
                <w:rFonts w:ascii="Times New Roman"/>
                <w:spacing w:val="-1"/>
                <w:sz w:val="18"/>
              </w:rPr>
              <w:t>24,837,515.29</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3"/>
              <w:jc w:val="right"/>
              <w:rPr>
                <w:rFonts w:ascii="Times New Roman" w:hAnsi="Times New Roman" w:cs="Times New Roman" w:eastAsia="Times New Roman" w:hint="default"/>
                <w:sz w:val="18"/>
                <w:szCs w:val="18"/>
              </w:rPr>
            </w:pPr>
            <w:r>
              <w:rPr>
                <w:rFonts w:ascii="Times New Roman"/>
                <w:spacing w:val="-1"/>
                <w:sz w:val="18"/>
              </w:rPr>
              <w:t>36,578,826.93</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）专有技术</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pacing w:val="-1"/>
                <w:sz w:val="18"/>
              </w:rPr>
              <w:t>20,234,229.83</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pacing w:val="-1"/>
                <w:sz w:val="18"/>
              </w:rPr>
              <w:t>18,256,229.85</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）专利技术</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pacing w:val="-1"/>
                <w:sz w:val="18"/>
              </w:rPr>
              <w:t>6,729,707.01</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pacing w:val="-1"/>
                <w:sz w:val="18"/>
              </w:rPr>
              <w:t>5,930,048.25</w:t>
            </w:r>
          </w:p>
        </w:tc>
      </w:tr>
      <w:tr>
        <w:trPr>
          <w:trHeight w:val="37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）财务软件</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sz w:val="18"/>
              </w:rPr>
              <w:t>762,226.39</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8"/>
                <w:szCs w:val="18"/>
              </w:rPr>
            </w:pPr>
            <w:r>
              <w:rPr>
                <w:rFonts w:ascii="Times New Roman"/>
                <w:sz w:val="18"/>
              </w:rPr>
              <w:t>617,407.71</w:t>
            </w:r>
          </w:p>
        </w:tc>
      </w:tr>
      <w:tr>
        <w:trPr>
          <w:trHeight w:val="384" w:hRule="exact"/>
        </w:trPr>
        <w:tc>
          <w:tcPr>
            <w:tcW w:w="2314"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）商标权</w:t>
            </w:r>
          </w:p>
        </w:tc>
        <w:tc>
          <w:tcPr>
            <w:tcW w:w="1395"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right="132"/>
              <w:jc w:val="right"/>
              <w:rPr>
                <w:rFonts w:ascii="Times New Roman" w:hAnsi="Times New Roman" w:cs="Times New Roman" w:eastAsia="Times New Roman" w:hint="default"/>
                <w:sz w:val="15"/>
                <w:szCs w:val="15"/>
              </w:rPr>
            </w:pPr>
            <w:r>
              <w:rPr>
                <w:rFonts w:ascii="Times New Roman"/>
                <w:sz w:val="15"/>
              </w:rPr>
              <w:t>---</w:t>
            </w:r>
          </w:p>
        </w:tc>
        <w:tc>
          <w:tcPr>
            <w:tcW w:w="1363"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right="19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307"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right="222"/>
              <w:jc w:val="right"/>
              <w:rPr>
                <w:rFonts w:ascii="Times New Roman" w:hAnsi="Times New Roman" w:cs="Times New Roman" w:eastAsia="Times New Roman" w:hint="default"/>
                <w:sz w:val="15"/>
                <w:szCs w:val="15"/>
              </w:rPr>
            </w:pPr>
            <w:r>
              <w:rPr>
                <w:rFonts w:ascii="Times New Roman"/>
                <w:sz w:val="15"/>
              </w:rPr>
              <w:t>---</w:t>
            </w:r>
          </w:p>
        </w:tc>
        <w:tc>
          <w:tcPr>
            <w:tcW w:w="1295" w:type="dxa"/>
            <w:tcBorders>
              <w:top w:val="nil" w:sz="6" w:space="0" w:color="auto"/>
              <w:left w:val="nil" w:sz="6" w:space="0" w:color="auto"/>
              <w:bottom w:val="single" w:sz="12" w:space="0" w:color="000000"/>
              <w:right w:val="nil" w:sz="6" w:space="0" w:color="auto"/>
            </w:tcBorders>
          </w:tcPr>
          <w:p>
            <w:pPr>
              <w:pStyle w:val="TableParagraph"/>
              <w:spacing w:line="240" w:lineRule="auto" w:before="78"/>
              <w:ind w:right="33"/>
              <w:jc w:val="right"/>
              <w:rPr>
                <w:rFonts w:ascii="Times New Roman" w:hAnsi="Times New Roman" w:cs="Times New Roman" w:eastAsia="Times New Roman" w:hint="default"/>
                <w:sz w:val="18"/>
                <w:szCs w:val="18"/>
              </w:rPr>
            </w:pPr>
            <w:r>
              <w:rPr>
                <w:rFonts w:ascii="Times New Roman"/>
                <w:sz w:val="18"/>
              </w:rPr>
              <w:t>201,066.64</w:t>
            </w:r>
          </w:p>
        </w:tc>
      </w:tr>
    </w:tbl>
    <w:p>
      <w:pPr>
        <w:spacing w:line="240" w:lineRule="auto" w:before="13"/>
        <w:rPr>
          <w:rFonts w:ascii="宋体" w:hAnsi="宋体" w:cs="宋体" w:eastAsia="宋体" w:hint="default"/>
          <w:b/>
          <w:bCs/>
          <w:sz w:val="7"/>
          <w:szCs w:val="7"/>
        </w:rPr>
      </w:pPr>
    </w:p>
    <w:p>
      <w:pPr>
        <w:spacing w:line="362" w:lineRule="auto" w:before="35"/>
        <w:ind w:left="895" w:right="4509" w:hanging="9"/>
        <w:jc w:val="left"/>
        <w:rPr>
          <w:rFonts w:ascii="宋体" w:hAnsi="宋体" w:cs="宋体" w:eastAsia="宋体" w:hint="default"/>
          <w:sz w:val="21"/>
          <w:szCs w:val="21"/>
        </w:rPr>
      </w:pPr>
      <w:r>
        <w:rPr>
          <w:rFonts w:ascii="宋体" w:hAnsi="宋体" w:cs="宋体" w:eastAsia="宋体" w:hint="default"/>
          <w:sz w:val="21"/>
          <w:szCs w:val="21"/>
        </w:rPr>
        <w:t>本年摊销额 </w:t>
      </w:r>
      <w:r>
        <w:rPr>
          <w:rFonts w:ascii="Times New Roman" w:hAnsi="Times New Roman" w:cs="Times New Roman" w:eastAsia="Times New Roman" w:hint="default"/>
          <w:sz w:val="21"/>
          <w:szCs w:val="21"/>
        </w:rPr>
        <w:t>3,406,868.49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 年末无用于抵押或担保的无形资产。</w:t>
      </w:r>
    </w:p>
    <w:p>
      <w:pPr>
        <w:spacing w:after="0" w:line="362" w:lineRule="auto"/>
        <w:jc w:val="left"/>
        <w:rPr>
          <w:rFonts w:ascii="宋体" w:hAnsi="宋体" w:cs="宋体" w:eastAsia="宋体" w:hint="default"/>
          <w:sz w:val="21"/>
          <w:szCs w:val="21"/>
        </w:rPr>
        <w:sectPr>
          <w:footerReference w:type="default" r:id="rId170"/>
          <w:pgSz w:w="11910" w:h="16840"/>
          <w:pgMar w:footer="1270" w:header="0" w:top="1360" w:bottom="1460" w:left="1520" w:right="1600"/>
          <w:pgNumType w:start="140"/>
        </w:sectPr>
      </w:pPr>
    </w:p>
    <w:p>
      <w:pPr>
        <w:spacing w:line="240" w:lineRule="auto" w:before="0"/>
        <w:rPr>
          <w:rFonts w:ascii="宋体" w:hAnsi="宋体" w:cs="宋体" w:eastAsia="宋体" w:hint="default"/>
          <w:sz w:val="10"/>
          <w:szCs w:val="10"/>
        </w:rPr>
      </w:pPr>
    </w:p>
    <w:p>
      <w:pPr>
        <w:spacing w:before="35"/>
        <w:ind w:left="245" w:right="2291" w:firstLine="0"/>
        <w:jc w:val="left"/>
        <w:rPr>
          <w:rFonts w:ascii="宋体" w:hAnsi="宋体" w:cs="宋体" w:eastAsia="宋体" w:hint="default"/>
          <w:sz w:val="21"/>
          <w:szCs w:val="21"/>
        </w:rPr>
      </w:pPr>
      <w:r>
        <w:rPr>
          <w:rFonts w:ascii="宋体" w:hAnsi="宋体" w:cs="宋体" w:eastAsia="宋体" w:hint="default"/>
          <w:b/>
          <w:bCs/>
          <w:sz w:val="21"/>
          <w:szCs w:val="21"/>
        </w:rPr>
        <w:t>（十二）开发支出</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p>
      <w:pPr>
        <w:spacing w:line="12216" w:lineRule="exact"/>
        <w:ind w:left="798" w:right="0" w:firstLine="0"/>
        <w:rPr>
          <w:rFonts w:ascii="宋体" w:hAnsi="宋体" w:cs="宋体" w:eastAsia="宋体" w:hint="default"/>
          <w:sz w:val="20"/>
          <w:szCs w:val="20"/>
        </w:rPr>
      </w:pPr>
      <w:r>
        <w:rPr>
          <w:rFonts w:ascii="宋体" w:hAnsi="宋体" w:cs="宋体" w:eastAsia="宋体" w:hint="default"/>
          <w:position w:val="-243"/>
          <w:sz w:val="20"/>
          <w:szCs w:val="20"/>
        </w:rPr>
        <w:pict>
          <v:group style="width:378.85pt;height:610.8pt;mso-position-horizontal-relative:char;mso-position-vertical-relative:line" coordorigin="0,0" coordsize="7577,12216">
            <v:group style="position:absolute;left:29;top:15;width:3994;height:2" coordorigin="29,15" coordsize="3994,2">
              <v:shape style="position:absolute;left:29;top:15;width:3994;height:2" coordorigin="29,15" coordsize="3994,0" path="m29,15l4023,15e" filled="false" stroked="true" strokeweight="1.5pt" strokecolor="#000000">
                <v:path arrowok="t"/>
              </v:shape>
            </v:group>
            <v:group style="position:absolute;left:4023;top:15;width:2238;height:2" coordorigin="4023,15" coordsize="2238,2">
              <v:shape style="position:absolute;left:4023;top:15;width:2238;height:2" coordorigin="4023,15" coordsize="2238,0" path="m4023,15l6261,15e" filled="false" stroked="true" strokeweight="1.5pt" strokecolor="#000000">
                <v:path arrowok="t"/>
              </v:shape>
            </v:group>
            <v:group style="position:absolute;left:6261;top:15;width:1281;height:2" coordorigin="6261,15" coordsize="1281,2">
              <v:shape style="position:absolute;left:6261;top:15;width:1281;height:2" coordorigin="6261,15" coordsize="1281,0" path="m6261,15l7541,15e" filled="false" stroked="true" strokeweight="1.5pt" strokecolor="#000000">
                <v:path arrowok="t"/>
              </v:shape>
              <v:shape style="position:absolute;left:1413;top:10;width:4886;height:1079" type="#_x0000_t75" stroked="false">
                <v:imagedata r:id="rId173" o:title=""/>
              </v:shape>
            </v:group>
            <v:group style="position:absolute;left:15;top:12201;width:1427;height:2" coordorigin="15,12201" coordsize="1427,2">
              <v:shape style="position:absolute;left:15;top:12201;width:1427;height:2" coordorigin="15,12201" coordsize="1427,0" path="m15,12201l1442,12201e" filled="false" stroked="true" strokeweight="1.5pt" strokecolor="#000000">
                <v:path arrowok="t"/>
              </v:shape>
            </v:group>
            <v:group style="position:absolute;left:1442;top:12201;width:1277;height:2" coordorigin="1442,12201" coordsize="1277,2">
              <v:shape style="position:absolute;left:1442;top:12201;width:1277;height:2" coordorigin="1442,12201" coordsize="1277,0" path="m1442,12201l2719,12201e" filled="false" stroked="true" strokeweight="1.5pt" strokecolor="#000000">
                <v:path arrowok="t"/>
              </v:shape>
            </v:group>
            <v:group style="position:absolute;left:2719;top:12201;width:1275;height:2" coordorigin="2719,12201" coordsize="1275,2">
              <v:shape style="position:absolute;left:2719;top:12201;width:1275;height:2" coordorigin="2719,12201" coordsize="1275,0" path="m2719,12201l3993,12201e" filled="false" stroked="true" strokeweight="1.5pt" strokecolor="#000000">
                <v:path arrowok="t"/>
              </v:shape>
            </v:group>
            <v:group style="position:absolute;left:3993;top:12201;width:994;height:2" coordorigin="3993,12201" coordsize="994,2">
              <v:shape style="position:absolute;left:3993;top:12201;width:994;height:2" coordorigin="3993,12201" coordsize="994,0" path="m3993,12201l4987,12201e" filled="false" stroked="true" strokeweight="1.5pt" strokecolor="#000000">
                <v:path arrowok="t"/>
              </v:shape>
            </v:group>
            <v:group style="position:absolute;left:4987;top:12201;width:1275;height:2" coordorigin="4987,12201" coordsize="1275,2">
              <v:shape style="position:absolute;left:4987;top:12201;width:1275;height:2" coordorigin="4987,12201" coordsize="1275,0" path="m4987,12201l6261,12201e" filled="false" stroked="true" strokeweight="1.5pt" strokecolor="#000000">
                <v:path arrowok="t"/>
              </v:shape>
              <v:shape style="position:absolute;left:1;top:1042;width:7576;height:11144" type="#_x0000_t75" stroked="false">
                <v:imagedata r:id="rId174" o:title=""/>
              </v:shape>
            </v:group>
            <v:group style="position:absolute;left:6261;top:12201;width:1281;height:2" coordorigin="6261,12201" coordsize="1281,2">
              <v:shape style="position:absolute;left:6261;top:12201;width:1281;height:2" coordorigin="6261,12201" coordsize="1281,0" path="m6261,12201l7541,12201e" filled="false" stroked="true" strokeweight="1.5pt" strokecolor="#000000">
                <v:path arrowok="t"/>
              </v:shape>
              <v:shape style="position:absolute;left:4772;top:1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本年转出</w:t>
                      </w:r>
                    </w:p>
                  </w:txbxContent>
                </v:textbox>
                <w10:wrap type="none"/>
              </v:shape>
              <v:shape style="position:absolute;left:559;top:45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1724;top:45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999;top:45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4135;top:504;width:720;height:491"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确认为无</w:t>
                      </w:r>
                    </w:p>
                    <w:p>
                      <w:pPr>
                        <w:spacing w:before="75"/>
                        <w:ind w:left="90" w:right="0" w:firstLine="0"/>
                        <w:jc w:val="left"/>
                        <w:rPr>
                          <w:rFonts w:ascii="宋体" w:hAnsi="宋体" w:cs="宋体" w:eastAsia="宋体" w:hint="default"/>
                          <w:sz w:val="18"/>
                          <w:szCs w:val="18"/>
                        </w:rPr>
                      </w:pPr>
                      <w:r>
                        <w:rPr>
                          <w:rFonts w:ascii="宋体" w:hAnsi="宋体" w:cs="宋体" w:eastAsia="宋体" w:hint="default"/>
                          <w:sz w:val="18"/>
                          <w:szCs w:val="18"/>
                        </w:rPr>
                        <w:t>形资产</w:t>
                      </w:r>
                    </w:p>
                  </w:txbxContent>
                </v:textbox>
                <w10:wrap type="none"/>
              </v:shape>
              <v:shape style="position:absolute;left:5177;top:504;width:900;height:491"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确认为当期</w:t>
                      </w:r>
                    </w:p>
                    <w:p>
                      <w:pPr>
                        <w:spacing w:before="75"/>
                        <w:ind w:left="0" w:right="0" w:firstLine="0"/>
                        <w:jc w:val="center"/>
                        <w:rPr>
                          <w:rFonts w:ascii="宋体" w:hAnsi="宋体" w:cs="宋体" w:eastAsia="宋体" w:hint="default"/>
                          <w:sz w:val="18"/>
                          <w:szCs w:val="18"/>
                        </w:rPr>
                      </w:pPr>
                      <w:r>
                        <w:rPr>
                          <w:rFonts w:ascii="宋体" w:hAnsi="宋体" w:cs="宋体" w:eastAsia="宋体" w:hint="default"/>
                          <w:sz w:val="18"/>
                          <w:szCs w:val="18"/>
                        </w:rPr>
                        <w:t>损益</w:t>
                      </w:r>
                    </w:p>
                  </w:txbxContent>
                </v:textbox>
                <w10:wrap type="none"/>
              </v:shape>
              <v:shape style="position:absolute;left:6543;top:45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137;top:1138;width:1278;height:1057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8"/>
                          <w:sz w:val="18"/>
                          <w:szCs w:val="18"/>
                        </w:rPr>
                        <w:t>聚酰亚胺</w:t>
                      </w:r>
                      <w:r>
                        <w:rPr>
                          <w:rFonts w:ascii="宋体" w:hAnsi="宋体" w:cs="宋体" w:eastAsia="宋体" w:hint="default"/>
                          <w:spacing w:val="-67"/>
                          <w:sz w:val="18"/>
                          <w:szCs w:val="18"/>
                        </w:rPr>
                        <w:t> </w:t>
                      </w:r>
                      <w:r>
                        <w:rPr>
                          <w:rFonts w:ascii="宋体" w:hAnsi="宋体" w:cs="宋体" w:eastAsia="宋体" w:hint="default"/>
                          <w:spacing w:val="12"/>
                          <w:sz w:val="18"/>
                          <w:szCs w:val="18"/>
                        </w:rPr>
                        <w:t>纤维</w:t>
                      </w:r>
                      <w:r>
                        <w:rPr>
                          <w:rFonts w:ascii="宋体" w:hAnsi="宋体" w:cs="宋体" w:eastAsia="宋体" w:hint="default"/>
                          <w:spacing w:val="-66"/>
                          <w:sz w:val="18"/>
                          <w:szCs w:val="18"/>
                        </w:rPr>
                        <w:t> </w:t>
                      </w:r>
                      <w:r>
                        <w:rPr>
                          <w:rFonts w:ascii="宋体" w:hAnsi="宋体" w:cs="宋体" w:eastAsia="宋体" w:hint="default"/>
                          <w:sz w:val="18"/>
                          <w:szCs w:val="18"/>
                        </w:rPr>
                      </w:r>
                    </w:p>
                    <w:p>
                      <w:pPr>
                        <w:spacing w:line="321" w:lineRule="auto" w:before="76"/>
                        <w:ind w:left="0" w:right="50" w:firstLine="0"/>
                        <w:jc w:val="left"/>
                        <w:rPr>
                          <w:rFonts w:ascii="宋体" w:hAnsi="宋体" w:cs="宋体" w:eastAsia="宋体" w:hint="default"/>
                          <w:sz w:val="18"/>
                          <w:szCs w:val="18"/>
                        </w:rPr>
                      </w:pPr>
                      <w:r>
                        <w:rPr>
                          <w:rFonts w:ascii="宋体" w:hAnsi="宋体" w:cs="宋体" w:eastAsia="宋体" w:hint="default"/>
                          <w:sz w:val="18"/>
                          <w:szCs w:val="18"/>
                        </w:rPr>
                        <w:t>生产工艺技术 </w:t>
                      </w:r>
                      <w:r>
                        <w:rPr>
                          <w:rFonts w:ascii="宋体" w:hAnsi="宋体" w:cs="宋体" w:eastAsia="宋体" w:hint="default"/>
                          <w:spacing w:val="18"/>
                          <w:sz w:val="18"/>
                          <w:szCs w:val="18"/>
                        </w:rPr>
                        <w:t>氯代苯酐</w:t>
                      </w:r>
                      <w:r>
                        <w:rPr>
                          <w:rFonts w:ascii="宋体" w:hAnsi="宋体" w:cs="宋体" w:eastAsia="宋体" w:hint="default"/>
                          <w:spacing w:val="-67"/>
                          <w:sz w:val="18"/>
                          <w:szCs w:val="18"/>
                        </w:rPr>
                        <w:t> </w:t>
                      </w:r>
                      <w:r>
                        <w:rPr>
                          <w:rFonts w:ascii="宋体" w:hAnsi="宋体" w:cs="宋体" w:eastAsia="宋体" w:hint="default"/>
                          <w:spacing w:val="12"/>
                          <w:sz w:val="18"/>
                          <w:szCs w:val="18"/>
                        </w:rPr>
                        <w:t>生产</w:t>
                      </w:r>
                      <w:r>
                        <w:rPr>
                          <w:rFonts w:ascii="宋体" w:hAnsi="宋体" w:cs="宋体" w:eastAsia="宋体" w:hint="default"/>
                          <w:spacing w:val="-66"/>
                          <w:sz w:val="18"/>
                          <w:szCs w:val="18"/>
                        </w:rPr>
                        <w:t> </w:t>
                      </w:r>
                      <w:r>
                        <w:rPr>
                          <w:rFonts w:ascii="宋体" w:hAnsi="宋体" w:cs="宋体" w:eastAsia="宋体" w:hint="default"/>
                          <w:sz w:val="18"/>
                          <w:szCs w:val="18"/>
                        </w:rPr>
                        <w:t>技术</w:t>
                      </w:r>
                    </w:p>
                    <w:p>
                      <w:pPr>
                        <w:spacing w:line="316" w:lineRule="auto" w:before="25"/>
                        <w:ind w:left="0" w:right="50" w:firstLine="0"/>
                        <w:jc w:val="both"/>
                        <w:rPr>
                          <w:rFonts w:ascii="宋体" w:hAnsi="宋体" w:cs="宋体" w:eastAsia="宋体" w:hint="default"/>
                          <w:sz w:val="18"/>
                          <w:szCs w:val="18"/>
                        </w:rPr>
                      </w:pPr>
                      <w:r>
                        <w:rPr>
                          <w:rFonts w:ascii="宋体" w:hAnsi="宋体" w:cs="宋体" w:eastAsia="宋体" w:hint="default"/>
                          <w:spacing w:val="18"/>
                          <w:sz w:val="18"/>
                          <w:szCs w:val="18"/>
                        </w:rPr>
                        <w:t>高速制备</w:t>
                      </w:r>
                      <w:r>
                        <w:rPr>
                          <w:rFonts w:ascii="宋体" w:hAnsi="宋体" w:cs="宋体" w:eastAsia="宋体" w:hint="default"/>
                          <w:spacing w:val="-67"/>
                          <w:sz w:val="18"/>
                          <w:szCs w:val="18"/>
                        </w:rPr>
                        <w:t> </w:t>
                      </w:r>
                      <w:r>
                        <w:rPr>
                          <w:rFonts w:ascii="宋体" w:hAnsi="宋体" w:cs="宋体" w:eastAsia="宋体" w:hint="default"/>
                          <w:spacing w:val="12"/>
                          <w:sz w:val="18"/>
                          <w:szCs w:val="18"/>
                        </w:rPr>
                        <w:t>聚合</w:t>
                      </w:r>
                      <w:r>
                        <w:rPr>
                          <w:rFonts w:ascii="宋体" w:hAnsi="宋体" w:cs="宋体" w:eastAsia="宋体" w:hint="default"/>
                          <w:spacing w:val="-66"/>
                          <w:sz w:val="18"/>
                          <w:szCs w:val="18"/>
                        </w:rPr>
                        <w:t> </w:t>
                      </w:r>
                      <w:r>
                        <w:rPr>
                          <w:rFonts w:ascii="宋体" w:hAnsi="宋体" w:cs="宋体" w:eastAsia="宋体" w:hint="default"/>
                          <w:spacing w:val="18"/>
                          <w:sz w:val="18"/>
                          <w:szCs w:val="18"/>
                        </w:rPr>
                        <w:t>物纳米纤</w:t>
                      </w:r>
                      <w:r>
                        <w:rPr>
                          <w:rFonts w:ascii="宋体" w:hAnsi="宋体" w:cs="宋体" w:eastAsia="宋体" w:hint="default"/>
                          <w:spacing w:val="-67"/>
                          <w:sz w:val="18"/>
                          <w:szCs w:val="18"/>
                        </w:rPr>
                        <w:t> </w:t>
                      </w:r>
                      <w:r>
                        <w:rPr>
                          <w:rFonts w:ascii="宋体" w:hAnsi="宋体" w:cs="宋体" w:eastAsia="宋体" w:hint="default"/>
                          <w:spacing w:val="12"/>
                          <w:sz w:val="18"/>
                          <w:szCs w:val="18"/>
                        </w:rPr>
                        <w:t>维新</w:t>
                      </w:r>
                      <w:r>
                        <w:rPr>
                          <w:rFonts w:ascii="宋体" w:hAnsi="宋体" w:cs="宋体" w:eastAsia="宋体" w:hint="default"/>
                          <w:spacing w:val="-66"/>
                          <w:sz w:val="18"/>
                          <w:szCs w:val="18"/>
                        </w:rPr>
                        <w:t> </w:t>
                      </w:r>
                      <w:r>
                        <w:rPr>
                          <w:rFonts w:ascii="宋体" w:hAnsi="宋体" w:cs="宋体" w:eastAsia="宋体" w:hint="default"/>
                          <w:spacing w:val="18"/>
                          <w:sz w:val="18"/>
                          <w:szCs w:val="18"/>
                        </w:rPr>
                        <w:t>方法及高</w:t>
                      </w:r>
                      <w:r>
                        <w:rPr>
                          <w:rFonts w:ascii="宋体" w:hAnsi="宋体" w:cs="宋体" w:eastAsia="宋体" w:hint="default"/>
                          <w:spacing w:val="-67"/>
                          <w:sz w:val="18"/>
                          <w:szCs w:val="18"/>
                        </w:rPr>
                        <w:t> </w:t>
                      </w:r>
                      <w:r>
                        <w:rPr>
                          <w:rFonts w:ascii="宋体" w:hAnsi="宋体" w:cs="宋体" w:eastAsia="宋体" w:hint="default"/>
                          <w:spacing w:val="12"/>
                          <w:sz w:val="18"/>
                          <w:szCs w:val="18"/>
                        </w:rPr>
                        <w:t>性能</w:t>
                      </w:r>
                      <w:r>
                        <w:rPr>
                          <w:rFonts w:ascii="宋体" w:hAnsi="宋体" w:cs="宋体" w:eastAsia="宋体" w:hint="default"/>
                          <w:spacing w:val="-66"/>
                          <w:sz w:val="18"/>
                          <w:szCs w:val="18"/>
                        </w:rPr>
                        <w:t> </w:t>
                      </w:r>
                      <w:r>
                        <w:rPr>
                          <w:rFonts w:ascii="宋体" w:hAnsi="宋体" w:cs="宋体" w:eastAsia="宋体" w:hint="default"/>
                          <w:spacing w:val="18"/>
                          <w:sz w:val="18"/>
                          <w:szCs w:val="18"/>
                        </w:rPr>
                        <w:t>纳米纤维</w:t>
                      </w:r>
                      <w:r>
                        <w:rPr>
                          <w:rFonts w:ascii="宋体" w:hAnsi="宋体" w:cs="宋体" w:eastAsia="宋体" w:hint="default"/>
                          <w:spacing w:val="-67"/>
                          <w:sz w:val="18"/>
                          <w:szCs w:val="18"/>
                        </w:rPr>
                        <w:t> </w:t>
                      </w:r>
                      <w:r>
                        <w:rPr>
                          <w:rFonts w:ascii="宋体" w:hAnsi="宋体" w:cs="宋体" w:eastAsia="宋体" w:hint="default"/>
                          <w:spacing w:val="12"/>
                          <w:sz w:val="18"/>
                          <w:szCs w:val="18"/>
                        </w:rPr>
                        <w:t>布形</w:t>
                      </w:r>
                      <w:r>
                        <w:rPr>
                          <w:rFonts w:ascii="宋体" w:hAnsi="宋体" w:cs="宋体" w:eastAsia="宋体" w:hint="default"/>
                          <w:spacing w:val="-66"/>
                          <w:sz w:val="18"/>
                          <w:szCs w:val="18"/>
                        </w:rPr>
                        <w:t> </w:t>
                      </w:r>
                      <w:r>
                        <w:rPr>
                          <w:rFonts w:ascii="宋体" w:hAnsi="宋体" w:cs="宋体" w:eastAsia="宋体" w:hint="default"/>
                          <w:sz w:val="18"/>
                          <w:szCs w:val="18"/>
                        </w:rPr>
                        <w:t>成技术</w:t>
                      </w:r>
                    </w:p>
                    <w:p>
                      <w:pPr>
                        <w:spacing w:line="312" w:lineRule="auto" w:before="29"/>
                        <w:ind w:left="0" w:right="0" w:firstLine="0"/>
                        <w:jc w:val="both"/>
                        <w:rPr>
                          <w:rFonts w:ascii="宋体" w:hAnsi="宋体" w:cs="宋体" w:eastAsia="宋体" w:hint="default"/>
                          <w:sz w:val="18"/>
                          <w:szCs w:val="18"/>
                        </w:rPr>
                      </w:pPr>
                      <w:r>
                        <w:rPr>
                          <w:rFonts w:ascii="宋体" w:hAnsi="宋体" w:cs="宋体" w:eastAsia="宋体" w:hint="default"/>
                          <w:spacing w:val="60"/>
                          <w:sz w:val="18"/>
                          <w:szCs w:val="18"/>
                        </w:rPr>
                        <w:t>可弯曲白光</w:t>
                      </w:r>
                      <w:r>
                        <w:rPr>
                          <w:rFonts w:ascii="宋体" w:hAnsi="宋体" w:cs="宋体" w:eastAsia="宋体" w:hint="default"/>
                          <w:spacing w:val="-15"/>
                          <w:sz w:val="18"/>
                          <w:szCs w:val="18"/>
                        </w:rPr>
                        <w:t> </w:t>
                      </w:r>
                      <w:r>
                        <w:rPr>
                          <w:rFonts w:ascii="Times New Roman" w:hAnsi="Times New Roman" w:cs="Times New Roman" w:eastAsia="Times New Roman" w:hint="default"/>
                          <w:sz w:val="18"/>
                          <w:szCs w:val="18"/>
                        </w:rPr>
                        <w:t>OLED</w:t>
                      </w:r>
                      <w:r>
                        <w:rPr>
                          <w:rFonts w:ascii="Times New Roman" w:hAnsi="Times New Roman" w:cs="Times New Roman" w:eastAsia="Times New Roman" w:hint="default"/>
                          <w:spacing w:val="31"/>
                          <w:sz w:val="18"/>
                          <w:szCs w:val="18"/>
                        </w:rPr>
                        <w:t> </w:t>
                      </w:r>
                      <w:r>
                        <w:rPr>
                          <w:rFonts w:ascii="宋体" w:hAnsi="宋体" w:cs="宋体" w:eastAsia="宋体" w:hint="default"/>
                          <w:spacing w:val="20"/>
                          <w:sz w:val="18"/>
                          <w:szCs w:val="18"/>
                        </w:rPr>
                        <w:t>照明柔</w:t>
                      </w:r>
                      <w:r>
                        <w:rPr>
                          <w:rFonts w:ascii="宋体" w:hAnsi="宋体" w:cs="宋体" w:eastAsia="宋体" w:hint="default"/>
                          <w:spacing w:val="-59"/>
                          <w:sz w:val="18"/>
                          <w:szCs w:val="18"/>
                        </w:rPr>
                        <w:t> </w:t>
                      </w:r>
                      <w:r>
                        <w:rPr>
                          <w:rFonts w:ascii="宋体" w:hAnsi="宋体" w:cs="宋体" w:eastAsia="宋体" w:hint="default"/>
                          <w:spacing w:val="18"/>
                          <w:sz w:val="18"/>
                          <w:szCs w:val="18"/>
                        </w:rPr>
                        <w:t>性透明导</w:t>
                      </w:r>
                      <w:r>
                        <w:rPr>
                          <w:rFonts w:ascii="宋体" w:hAnsi="宋体" w:cs="宋体" w:eastAsia="宋体" w:hint="default"/>
                          <w:spacing w:val="-65"/>
                          <w:sz w:val="18"/>
                          <w:szCs w:val="18"/>
                        </w:rPr>
                        <w:t> </w:t>
                      </w:r>
                      <w:r>
                        <w:rPr>
                          <w:rFonts w:ascii="宋体" w:hAnsi="宋体" w:cs="宋体" w:eastAsia="宋体" w:hint="default"/>
                          <w:spacing w:val="12"/>
                          <w:sz w:val="18"/>
                          <w:szCs w:val="18"/>
                        </w:rPr>
                        <w:t>电膜</w:t>
                      </w:r>
                      <w:r>
                        <w:rPr>
                          <w:rFonts w:ascii="宋体" w:hAnsi="宋体" w:cs="宋体" w:eastAsia="宋体" w:hint="default"/>
                          <w:spacing w:val="-66"/>
                          <w:sz w:val="18"/>
                          <w:szCs w:val="18"/>
                        </w:rPr>
                        <w:t> </w:t>
                      </w:r>
                      <w:r>
                        <w:rPr>
                          <w:rFonts w:ascii="宋体" w:hAnsi="宋体" w:cs="宋体" w:eastAsia="宋体" w:hint="default"/>
                          <w:sz w:val="18"/>
                          <w:szCs w:val="18"/>
                        </w:rPr>
                        <w:t>项目</w:t>
                      </w:r>
                    </w:p>
                    <w:p>
                      <w:pPr>
                        <w:spacing w:line="316" w:lineRule="auto" w:before="32"/>
                        <w:ind w:left="0" w:right="50" w:firstLine="0"/>
                        <w:jc w:val="left"/>
                        <w:rPr>
                          <w:rFonts w:ascii="宋体" w:hAnsi="宋体" w:cs="宋体" w:eastAsia="宋体" w:hint="default"/>
                          <w:sz w:val="18"/>
                          <w:szCs w:val="18"/>
                        </w:rPr>
                      </w:pPr>
                      <w:r>
                        <w:rPr>
                          <w:rFonts w:ascii="宋体" w:hAnsi="宋体" w:cs="宋体" w:eastAsia="宋体" w:hint="default"/>
                          <w:spacing w:val="18"/>
                          <w:sz w:val="18"/>
                          <w:szCs w:val="18"/>
                        </w:rPr>
                        <w:t>聚酰亚胺</w:t>
                      </w:r>
                      <w:r>
                        <w:rPr>
                          <w:rFonts w:ascii="宋体" w:hAnsi="宋体" w:cs="宋体" w:eastAsia="宋体" w:hint="default"/>
                          <w:spacing w:val="-67"/>
                          <w:sz w:val="18"/>
                          <w:szCs w:val="18"/>
                        </w:rPr>
                        <w:t> </w:t>
                      </w:r>
                      <w:r>
                        <w:rPr>
                          <w:rFonts w:ascii="宋体" w:hAnsi="宋体" w:cs="宋体" w:eastAsia="宋体" w:hint="default"/>
                          <w:spacing w:val="12"/>
                          <w:sz w:val="18"/>
                          <w:szCs w:val="18"/>
                        </w:rPr>
                        <w:t>泡沫</w:t>
                      </w:r>
                      <w:r>
                        <w:rPr>
                          <w:rFonts w:ascii="宋体" w:hAnsi="宋体" w:cs="宋体" w:eastAsia="宋体" w:hint="default"/>
                          <w:spacing w:val="-66"/>
                          <w:sz w:val="18"/>
                          <w:szCs w:val="18"/>
                        </w:rPr>
                        <w:t> </w:t>
                      </w:r>
                      <w:r>
                        <w:rPr>
                          <w:rFonts w:ascii="宋体" w:hAnsi="宋体" w:cs="宋体" w:eastAsia="宋体" w:hint="default"/>
                          <w:sz w:val="18"/>
                          <w:szCs w:val="18"/>
                        </w:rPr>
                        <w:t>生产工艺技术</w:t>
                      </w:r>
                      <w:r>
                        <w:rPr>
                          <w:rFonts w:ascii="宋体" w:hAnsi="宋体" w:cs="宋体" w:eastAsia="宋体" w:hint="default"/>
                          <w:sz w:val="18"/>
                          <w:szCs w:val="18"/>
                        </w:rPr>
                        <w:t> </w:t>
                      </w:r>
                      <w:r>
                        <w:rPr>
                          <w:rFonts w:ascii="宋体" w:hAnsi="宋体" w:cs="宋体" w:eastAsia="宋体" w:hint="default"/>
                          <w:spacing w:val="18"/>
                          <w:sz w:val="18"/>
                          <w:szCs w:val="18"/>
                        </w:rPr>
                        <w:t>电气绝缘</w:t>
                      </w:r>
                      <w:r>
                        <w:rPr>
                          <w:rFonts w:ascii="宋体" w:hAnsi="宋体" w:cs="宋体" w:eastAsia="宋体" w:hint="default"/>
                          <w:spacing w:val="-67"/>
                          <w:sz w:val="18"/>
                          <w:szCs w:val="18"/>
                        </w:rPr>
                        <w:t> </w:t>
                      </w:r>
                      <w:r>
                        <w:rPr>
                          <w:rFonts w:ascii="宋体" w:hAnsi="宋体" w:cs="宋体" w:eastAsia="宋体" w:hint="default"/>
                          <w:spacing w:val="12"/>
                          <w:sz w:val="18"/>
                          <w:szCs w:val="18"/>
                        </w:rPr>
                        <w:t>特种</w:t>
                      </w:r>
                      <w:r>
                        <w:rPr>
                          <w:rFonts w:ascii="宋体" w:hAnsi="宋体" w:cs="宋体" w:eastAsia="宋体" w:hint="default"/>
                          <w:spacing w:val="-66"/>
                          <w:sz w:val="18"/>
                          <w:szCs w:val="18"/>
                        </w:rPr>
                        <w:t> </w:t>
                      </w:r>
                      <w:r>
                        <w:rPr>
                          <w:rFonts w:ascii="宋体" w:hAnsi="宋体" w:cs="宋体" w:eastAsia="宋体" w:hint="default"/>
                          <w:spacing w:val="18"/>
                          <w:sz w:val="18"/>
                          <w:szCs w:val="18"/>
                        </w:rPr>
                        <w:t>纤维复合</w:t>
                      </w:r>
                      <w:r>
                        <w:rPr>
                          <w:rFonts w:ascii="宋体" w:hAnsi="宋体" w:cs="宋体" w:eastAsia="宋体" w:hint="default"/>
                          <w:spacing w:val="-67"/>
                          <w:sz w:val="18"/>
                          <w:szCs w:val="18"/>
                        </w:rPr>
                        <w:t> </w:t>
                      </w:r>
                      <w:r>
                        <w:rPr>
                          <w:rFonts w:ascii="宋体" w:hAnsi="宋体" w:cs="宋体" w:eastAsia="宋体" w:hint="default"/>
                          <w:spacing w:val="12"/>
                          <w:sz w:val="18"/>
                          <w:szCs w:val="18"/>
                        </w:rPr>
                        <w:t>材料</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SMC </w:t>
                      </w:r>
                      <w:r>
                        <w:rPr>
                          <w:rFonts w:ascii="宋体" w:hAnsi="宋体" w:cs="宋体" w:eastAsia="宋体" w:hint="default"/>
                          <w:sz w:val="18"/>
                          <w:szCs w:val="18"/>
                        </w:rPr>
                        <w:t>及制品研</w:t>
                      </w:r>
                      <w:r>
                        <w:rPr>
                          <w:rFonts w:ascii="宋体" w:hAnsi="宋体" w:cs="宋体" w:eastAsia="宋体" w:hint="default"/>
                          <w:spacing w:val="-81"/>
                          <w:sz w:val="18"/>
                          <w:szCs w:val="18"/>
                        </w:rPr>
                        <w:t> </w:t>
                      </w:r>
                      <w:r>
                        <w:rPr>
                          <w:rFonts w:ascii="宋体" w:hAnsi="宋体" w:cs="宋体" w:eastAsia="宋体" w:hint="default"/>
                          <w:sz w:val="18"/>
                          <w:szCs w:val="18"/>
                        </w:rPr>
                        <w:t>发项目</w:t>
                      </w:r>
                    </w:p>
                    <w:p>
                      <w:pPr>
                        <w:spacing w:line="316" w:lineRule="auto" w:before="29"/>
                        <w:ind w:left="0" w:right="50" w:firstLine="0"/>
                        <w:jc w:val="left"/>
                        <w:rPr>
                          <w:rFonts w:ascii="宋体" w:hAnsi="宋体" w:cs="宋体" w:eastAsia="宋体" w:hint="default"/>
                          <w:sz w:val="18"/>
                          <w:szCs w:val="18"/>
                        </w:rPr>
                      </w:pPr>
                      <w:r>
                        <w:rPr>
                          <w:rFonts w:ascii="宋体" w:hAnsi="宋体" w:cs="宋体" w:eastAsia="宋体" w:hint="default"/>
                          <w:spacing w:val="18"/>
                          <w:sz w:val="18"/>
                          <w:szCs w:val="18"/>
                        </w:rPr>
                        <w:t>新型高性</w:t>
                      </w:r>
                      <w:r>
                        <w:rPr>
                          <w:rFonts w:ascii="宋体" w:hAnsi="宋体" w:cs="宋体" w:eastAsia="宋体" w:hint="default"/>
                          <w:spacing w:val="-67"/>
                          <w:sz w:val="18"/>
                          <w:szCs w:val="18"/>
                        </w:rPr>
                        <w:t> </w:t>
                      </w:r>
                      <w:r>
                        <w:rPr>
                          <w:rFonts w:ascii="宋体" w:hAnsi="宋体" w:cs="宋体" w:eastAsia="宋体" w:hint="default"/>
                          <w:spacing w:val="12"/>
                          <w:sz w:val="18"/>
                          <w:szCs w:val="18"/>
                        </w:rPr>
                        <w:t>能高</w:t>
                      </w:r>
                      <w:r>
                        <w:rPr>
                          <w:rFonts w:ascii="宋体" w:hAnsi="宋体" w:cs="宋体" w:eastAsia="宋体" w:hint="default"/>
                          <w:spacing w:val="-66"/>
                          <w:sz w:val="18"/>
                          <w:szCs w:val="18"/>
                        </w:rPr>
                        <w:t> </w:t>
                      </w:r>
                      <w:r>
                        <w:rPr>
                          <w:rFonts w:ascii="宋体" w:hAnsi="宋体" w:cs="宋体" w:eastAsia="宋体" w:hint="default"/>
                          <w:spacing w:val="12"/>
                          <w:sz w:val="18"/>
                          <w:szCs w:val="18"/>
                        </w:rPr>
                        <w:t>分子材料</w:t>
                      </w:r>
                      <w:r>
                        <w:rPr>
                          <w:rFonts w:ascii="Times New Roman" w:hAnsi="Times New Roman" w:cs="Times New Roman" w:eastAsia="Times New Roman" w:hint="default"/>
                          <w:spacing w:val="12"/>
                          <w:sz w:val="18"/>
                          <w:szCs w:val="18"/>
                        </w:rPr>
                        <w:t>/</w:t>
                      </w:r>
                      <w:r>
                        <w:rPr>
                          <w:rFonts w:ascii="宋体" w:hAnsi="宋体" w:cs="宋体" w:eastAsia="宋体" w:hint="default"/>
                          <w:spacing w:val="12"/>
                          <w:sz w:val="18"/>
                          <w:szCs w:val="18"/>
                        </w:rPr>
                        <w:t>金属 </w:t>
                      </w:r>
                      <w:r>
                        <w:rPr>
                          <w:rFonts w:ascii="宋体" w:hAnsi="宋体" w:cs="宋体" w:eastAsia="宋体" w:hint="default"/>
                          <w:spacing w:val="18"/>
                          <w:sz w:val="18"/>
                          <w:szCs w:val="18"/>
                        </w:rPr>
                        <w:t>复合材料</w:t>
                      </w:r>
                      <w:r>
                        <w:rPr>
                          <w:rFonts w:ascii="宋体" w:hAnsi="宋体" w:cs="宋体" w:eastAsia="宋体" w:hint="default"/>
                          <w:spacing w:val="-67"/>
                          <w:sz w:val="18"/>
                          <w:szCs w:val="18"/>
                        </w:rPr>
                        <w:t> </w:t>
                      </w:r>
                      <w:r>
                        <w:rPr>
                          <w:rFonts w:ascii="宋体" w:hAnsi="宋体" w:cs="宋体" w:eastAsia="宋体" w:hint="default"/>
                          <w:spacing w:val="12"/>
                          <w:sz w:val="18"/>
                          <w:szCs w:val="18"/>
                        </w:rPr>
                        <w:t>及结</w:t>
                      </w:r>
                      <w:r>
                        <w:rPr>
                          <w:rFonts w:ascii="宋体" w:hAnsi="宋体" w:cs="宋体" w:eastAsia="宋体" w:hint="default"/>
                          <w:spacing w:val="-66"/>
                          <w:sz w:val="18"/>
                          <w:szCs w:val="18"/>
                        </w:rPr>
                        <w:t> </w:t>
                      </w:r>
                      <w:r>
                        <w:rPr>
                          <w:rFonts w:ascii="宋体" w:hAnsi="宋体" w:cs="宋体" w:eastAsia="宋体" w:hint="default"/>
                          <w:sz w:val="18"/>
                          <w:szCs w:val="18"/>
                        </w:rPr>
                        <w:t>构件研发项目</w:t>
                      </w:r>
                      <w:r>
                        <w:rPr>
                          <w:rFonts w:ascii="宋体" w:hAnsi="宋体" w:cs="宋体" w:eastAsia="宋体" w:hint="default"/>
                          <w:sz w:val="18"/>
                          <w:szCs w:val="18"/>
                        </w:rPr>
                        <w:t> </w:t>
                      </w:r>
                      <w:r>
                        <w:rPr>
                          <w:rFonts w:ascii="宋体" w:hAnsi="宋体" w:cs="宋体" w:eastAsia="宋体" w:hint="default"/>
                          <w:spacing w:val="18"/>
                          <w:sz w:val="18"/>
                          <w:szCs w:val="18"/>
                        </w:rPr>
                        <w:t>高性能硅</w:t>
                      </w:r>
                      <w:r>
                        <w:rPr>
                          <w:rFonts w:ascii="宋体" w:hAnsi="宋体" w:cs="宋体" w:eastAsia="宋体" w:hint="default"/>
                          <w:spacing w:val="-67"/>
                          <w:sz w:val="18"/>
                          <w:szCs w:val="18"/>
                        </w:rPr>
                        <w:t> </w:t>
                      </w:r>
                      <w:r>
                        <w:rPr>
                          <w:rFonts w:ascii="宋体" w:hAnsi="宋体" w:cs="宋体" w:eastAsia="宋体" w:hint="default"/>
                          <w:spacing w:val="12"/>
                          <w:sz w:val="18"/>
                          <w:szCs w:val="18"/>
                        </w:rPr>
                        <w:t>橡胶</w:t>
                      </w:r>
                      <w:r>
                        <w:rPr>
                          <w:rFonts w:ascii="宋体" w:hAnsi="宋体" w:cs="宋体" w:eastAsia="宋体" w:hint="default"/>
                          <w:spacing w:val="-66"/>
                          <w:sz w:val="18"/>
                          <w:szCs w:val="18"/>
                        </w:rPr>
                        <w:t> </w:t>
                      </w:r>
                      <w:r>
                        <w:rPr>
                          <w:rFonts w:ascii="宋体" w:hAnsi="宋体" w:cs="宋体" w:eastAsia="宋体" w:hint="default"/>
                          <w:spacing w:val="18"/>
                          <w:sz w:val="18"/>
                          <w:szCs w:val="18"/>
                        </w:rPr>
                        <w:t>电气绝缘</w:t>
                      </w:r>
                      <w:r>
                        <w:rPr>
                          <w:rFonts w:ascii="宋体" w:hAnsi="宋体" w:cs="宋体" w:eastAsia="宋体" w:hint="default"/>
                          <w:spacing w:val="-67"/>
                          <w:sz w:val="18"/>
                          <w:szCs w:val="18"/>
                        </w:rPr>
                        <w:t> </w:t>
                      </w:r>
                      <w:r>
                        <w:rPr>
                          <w:rFonts w:ascii="宋体" w:hAnsi="宋体" w:cs="宋体" w:eastAsia="宋体" w:hint="default"/>
                          <w:spacing w:val="12"/>
                          <w:sz w:val="18"/>
                          <w:szCs w:val="18"/>
                        </w:rPr>
                        <w:t>制品</w:t>
                      </w:r>
                      <w:r>
                        <w:rPr>
                          <w:rFonts w:ascii="宋体" w:hAnsi="宋体" w:cs="宋体" w:eastAsia="宋体" w:hint="default"/>
                          <w:spacing w:val="-66"/>
                          <w:sz w:val="18"/>
                          <w:szCs w:val="18"/>
                        </w:rPr>
                        <w:t> </w:t>
                      </w:r>
                      <w:r>
                        <w:rPr>
                          <w:rFonts w:ascii="宋体" w:hAnsi="宋体" w:cs="宋体" w:eastAsia="宋体" w:hint="default"/>
                          <w:sz w:val="18"/>
                          <w:szCs w:val="18"/>
                        </w:rPr>
                        <w:t>研发项目</w:t>
                      </w:r>
                    </w:p>
                    <w:p>
                      <w:pPr>
                        <w:spacing w:line="319" w:lineRule="auto" w:before="28"/>
                        <w:ind w:left="0" w:right="50" w:firstLine="0"/>
                        <w:jc w:val="left"/>
                        <w:rPr>
                          <w:rFonts w:ascii="宋体" w:hAnsi="宋体" w:cs="宋体" w:eastAsia="宋体" w:hint="default"/>
                          <w:sz w:val="18"/>
                          <w:szCs w:val="18"/>
                        </w:rPr>
                      </w:pPr>
                      <w:r>
                        <w:rPr>
                          <w:rFonts w:ascii="宋体" w:hAnsi="宋体" w:cs="宋体" w:eastAsia="宋体" w:hint="default"/>
                          <w:spacing w:val="18"/>
                          <w:sz w:val="18"/>
                          <w:szCs w:val="18"/>
                        </w:rPr>
                        <w:t>新型绝缘</w:t>
                      </w:r>
                      <w:r>
                        <w:rPr>
                          <w:rFonts w:ascii="宋体" w:hAnsi="宋体" w:cs="宋体" w:eastAsia="宋体" w:hint="default"/>
                          <w:spacing w:val="-67"/>
                          <w:sz w:val="18"/>
                          <w:szCs w:val="18"/>
                        </w:rPr>
                        <w:t> </w:t>
                      </w:r>
                      <w:r>
                        <w:rPr>
                          <w:rFonts w:ascii="宋体" w:hAnsi="宋体" w:cs="宋体" w:eastAsia="宋体" w:hint="default"/>
                          <w:spacing w:val="12"/>
                          <w:sz w:val="18"/>
                          <w:szCs w:val="18"/>
                        </w:rPr>
                        <w:t>材料</w:t>
                      </w:r>
                      <w:r>
                        <w:rPr>
                          <w:rFonts w:ascii="宋体" w:hAnsi="宋体" w:cs="宋体" w:eastAsia="宋体" w:hint="default"/>
                          <w:spacing w:val="-66"/>
                          <w:sz w:val="18"/>
                          <w:szCs w:val="18"/>
                        </w:rPr>
                        <w:t> </w:t>
                      </w:r>
                      <w:r>
                        <w:rPr>
                          <w:rFonts w:ascii="宋体" w:hAnsi="宋体" w:cs="宋体" w:eastAsia="宋体" w:hint="default"/>
                          <w:spacing w:val="18"/>
                          <w:sz w:val="18"/>
                          <w:szCs w:val="18"/>
                        </w:rPr>
                        <w:t>真空电气</w:t>
                      </w:r>
                      <w:r>
                        <w:rPr>
                          <w:rFonts w:ascii="宋体" w:hAnsi="宋体" w:cs="宋体" w:eastAsia="宋体" w:hint="default"/>
                          <w:spacing w:val="-67"/>
                          <w:sz w:val="18"/>
                          <w:szCs w:val="18"/>
                        </w:rPr>
                        <w:t> </w:t>
                      </w:r>
                      <w:r>
                        <w:rPr>
                          <w:rFonts w:ascii="宋体" w:hAnsi="宋体" w:cs="宋体" w:eastAsia="宋体" w:hint="default"/>
                          <w:spacing w:val="12"/>
                          <w:sz w:val="18"/>
                          <w:szCs w:val="18"/>
                        </w:rPr>
                        <w:t>控制</w:t>
                      </w:r>
                      <w:r>
                        <w:rPr>
                          <w:rFonts w:ascii="宋体" w:hAnsi="宋体" w:cs="宋体" w:eastAsia="宋体" w:hint="default"/>
                          <w:spacing w:val="-66"/>
                          <w:sz w:val="18"/>
                          <w:szCs w:val="18"/>
                        </w:rPr>
                        <w:t> </w:t>
                      </w:r>
                      <w:r>
                        <w:rPr>
                          <w:rFonts w:ascii="宋体" w:hAnsi="宋体" w:cs="宋体" w:eastAsia="宋体" w:hint="default"/>
                          <w:sz w:val="18"/>
                          <w:szCs w:val="18"/>
                        </w:rPr>
                        <w:t>设备研发项目</w:t>
                      </w:r>
                      <w:r>
                        <w:rPr>
                          <w:rFonts w:ascii="宋体" w:hAnsi="宋体" w:cs="宋体" w:eastAsia="宋体" w:hint="default"/>
                          <w:sz w:val="18"/>
                          <w:szCs w:val="18"/>
                        </w:rPr>
                        <w:t> </w:t>
                      </w:r>
                      <w:r>
                        <w:rPr>
                          <w:rFonts w:ascii="宋体" w:hAnsi="宋体" w:cs="宋体" w:eastAsia="宋体" w:hint="default"/>
                          <w:spacing w:val="18"/>
                          <w:sz w:val="18"/>
                          <w:szCs w:val="18"/>
                        </w:rPr>
                        <w:t>新型绝缘</w:t>
                      </w:r>
                      <w:r>
                        <w:rPr>
                          <w:rFonts w:ascii="宋体" w:hAnsi="宋体" w:cs="宋体" w:eastAsia="宋体" w:hint="default"/>
                          <w:spacing w:val="-67"/>
                          <w:sz w:val="18"/>
                          <w:szCs w:val="18"/>
                        </w:rPr>
                        <w:t> </w:t>
                      </w:r>
                      <w:r>
                        <w:rPr>
                          <w:rFonts w:ascii="宋体" w:hAnsi="宋体" w:cs="宋体" w:eastAsia="宋体" w:hint="default"/>
                          <w:spacing w:val="12"/>
                          <w:sz w:val="18"/>
                          <w:szCs w:val="18"/>
                        </w:rPr>
                        <w:t>材料</w:t>
                      </w:r>
                      <w:r>
                        <w:rPr>
                          <w:rFonts w:ascii="宋体" w:hAnsi="宋体" w:cs="宋体" w:eastAsia="宋体" w:hint="default"/>
                          <w:spacing w:val="-66"/>
                          <w:sz w:val="18"/>
                          <w:szCs w:val="18"/>
                        </w:rPr>
                        <w:t> </w:t>
                      </w:r>
                      <w:r>
                        <w:rPr>
                          <w:rFonts w:ascii="宋体" w:hAnsi="宋体" w:cs="宋体" w:eastAsia="宋体" w:hint="default"/>
                          <w:spacing w:val="18"/>
                          <w:sz w:val="18"/>
                          <w:szCs w:val="18"/>
                        </w:rPr>
                        <w:t>跌落式熔</w:t>
                      </w:r>
                      <w:r>
                        <w:rPr>
                          <w:rFonts w:ascii="宋体" w:hAnsi="宋体" w:cs="宋体" w:eastAsia="宋体" w:hint="default"/>
                          <w:spacing w:val="-67"/>
                          <w:sz w:val="18"/>
                          <w:szCs w:val="18"/>
                        </w:rPr>
                        <w:t> </w:t>
                      </w:r>
                      <w:r>
                        <w:rPr>
                          <w:rFonts w:ascii="宋体" w:hAnsi="宋体" w:cs="宋体" w:eastAsia="宋体" w:hint="default"/>
                          <w:spacing w:val="12"/>
                          <w:sz w:val="18"/>
                          <w:szCs w:val="18"/>
                        </w:rPr>
                        <w:t>断器</w:t>
                      </w:r>
                      <w:r>
                        <w:rPr>
                          <w:rFonts w:ascii="宋体" w:hAnsi="宋体" w:cs="宋体" w:eastAsia="宋体" w:hint="default"/>
                          <w:spacing w:val="-66"/>
                          <w:sz w:val="18"/>
                          <w:szCs w:val="18"/>
                        </w:rPr>
                        <w:t> </w:t>
                      </w:r>
                      <w:r>
                        <w:rPr>
                          <w:rFonts w:ascii="宋体" w:hAnsi="宋体" w:cs="宋体" w:eastAsia="宋体" w:hint="default"/>
                          <w:sz w:val="18"/>
                          <w:szCs w:val="18"/>
                        </w:rPr>
                        <w:t>研发项目</w:t>
                      </w:r>
                    </w:p>
                    <w:p>
                      <w:pPr>
                        <w:spacing w:before="26"/>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EPDM </w:t>
                      </w:r>
                      <w:r>
                        <w:rPr>
                          <w:rFonts w:ascii="Times New Roman" w:hAnsi="Times New Roman" w:cs="Times New Roman" w:eastAsia="Times New Roman" w:hint="default"/>
                          <w:spacing w:val="21"/>
                          <w:sz w:val="18"/>
                          <w:szCs w:val="18"/>
                        </w:rPr>
                        <w:t> </w:t>
                      </w:r>
                      <w:r>
                        <w:rPr>
                          <w:rFonts w:ascii="宋体" w:hAnsi="宋体" w:cs="宋体" w:eastAsia="宋体" w:hint="default"/>
                          <w:spacing w:val="16"/>
                          <w:sz w:val="18"/>
                          <w:szCs w:val="18"/>
                        </w:rPr>
                        <w:t>橡胶绝</w:t>
                      </w:r>
                      <w:r>
                        <w:rPr>
                          <w:rFonts w:ascii="宋体" w:hAnsi="宋体" w:cs="宋体" w:eastAsia="宋体" w:hint="default"/>
                          <w:spacing w:val="-66"/>
                          <w:sz w:val="18"/>
                          <w:szCs w:val="18"/>
                        </w:rPr>
                        <w:t> </w:t>
                      </w:r>
                      <w:r>
                        <w:rPr>
                          <w:rFonts w:ascii="宋体" w:hAnsi="宋体" w:cs="宋体" w:eastAsia="宋体" w:hint="default"/>
                          <w:sz w:val="18"/>
                          <w:szCs w:val="18"/>
                        </w:rPr>
                      </w:r>
                    </w:p>
                    <w:p>
                      <w:pPr>
                        <w:spacing w:before="63"/>
                        <w:ind w:left="0" w:right="0" w:firstLine="0"/>
                        <w:jc w:val="left"/>
                        <w:rPr>
                          <w:rFonts w:ascii="宋体" w:hAnsi="宋体" w:cs="宋体" w:eastAsia="宋体" w:hint="default"/>
                          <w:sz w:val="18"/>
                          <w:szCs w:val="18"/>
                        </w:rPr>
                      </w:pPr>
                      <w:r>
                        <w:rPr>
                          <w:rFonts w:ascii="宋体" w:hAnsi="宋体" w:cs="宋体" w:eastAsia="宋体" w:hint="default"/>
                          <w:sz w:val="18"/>
                          <w:szCs w:val="18"/>
                        </w:rPr>
                        <w:t>缘研发项目</w:t>
                      </w:r>
                    </w:p>
                  </w:txbxContent>
                </v:textbox>
                <w10:wrap type="none"/>
              </v:shape>
              <v:shape style="position:absolute;left:1670;top:130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3,209,710.18</w:t>
                      </w:r>
                    </w:p>
                  </w:txbxContent>
                </v:textbox>
                <w10:wrap type="none"/>
              </v:shape>
              <v:shape style="position:absolute;left:2944;top:130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9,634,384.00</w:t>
                      </w:r>
                    </w:p>
                  </w:txbxContent>
                </v:textbox>
                <w10:wrap type="none"/>
              </v:shape>
              <v:shape style="position:absolute;left:4703;top:1301;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347;top:1301;width:2087;height:180" type="#_x0000_t202" filled="false" stroked="false">
                <v:textbox inset="0,0,0,0">
                  <w:txbxContent>
                    <w:p>
                      <w:pPr>
                        <w:tabs>
                          <w:tab w:pos="105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944,608.80</w:t>
                        <w:tab/>
                      </w:r>
                      <w:r>
                        <w:rPr>
                          <w:rFonts w:ascii="Times New Roman"/>
                          <w:spacing w:val="-1"/>
                          <w:sz w:val="18"/>
                        </w:rPr>
                        <w:t>11,899,485.38</w:t>
                      </w:r>
                    </w:p>
                  </w:txbxContent>
                </v:textbox>
                <w10:wrap type="none"/>
              </v:shape>
              <v:shape style="position:absolute;left:1804;top:1935;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421,674.87</w:t>
                      </w:r>
                    </w:p>
                  </w:txbxContent>
                </v:textbox>
                <w10:wrap type="none"/>
              </v:shape>
              <v:shape style="position:absolute;left:3708;top:1935;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703;top:1935;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346;top:1935;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421,674.87</w:t>
                      </w:r>
                    </w:p>
                  </w:txbxContent>
                </v:textbox>
                <w10:wrap type="none"/>
              </v:shape>
              <v:shape style="position:absolute;left:7252;top:1935;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804;top:3036;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526,504.38</w:t>
                      </w:r>
                    </w:p>
                  </w:txbxContent>
                </v:textbox>
                <w10:wrap type="none"/>
              </v:shape>
              <v:shape style="position:absolute;left:2944;top:303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4,594,702.26</w:t>
                      </w:r>
                    </w:p>
                  </w:txbxContent>
                </v:textbox>
                <w10:wrap type="none"/>
              </v:shape>
              <v:shape style="position:absolute;left:4703;top:3036;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212;top:303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2,483,299.77</w:t>
                      </w:r>
                    </w:p>
                  </w:txbxContent>
                </v:textbox>
                <w10:wrap type="none"/>
              </v:shape>
              <v:shape style="position:absolute;left:6487;top:303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2,637,906.87</w:t>
                      </w:r>
                    </w:p>
                  </w:txbxContent>
                </v:textbox>
                <w10:wrap type="none"/>
              </v:shape>
              <v:shape style="position:absolute;left:2434;top:4451;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3169;top:4451;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16,422.00</w:t>
                      </w:r>
                    </w:p>
                  </w:txbxContent>
                </v:textbox>
                <w10:wrap type="none"/>
              </v:shape>
              <v:shape style="position:absolute;left:4703;top:4451;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712;top:445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16,422.00</w:t>
                      </w:r>
                    </w:p>
                  </w:txbxContent>
                </v:textbox>
                <w10:wrap type="none"/>
              </v:shape>
              <v:shape style="position:absolute;left:3079;top:539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805,948.13</w:t>
                      </w:r>
                    </w:p>
                  </w:txbxContent>
                </v:textbox>
                <w10:wrap type="none"/>
              </v:shape>
              <v:shape style="position:absolute;left:5347;top:539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805,948.13</w:t>
                      </w:r>
                    </w:p>
                  </w:txbxContent>
                </v:textbox>
                <w10:wrap type="none"/>
              </v:shape>
              <v:shape style="position:absolute;left:2944;top:634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3,476,225.75</w:t>
                      </w:r>
                    </w:p>
                  </w:txbxContent>
                </v:textbox>
                <w10:wrap type="none"/>
              </v:shape>
              <v:shape style="position:absolute;left:5212;top:634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3,476,225.75</w:t>
                      </w:r>
                    </w:p>
                  </w:txbxContent>
                </v:textbox>
                <w10:wrap type="none"/>
              </v:shape>
              <v:shape style="position:absolute;left:2944;top:760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2,821,333.34</w:t>
                      </w:r>
                    </w:p>
                  </w:txbxContent>
                </v:textbox>
                <w10:wrap type="none"/>
              </v:shape>
              <v:shape style="position:absolute;left:5212;top:760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2,821,333.34</w:t>
                      </w:r>
                    </w:p>
                  </w:txbxContent>
                </v:textbox>
                <w10:wrap type="none"/>
              </v:shape>
              <v:shape style="position:absolute;left:2944;top:870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1,748,427.94</w:t>
                      </w:r>
                    </w:p>
                  </w:txbxContent>
                </v:textbox>
                <w10:wrap type="none"/>
              </v:shape>
              <v:shape style="position:absolute;left:5212;top:870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1,748,427.94</w:t>
                      </w:r>
                    </w:p>
                  </w:txbxContent>
                </v:textbox>
                <w10:wrap type="none"/>
              </v:shape>
              <v:shape style="position:absolute;left:2944;top:964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1,632,058.18</w:t>
                      </w:r>
                    </w:p>
                  </w:txbxContent>
                </v:textbox>
                <w10:wrap type="none"/>
              </v:shape>
              <v:shape style="position:absolute;left:5212;top:964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1,632,058.18</w:t>
                      </w:r>
                    </w:p>
                  </w:txbxContent>
                </v:textbox>
                <w10:wrap type="none"/>
              </v:shape>
              <v:shape style="position:absolute;left:3079;top:1059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832,835.85</w:t>
                      </w:r>
                    </w:p>
                  </w:txbxContent>
                </v:textbox>
                <w10:wrap type="none"/>
              </v:shape>
              <v:shape style="position:absolute;left:5347;top:1059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832,835.85</w:t>
                      </w:r>
                    </w:p>
                  </w:txbxContent>
                </v:textbox>
                <w10:wrap type="none"/>
              </v:shape>
              <v:shape style="position:absolute;left:3079;top:1138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926,599.27</w:t>
                      </w:r>
                    </w:p>
                  </w:txbxContent>
                </v:textbox>
                <w10:wrap type="none"/>
              </v:shape>
              <v:shape style="position:absolute;left:5347;top:1138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926,599.27</w:t>
                      </w:r>
                    </w:p>
                  </w:txbxContent>
                </v:textbox>
                <w10:wrap type="none"/>
              </v:shape>
              <v:shape style="position:absolute;left:559;top:1194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1670;top:11906;width:2220;height:180" type="#_x0000_t202" filled="false" stroked="false">
                <v:textbox inset="0,0,0,0">
                  <w:txbxContent>
                    <w:p>
                      <w:pPr>
                        <w:tabs>
                          <w:tab w:pos="1183"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4,157,889.43</w:t>
                        <w:tab/>
                        <w:t>26,488,936.72</w:t>
                      </w:r>
                    </w:p>
                  </w:txbxContent>
                </v:textbox>
                <w10:wrap type="none"/>
              </v:shape>
              <v:shape style="position:absolute;left:4703;top:11906;width:2731;height:180" type="#_x0000_t202" filled="false" stroked="false">
                <v:textbox inset="0,0,0,0">
                  <w:txbxContent>
                    <w:p>
                      <w:pPr>
                        <w:tabs>
                          <w:tab w:pos="425" w:val="left" w:leader="none"/>
                          <w:tab w:pos="1694"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16,093,011.90</w:t>
                        <w:tab/>
                        <w:t>14,553,814.25</w:t>
                      </w:r>
                    </w:p>
                  </w:txbxContent>
                </v:textbox>
                <w10:wrap type="none"/>
              </v:shape>
            </v:group>
          </v:group>
        </w:pict>
      </w:r>
      <w:r>
        <w:rPr>
          <w:rFonts w:ascii="宋体" w:hAnsi="宋体" w:cs="宋体" w:eastAsia="宋体" w:hint="default"/>
          <w:position w:val="-243"/>
          <w:sz w:val="20"/>
          <w:szCs w:val="20"/>
        </w:rPr>
      </w:r>
    </w:p>
    <w:p>
      <w:pPr>
        <w:spacing w:line="240" w:lineRule="auto" w:before="1"/>
        <w:rPr>
          <w:rFonts w:ascii="宋体" w:hAnsi="宋体" w:cs="宋体" w:eastAsia="宋体" w:hint="default"/>
          <w:b/>
          <w:bCs/>
          <w:sz w:val="9"/>
          <w:szCs w:val="9"/>
        </w:rPr>
      </w:pPr>
    </w:p>
    <w:p>
      <w:pPr>
        <w:spacing w:line="362" w:lineRule="auto" w:before="35"/>
        <w:ind w:left="875" w:right="2291" w:hanging="9"/>
        <w:jc w:val="left"/>
        <w:rPr>
          <w:rFonts w:ascii="宋体" w:hAnsi="宋体" w:cs="宋体" w:eastAsia="宋体" w:hint="default"/>
          <w:sz w:val="21"/>
          <w:szCs w:val="21"/>
        </w:rPr>
      </w:pPr>
      <w:r>
        <w:rPr>
          <w:rFonts w:ascii="宋体" w:hAnsi="宋体" w:cs="宋体" w:eastAsia="宋体" w:hint="default"/>
          <w:sz w:val="21"/>
          <w:szCs w:val="21"/>
        </w:rPr>
        <w:t>本期开发支出占本期研究开发项目支出总额的比例</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40.20%</w:t>
      </w:r>
      <w:r>
        <w:rPr>
          <w:rFonts w:ascii="宋体" w:hAnsi="宋体" w:cs="宋体" w:eastAsia="宋体" w:hint="default"/>
          <w:sz w:val="21"/>
          <w:szCs w:val="21"/>
        </w:rPr>
        <w:t>； 本期无通过公司内部研发形成的无形资产。</w:t>
      </w:r>
    </w:p>
    <w:p>
      <w:pPr>
        <w:spacing w:after="0" w:line="362" w:lineRule="auto"/>
        <w:jc w:val="left"/>
        <w:rPr>
          <w:rFonts w:ascii="宋体" w:hAnsi="宋体" w:cs="宋体" w:eastAsia="宋体" w:hint="default"/>
          <w:sz w:val="21"/>
          <w:szCs w:val="21"/>
        </w:rPr>
        <w:sectPr>
          <w:pgSz w:w="11910" w:h="16840"/>
          <w:pgMar w:header="0" w:footer="1270" w:top="1360" w:bottom="1460" w:left="1540" w:right="16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0"/>
          <w:szCs w:val="20"/>
        </w:rPr>
      </w:pPr>
    </w:p>
    <w:p>
      <w:pPr>
        <w:spacing w:before="35"/>
        <w:ind w:left="249"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十三</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4"/>
          <w:sz w:val="21"/>
          <w:szCs w:val="21"/>
        </w:rPr>
        <w:t> </w:t>
      </w:r>
      <w:r>
        <w:rPr>
          <w:rFonts w:ascii="宋体" w:hAnsi="宋体" w:cs="宋体" w:eastAsia="宋体" w:hint="default"/>
          <w:b/>
          <w:bCs/>
          <w:sz w:val="21"/>
          <w:szCs w:val="21"/>
        </w:rPr>
        <w:t>商誉</w:t>
      </w:r>
      <w:r>
        <w:rPr>
          <w:rFonts w:ascii="宋体" w:hAnsi="宋体" w:cs="宋体" w:eastAsia="宋体" w:hint="default"/>
          <w:sz w:val="21"/>
          <w:szCs w:val="21"/>
        </w:rPr>
      </w:r>
    </w:p>
    <w:p>
      <w:pPr>
        <w:tabs>
          <w:tab w:pos="1414" w:val="left" w:leader="none"/>
        </w:tabs>
        <w:spacing w:before="110"/>
        <w:ind w:left="87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商誉账面价值</w:t>
      </w:r>
      <w:r>
        <w:rPr>
          <w:rFonts w:ascii="宋体" w:hAnsi="宋体" w:cs="宋体" w:eastAsia="宋体" w:hint="default"/>
          <w:sz w:val="21"/>
          <w:szCs w:val="21"/>
        </w:rPr>
      </w:r>
    </w:p>
    <w:p>
      <w:pPr>
        <w:spacing w:line="1611" w:lineRule="exact"/>
        <w:ind w:left="770"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399.5pt;height:80.6pt;mso-position-horizontal-relative:char;mso-position-vertical-relative:line" coordorigin="0,0" coordsize="7990,1612">
            <v:group style="position:absolute;left:29;top:15;width:7935;height:2" coordorigin="29,15" coordsize="7935,2">
              <v:shape style="position:absolute;left:29;top:15;width:7935;height:2" coordorigin="29,15" coordsize="7935,0" path="m29,15l7964,15e" filled="false" stroked="true" strokeweight="1.5pt" strokecolor="#000000">
                <v:path arrowok="t"/>
              </v:shape>
              <v:shape style="position:absolute;left:1693;top:1;width:5144;height:682" type="#_x0000_t75" stroked="false">
                <v:imagedata r:id="rId175" o:title=""/>
              </v:shape>
            </v:group>
            <v:group style="position:absolute;left:15;top:1597;width:1707;height:2" coordorigin="15,1597" coordsize="1707,2">
              <v:shape style="position:absolute;left:15;top:1597;width:1707;height:2" coordorigin="15,1597" coordsize="1707,0" path="m15,1597l1721,1597e" filled="false" stroked="true" strokeweight="1.5pt" strokecolor="#000000">
                <v:path arrowok="t"/>
              </v:shape>
            </v:group>
            <v:group style="position:absolute;left:1721;top:1597;width:1408;height:2" coordorigin="1721,1597" coordsize="1408,2">
              <v:shape style="position:absolute;left:1721;top:1597;width:1408;height:2" coordorigin="1721,1597" coordsize="1408,0" path="m1721,1597l3129,1597e" filled="false" stroked="true" strokeweight="1.5pt" strokecolor="#000000">
                <v:path arrowok="t"/>
              </v:shape>
            </v:group>
            <v:group style="position:absolute;left:3129;top:1597;width:1204;height:2" coordorigin="3129,1597" coordsize="1204,2">
              <v:shape style="position:absolute;left:3129;top:1597;width:1204;height:2" coordorigin="3129,1597" coordsize="1204,0" path="m3129,1597l4333,1597e" filled="false" stroked="true" strokeweight="1.5pt" strokecolor="#000000">
                <v:path arrowok="t"/>
              </v:shape>
            </v:group>
            <v:group style="position:absolute;left:4333;top:1597;width:1161;height:2" coordorigin="4333,1597" coordsize="1161,2">
              <v:shape style="position:absolute;left:4333;top:1597;width:1161;height:2" coordorigin="4333,1597" coordsize="1161,0" path="m4333,1597l5493,1597e" filled="false" stroked="true" strokeweight="1.5pt" strokecolor="#000000">
                <v:path arrowok="t"/>
              </v:shape>
            </v:group>
            <v:group style="position:absolute;left:5493;top:1597;width:1306;height:2" coordorigin="5493,1597" coordsize="1306,2">
              <v:shape style="position:absolute;left:5493;top:1597;width:1306;height:2" coordorigin="5493,1597" coordsize="1306,0" path="m5493,1597l6799,1597e" filled="false" stroked="true" strokeweight="1.5pt" strokecolor="#000000">
                <v:path arrowok="t"/>
              </v:shape>
              <v:shape style="position:absolute;left:1;top:634;width:7989;height:947" type="#_x0000_t75" stroked="false">
                <v:imagedata r:id="rId176" o:title=""/>
              </v:shape>
            </v:group>
            <v:group style="position:absolute;left:6799;top:1597;width:1166;height:2" coordorigin="6799,1597" coordsize="1166,2">
              <v:shape style="position:absolute;left:6799;top:1597;width:1166;height:2" coordorigin="6799,1597" coordsize="1166,0" path="m6799,1597l7964,1597e" filled="false" stroked="true" strokeweight="1.5pt" strokecolor="#000000">
                <v:path arrowok="t"/>
              </v:shape>
              <v:shape style="position:absolute;left:158;top:96;width:1440;height:492"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被投资单位名称或</w:t>
                      </w:r>
                    </w:p>
                    <w:p>
                      <w:pPr>
                        <w:spacing w:before="76"/>
                        <w:ind w:left="90" w:right="0" w:firstLine="0"/>
                        <w:jc w:val="left"/>
                        <w:rPr>
                          <w:rFonts w:ascii="宋体" w:hAnsi="宋体" w:cs="宋体" w:eastAsia="宋体" w:hint="default"/>
                          <w:sz w:val="18"/>
                          <w:szCs w:val="18"/>
                        </w:rPr>
                      </w:pPr>
                      <w:r>
                        <w:rPr>
                          <w:rFonts w:ascii="宋体" w:hAnsi="宋体" w:cs="宋体" w:eastAsia="宋体" w:hint="default"/>
                          <w:sz w:val="18"/>
                          <w:szCs w:val="18"/>
                        </w:rPr>
                        <w:t>形成商誉的事项</w:t>
                      </w:r>
                    </w:p>
                  </w:txbxContent>
                </v:textbox>
                <w10:wrap type="none"/>
              </v:shape>
              <v:shape style="position:absolute;left:2069;top:2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375;top:2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4557;top:2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5791;top:2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6933;top:96;width:900;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年末减值准</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备</w:t>
                      </w:r>
                    </w:p>
                  </w:txbxContent>
                </v:textbox>
                <w10:wrap type="none"/>
              </v:shape>
              <v:shape style="position:absolute;left:137;top:8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长春高琦</w:t>
                      </w:r>
                    </w:p>
                  </w:txbxContent>
                </v:textbox>
                <w10:wrap type="none"/>
              </v:shape>
              <v:shape style="position:absolute;left:2081;top:80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2,850,049.14</w:t>
                      </w:r>
                    </w:p>
                  </w:txbxContent>
                </v:textbox>
                <w10:wrap type="none"/>
              </v:shape>
              <v:shape style="position:absolute;left:4049;top:808;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210;top:808;width:1487;height:180" type="#_x0000_t202" filled="false" stroked="false">
                <v:textbox inset="0,0,0,0">
                  <w:txbxContent>
                    <w:p>
                      <w:pPr>
                        <w:tabs>
                          <w:tab w:pos="54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2,850,049.14</w:t>
                      </w:r>
                      <w:r>
                        <w:rPr>
                          <w:rFonts w:ascii="Times New Roman"/>
                          <w:sz w:val="18"/>
                        </w:rPr>
                      </w:r>
                    </w:p>
                  </w:txbxContent>
                </v:textbox>
                <w10:wrap type="none"/>
              </v:shape>
              <v:shape style="position:absolute;left:7676;top:808;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98;top:126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081;top:127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2,850,049.14</w:t>
                      </w:r>
                    </w:p>
                  </w:txbxContent>
                </v:textbox>
                <w10:wrap type="none"/>
              </v:shape>
              <v:shape style="position:absolute;left:4049;top:1272;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210;top:1272;width:1487;height:180" type="#_x0000_t202" filled="false" stroked="false">
                <v:textbox inset="0,0,0,0">
                  <w:txbxContent>
                    <w:p>
                      <w:pPr>
                        <w:tabs>
                          <w:tab w:pos="54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2,850,049.14</w:t>
                      </w:r>
                      <w:r>
                        <w:rPr>
                          <w:rFonts w:ascii="Times New Roman"/>
                          <w:sz w:val="18"/>
                        </w:rPr>
                      </w:r>
                    </w:p>
                  </w:txbxContent>
                </v:textbox>
                <w10:wrap type="none"/>
              </v:shape>
              <v:shape style="position:absolute;left:7676;top:1272;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group>
          </v:group>
        </w:pict>
      </w:r>
      <w:r>
        <w:rPr>
          <w:rFonts w:ascii="宋体" w:hAnsi="宋体" w:cs="宋体" w:eastAsia="宋体" w:hint="default"/>
          <w:position w:val="-31"/>
          <w:sz w:val="20"/>
          <w:szCs w:val="20"/>
        </w:rPr>
      </w:r>
    </w:p>
    <w:p>
      <w:pPr>
        <w:spacing w:line="240" w:lineRule="auto" w:before="9"/>
        <w:rPr>
          <w:rFonts w:ascii="宋体" w:hAnsi="宋体" w:cs="宋体" w:eastAsia="宋体" w:hint="default"/>
          <w:b/>
          <w:bCs/>
          <w:sz w:val="5"/>
          <w:szCs w:val="5"/>
        </w:rPr>
      </w:pPr>
    </w:p>
    <w:p>
      <w:pPr>
        <w:spacing w:before="35"/>
        <w:ind w:left="1340" w:right="0" w:firstLine="0"/>
        <w:jc w:val="left"/>
        <w:rPr>
          <w:rFonts w:ascii="宋体" w:hAnsi="宋体" w:cs="宋体" w:eastAsia="宋体" w:hint="default"/>
          <w:sz w:val="21"/>
          <w:szCs w:val="21"/>
        </w:rPr>
      </w:pPr>
      <w:r>
        <w:rPr>
          <w:rFonts w:ascii="宋体" w:hAnsi="宋体" w:cs="宋体" w:eastAsia="宋体" w:hint="default"/>
          <w:sz w:val="21"/>
          <w:szCs w:val="21"/>
        </w:rPr>
        <w:t>商誉的说明：</w:t>
      </w:r>
    </w:p>
    <w:p>
      <w:pPr>
        <w:spacing w:before="126"/>
        <w:ind w:left="1519"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）商誉的计算过程：</w:t>
      </w:r>
    </w:p>
    <w:p>
      <w:pPr>
        <w:spacing w:line="340" w:lineRule="auto" w:before="109"/>
        <w:ind w:left="2239" w:right="332" w:firstLine="0"/>
        <w:jc w:val="both"/>
        <w:rPr>
          <w:rFonts w:ascii="宋体" w:hAnsi="宋体" w:cs="宋体" w:eastAsia="宋体" w:hint="default"/>
          <w:sz w:val="21"/>
          <w:szCs w:val="21"/>
        </w:rPr>
      </w:pPr>
      <w:r>
        <w:rPr>
          <w:rFonts w:ascii="宋体" w:hAnsi="宋体" w:cs="宋体" w:eastAsia="宋体" w:hint="default"/>
          <w:sz w:val="21"/>
          <w:szCs w:val="21"/>
        </w:rPr>
        <w:t>本公司</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6"/>
          <w:sz w:val="21"/>
          <w:szCs w:val="21"/>
        </w:rPr>
        <w:t> </w:t>
      </w:r>
      <w:r>
        <w:rPr>
          <w:rFonts w:ascii="宋体" w:hAnsi="宋体" w:cs="宋体" w:eastAsia="宋体" w:hint="default"/>
          <w:spacing w:val="-4"/>
          <w:sz w:val="21"/>
          <w:szCs w:val="21"/>
        </w:rPr>
        <w:t>年对非同一控制下子公司长春高琦合并时，合并成本与本</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公司按照所占份额持有的长春高琦可辨认净资产的公允价值之间的差</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额。</w:t>
      </w:r>
    </w:p>
    <w:p>
      <w:pPr>
        <w:spacing w:line="340" w:lineRule="auto" w:before="36"/>
        <w:ind w:left="2239" w:right="0" w:hanging="7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）商誉的减值测试的方法：</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通过比较相关资产组组合的账面价值与可收回金额进行减值测试，经</w:t>
      </w:r>
      <w:r>
        <w:rPr>
          <w:rFonts w:ascii="宋体" w:hAnsi="宋体" w:cs="宋体" w:eastAsia="宋体" w:hint="default"/>
          <w:spacing w:val="1"/>
          <w:sz w:val="21"/>
          <w:szCs w:val="21"/>
        </w:rPr>
        <w:t> </w:t>
      </w:r>
      <w:r>
        <w:rPr>
          <w:rFonts w:ascii="宋体" w:hAnsi="宋体" w:cs="宋体" w:eastAsia="宋体" w:hint="default"/>
          <w:sz w:val="21"/>
          <w:szCs w:val="21"/>
        </w:rPr>
        <w:t>测试本公司商誉未发生减值。</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1"/>
          <w:szCs w:val="21"/>
        </w:rPr>
      </w:pPr>
    </w:p>
    <w:p>
      <w:pPr>
        <w:spacing w:before="0"/>
        <w:ind w:left="249" w:right="0" w:firstLine="0"/>
        <w:jc w:val="left"/>
        <w:rPr>
          <w:rFonts w:ascii="宋体" w:hAnsi="宋体" w:cs="宋体" w:eastAsia="宋体" w:hint="default"/>
          <w:sz w:val="21"/>
          <w:szCs w:val="21"/>
        </w:rPr>
      </w:pPr>
      <w:r>
        <w:rPr/>
        <w:pict>
          <v:group style="position:absolute;margin-left:115.050003pt;margin-top:15.321436pt;width:401.65pt;height:103.8pt;mso-position-horizontal-relative:page;mso-position-vertical-relative:paragraph;z-index:-777016" coordorigin="2301,306" coordsize="8033,2076">
            <v:group style="position:absolute;left:2330;top:321;width:7976;height:2" coordorigin="2330,321" coordsize="7976,2">
              <v:shape style="position:absolute;left:2330;top:321;width:7976;height:2" coordorigin="2330,321" coordsize="7976,0" path="m2330,321l10306,321e" filled="false" stroked="true" strokeweight="1.5pt" strokecolor="#000000">
                <v:path arrowok="t"/>
              </v:shape>
              <v:shape style="position:absolute;left:3564;top:308;width:5665;height:682" type="#_x0000_t75" stroked="false">
                <v:imagedata r:id="rId177" o:title=""/>
              </v:shape>
            </v:group>
            <v:group style="position:absolute;left:2316;top:2367;width:1277;height:2" coordorigin="2316,2367" coordsize="1277,2">
              <v:shape style="position:absolute;left:2316;top:2367;width:1277;height:2" coordorigin="2316,2367" coordsize="1277,0" path="m2316,2367l3593,2367e" filled="false" stroked="true" strokeweight="1.5pt" strokecolor="#000000">
                <v:path arrowok="t"/>
              </v:shape>
            </v:group>
            <v:group style="position:absolute;left:3593;top:2367;width:1038;height:2" coordorigin="3593,2367" coordsize="1038,2">
              <v:shape style="position:absolute;left:3593;top:2367;width:1038;height:2" coordorigin="3593,2367" coordsize="1038,0" path="m3593,2367l4631,2367e" filled="false" stroked="true" strokeweight="1.5pt" strokecolor="#000000">
                <v:path arrowok="t"/>
              </v:shape>
            </v:group>
            <v:group style="position:absolute;left:4631;top:2367;width:1295;height:2" coordorigin="4631,2367" coordsize="1295,2">
              <v:shape style="position:absolute;left:4631;top:2367;width:1295;height:2" coordorigin="4631,2367" coordsize="1295,0" path="m4631,2367l5926,2367e" filled="false" stroked="true" strokeweight="1.5pt" strokecolor="#000000">
                <v:path arrowok="t"/>
              </v:shape>
            </v:group>
            <v:group style="position:absolute;left:5926;top:2367;width:1040;height:2" coordorigin="5926,2367" coordsize="1040,2">
              <v:shape style="position:absolute;left:5926;top:2367;width:1040;height:2" coordorigin="5926,2367" coordsize="1040,0" path="m5926,2367l6965,2367e" filled="false" stroked="true" strokeweight="1.5pt" strokecolor="#000000">
                <v:path arrowok="t"/>
              </v:shape>
            </v:group>
            <v:group style="position:absolute;left:6965;top:2367;width:1038;height:2" coordorigin="6965,2367" coordsize="1038,2">
              <v:shape style="position:absolute;left:6965;top:2367;width:1038;height:2" coordorigin="6965,2367" coordsize="1038,0" path="m6965,2367l8003,2367e" filled="false" stroked="true" strokeweight="1.5pt" strokecolor="#000000">
                <v:path arrowok="t"/>
              </v:shape>
            </v:group>
            <v:group style="position:absolute;left:8003;top:2367;width:1188;height:2" coordorigin="8003,2367" coordsize="1188,2">
              <v:shape style="position:absolute;left:8003;top:2367;width:1188;height:2" coordorigin="8003,2367" coordsize="1188,0" path="m8003,2367l9191,2367e" filled="false" stroked="true" strokeweight="1.5pt" strokecolor="#000000">
                <v:path arrowok="t"/>
              </v:shape>
              <v:shape style="position:absolute;left:2302;top:941;width:8032;height:1412" type="#_x0000_t75" stroked="false">
                <v:imagedata r:id="rId178" o:title=""/>
              </v:shape>
            </v:group>
            <v:group style="position:absolute;left:9191;top:2367;width:1115;height:2" coordorigin="9191,2367" coordsize="1115,2">
              <v:shape style="position:absolute;left:9191;top:2367;width:1115;height:2" coordorigin="9191,2367" coordsize="1115,0" path="m9191,2367l10306,2367e" filled="false" stroked="true" strokeweight="1.5pt" strokecolor="#000000">
                <v:path arrowok="t"/>
              </v:shape>
              <v:shape style="position:absolute;left:2784;top:55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756;top:55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4921;top:55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6090;top:559;width:2871;height:180" type="#_x0000_t202" filled="false" stroked="false">
                <v:textbox inset="0,0,0,0">
                  <w:txbxContent>
                    <w:p>
                      <w:pPr>
                        <w:tabs>
                          <w:tab w:pos="1037" w:val="left" w:leader="none"/>
                          <w:tab w:pos="2150"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本年摊销</w:t>
                        <w:tab/>
                        <w:t>其他减少</w:t>
                        <w:tab/>
                        <w:t>年末余额</w:t>
                      </w:r>
                    </w:p>
                  </w:txbxContent>
                </v:textbox>
                <w10:wrap type="none"/>
              </v:shape>
              <v:shape style="position:absolute;left:9389;top:403;width:720;height:492"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其他减少</w:t>
                      </w:r>
                    </w:p>
                    <w:p>
                      <w:pPr>
                        <w:spacing w:before="76"/>
                        <w:ind w:left="90" w:right="0" w:firstLine="0"/>
                        <w:jc w:val="left"/>
                        <w:rPr>
                          <w:rFonts w:ascii="宋体" w:hAnsi="宋体" w:cs="宋体" w:eastAsia="宋体" w:hint="default"/>
                          <w:sz w:val="18"/>
                          <w:szCs w:val="18"/>
                        </w:rPr>
                      </w:pPr>
                      <w:r>
                        <w:rPr>
                          <w:rFonts w:ascii="宋体" w:hAnsi="宋体" w:cs="宋体" w:eastAsia="宋体" w:hint="default"/>
                          <w:sz w:val="18"/>
                          <w:szCs w:val="18"/>
                        </w:rPr>
                        <w:t>的原因</w:t>
                      </w:r>
                    </w:p>
                  </w:txbxContent>
                </v:textbox>
                <w10:wrap type="none"/>
              </v:shape>
            </v:group>
            <w10:wrap type="none"/>
          </v:group>
        </w:pict>
      </w:r>
      <w:r>
        <w:rPr>
          <w:rFonts w:ascii="宋体" w:hAnsi="宋体" w:cs="宋体" w:eastAsia="宋体" w:hint="default"/>
          <w:b/>
          <w:bCs/>
          <w:sz w:val="21"/>
          <w:szCs w:val="21"/>
        </w:rPr>
        <w:t>(十四)</w:t>
      </w:r>
      <w:r>
        <w:rPr>
          <w:rFonts w:ascii="宋体" w:hAnsi="宋体" w:cs="宋体" w:eastAsia="宋体" w:hint="default"/>
          <w:b/>
          <w:bCs/>
          <w:spacing w:val="27"/>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5"/>
          <w:szCs w:val="15"/>
        </w:rPr>
      </w:pPr>
    </w:p>
    <w:tbl>
      <w:tblPr>
        <w:tblW w:w="0" w:type="auto"/>
        <w:jc w:val="left"/>
        <w:tblInd w:w="863" w:type="dxa"/>
        <w:tblLayout w:type="fixed"/>
        <w:tblCellMar>
          <w:top w:w="0" w:type="dxa"/>
          <w:left w:w="0" w:type="dxa"/>
          <w:bottom w:w="0" w:type="dxa"/>
          <w:right w:w="0" w:type="dxa"/>
        </w:tblCellMar>
        <w:tblLook w:val="01E0"/>
      </w:tblPr>
      <w:tblGrid>
        <w:gridCol w:w="1440"/>
        <w:gridCol w:w="859"/>
        <w:gridCol w:w="1235"/>
        <w:gridCol w:w="1354"/>
        <w:gridCol w:w="729"/>
        <w:gridCol w:w="1531"/>
        <w:gridCol w:w="680"/>
      </w:tblGrid>
      <w:tr>
        <w:trPr>
          <w:trHeight w:val="426" w:hRule="exact"/>
        </w:trPr>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办公室租金</w:t>
            </w:r>
          </w:p>
        </w:tc>
        <w:tc>
          <w:tcPr>
            <w:tcW w:w="85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72"/>
              <w:jc w:val="right"/>
              <w:rPr>
                <w:rFonts w:ascii="Times New Roman" w:hAnsi="Times New Roman" w:cs="Times New Roman" w:eastAsia="Times New Roman" w:hint="default"/>
                <w:sz w:val="18"/>
                <w:szCs w:val="18"/>
              </w:rPr>
            </w:pPr>
            <w:r>
              <w:rPr>
                <w:rFonts w:ascii="Times New Roman"/>
                <w:sz w:val="18"/>
              </w:rPr>
              <w:t>---</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13"/>
              <w:jc w:val="right"/>
              <w:rPr>
                <w:rFonts w:ascii="Times New Roman" w:hAnsi="Times New Roman" w:cs="Times New Roman" w:eastAsia="Times New Roman" w:hint="default"/>
                <w:sz w:val="18"/>
                <w:szCs w:val="18"/>
              </w:rPr>
            </w:pPr>
            <w:r>
              <w:rPr>
                <w:rFonts w:ascii="Times New Roman"/>
                <w:sz w:val="18"/>
              </w:rPr>
              <w:t>247,400.00</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425"/>
              <w:jc w:val="right"/>
              <w:rPr>
                <w:rFonts w:ascii="Times New Roman" w:hAnsi="Times New Roman" w:cs="Times New Roman" w:eastAsia="Times New Roman" w:hint="default"/>
                <w:sz w:val="18"/>
                <w:szCs w:val="18"/>
              </w:rPr>
            </w:pPr>
            <w:r>
              <w:rPr>
                <w:rFonts w:ascii="Times New Roman"/>
                <w:sz w:val="18"/>
              </w:rPr>
              <w:t>88,608.37</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19"/>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462"/>
              <w:jc w:val="right"/>
              <w:rPr>
                <w:rFonts w:ascii="Times New Roman" w:hAnsi="Times New Roman" w:cs="Times New Roman" w:eastAsia="Times New Roman" w:hint="default"/>
                <w:sz w:val="18"/>
                <w:szCs w:val="18"/>
              </w:rPr>
            </w:pPr>
            <w:r>
              <w:rPr>
                <w:rFonts w:ascii="Times New Roman"/>
                <w:sz w:val="18"/>
              </w:rPr>
              <w:t>158,791.63</w:t>
            </w:r>
          </w:p>
        </w:tc>
        <w:tc>
          <w:tcPr>
            <w:tcW w:w="68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Times New Roman" w:hAnsi="Times New Roman" w:cs="Times New Roman" w:eastAsia="Times New Roman" w:hint="default"/>
                <w:sz w:val="18"/>
                <w:szCs w:val="18"/>
              </w:rPr>
            </w:pPr>
            <w:r>
              <w:rPr>
                <w:rFonts w:ascii="Times New Roman"/>
                <w:sz w:val="18"/>
              </w:rPr>
              <w:t>---</w:t>
            </w:r>
          </w:p>
        </w:tc>
      </w:tr>
      <w:tr>
        <w:trPr>
          <w:trHeight w:val="464" w:hRule="exact"/>
        </w:trPr>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房屋装修</w:t>
            </w:r>
          </w:p>
        </w:tc>
        <w:tc>
          <w:tcPr>
            <w:tcW w:w="85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72"/>
              <w:jc w:val="right"/>
              <w:rPr>
                <w:rFonts w:ascii="Times New Roman" w:hAnsi="Times New Roman" w:cs="Times New Roman" w:eastAsia="Times New Roman" w:hint="default"/>
                <w:sz w:val="18"/>
                <w:szCs w:val="18"/>
              </w:rPr>
            </w:pPr>
            <w:r>
              <w:rPr>
                <w:rFonts w:ascii="Times New Roman"/>
                <w:sz w:val="18"/>
              </w:rPr>
              <w:t>---</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13"/>
              <w:jc w:val="right"/>
              <w:rPr>
                <w:rFonts w:ascii="Times New Roman" w:hAnsi="Times New Roman" w:cs="Times New Roman" w:eastAsia="Times New Roman" w:hint="default"/>
                <w:sz w:val="18"/>
                <w:szCs w:val="18"/>
              </w:rPr>
            </w:pPr>
            <w:r>
              <w:rPr>
                <w:rFonts w:ascii="Times New Roman"/>
                <w:spacing w:val="-1"/>
                <w:sz w:val="18"/>
              </w:rPr>
              <w:t>1,977,730.56</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25"/>
              <w:jc w:val="right"/>
              <w:rPr>
                <w:rFonts w:ascii="Times New Roman" w:hAnsi="Times New Roman" w:cs="Times New Roman" w:eastAsia="Times New Roman" w:hint="default"/>
                <w:sz w:val="18"/>
                <w:szCs w:val="18"/>
              </w:rPr>
            </w:pPr>
            <w:r>
              <w:rPr>
                <w:rFonts w:ascii="Times New Roman"/>
                <w:sz w:val="18"/>
              </w:rPr>
              <w:t>454,310.21</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19"/>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62"/>
              <w:jc w:val="right"/>
              <w:rPr>
                <w:rFonts w:ascii="Times New Roman" w:hAnsi="Times New Roman" w:cs="Times New Roman" w:eastAsia="Times New Roman" w:hint="default"/>
                <w:sz w:val="18"/>
                <w:szCs w:val="18"/>
              </w:rPr>
            </w:pPr>
            <w:r>
              <w:rPr>
                <w:rFonts w:ascii="Times New Roman"/>
                <w:spacing w:val="-1"/>
                <w:sz w:val="18"/>
              </w:rPr>
              <w:t>1,523,420.35</w:t>
            </w:r>
          </w:p>
        </w:tc>
        <w:tc>
          <w:tcPr>
            <w:tcW w:w="680"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z w:val="18"/>
              </w:rPr>
              <w:t>---</w:t>
            </w:r>
          </w:p>
        </w:tc>
      </w:tr>
      <w:tr>
        <w:trPr>
          <w:trHeight w:val="426" w:hRule="exact"/>
        </w:trPr>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8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5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72"/>
              <w:jc w:val="right"/>
              <w:rPr>
                <w:rFonts w:ascii="Times New Roman" w:hAnsi="Times New Roman" w:cs="Times New Roman" w:eastAsia="Times New Roman" w:hint="default"/>
                <w:sz w:val="18"/>
                <w:szCs w:val="18"/>
              </w:rPr>
            </w:pPr>
            <w:r>
              <w:rPr>
                <w:rFonts w:ascii="Times New Roman"/>
                <w:sz w:val="18"/>
              </w:rPr>
              <w:t>---</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13"/>
              <w:jc w:val="right"/>
              <w:rPr>
                <w:rFonts w:ascii="Times New Roman" w:hAnsi="Times New Roman" w:cs="Times New Roman" w:eastAsia="Times New Roman" w:hint="default"/>
                <w:sz w:val="18"/>
                <w:szCs w:val="18"/>
              </w:rPr>
            </w:pPr>
            <w:r>
              <w:rPr>
                <w:rFonts w:ascii="Times New Roman"/>
                <w:spacing w:val="-1"/>
                <w:sz w:val="18"/>
              </w:rPr>
              <w:t>2,225,130.56</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25"/>
              <w:jc w:val="right"/>
              <w:rPr>
                <w:rFonts w:ascii="Times New Roman" w:hAnsi="Times New Roman" w:cs="Times New Roman" w:eastAsia="Times New Roman" w:hint="default"/>
                <w:sz w:val="18"/>
                <w:szCs w:val="18"/>
              </w:rPr>
            </w:pPr>
            <w:r>
              <w:rPr>
                <w:rFonts w:ascii="Times New Roman"/>
                <w:sz w:val="18"/>
              </w:rPr>
              <w:t>542,918.58</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19"/>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62"/>
              <w:jc w:val="right"/>
              <w:rPr>
                <w:rFonts w:ascii="Times New Roman" w:hAnsi="Times New Roman" w:cs="Times New Roman" w:eastAsia="Times New Roman" w:hint="default"/>
                <w:sz w:val="18"/>
                <w:szCs w:val="18"/>
              </w:rPr>
            </w:pPr>
            <w:r>
              <w:rPr>
                <w:rFonts w:ascii="Times New Roman"/>
                <w:spacing w:val="-1"/>
                <w:sz w:val="18"/>
              </w:rPr>
              <w:t>1,682,211.98</w:t>
            </w:r>
          </w:p>
        </w:tc>
        <w:tc>
          <w:tcPr>
            <w:tcW w:w="680"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before="35"/>
        <w:ind w:left="24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递延所得税资产和递延所得税负债</w:t>
      </w:r>
      <w:r>
        <w:rPr>
          <w:rFonts w:ascii="宋体" w:hAnsi="宋体" w:cs="宋体" w:eastAsia="宋体" w:hint="default"/>
          <w:sz w:val="21"/>
          <w:szCs w:val="21"/>
        </w:rPr>
      </w:r>
    </w:p>
    <w:p>
      <w:pPr>
        <w:tabs>
          <w:tab w:pos="1414" w:val="left" w:leader="none"/>
        </w:tabs>
        <w:spacing w:before="110"/>
        <w:ind w:left="87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递延所得税资产和递延所得税负债不以抵销后的净额列示</w:t>
      </w:r>
      <w:r>
        <w:rPr>
          <w:rFonts w:ascii="宋体" w:hAnsi="宋体" w:cs="宋体" w:eastAsia="宋体" w:hint="default"/>
          <w:sz w:val="21"/>
          <w:szCs w:val="21"/>
        </w:rPr>
      </w:r>
    </w:p>
    <w:p>
      <w:pPr>
        <w:spacing w:before="109"/>
        <w:ind w:left="977" w:right="0" w:firstLine="0"/>
        <w:jc w:val="left"/>
        <w:rPr>
          <w:rFonts w:ascii="宋体" w:hAnsi="宋体" w:cs="宋体" w:eastAsia="宋体" w:hint="default"/>
          <w:sz w:val="21"/>
          <w:szCs w:val="21"/>
        </w:rPr>
      </w:pPr>
      <w:r>
        <w:rPr/>
        <w:pict>
          <v:group style="position:absolute;margin-left:117.059998pt;margin-top:20.83287pt;width:390.85pt;height:81.5pt;mso-position-horizontal-relative:page;mso-position-vertical-relative:paragraph;z-index:-776992" coordorigin="2341,417" coordsize="7817,1630">
            <v:shape style="position:absolute;left:6227;top:417;width:2088;height:370" type="#_x0000_t75" stroked="false">
              <v:imagedata r:id="rId179" o:title=""/>
            </v:shape>
            <v:shape style="position:absolute;left:2341;top:729;width:7817;height:1318" type="#_x0000_t75" stroked="false">
              <v:imagedata r:id="rId180" o:title=""/>
            </v:shape>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）已确认的递延所得税资产和递延所得税负债</w:t>
      </w:r>
    </w:p>
    <w:p>
      <w:pPr>
        <w:spacing w:line="240" w:lineRule="auto" w:before="5"/>
        <w:rPr>
          <w:rFonts w:ascii="宋体" w:hAnsi="宋体" w:cs="宋体" w:eastAsia="宋体" w:hint="default"/>
          <w:sz w:val="2"/>
          <w:szCs w:val="2"/>
        </w:rPr>
      </w:pPr>
    </w:p>
    <w:tbl>
      <w:tblPr>
        <w:tblW w:w="0" w:type="auto"/>
        <w:jc w:val="left"/>
        <w:tblInd w:w="830" w:type="dxa"/>
        <w:tblLayout w:type="fixed"/>
        <w:tblCellMar>
          <w:top w:w="0" w:type="dxa"/>
          <w:left w:w="0" w:type="dxa"/>
          <w:bottom w:w="0" w:type="dxa"/>
          <w:right w:w="0" w:type="dxa"/>
        </w:tblCellMar>
        <w:tblLook w:val="01E0"/>
      </w:tblPr>
      <w:tblGrid>
        <w:gridCol w:w="1657"/>
        <w:gridCol w:w="1676"/>
        <w:gridCol w:w="2806"/>
        <w:gridCol w:w="1616"/>
      </w:tblGrid>
      <w:tr>
        <w:trPr>
          <w:trHeight w:val="980" w:hRule="exact"/>
        </w:trPr>
        <w:tc>
          <w:tcPr>
            <w:tcW w:w="1657"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328" w:lineRule="auto"/>
              <w:ind w:left="108" w:right="106"/>
              <w:jc w:val="left"/>
              <w:rPr>
                <w:rFonts w:ascii="宋体" w:hAnsi="宋体" w:cs="宋体" w:eastAsia="宋体" w:hint="default"/>
                <w:sz w:val="18"/>
                <w:szCs w:val="18"/>
              </w:rPr>
            </w:pPr>
            <w:r>
              <w:rPr>
                <w:rFonts w:ascii="宋体" w:hAnsi="宋体" w:cs="宋体" w:eastAsia="宋体" w:hint="default"/>
                <w:sz w:val="18"/>
                <w:szCs w:val="18"/>
              </w:rPr>
              <w:t>递延所得税资产： 资产减值准备</w:t>
            </w:r>
          </w:p>
        </w:tc>
        <w:tc>
          <w:tcPr>
            <w:tcW w:w="1676"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806"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207" w:right="0"/>
              <w:jc w:val="left"/>
              <w:rPr>
                <w:rFonts w:ascii="宋体" w:hAnsi="宋体" w:cs="宋体" w:eastAsia="宋体" w:hint="default"/>
                <w:sz w:val="18"/>
                <w:szCs w:val="18"/>
              </w:rPr>
            </w:pPr>
            <w:r>
              <w:rPr>
                <w:rFonts w:ascii="宋体" w:hAnsi="宋体" w:cs="宋体" w:eastAsia="宋体" w:hint="default"/>
                <w:sz w:val="18"/>
                <w:szCs w:val="18"/>
              </w:rPr>
              <w:t>年末余额</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525" w:right="0"/>
              <w:jc w:val="left"/>
              <w:rPr>
                <w:rFonts w:ascii="Times New Roman" w:hAnsi="Times New Roman" w:cs="Times New Roman" w:eastAsia="Times New Roman" w:hint="default"/>
                <w:sz w:val="18"/>
                <w:szCs w:val="18"/>
              </w:rPr>
            </w:pPr>
            <w:r>
              <w:rPr>
                <w:rFonts w:ascii="Times New Roman"/>
                <w:sz w:val="18"/>
              </w:rPr>
              <w:t>3,143,929.65</w:t>
            </w:r>
          </w:p>
        </w:tc>
        <w:tc>
          <w:tcPr>
            <w:tcW w:w="1616"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334"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563" w:right="0"/>
              <w:jc w:val="left"/>
              <w:rPr>
                <w:rFonts w:ascii="Times New Roman" w:hAnsi="Times New Roman" w:cs="Times New Roman" w:eastAsia="Times New Roman" w:hint="default"/>
                <w:sz w:val="18"/>
                <w:szCs w:val="18"/>
              </w:rPr>
            </w:pPr>
            <w:r>
              <w:rPr>
                <w:rFonts w:ascii="Times New Roman"/>
                <w:sz w:val="18"/>
              </w:rPr>
              <w:t>3,066,919.82</w:t>
            </w:r>
          </w:p>
        </w:tc>
      </w:tr>
      <w:tr>
        <w:trPr>
          <w:trHeight w:val="322" w:hRule="exact"/>
        </w:trPr>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1676" w:type="dxa"/>
            <w:tcBorders>
              <w:top w:val="nil" w:sz="6" w:space="0" w:color="auto"/>
              <w:left w:val="nil" w:sz="6" w:space="0" w:color="auto"/>
              <w:bottom w:val="nil" w:sz="6" w:space="0" w:color="auto"/>
              <w:right w:val="nil" w:sz="6" w:space="0" w:color="auto"/>
            </w:tcBorders>
          </w:tcPr>
          <w:p>
            <w:pPr/>
          </w:p>
        </w:tc>
        <w:tc>
          <w:tcPr>
            <w:tcW w:w="280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2"/>
              <w:jc w:val="right"/>
              <w:rPr>
                <w:rFonts w:ascii="Times New Roman" w:hAnsi="Times New Roman" w:cs="Times New Roman" w:eastAsia="Times New Roman" w:hint="default"/>
                <w:sz w:val="18"/>
                <w:szCs w:val="18"/>
              </w:rPr>
            </w:pPr>
            <w:r>
              <w:rPr>
                <w:rFonts w:ascii="Times New Roman"/>
                <w:spacing w:val="-1"/>
                <w:sz w:val="18"/>
              </w:rPr>
              <w:t>2,907,815.60</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1,730,023.30</w:t>
            </w:r>
          </w:p>
        </w:tc>
      </w:tr>
      <w:tr>
        <w:trPr>
          <w:trHeight w:val="329" w:hRule="exact"/>
        </w:trPr>
        <w:tc>
          <w:tcPr>
            <w:tcW w:w="1657" w:type="dxa"/>
            <w:tcBorders>
              <w:top w:val="nil" w:sz="6" w:space="0" w:color="auto"/>
              <w:left w:val="nil" w:sz="6" w:space="0" w:color="auto"/>
              <w:bottom w:val="single" w:sz="12" w:space="0" w:color="000000"/>
              <w:right w:val="nil" w:sz="6" w:space="0" w:color="auto"/>
            </w:tcBorders>
          </w:tcPr>
          <w:p>
            <w:pPr/>
          </w:p>
        </w:tc>
        <w:tc>
          <w:tcPr>
            <w:tcW w:w="1676"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left="108"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2806"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332"/>
              <w:jc w:val="right"/>
              <w:rPr>
                <w:rFonts w:ascii="Times New Roman" w:hAnsi="Times New Roman" w:cs="Times New Roman" w:eastAsia="Times New Roman" w:hint="default"/>
                <w:sz w:val="18"/>
                <w:szCs w:val="18"/>
              </w:rPr>
            </w:pPr>
            <w:r>
              <w:rPr>
                <w:rFonts w:ascii="Times New Roman"/>
                <w:spacing w:val="-1"/>
                <w:sz w:val="18"/>
              </w:rPr>
              <w:t>6,051,745.25</w:t>
            </w:r>
          </w:p>
        </w:tc>
        <w:tc>
          <w:tcPr>
            <w:tcW w:w="1616"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4,796,943.12</w:t>
            </w:r>
          </w:p>
        </w:tc>
      </w:tr>
    </w:tbl>
    <w:p>
      <w:pPr>
        <w:spacing w:line="240" w:lineRule="auto" w:before="5"/>
        <w:rPr>
          <w:rFonts w:ascii="宋体" w:hAnsi="宋体" w:cs="宋体" w:eastAsia="宋体" w:hint="default"/>
          <w:sz w:val="26"/>
          <w:szCs w:val="26"/>
        </w:rPr>
      </w:pPr>
    </w:p>
    <w:p>
      <w:pPr>
        <w:spacing w:before="35"/>
        <w:ind w:left="977"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）未确认递延所得税资产明细</w:t>
      </w:r>
    </w:p>
    <w:p>
      <w:pPr>
        <w:spacing w:line="240" w:lineRule="auto" w:before="3"/>
        <w:rPr>
          <w:rFonts w:ascii="宋体" w:hAnsi="宋体" w:cs="宋体" w:eastAsia="宋体" w:hint="default"/>
          <w:sz w:val="4"/>
          <w:szCs w:val="4"/>
        </w:rPr>
      </w:pPr>
    </w:p>
    <w:p>
      <w:pPr>
        <w:spacing w:line="818" w:lineRule="exact"/>
        <w:ind w:left="800"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389.95pt;height:40.950pt;mso-position-horizontal-relative:char;mso-position-vertical-relative:line" coordorigin="0,0" coordsize="7799,819">
            <v:group style="position:absolute;left:29;top:15;width:5937;height:2" coordorigin="29,15" coordsize="5937,2">
              <v:shape style="position:absolute;left:29;top:15;width:5937;height:2" coordorigin="29,15" coordsize="5937,0" path="m29,15l5966,15e" filled="false" stroked="true" strokeweight="1.5pt" strokecolor="#000000">
                <v:path arrowok="t"/>
              </v:shape>
            </v:group>
            <v:group style="position:absolute;left:5966;top:15;width:1818;height:2" coordorigin="5966,15" coordsize="1818,2">
              <v:shape style="position:absolute;left:5966;top:15;width:1818;height:2" coordorigin="5966,15" coordsize="1818,0" path="m5966,15l7784,15e" filled="false" stroked="true" strokeweight="1.5pt" strokecolor="#000000">
                <v:path arrowok="t"/>
              </v:shape>
            </v:group>
            <v:group style="position:absolute;left:15;top:803;width:3900;height:2" coordorigin="15,803" coordsize="3900,2">
              <v:shape style="position:absolute;left:15;top:803;width:3900;height:2" coordorigin="15,803" coordsize="3900,0" path="m15,803l3915,803e" filled="false" stroked="true" strokeweight="1.5pt" strokecolor="#000000">
                <v:path arrowok="t"/>
              </v:shape>
            </v:group>
            <v:group style="position:absolute;left:3915;top:803;width:2021;height:2" coordorigin="3915,803" coordsize="2021,2">
              <v:shape style="position:absolute;left:3915;top:803;width:2021;height:2" coordorigin="3915,803" coordsize="2021,0" path="m3915,803l5936,803e" filled="false" stroked="true" strokeweight="1.5pt" strokecolor="#000000">
                <v:path arrowok="t"/>
              </v:shape>
              <v:shape style="position:absolute;left:1;top:1;width:7798;height:787" type="#_x0000_t75" stroked="false">
                <v:imagedata r:id="rId181" o:title=""/>
              </v:shape>
            </v:group>
            <v:group style="position:absolute;left:5936;top:803;width:30;height:2" coordorigin="5936,803" coordsize="30,2">
              <v:shape style="position:absolute;left:5936;top:803;width:30;height:2" coordorigin="5936,803" coordsize="30,0" path="m5936,803l5966,803e" filled="false" stroked="true" strokeweight="1.5pt" strokecolor="#000000">
                <v:path arrowok="t"/>
              </v:shape>
            </v:group>
            <v:group style="position:absolute;left:5966;top:803;width:1818;height:2" coordorigin="5966,803" coordsize="1818,2">
              <v:shape style="position:absolute;left:5966;top:803;width:1818;height:2" coordorigin="5966,803" coordsize="1818,0" path="m5966,803l7784,803e" filled="false" stroked="true" strokeweight="1.5pt" strokecolor="#000000">
                <v:path arrowok="t"/>
              </v:shape>
              <v:shape style="position:absolute;left:1795;top:1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570;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6502;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511;width:99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可抵扣亏损</w:t>
                      </w:r>
                      <w:r>
                        <w:rPr>
                          <w:rFonts w:ascii="Times New Roman" w:hAnsi="Times New Roman" w:cs="Times New Roman" w:eastAsia="Times New Roman" w:hint="default"/>
                          <w:sz w:val="18"/>
                          <w:szCs w:val="18"/>
                        </w:rPr>
                        <w:t>*</w:t>
                      </w:r>
                    </w:p>
                  </w:txbxContent>
                </v:textbox>
                <w10:wrap type="none"/>
              </v:shape>
              <v:shape style="position:absolute;left:4888;top:51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1,561,893.27</w:t>
                      </w:r>
                    </w:p>
                  </w:txbxContent>
                </v:textbox>
                <w10:wrap type="none"/>
              </v:shape>
              <v:shape style="position:absolute;left:6731;top:51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1,205,089.46</w:t>
                      </w:r>
                    </w:p>
                  </w:txbxContent>
                </v:textbox>
                <w10:wrap type="none"/>
              </v:shape>
            </v:group>
          </v:group>
        </w:pict>
      </w:r>
      <w:r>
        <w:rPr>
          <w:rFonts w:ascii="宋体" w:hAnsi="宋体" w:cs="宋体" w:eastAsia="宋体" w:hint="default"/>
          <w:position w:val="-15"/>
          <w:sz w:val="20"/>
          <w:szCs w:val="20"/>
        </w:rPr>
      </w:r>
    </w:p>
    <w:p>
      <w:pPr>
        <w:spacing w:after="0" w:line="818" w:lineRule="exact"/>
        <w:rPr>
          <w:rFonts w:ascii="宋体" w:hAnsi="宋体" w:cs="宋体" w:eastAsia="宋体" w:hint="default"/>
          <w:sz w:val="20"/>
          <w:szCs w:val="20"/>
        </w:rPr>
        <w:sectPr>
          <w:pgSz w:w="11910" w:h="16840"/>
          <w:pgMar w:header="0" w:footer="1270" w:top="1360" w:bottom="1460" w:left="1540" w:right="1460"/>
        </w:sectPr>
      </w:pPr>
    </w:p>
    <w:p>
      <w:pPr>
        <w:spacing w:line="240" w:lineRule="auto" w:before="8"/>
        <w:rPr>
          <w:rFonts w:ascii="宋体" w:hAnsi="宋体" w:cs="宋体" w:eastAsia="宋体" w:hint="default"/>
          <w:sz w:val="5"/>
          <w:szCs w:val="5"/>
        </w:rPr>
      </w:pPr>
    </w:p>
    <w:p>
      <w:pPr>
        <w:spacing w:line="434" w:lineRule="exact"/>
        <w:ind w:left="800"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389.95pt;height:21.75pt;mso-position-horizontal-relative:char;mso-position-vertical-relative:line" coordorigin="0,0" coordsize="7799,435">
            <v:group style="position:absolute;left:29;top:15;width:5937;height:2" coordorigin="29,15" coordsize="5937,2">
              <v:shape style="position:absolute;left:29;top:15;width:5937;height:2" coordorigin="29,15" coordsize="5937,0" path="m29,15l5966,15e" filled="false" stroked="true" strokeweight="1.5pt" strokecolor="#000000">
                <v:path arrowok="t"/>
              </v:shape>
            </v:group>
            <v:group style="position:absolute;left:5966;top:15;width:1818;height:2" coordorigin="5966,15" coordsize="1818,2">
              <v:shape style="position:absolute;left:5966;top:15;width:1818;height:2" coordorigin="5966,15" coordsize="1818,0" path="m5966,15l7784,15e" filled="false" stroked="true" strokeweight="1.5pt" strokecolor="#000000">
                <v:path arrowok="t"/>
              </v:shape>
            </v:group>
            <v:group style="position:absolute;left:15;top:419;width:3900;height:2" coordorigin="15,419" coordsize="3900,2">
              <v:shape style="position:absolute;left:15;top:419;width:3900;height:2" coordorigin="15,419" coordsize="3900,0" path="m15,419l3915,419e" filled="false" stroked="true" strokeweight="1.5pt" strokecolor="#000000">
                <v:path arrowok="t"/>
              </v:shape>
              <v:shape style="position:absolute;left:3915;top:30;width:10;height:374" type="#_x0000_t75" stroked="false">
                <v:imagedata r:id="rId182" o:title=""/>
              </v:shape>
            </v:group>
            <v:group style="position:absolute;left:3915;top:419;width:2021;height:2" coordorigin="3915,419" coordsize="2021,2">
              <v:shape style="position:absolute;left:3915;top:419;width:2021;height:2" coordorigin="3915,419" coordsize="2021,0" path="m3915,419l5936,419e" filled="false" stroked="true" strokeweight="1.5pt" strokecolor="#000000">
                <v:path arrowok="t"/>
              </v:shape>
              <v:shape style="position:absolute;left:5936;top:30;width:10;height:374" type="#_x0000_t75" stroked="false">
                <v:imagedata r:id="rId182" o:title=""/>
              </v:shape>
            </v:group>
            <v:group style="position:absolute;left:5936;top:419;width:30;height:2" coordorigin="5936,419" coordsize="30,2">
              <v:shape style="position:absolute;left:5936;top:419;width:30;height:2" coordorigin="5936,419" coordsize="30,0" path="m5936,419l5966,419e" filled="false" stroked="true" strokeweight="1.5pt" strokecolor="#000000">
                <v:path arrowok="t"/>
              </v:shape>
            </v:group>
            <v:group style="position:absolute;left:5966;top:419;width:1818;height:2" coordorigin="5966,419" coordsize="1818,2">
              <v:shape style="position:absolute;left:5966;top:419;width:1818;height:2" coordorigin="5966,419" coordsize="1818,0" path="m5966,419l7784,419e" filled="false" stroked="true" strokeweight="1.5pt" strokecolor="#000000">
                <v:path arrowok="t"/>
              </v:shape>
              <v:shape style="position:absolute;left:1795;top:1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888;top:13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1,561,893.27</w:t>
                      </w:r>
                    </w:p>
                  </w:txbxContent>
                </v:textbox>
                <w10:wrap type="none"/>
              </v:shape>
              <v:shape style="position:absolute;left:6731;top:13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1,205,089.46</w:t>
                      </w:r>
                    </w:p>
                  </w:txbxContent>
                </v:textbox>
                <w10:wrap type="none"/>
              </v:shape>
            </v:group>
          </v:group>
        </w:pict>
      </w:r>
      <w:r>
        <w:rPr>
          <w:rFonts w:ascii="宋体" w:hAnsi="宋体" w:cs="宋体" w:eastAsia="宋体" w:hint="default"/>
          <w:position w:val="-8"/>
          <w:sz w:val="20"/>
          <w:szCs w:val="20"/>
        </w:rPr>
      </w:r>
    </w:p>
    <w:p>
      <w:pPr>
        <w:spacing w:line="328" w:lineRule="auto" w:before="93"/>
        <w:ind w:left="1340" w:right="194" w:firstLine="0"/>
        <w:jc w:val="left"/>
        <w:rPr>
          <w:rFonts w:ascii="宋体" w:hAnsi="宋体" w:cs="宋体" w:eastAsia="宋体" w:hint="default"/>
          <w:sz w:val="21"/>
          <w:szCs w:val="21"/>
        </w:rPr>
      </w:pP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由于香港惠程未来能否获得足够的应纳税所得额具有不确定性，因此没有确认</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为递延所得税资产的可抵扣亏损。</w:t>
      </w:r>
    </w:p>
    <w:p>
      <w:pPr>
        <w:spacing w:before="48"/>
        <w:ind w:left="995" w:right="194"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）应纳税差异和可抵扣差异项目明细</w:t>
      </w:r>
    </w:p>
    <w:p>
      <w:pPr>
        <w:spacing w:line="1800" w:lineRule="exact"/>
        <w:ind w:left="840"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390.7pt;height:90pt;mso-position-horizontal-relative:char;mso-position-vertical-relative:line" coordorigin="0,0" coordsize="7814,1800">
            <v:group style="position:absolute;left:29;top:15;width:7755;height:2" coordorigin="29,15" coordsize="7755,2">
              <v:shape style="position:absolute;left:29;top:15;width:7755;height:2" coordorigin="29,15" coordsize="7755,0" path="m29,15l7784,15e" filled="false" stroked="true" strokeweight="1.5pt" strokecolor="#000000">
                <v:path arrowok="t"/>
              </v:shape>
              <v:shape style="position:absolute;left:4377;top:30;width:10;height:340" type="#_x0000_t75" stroked="false">
                <v:imagedata r:id="rId183" o:title=""/>
              </v:shape>
            </v:group>
            <v:group style="position:absolute;left:15;top:1785;width:4362;height:2" coordorigin="15,1785" coordsize="4362,2">
              <v:shape style="position:absolute;left:15;top:1785;width:4362;height:2" coordorigin="15,1785" coordsize="4362,0" path="m15,1785l4377,1785e" filled="false" stroked="true" strokeweight="1.5pt" strokecolor="#000000">
                <v:path arrowok="t"/>
              </v:shape>
              <v:shape style="position:absolute;left:1;top:341;width:7813;height:1429" type="#_x0000_t75" stroked="false">
                <v:imagedata r:id="rId184" o:title=""/>
              </v:shape>
            </v:group>
            <v:group style="position:absolute;left:4377;top:1785;width:3407;height:2" coordorigin="4377,1785" coordsize="3407,2">
              <v:shape style="position:absolute;left:4377;top:1785;width:3407;height:2" coordorigin="4377,1785" coordsize="3407,0" path="m4377,1785l7784,1785e" filled="false" stroked="true" strokeweight="1.5pt" strokecolor="#000000">
                <v:path arrowok="t"/>
              </v:shape>
              <v:shape style="position:absolute;left:2025;top:11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5902;top:11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137;top:460;width:1260;height:88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可抵扣差异项目</w:t>
                      </w:r>
                    </w:p>
                    <w:p>
                      <w:pPr>
                        <w:spacing w:line="350" w:lineRule="atLeast" w:before="0"/>
                        <w:ind w:left="0" w:right="178" w:firstLine="0"/>
                        <w:jc w:val="left"/>
                        <w:rPr>
                          <w:rFonts w:ascii="宋体" w:hAnsi="宋体" w:cs="宋体" w:eastAsia="宋体" w:hint="default"/>
                          <w:sz w:val="18"/>
                          <w:szCs w:val="18"/>
                        </w:rPr>
                      </w:pPr>
                      <w:r>
                        <w:rPr>
                          <w:rFonts w:ascii="宋体" w:hAnsi="宋体" w:cs="宋体" w:eastAsia="宋体" w:hint="default"/>
                          <w:sz w:val="18"/>
                          <w:szCs w:val="18"/>
                        </w:rPr>
                        <w:t>资产减值准备 可抵扣亏损</w:t>
                      </w:r>
                    </w:p>
                  </w:txbxContent>
                </v:textbox>
                <w10:wrap type="none"/>
              </v:shape>
              <v:shape style="position:absolute;left:2025;top:151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6526;top:810;width:1151;height:900" type="#_x0000_t202" filled="false" stroked="false">
                <v:textbox inset="0,0,0,0">
                  <w:txbxContent>
                    <w:p>
                      <w:pPr>
                        <w:spacing w:line="205" w:lineRule="exact" w:before="0"/>
                        <w:ind w:left="0" w:right="0" w:firstLine="0"/>
                        <w:jc w:val="left"/>
                        <w:rPr>
                          <w:rFonts w:ascii="Times New Roman" w:hAnsi="Times New Roman" w:cs="Times New Roman" w:eastAsia="Times New Roman" w:hint="default"/>
                          <w:sz w:val="20"/>
                          <w:szCs w:val="20"/>
                        </w:rPr>
                      </w:pPr>
                      <w:r>
                        <w:rPr>
                          <w:rFonts w:ascii="Times New Roman"/>
                          <w:spacing w:val="-1"/>
                          <w:sz w:val="20"/>
                        </w:rPr>
                        <w:t>20,929,719.96</w:t>
                      </w:r>
                    </w:p>
                    <w:p>
                      <w:pPr>
                        <w:spacing w:before="120"/>
                        <w:ind w:left="5" w:right="0" w:firstLine="0"/>
                        <w:jc w:val="left"/>
                        <w:rPr>
                          <w:rFonts w:ascii="Times New Roman" w:hAnsi="Times New Roman" w:cs="Times New Roman" w:eastAsia="Times New Roman" w:hint="default"/>
                          <w:sz w:val="20"/>
                          <w:szCs w:val="20"/>
                        </w:rPr>
                      </w:pPr>
                      <w:r>
                        <w:rPr>
                          <w:rFonts w:ascii="Times New Roman"/>
                          <w:spacing w:val="-1"/>
                          <w:sz w:val="20"/>
                        </w:rPr>
                        <w:t>11,631,262.36</w:t>
                      </w:r>
                    </w:p>
                    <w:p>
                      <w:pPr>
                        <w:spacing w:line="226" w:lineRule="exact" w:before="119"/>
                        <w:ind w:left="0" w:right="0" w:firstLine="0"/>
                        <w:jc w:val="left"/>
                        <w:rPr>
                          <w:rFonts w:ascii="Times New Roman" w:hAnsi="Times New Roman" w:cs="Times New Roman" w:eastAsia="Times New Roman" w:hint="default"/>
                          <w:sz w:val="20"/>
                          <w:szCs w:val="20"/>
                        </w:rPr>
                      </w:pPr>
                      <w:r>
                        <w:rPr>
                          <w:rFonts w:ascii="Times New Roman"/>
                          <w:spacing w:val="-1"/>
                          <w:sz w:val="20"/>
                        </w:rPr>
                        <w:t>32,560,982.32</w:t>
                      </w:r>
                    </w:p>
                  </w:txbxContent>
                </v:textbox>
                <w10:wrap type="none"/>
              </v:shape>
            </v:group>
          </v:group>
        </w:pict>
      </w:r>
      <w:r>
        <w:rPr>
          <w:rFonts w:ascii="宋体" w:hAnsi="宋体" w:cs="宋体" w:eastAsia="宋体" w:hint="default"/>
          <w:position w:val="-35"/>
          <w:sz w:val="20"/>
          <w:szCs w:val="20"/>
        </w:rPr>
      </w:r>
    </w:p>
    <w:p>
      <w:pPr>
        <w:spacing w:line="240" w:lineRule="auto" w:before="1"/>
        <w:rPr>
          <w:rFonts w:ascii="宋体" w:hAnsi="宋体" w:cs="宋体" w:eastAsia="宋体" w:hint="default"/>
          <w:sz w:val="24"/>
          <w:szCs w:val="24"/>
        </w:rPr>
      </w:pPr>
    </w:p>
    <w:p>
      <w:pPr>
        <w:spacing w:before="35"/>
        <w:ind w:left="245" w:right="194" w:firstLine="0"/>
        <w:jc w:val="left"/>
        <w:rPr>
          <w:rFonts w:ascii="宋体" w:hAnsi="宋体" w:cs="宋体" w:eastAsia="宋体" w:hint="default"/>
          <w:sz w:val="21"/>
          <w:szCs w:val="21"/>
        </w:rPr>
      </w:pPr>
      <w:r>
        <w:rPr/>
        <w:pict>
          <v:group style="position:absolute;margin-left:119.519997pt;margin-top:17.133842pt;width:389.5pt;height:113.2pt;mso-position-horizontal-relative:page;mso-position-vertical-relative:paragraph;z-index:-776584" coordorigin="2390,343" coordsize="7790,2264">
            <v:group style="position:absolute;left:2410;top:358;width:7746;height:2" coordorigin="2410,358" coordsize="7746,2">
              <v:shape style="position:absolute;left:2410;top:358;width:7746;height:2" coordorigin="2410,358" coordsize="7746,0" path="m2410,358l10156,358e" filled="false" stroked="true" strokeweight="1.5pt" strokecolor="#000000">
                <v:path arrowok="t"/>
              </v:shape>
              <v:shape style="position:absolute;left:4464;top:344;width:4458;height:994" type="#_x0000_t75" stroked="false">
                <v:imagedata r:id="rId185" o:title=""/>
              </v:shape>
              <v:shape style="position:absolute;left:2390;top:1299;width:7789;height:1307" type="#_x0000_t75" stroked="false">
                <v:imagedata r:id="rId186" o:title=""/>
              </v:shape>
              <v:shape style="position:absolute;left:7607;top:4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3274;top:75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72;top:75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6046;top:75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7458;top:916;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 回</w:t>
                      </w:r>
                    </w:p>
                  </w:txbxContent>
                </v:textbox>
                <w10:wrap type="none"/>
              </v:shape>
              <v:shape style="position:absolute;left:8514;top:756;width:1368;height:497" type="#_x0000_t202" filled="false" stroked="false">
                <v:textbox inset="0,0,0,0">
                  <w:txbxContent>
                    <w:p>
                      <w:pPr>
                        <w:tabs>
                          <w:tab w:pos="647" w:val="left" w:leader="none"/>
                        </w:tabs>
                        <w:spacing w:line="18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w:t>
                        <w:tab/>
                        <w:t>年末余额</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销</w:t>
                      </w:r>
                    </w:p>
                  </w:txbxContent>
                </v:textbox>
                <w10:wrap type="none"/>
              </v:shape>
            </v:group>
            <w10:wrap type="none"/>
          </v:group>
        </w:pict>
      </w:r>
      <w:r>
        <w:rPr>
          <w:rFonts w:ascii="宋体" w:hAnsi="宋体" w:cs="宋体" w:eastAsia="宋体" w:hint="default"/>
          <w:b/>
          <w:bCs/>
          <w:sz w:val="21"/>
          <w:szCs w:val="21"/>
        </w:rPr>
        <w:t>(十六)</w:t>
      </w:r>
      <w:r>
        <w:rPr>
          <w:rFonts w:ascii="宋体" w:hAnsi="宋体" w:cs="宋体" w:eastAsia="宋体" w:hint="default"/>
          <w:b/>
          <w:bCs/>
          <w:spacing w:val="27"/>
          <w:sz w:val="21"/>
          <w:szCs w:val="21"/>
        </w:rPr>
        <w:t> </w:t>
      </w:r>
      <w:r>
        <w:rPr>
          <w:rFonts w:ascii="宋体" w:hAnsi="宋体" w:cs="宋体" w:eastAsia="宋体" w:hint="default"/>
          <w:b/>
          <w:bCs/>
          <w:sz w:val="21"/>
          <w:szCs w:val="21"/>
        </w:rPr>
        <w:t>资产减值准备</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5"/>
          <w:szCs w:val="15"/>
        </w:rPr>
      </w:pPr>
    </w:p>
    <w:tbl>
      <w:tblPr>
        <w:tblW w:w="0" w:type="auto"/>
        <w:jc w:val="left"/>
        <w:tblInd w:w="855" w:type="dxa"/>
        <w:tblLayout w:type="fixed"/>
        <w:tblCellMar>
          <w:top w:w="0" w:type="dxa"/>
          <w:left w:w="0" w:type="dxa"/>
          <w:bottom w:w="0" w:type="dxa"/>
          <w:right w:w="0" w:type="dxa"/>
        </w:tblCellMar>
        <w:tblLook w:val="01E0"/>
      </w:tblPr>
      <w:tblGrid>
        <w:gridCol w:w="1897"/>
        <w:gridCol w:w="1535"/>
        <w:gridCol w:w="1276"/>
        <w:gridCol w:w="1304"/>
        <w:gridCol w:w="490"/>
        <w:gridCol w:w="1259"/>
      </w:tblGrid>
      <w:tr>
        <w:trPr>
          <w:trHeight w:val="355" w:hRule="exact"/>
        </w:trPr>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63"/>
              <w:jc w:val="right"/>
              <w:rPr>
                <w:rFonts w:ascii="Times New Roman" w:hAnsi="Times New Roman" w:cs="Times New Roman" w:eastAsia="Times New Roman" w:hint="default"/>
                <w:sz w:val="18"/>
                <w:szCs w:val="18"/>
              </w:rPr>
            </w:pPr>
            <w:r>
              <w:rPr>
                <w:rFonts w:ascii="Times New Roman"/>
                <w:spacing w:val="-1"/>
                <w:sz w:val="18"/>
              </w:rPr>
              <w:t>19,548,214.36</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63"/>
              <w:jc w:val="right"/>
              <w:rPr>
                <w:rFonts w:ascii="Times New Roman" w:hAnsi="Times New Roman" w:cs="Times New Roman" w:eastAsia="Times New Roman" w:hint="default"/>
                <w:sz w:val="18"/>
                <w:szCs w:val="18"/>
              </w:rPr>
            </w:pPr>
            <w:r>
              <w:rPr>
                <w:rFonts w:ascii="Times New Roman"/>
                <w:spacing w:val="-1"/>
                <w:sz w:val="18"/>
              </w:rPr>
              <w:t>3,818,396.65</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91"/>
              <w:jc w:val="right"/>
              <w:rPr>
                <w:rFonts w:ascii="Times New Roman" w:hAnsi="Times New Roman" w:cs="Times New Roman" w:eastAsia="Times New Roman" w:hint="default"/>
                <w:sz w:val="18"/>
                <w:szCs w:val="18"/>
              </w:rPr>
            </w:pPr>
            <w:r>
              <w:rPr>
                <w:rFonts w:ascii="Times New Roman"/>
                <w:spacing w:val="-1"/>
                <w:sz w:val="18"/>
              </w:rPr>
              <w:t>3,088,673.17</w:t>
            </w:r>
          </w:p>
        </w:tc>
        <w:tc>
          <w:tcPr>
            <w:tcW w:w="49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1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20,277,937.84</w:t>
            </w:r>
          </w:p>
        </w:tc>
      </w:tr>
      <w:tr>
        <w:trPr>
          <w:trHeight w:val="322" w:hRule="exact"/>
        </w:trPr>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64"/>
              <w:jc w:val="right"/>
              <w:rPr>
                <w:rFonts w:ascii="Times New Roman" w:hAnsi="Times New Roman" w:cs="Times New Roman" w:eastAsia="Times New Roman" w:hint="default"/>
                <w:sz w:val="18"/>
                <w:szCs w:val="18"/>
              </w:rPr>
            </w:pPr>
            <w:r>
              <w:rPr>
                <w:rFonts w:ascii="Times New Roman"/>
                <w:sz w:val="18"/>
              </w:rPr>
              <w:t>608,971.99</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63"/>
              <w:jc w:val="right"/>
              <w:rPr>
                <w:rFonts w:ascii="Times New Roman" w:hAnsi="Times New Roman" w:cs="Times New Roman" w:eastAsia="Times New Roman" w:hint="default"/>
                <w:sz w:val="18"/>
                <w:szCs w:val="18"/>
              </w:rPr>
            </w:pPr>
            <w:r>
              <w:rPr>
                <w:rFonts w:ascii="Times New Roman"/>
                <w:sz w:val="18"/>
              </w:rPr>
              <w:t>42,810.13</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91"/>
              <w:jc w:val="right"/>
              <w:rPr>
                <w:rFonts w:ascii="Times New Roman" w:hAnsi="Times New Roman" w:cs="Times New Roman" w:eastAsia="Times New Roman" w:hint="default"/>
                <w:sz w:val="18"/>
                <w:szCs w:val="18"/>
              </w:rPr>
            </w:pPr>
            <w:r>
              <w:rPr>
                <w:rFonts w:ascii="Times New Roman"/>
                <w:sz w:val="18"/>
              </w:rPr>
              <w:t>---</w:t>
            </w:r>
          </w:p>
        </w:tc>
        <w:tc>
          <w:tcPr>
            <w:tcW w:w="49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z w:val="18"/>
              </w:rPr>
              <w:t>651,782.12</w:t>
            </w:r>
          </w:p>
        </w:tc>
      </w:tr>
      <w:tr>
        <w:trPr>
          <w:trHeight w:val="322" w:hRule="exact"/>
        </w:trPr>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固定资产减值准备</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64"/>
              <w:jc w:val="right"/>
              <w:rPr>
                <w:rFonts w:ascii="Times New Roman" w:hAnsi="Times New Roman" w:cs="Times New Roman" w:eastAsia="Times New Roman" w:hint="default"/>
                <w:sz w:val="18"/>
                <w:szCs w:val="18"/>
              </w:rPr>
            </w:pPr>
            <w:r>
              <w:rPr>
                <w:rFonts w:ascii="Times New Roman"/>
                <w:sz w:val="18"/>
              </w:rPr>
              <w:t>607,233.49</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64"/>
              <w:jc w:val="right"/>
              <w:rPr>
                <w:rFonts w:ascii="Times New Roman" w:hAnsi="Times New Roman" w:cs="Times New Roman" w:eastAsia="Times New Roman" w:hint="default"/>
                <w:sz w:val="18"/>
                <w:szCs w:val="18"/>
              </w:rPr>
            </w:pPr>
            <w:r>
              <w:rPr>
                <w:rFonts w:ascii="Times New Roman"/>
                <w:sz w:val="18"/>
              </w:rPr>
              <w:t>---</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91"/>
              <w:jc w:val="right"/>
              <w:rPr>
                <w:rFonts w:ascii="Times New Roman" w:hAnsi="Times New Roman" w:cs="Times New Roman" w:eastAsia="Times New Roman" w:hint="default"/>
                <w:sz w:val="18"/>
                <w:szCs w:val="18"/>
              </w:rPr>
            </w:pPr>
            <w:r>
              <w:rPr>
                <w:rFonts w:ascii="Times New Roman"/>
                <w:sz w:val="18"/>
              </w:rPr>
              <w:t>---</w:t>
            </w:r>
          </w:p>
        </w:tc>
        <w:tc>
          <w:tcPr>
            <w:tcW w:w="49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607,233.49</w:t>
            </w:r>
          </w:p>
        </w:tc>
      </w:tr>
      <w:tr>
        <w:trPr>
          <w:trHeight w:val="328" w:hRule="exact"/>
        </w:trPr>
        <w:tc>
          <w:tcPr>
            <w:tcW w:w="1897"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22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35"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62"/>
              <w:jc w:val="right"/>
              <w:rPr>
                <w:rFonts w:ascii="Times New Roman" w:hAnsi="Times New Roman" w:cs="Times New Roman" w:eastAsia="Times New Roman" w:hint="default"/>
                <w:sz w:val="18"/>
                <w:szCs w:val="18"/>
              </w:rPr>
            </w:pPr>
            <w:r>
              <w:rPr>
                <w:rFonts w:ascii="Times New Roman"/>
                <w:spacing w:val="-1"/>
                <w:sz w:val="18"/>
              </w:rPr>
              <w:t>20,764,419.84</w:t>
            </w:r>
          </w:p>
        </w:tc>
        <w:tc>
          <w:tcPr>
            <w:tcW w:w="1276"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63"/>
              <w:jc w:val="right"/>
              <w:rPr>
                <w:rFonts w:ascii="Times New Roman" w:hAnsi="Times New Roman" w:cs="Times New Roman" w:eastAsia="Times New Roman" w:hint="default"/>
                <w:sz w:val="18"/>
                <w:szCs w:val="18"/>
              </w:rPr>
            </w:pPr>
            <w:r>
              <w:rPr>
                <w:rFonts w:ascii="Times New Roman"/>
                <w:spacing w:val="-1"/>
                <w:sz w:val="18"/>
              </w:rPr>
              <w:t>3,861,206.78</w:t>
            </w:r>
          </w:p>
        </w:tc>
        <w:tc>
          <w:tcPr>
            <w:tcW w:w="1304"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91"/>
              <w:jc w:val="right"/>
              <w:rPr>
                <w:rFonts w:ascii="Times New Roman" w:hAnsi="Times New Roman" w:cs="Times New Roman" w:eastAsia="Times New Roman" w:hint="default"/>
                <w:sz w:val="18"/>
                <w:szCs w:val="18"/>
              </w:rPr>
            </w:pPr>
            <w:r>
              <w:rPr>
                <w:rFonts w:ascii="Times New Roman"/>
                <w:spacing w:val="-1"/>
                <w:sz w:val="18"/>
              </w:rPr>
              <w:t>3,088,673.17</w:t>
            </w:r>
          </w:p>
        </w:tc>
        <w:tc>
          <w:tcPr>
            <w:tcW w:w="490"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1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259"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21,536,953.45</w:t>
            </w:r>
          </w:p>
        </w:tc>
      </w:tr>
    </w:tbl>
    <w:p>
      <w:pPr>
        <w:spacing w:line="240" w:lineRule="auto" w:before="9"/>
        <w:rPr>
          <w:rFonts w:ascii="宋体" w:hAnsi="宋体" w:cs="宋体" w:eastAsia="宋体" w:hint="default"/>
          <w:b/>
          <w:bCs/>
          <w:sz w:val="18"/>
          <w:szCs w:val="18"/>
        </w:rPr>
      </w:pPr>
    </w:p>
    <w:p>
      <w:pPr>
        <w:spacing w:before="35"/>
        <w:ind w:left="245" w:right="19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十七</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短期借款</w:t>
      </w:r>
      <w:r>
        <w:rPr>
          <w:rFonts w:ascii="宋体" w:hAnsi="宋体" w:cs="宋体" w:eastAsia="宋体" w:hint="default"/>
          <w:sz w:val="21"/>
          <w:szCs w:val="21"/>
        </w:rPr>
      </w:r>
    </w:p>
    <w:p>
      <w:pPr>
        <w:spacing w:line="240" w:lineRule="auto" w:before="8"/>
        <w:rPr>
          <w:rFonts w:ascii="宋体" w:hAnsi="宋体" w:cs="宋体" w:eastAsia="宋体" w:hint="default"/>
          <w:b/>
          <w:bCs/>
          <w:sz w:val="5"/>
          <w:szCs w:val="5"/>
        </w:rPr>
      </w:pPr>
    </w:p>
    <w:tbl>
      <w:tblPr>
        <w:tblW w:w="0" w:type="auto"/>
        <w:jc w:val="left"/>
        <w:tblInd w:w="830" w:type="dxa"/>
        <w:tblLayout w:type="fixed"/>
        <w:tblCellMar>
          <w:top w:w="0" w:type="dxa"/>
          <w:left w:w="0" w:type="dxa"/>
          <w:bottom w:w="0" w:type="dxa"/>
          <w:right w:w="0" w:type="dxa"/>
        </w:tblCellMar>
        <w:tblLook w:val="01E0"/>
      </w:tblPr>
      <w:tblGrid>
        <w:gridCol w:w="3060"/>
        <w:gridCol w:w="2865"/>
        <w:gridCol w:w="1829"/>
      </w:tblGrid>
      <w:tr>
        <w:trPr>
          <w:trHeight w:val="358" w:hRule="exact"/>
        </w:trPr>
        <w:tc>
          <w:tcPr>
            <w:tcW w:w="3060" w:type="dxa"/>
            <w:tcBorders>
              <w:top w:val="nil" w:sz="6" w:space="0" w:color="auto"/>
              <w:left w:val="nil" w:sz="6" w:space="0" w:color="auto"/>
              <w:bottom w:val="single" w:sz="12" w:space="0" w:color="000000"/>
              <w:right w:val="nil" w:sz="6" w:space="0" w:color="auto"/>
            </w:tcBorders>
          </w:tcPr>
          <w:p>
            <w:pPr>
              <w:pStyle w:val="TableParagraph"/>
              <w:tabs>
                <w:tab w:pos="584" w:val="left" w:leader="none"/>
              </w:tabs>
              <w:spacing w:line="240" w:lineRule="auto" w:before="35"/>
              <w:ind w:left="45"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短期借款分类</w:t>
            </w:r>
            <w:r>
              <w:rPr>
                <w:rFonts w:ascii="宋体" w:hAnsi="宋体" w:cs="宋体" w:eastAsia="宋体" w:hint="default"/>
                <w:sz w:val="21"/>
                <w:szCs w:val="21"/>
              </w:rPr>
            </w:r>
          </w:p>
        </w:tc>
        <w:tc>
          <w:tcPr>
            <w:tcW w:w="4694" w:type="dxa"/>
            <w:gridSpan w:val="2"/>
            <w:tcBorders>
              <w:top w:val="nil" w:sz="6" w:space="0" w:color="auto"/>
              <w:left w:val="nil" w:sz="6" w:space="0" w:color="auto"/>
              <w:bottom w:val="single" w:sz="12" w:space="0" w:color="000000"/>
              <w:right w:val="nil" w:sz="6" w:space="0" w:color="auto"/>
            </w:tcBorders>
          </w:tcPr>
          <w:p>
            <w:pPr/>
          </w:p>
        </w:tc>
      </w:tr>
      <w:tr>
        <w:trPr>
          <w:trHeight w:val="332" w:hRule="exact"/>
        </w:trPr>
        <w:tc>
          <w:tcPr>
            <w:tcW w:w="3060"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1134"/>
              <w:jc w:val="right"/>
              <w:rPr>
                <w:rFonts w:ascii="宋体" w:hAnsi="宋体" w:cs="宋体" w:eastAsia="宋体" w:hint="default"/>
                <w:sz w:val="18"/>
                <w:szCs w:val="18"/>
              </w:rPr>
            </w:pPr>
            <w:r>
              <w:rPr>
                <w:rFonts w:ascii="宋体" w:hAnsi="宋体" w:cs="宋体" w:eastAsia="宋体" w:hint="default"/>
                <w:sz w:val="18"/>
                <w:szCs w:val="18"/>
              </w:rPr>
              <w:t>项目</w:t>
            </w:r>
          </w:p>
        </w:tc>
        <w:tc>
          <w:tcPr>
            <w:tcW w:w="2865"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27"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1829"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405"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25" w:hRule="exact"/>
        </w:trPr>
        <w:tc>
          <w:tcPr>
            <w:tcW w:w="306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286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03"/>
              <w:jc w:val="right"/>
              <w:rPr>
                <w:rFonts w:ascii="Times New Roman" w:hAnsi="Times New Roman" w:cs="Times New Roman" w:eastAsia="Times New Roman" w:hint="default"/>
                <w:sz w:val="18"/>
                <w:szCs w:val="18"/>
              </w:rPr>
            </w:pPr>
            <w:r>
              <w:rPr>
                <w:rFonts w:ascii="Times New Roman"/>
                <w:spacing w:val="-1"/>
                <w:sz w:val="18"/>
              </w:rPr>
              <w:t>60,000,000.00</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150,000,000.00</w:t>
            </w:r>
          </w:p>
        </w:tc>
      </w:tr>
      <w:tr>
        <w:trPr>
          <w:trHeight w:val="322" w:hRule="exact"/>
        </w:trPr>
        <w:tc>
          <w:tcPr>
            <w:tcW w:w="306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286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0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50,000,000.00</w:t>
            </w:r>
          </w:p>
        </w:tc>
      </w:tr>
      <w:tr>
        <w:trPr>
          <w:trHeight w:val="329" w:hRule="exact"/>
        </w:trPr>
        <w:tc>
          <w:tcPr>
            <w:tcW w:w="3060"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1134"/>
              <w:jc w:val="right"/>
              <w:rPr>
                <w:rFonts w:ascii="宋体" w:hAnsi="宋体" w:cs="宋体" w:eastAsia="宋体" w:hint="default"/>
                <w:sz w:val="18"/>
                <w:szCs w:val="18"/>
              </w:rPr>
            </w:pPr>
            <w:r>
              <w:rPr>
                <w:rFonts w:ascii="宋体" w:hAnsi="宋体" w:cs="宋体" w:eastAsia="宋体" w:hint="default"/>
                <w:sz w:val="18"/>
                <w:szCs w:val="18"/>
              </w:rPr>
              <w:t>合计</w:t>
            </w:r>
          </w:p>
        </w:tc>
        <w:tc>
          <w:tcPr>
            <w:tcW w:w="2865"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403"/>
              <w:jc w:val="right"/>
              <w:rPr>
                <w:rFonts w:ascii="Times New Roman" w:hAnsi="Times New Roman" w:cs="Times New Roman" w:eastAsia="Times New Roman" w:hint="default"/>
                <w:sz w:val="18"/>
                <w:szCs w:val="18"/>
              </w:rPr>
            </w:pPr>
            <w:r>
              <w:rPr>
                <w:rFonts w:ascii="Times New Roman"/>
                <w:spacing w:val="-1"/>
                <w:sz w:val="18"/>
              </w:rPr>
              <w:t>60,000,000.00</w:t>
            </w:r>
          </w:p>
        </w:tc>
        <w:tc>
          <w:tcPr>
            <w:tcW w:w="1829"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200,000,000.00</w:t>
            </w:r>
          </w:p>
        </w:tc>
      </w:tr>
    </w:tbl>
    <w:p>
      <w:pPr>
        <w:spacing w:before="78"/>
        <w:ind w:left="875" w:right="194" w:firstLine="0"/>
        <w:jc w:val="left"/>
        <w:rPr>
          <w:rFonts w:ascii="宋体" w:hAnsi="宋体" w:cs="宋体" w:eastAsia="宋体" w:hint="default"/>
          <w:sz w:val="21"/>
          <w:szCs w:val="21"/>
        </w:rPr>
      </w:pPr>
      <w:r>
        <w:rPr/>
        <w:pict>
          <v:group style="position:absolute;margin-left:117.059998pt;margin-top:-67.596016pt;width:391.05pt;height:65.3500pt;mso-position-horizontal-relative:page;mso-position-vertical-relative:paragraph;z-index:-776560" coordorigin="2341,-1352" coordsize="7821,1307">
            <v:shape style="position:absolute;left:5824;top:-1352;width:2207;height:370" type="#_x0000_t75" stroked="false">
              <v:imagedata r:id="rId187" o:title=""/>
            </v:shape>
            <v:shape style="position:absolute;left:2341;top:-1040;width:7820;height:995" type="#_x0000_t75" stroked="false">
              <v:imagedata r:id="rId188"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、年末无已到期未偿还的借款。</w:t>
      </w:r>
      <w:r>
        <w:rPr>
          <w:rFonts w:ascii="宋体" w:hAnsi="宋体" w:cs="宋体" w:eastAsia="宋体" w:hint="default"/>
          <w:sz w:val="21"/>
          <w:szCs w:val="21"/>
        </w:rPr>
      </w:r>
    </w:p>
    <w:p>
      <w:pPr>
        <w:spacing w:line="240" w:lineRule="auto" w:before="2"/>
        <w:rPr>
          <w:rFonts w:ascii="宋体" w:hAnsi="宋体" w:cs="宋体" w:eastAsia="宋体" w:hint="default"/>
          <w:b/>
          <w:bCs/>
          <w:sz w:val="29"/>
          <w:szCs w:val="29"/>
        </w:rPr>
      </w:pPr>
    </w:p>
    <w:p>
      <w:pPr>
        <w:spacing w:before="0"/>
        <w:ind w:left="245" w:right="19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十八</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应付账款</w:t>
      </w:r>
      <w:r>
        <w:rPr>
          <w:rFonts w:ascii="宋体" w:hAnsi="宋体" w:cs="宋体" w:eastAsia="宋体" w:hint="default"/>
          <w:sz w:val="21"/>
          <w:szCs w:val="21"/>
        </w:rPr>
      </w:r>
    </w:p>
    <w:p>
      <w:pPr>
        <w:tabs>
          <w:tab w:pos="1414" w:val="left" w:leader="none"/>
        </w:tabs>
        <w:spacing w:before="109"/>
        <w:ind w:left="875" w:right="194" w:firstLine="0"/>
        <w:jc w:val="left"/>
        <w:rPr>
          <w:rFonts w:ascii="宋体" w:hAnsi="宋体" w:cs="宋体" w:eastAsia="宋体" w:hint="default"/>
          <w:sz w:val="21"/>
          <w:szCs w:val="21"/>
        </w:rPr>
      </w:pPr>
      <w:r>
        <w:rPr/>
        <w:pict>
          <v:group style="position:absolute;margin-left:117.540001pt;margin-top:20.893509pt;width:389.8pt;height:97.5pt;mso-position-horizontal-relative:page;mso-position-vertical-relative:paragraph;z-index:-776536" coordorigin="2351,418" coordsize="7796,1950">
            <v:shape style="position:absolute;left:5412;top:418;width:2478;height:370" type="#_x0000_t75" stroked="false">
              <v:imagedata r:id="rId189" o:title=""/>
            </v:shape>
            <v:shape style="position:absolute;left:2351;top:739;width:7795;height:1628" type="#_x0000_t75" stroked="false">
              <v:imagedata r:id="rId190" o:title=""/>
            </v:shape>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应付账款明细如下</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tbl>
      <w:tblPr>
        <w:tblW w:w="0" w:type="auto"/>
        <w:jc w:val="left"/>
        <w:tblInd w:w="830" w:type="dxa"/>
        <w:tblLayout w:type="fixed"/>
        <w:tblCellMar>
          <w:top w:w="0" w:type="dxa"/>
          <w:left w:w="0" w:type="dxa"/>
          <w:bottom w:w="0" w:type="dxa"/>
          <w:right w:w="0" w:type="dxa"/>
        </w:tblCellMar>
        <w:tblLook w:val="01E0"/>
      </w:tblPr>
      <w:tblGrid>
        <w:gridCol w:w="2891"/>
        <w:gridCol w:w="2929"/>
        <w:gridCol w:w="1935"/>
      </w:tblGrid>
      <w:tr>
        <w:trPr>
          <w:trHeight w:val="658" w:hRule="exact"/>
        </w:trPr>
        <w:tc>
          <w:tcPr>
            <w:tcW w:w="2891"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83" w:right="0"/>
              <w:jc w:val="center"/>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86"/>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929"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147"/>
              <w:jc w:val="center"/>
              <w:rPr>
                <w:rFonts w:ascii="宋体" w:hAnsi="宋体" w:cs="宋体" w:eastAsia="宋体" w:hint="default"/>
                <w:sz w:val="18"/>
                <w:szCs w:val="18"/>
              </w:rPr>
            </w:pPr>
            <w:r>
              <w:rPr>
                <w:rFonts w:ascii="宋体" w:hAnsi="宋体" w:cs="宋体" w:eastAsia="宋体" w:hint="default"/>
                <w:sz w:val="18"/>
                <w:szCs w:val="18"/>
              </w:rPr>
              <w:t>年末余额</w:t>
            </w:r>
          </w:p>
          <w:p>
            <w:pPr>
              <w:pStyle w:val="TableParagraph"/>
              <w:spacing w:line="240" w:lineRule="auto" w:before="126"/>
              <w:ind w:left="1451" w:right="0"/>
              <w:jc w:val="left"/>
              <w:rPr>
                <w:rFonts w:ascii="Times New Roman" w:hAnsi="Times New Roman" w:cs="Times New Roman" w:eastAsia="Times New Roman" w:hint="default"/>
                <w:sz w:val="18"/>
                <w:szCs w:val="18"/>
              </w:rPr>
            </w:pPr>
            <w:r>
              <w:rPr>
                <w:rFonts w:ascii="Times New Roman"/>
                <w:sz w:val="18"/>
              </w:rPr>
              <w:t>58,500,409.62</w:t>
            </w:r>
          </w:p>
        </w:tc>
        <w:tc>
          <w:tcPr>
            <w:tcW w:w="1935"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440"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126"/>
              <w:ind w:left="792" w:right="0"/>
              <w:jc w:val="left"/>
              <w:rPr>
                <w:rFonts w:ascii="Times New Roman" w:hAnsi="Times New Roman" w:cs="Times New Roman" w:eastAsia="Times New Roman" w:hint="default"/>
                <w:sz w:val="18"/>
                <w:szCs w:val="18"/>
              </w:rPr>
            </w:pPr>
            <w:r>
              <w:rPr>
                <w:rFonts w:ascii="Times New Roman"/>
                <w:sz w:val="18"/>
              </w:rPr>
              <w:t>38,807,844.96</w:t>
            </w:r>
          </w:p>
        </w:tc>
      </w:tr>
      <w:tr>
        <w:trPr>
          <w:trHeight w:val="322" w:hRule="exact"/>
        </w:trPr>
        <w:tc>
          <w:tcPr>
            <w:tcW w:w="289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40"/>
              <w:jc w:val="right"/>
              <w:rPr>
                <w:rFonts w:ascii="Times New Roman" w:hAnsi="Times New Roman" w:cs="Times New Roman" w:eastAsia="Times New Roman" w:hint="default"/>
                <w:sz w:val="18"/>
                <w:szCs w:val="18"/>
              </w:rPr>
            </w:pPr>
            <w:r>
              <w:rPr>
                <w:rFonts w:ascii="Times New Roman"/>
                <w:spacing w:val="-1"/>
                <w:sz w:val="18"/>
              </w:rPr>
              <w:t>2,728,749.34</w:t>
            </w:r>
          </w:p>
        </w:tc>
        <w:tc>
          <w:tcPr>
            <w:tcW w:w="193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1,781,619.57</w:t>
            </w:r>
          </w:p>
        </w:tc>
      </w:tr>
      <w:tr>
        <w:trPr>
          <w:trHeight w:val="322" w:hRule="exact"/>
        </w:trPr>
        <w:tc>
          <w:tcPr>
            <w:tcW w:w="289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40"/>
              <w:jc w:val="right"/>
              <w:rPr>
                <w:rFonts w:ascii="Times New Roman" w:hAnsi="Times New Roman" w:cs="Times New Roman" w:eastAsia="Times New Roman" w:hint="default"/>
                <w:sz w:val="18"/>
                <w:szCs w:val="18"/>
              </w:rPr>
            </w:pPr>
            <w:r>
              <w:rPr>
                <w:rFonts w:ascii="Times New Roman"/>
                <w:spacing w:val="-1"/>
                <w:sz w:val="18"/>
              </w:rPr>
              <w:t>1,185,670.46</w:t>
            </w:r>
          </w:p>
        </w:tc>
        <w:tc>
          <w:tcPr>
            <w:tcW w:w="193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z w:val="18"/>
              </w:rPr>
              <w:t>92,022.25</w:t>
            </w:r>
          </w:p>
        </w:tc>
      </w:tr>
      <w:tr>
        <w:trPr>
          <w:trHeight w:val="322" w:hRule="exact"/>
        </w:trPr>
        <w:tc>
          <w:tcPr>
            <w:tcW w:w="289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39"/>
              <w:jc w:val="right"/>
              <w:rPr>
                <w:rFonts w:ascii="Times New Roman" w:hAnsi="Times New Roman" w:cs="Times New Roman" w:eastAsia="Times New Roman" w:hint="default"/>
                <w:sz w:val="18"/>
                <w:szCs w:val="18"/>
              </w:rPr>
            </w:pPr>
            <w:r>
              <w:rPr>
                <w:rFonts w:ascii="Times New Roman"/>
                <w:sz w:val="18"/>
              </w:rPr>
              <w:t>46,452.58</w:t>
            </w:r>
          </w:p>
        </w:tc>
        <w:tc>
          <w:tcPr>
            <w:tcW w:w="1935" w:type="dxa"/>
            <w:tcBorders>
              <w:top w:val="nil" w:sz="6" w:space="0" w:color="auto"/>
              <w:left w:val="nil" w:sz="6" w:space="0" w:color="auto"/>
              <w:bottom w:val="nil" w:sz="6" w:space="0" w:color="auto"/>
              <w:right w:val="nil" w:sz="6" w:space="0" w:color="auto"/>
            </w:tcBorders>
          </w:tcPr>
          <w:p>
            <w:pPr/>
          </w:p>
        </w:tc>
      </w:tr>
      <w:tr>
        <w:trPr>
          <w:trHeight w:val="327" w:hRule="exact"/>
        </w:trPr>
        <w:tc>
          <w:tcPr>
            <w:tcW w:w="289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8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929"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439"/>
              <w:jc w:val="right"/>
              <w:rPr>
                <w:rFonts w:ascii="Times New Roman" w:hAnsi="Times New Roman" w:cs="Times New Roman" w:eastAsia="Times New Roman" w:hint="default"/>
                <w:sz w:val="18"/>
                <w:szCs w:val="18"/>
              </w:rPr>
            </w:pPr>
            <w:r>
              <w:rPr>
                <w:rFonts w:ascii="Times New Roman"/>
                <w:spacing w:val="-1"/>
                <w:sz w:val="18"/>
              </w:rPr>
              <w:t>62,461,282.00</w:t>
            </w:r>
          </w:p>
        </w:tc>
        <w:tc>
          <w:tcPr>
            <w:tcW w:w="1935"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40,681,486.78</w:t>
            </w:r>
          </w:p>
        </w:tc>
      </w:tr>
    </w:tbl>
    <w:p>
      <w:pPr>
        <w:tabs>
          <w:tab w:pos="1414" w:val="left" w:leader="none"/>
        </w:tabs>
        <w:spacing w:before="78"/>
        <w:ind w:left="875" w:right="19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年末数中无欠持本公司</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％）表决权股份的股东单位款项。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414" w:val="left" w:leader="none"/>
        </w:tabs>
        <w:spacing w:before="0"/>
        <w:ind w:left="875" w:right="19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年末数中无欠关联方款项。</w:t>
      </w:r>
      <w:r>
        <w:rPr>
          <w:rFonts w:ascii="宋体" w:hAnsi="宋体" w:cs="宋体" w:eastAsia="宋体" w:hint="default"/>
          <w:sz w:val="21"/>
          <w:szCs w:val="21"/>
        </w:rPr>
      </w:r>
    </w:p>
    <w:p>
      <w:pPr>
        <w:tabs>
          <w:tab w:pos="1413" w:val="left" w:leader="none"/>
        </w:tabs>
        <w:spacing w:before="109"/>
        <w:ind w:left="875" w:right="194"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年末数中无账龄超过一年的大额应付账款。</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1270" w:top="1360" w:bottom="1460" w:left="1540" w:right="160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0"/>
          <w:szCs w:val="20"/>
        </w:rPr>
      </w:pPr>
    </w:p>
    <w:p>
      <w:pPr>
        <w:spacing w:before="35"/>
        <w:ind w:left="245" w:right="194" w:firstLine="0"/>
        <w:jc w:val="left"/>
        <w:rPr>
          <w:rFonts w:ascii="宋体" w:hAnsi="宋体" w:cs="宋体" w:eastAsia="宋体" w:hint="default"/>
          <w:sz w:val="21"/>
          <w:szCs w:val="21"/>
        </w:rPr>
      </w:pPr>
      <w:r>
        <w:rPr/>
        <w:pict>
          <v:group style="position:absolute;margin-left:117.059998pt;margin-top:37.173649pt;width:392.95pt;height:97.6pt;mso-position-horizontal-relative:page;mso-position-vertical-relative:paragraph;z-index:-776512" coordorigin="2341,743" coordsize="7859,1952">
            <v:shape style="position:absolute;left:5695;top:743;width:2335;height:370" type="#_x0000_t75" stroked="false">
              <v:imagedata r:id="rId191" o:title=""/>
            </v:shape>
            <v:shape style="position:absolute;left:2341;top:1055;width:7859;height:1639" type="#_x0000_t75" stroked="false">
              <v:imagedata r:id="rId192"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十九</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预收款项</w:t>
      </w:r>
      <w:r>
        <w:rPr>
          <w:rFonts w:ascii="宋体" w:hAnsi="宋体" w:cs="宋体" w:eastAsia="宋体" w:hint="default"/>
          <w:sz w:val="21"/>
          <w:szCs w:val="21"/>
        </w:rPr>
      </w:r>
    </w:p>
    <w:p>
      <w:pPr>
        <w:spacing w:line="240" w:lineRule="auto" w:before="9"/>
        <w:rPr>
          <w:rFonts w:ascii="宋体" w:hAnsi="宋体" w:cs="宋体" w:eastAsia="宋体" w:hint="default"/>
          <w:b/>
          <w:bCs/>
          <w:sz w:val="5"/>
          <w:szCs w:val="5"/>
        </w:rPr>
      </w:pPr>
    </w:p>
    <w:tbl>
      <w:tblPr>
        <w:tblW w:w="0" w:type="auto"/>
        <w:jc w:val="left"/>
        <w:tblInd w:w="830" w:type="dxa"/>
        <w:tblLayout w:type="fixed"/>
        <w:tblCellMar>
          <w:top w:w="0" w:type="dxa"/>
          <w:left w:w="0" w:type="dxa"/>
          <w:bottom w:w="0" w:type="dxa"/>
          <w:right w:w="0" w:type="dxa"/>
        </w:tblCellMar>
        <w:tblLook w:val="01E0"/>
      </w:tblPr>
      <w:tblGrid>
        <w:gridCol w:w="2997"/>
        <w:gridCol w:w="2938"/>
        <w:gridCol w:w="1859"/>
      </w:tblGrid>
      <w:tr>
        <w:trPr>
          <w:trHeight w:val="357" w:hRule="exact"/>
        </w:trPr>
        <w:tc>
          <w:tcPr>
            <w:tcW w:w="2997" w:type="dxa"/>
            <w:tcBorders>
              <w:top w:val="nil" w:sz="6" w:space="0" w:color="auto"/>
              <w:left w:val="nil" w:sz="6" w:space="0" w:color="auto"/>
              <w:bottom w:val="single" w:sz="12" w:space="0" w:color="000000"/>
              <w:right w:val="nil" w:sz="6" w:space="0" w:color="auto"/>
            </w:tcBorders>
          </w:tcPr>
          <w:p>
            <w:pPr>
              <w:pStyle w:val="TableParagraph"/>
              <w:tabs>
                <w:tab w:pos="584" w:val="left" w:leader="none"/>
              </w:tabs>
              <w:spacing w:line="240" w:lineRule="auto" w:before="35"/>
              <w:ind w:left="45"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预收款项情况</w:t>
            </w:r>
            <w:r>
              <w:rPr>
                <w:rFonts w:ascii="宋体" w:hAnsi="宋体" w:cs="宋体" w:eastAsia="宋体" w:hint="default"/>
                <w:sz w:val="21"/>
                <w:szCs w:val="21"/>
              </w:rPr>
            </w:r>
          </w:p>
        </w:tc>
        <w:tc>
          <w:tcPr>
            <w:tcW w:w="4797" w:type="dxa"/>
            <w:gridSpan w:val="2"/>
            <w:tcBorders>
              <w:top w:val="nil" w:sz="6" w:space="0" w:color="auto"/>
              <w:left w:val="nil" w:sz="6" w:space="0" w:color="auto"/>
              <w:bottom w:val="single" w:sz="12" w:space="0" w:color="000000"/>
              <w:right w:val="nil" w:sz="6" w:space="0" w:color="auto"/>
            </w:tcBorders>
          </w:tcPr>
          <w:p>
            <w:pPr/>
          </w:p>
        </w:tc>
      </w:tr>
      <w:tr>
        <w:trPr>
          <w:trHeight w:val="332" w:hRule="exact"/>
        </w:trPr>
        <w:tc>
          <w:tcPr>
            <w:tcW w:w="299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1136"/>
              <w:jc w:val="right"/>
              <w:rPr>
                <w:rFonts w:ascii="宋体" w:hAnsi="宋体" w:cs="宋体" w:eastAsia="宋体" w:hint="default"/>
                <w:sz w:val="18"/>
                <w:szCs w:val="18"/>
              </w:rPr>
            </w:pPr>
            <w:r>
              <w:rPr>
                <w:rFonts w:ascii="宋体" w:hAnsi="宋体" w:cs="宋体" w:eastAsia="宋体" w:hint="default"/>
                <w:sz w:val="18"/>
                <w:szCs w:val="18"/>
              </w:rPr>
              <w:t>项目</w:t>
            </w:r>
          </w:p>
        </w:tc>
        <w:tc>
          <w:tcPr>
            <w:tcW w:w="2938"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53"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1859"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415"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27" w:hRule="exact"/>
        </w:trPr>
        <w:tc>
          <w:tcPr>
            <w:tcW w:w="299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13"/>
              <w:jc w:val="right"/>
              <w:rPr>
                <w:rFonts w:ascii="Times New Roman" w:hAnsi="Times New Roman" w:cs="Times New Roman" w:eastAsia="Times New Roman" w:hint="default"/>
                <w:sz w:val="18"/>
                <w:szCs w:val="18"/>
              </w:rPr>
            </w:pPr>
            <w:r>
              <w:rPr>
                <w:rFonts w:ascii="Times New Roman"/>
                <w:spacing w:val="-1"/>
                <w:sz w:val="18"/>
              </w:rPr>
              <w:t>5,958,427.17</w:t>
            </w:r>
          </w:p>
        </w:tc>
        <w:tc>
          <w:tcPr>
            <w:tcW w:w="185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1,999,700.00</w:t>
            </w:r>
          </w:p>
        </w:tc>
      </w:tr>
      <w:tr>
        <w:trPr>
          <w:trHeight w:val="322" w:hRule="exact"/>
        </w:trPr>
        <w:tc>
          <w:tcPr>
            <w:tcW w:w="299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13"/>
              <w:jc w:val="right"/>
              <w:rPr>
                <w:rFonts w:ascii="Times New Roman" w:hAnsi="Times New Roman" w:cs="Times New Roman" w:eastAsia="Times New Roman" w:hint="default"/>
                <w:sz w:val="18"/>
                <w:szCs w:val="18"/>
              </w:rPr>
            </w:pPr>
            <w:r>
              <w:rPr>
                <w:rFonts w:ascii="Times New Roman"/>
                <w:spacing w:val="-1"/>
                <w:sz w:val="18"/>
              </w:rPr>
              <w:t>176,911.40</w:t>
            </w:r>
          </w:p>
        </w:tc>
        <w:tc>
          <w:tcPr>
            <w:tcW w:w="185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z w:val="18"/>
              </w:rPr>
              <w:t>327,790.00</w:t>
            </w:r>
          </w:p>
        </w:tc>
      </w:tr>
      <w:tr>
        <w:trPr>
          <w:trHeight w:val="322" w:hRule="exact"/>
        </w:trPr>
        <w:tc>
          <w:tcPr>
            <w:tcW w:w="299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13"/>
              <w:jc w:val="right"/>
              <w:rPr>
                <w:rFonts w:ascii="Times New Roman" w:hAnsi="Times New Roman" w:cs="Times New Roman" w:eastAsia="Times New Roman" w:hint="default"/>
                <w:sz w:val="18"/>
                <w:szCs w:val="18"/>
              </w:rPr>
            </w:pPr>
            <w:r>
              <w:rPr>
                <w:rFonts w:ascii="Times New Roman"/>
                <w:sz w:val="18"/>
              </w:rPr>
              <w:t>152,400.00</w:t>
            </w:r>
          </w:p>
        </w:tc>
        <w:tc>
          <w:tcPr>
            <w:tcW w:w="185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z w:val="18"/>
              </w:rPr>
              <w:t>156,249.60</w:t>
            </w:r>
          </w:p>
        </w:tc>
      </w:tr>
      <w:tr>
        <w:trPr>
          <w:trHeight w:val="322" w:hRule="exact"/>
        </w:trPr>
        <w:tc>
          <w:tcPr>
            <w:tcW w:w="299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13"/>
              <w:jc w:val="right"/>
              <w:rPr>
                <w:rFonts w:ascii="Times New Roman" w:hAnsi="Times New Roman" w:cs="Times New Roman" w:eastAsia="Times New Roman" w:hint="default"/>
                <w:sz w:val="18"/>
                <w:szCs w:val="18"/>
              </w:rPr>
            </w:pPr>
            <w:r>
              <w:rPr>
                <w:rFonts w:ascii="Times New Roman"/>
                <w:sz w:val="18"/>
              </w:rPr>
              <w:t>39,500.00</w:t>
            </w:r>
          </w:p>
        </w:tc>
        <w:tc>
          <w:tcPr>
            <w:tcW w:w="185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20,676.48</w:t>
            </w:r>
          </w:p>
        </w:tc>
      </w:tr>
      <w:tr>
        <w:trPr>
          <w:trHeight w:val="327" w:hRule="exact"/>
        </w:trPr>
        <w:tc>
          <w:tcPr>
            <w:tcW w:w="2997"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1136"/>
              <w:jc w:val="right"/>
              <w:rPr>
                <w:rFonts w:ascii="宋体" w:hAnsi="宋体" w:cs="宋体" w:eastAsia="宋体" w:hint="default"/>
                <w:sz w:val="18"/>
                <w:szCs w:val="18"/>
              </w:rPr>
            </w:pPr>
            <w:r>
              <w:rPr>
                <w:rFonts w:ascii="宋体" w:hAnsi="宋体" w:cs="宋体" w:eastAsia="宋体" w:hint="default"/>
                <w:sz w:val="18"/>
                <w:szCs w:val="18"/>
              </w:rPr>
              <w:t>合计</w:t>
            </w:r>
          </w:p>
        </w:tc>
        <w:tc>
          <w:tcPr>
            <w:tcW w:w="2938"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413"/>
              <w:jc w:val="right"/>
              <w:rPr>
                <w:rFonts w:ascii="Times New Roman" w:hAnsi="Times New Roman" w:cs="Times New Roman" w:eastAsia="Times New Roman" w:hint="default"/>
                <w:sz w:val="18"/>
                <w:szCs w:val="18"/>
              </w:rPr>
            </w:pPr>
            <w:r>
              <w:rPr>
                <w:rFonts w:ascii="Times New Roman"/>
                <w:spacing w:val="-1"/>
                <w:sz w:val="18"/>
              </w:rPr>
              <w:t>6,327,238.57</w:t>
            </w:r>
          </w:p>
        </w:tc>
        <w:tc>
          <w:tcPr>
            <w:tcW w:w="1859"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2,504,416.08</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414" w:val="left" w:leader="none"/>
        </w:tabs>
        <w:spacing w:before="35"/>
        <w:ind w:left="875" w:right="19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年末数中无预收持本公司</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％）表决权股份的股东单位款项。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414" w:val="left" w:leader="none"/>
        </w:tabs>
        <w:spacing w:before="0"/>
        <w:ind w:left="875" w:right="19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年末数中无预收关联方款项。</w:t>
      </w:r>
      <w:r>
        <w:rPr>
          <w:rFonts w:ascii="宋体" w:hAnsi="宋体" w:cs="宋体" w:eastAsia="宋体" w:hint="default"/>
          <w:sz w:val="21"/>
          <w:szCs w:val="21"/>
        </w:rPr>
      </w:r>
    </w:p>
    <w:p>
      <w:pPr>
        <w:tabs>
          <w:tab w:pos="1413" w:val="left" w:leader="none"/>
        </w:tabs>
        <w:spacing w:before="109"/>
        <w:ind w:left="875" w:right="194"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年末数中无账龄超过一年的大额预收账款。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7"/>
          <w:szCs w:val="17"/>
        </w:rPr>
      </w:pPr>
    </w:p>
    <w:tbl>
      <w:tblPr>
        <w:tblW w:w="0" w:type="auto"/>
        <w:jc w:val="left"/>
        <w:tblInd w:w="210" w:type="dxa"/>
        <w:tblLayout w:type="fixed"/>
        <w:tblCellMar>
          <w:top w:w="0" w:type="dxa"/>
          <w:left w:w="0" w:type="dxa"/>
          <w:bottom w:w="0" w:type="dxa"/>
          <w:right w:w="0" w:type="dxa"/>
        </w:tblCellMar>
        <w:tblLook w:val="01E0"/>
      </w:tblPr>
      <w:tblGrid>
        <w:gridCol w:w="3294"/>
        <w:gridCol w:w="1267"/>
        <w:gridCol w:w="1304"/>
        <w:gridCol w:w="1333"/>
        <w:gridCol w:w="1216"/>
      </w:tblGrid>
      <w:tr>
        <w:trPr>
          <w:trHeight w:val="357" w:hRule="exact"/>
        </w:trPr>
        <w:tc>
          <w:tcPr>
            <w:tcW w:w="3294"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(二十)</w:t>
            </w:r>
            <w:r>
              <w:rPr>
                <w:rFonts w:ascii="宋体" w:hAnsi="宋体" w:cs="宋体" w:eastAsia="宋体" w:hint="default"/>
                <w:b/>
                <w:bCs/>
                <w:spacing w:val="27"/>
                <w:sz w:val="21"/>
                <w:szCs w:val="21"/>
              </w:rPr>
              <w:t> </w:t>
            </w:r>
            <w:r>
              <w:rPr>
                <w:rFonts w:ascii="宋体" w:hAnsi="宋体" w:cs="宋体" w:eastAsia="宋体" w:hint="default"/>
                <w:b/>
                <w:bCs/>
                <w:sz w:val="21"/>
                <w:szCs w:val="21"/>
              </w:rPr>
              <w:t>应付职工薪酬</w:t>
            </w:r>
            <w:r>
              <w:rPr>
                <w:rFonts w:ascii="宋体" w:hAnsi="宋体" w:cs="宋体" w:eastAsia="宋体" w:hint="default"/>
                <w:sz w:val="21"/>
                <w:szCs w:val="21"/>
              </w:rPr>
            </w:r>
          </w:p>
        </w:tc>
        <w:tc>
          <w:tcPr>
            <w:tcW w:w="5120" w:type="dxa"/>
            <w:gridSpan w:val="4"/>
            <w:tcBorders>
              <w:top w:val="nil" w:sz="6" w:space="0" w:color="auto"/>
              <w:left w:val="nil" w:sz="6" w:space="0" w:color="auto"/>
              <w:bottom w:val="single" w:sz="12" w:space="0" w:color="000000"/>
              <w:right w:val="nil" w:sz="6" w:space="0" w:color="auto"/>
            </w:tcBorders>
          </w:tcPr>
          <w:p>
            <w:pPr/>
          </w:p>
        </w:tc>
      </w:tr>
      <w:tr>
        <w:trPr>
          <w:trHeight w:val="332" w:hRule="exact"/>
        </w:trPr>
        <w:tc>
          <w:tcPr>
            <w:tcW w:w="3294"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50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6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27"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04"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63"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333"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64"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216"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18"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327" w:hRule="exact"/>
        </w:trPr>
        <w:tc>
          <w:tcPr>
            <w:tcW w:w="329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4"/>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86" w:right="0"/>
              <w:jc w:val="left"/>
              <w:rPr>
                <w:rFonts w:ascii="Times New Roman" w:hAnsi="Times New Roman" w:cs="Times New Roman" w:eastAsia="Times New Roman" w:hint="default"/>
                <w:sz w:val="18"/>
                <w:szCs w:val="18"/>
              </w:rPr>
            </w:pPr>
            <w:r>
              <w:rPr>
                <w:rFonts w:ascii="Times New Roman"/>
                <w:sz w:val="18"/>
              </w:rPr>
              <w:t>3,939,777.64</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32"/>
              <w:jc w:val="right"/>
              <w:rPr>
                <w:rFonts w:ascii="Times New Roman" w:hAnsi="Times New Roman" w:cs="Times New Roman" w:eastAsia="Times New Roman" w:hint="default"/>
                <w:sz w:val="18"/>
                <w:szCs w:val="18"/>
              </w:rPr>
            </w:pPr>
            <w:r>
              <w:rPr>
                <w:rFonts w:ascii="Times New Roman"/>
                <w:spacing w:val="-1"/>
                <w:sz w:val="18"/>
              </w:rPr>
              <w:t>43,434,691.29</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1"/>
              <w:jc w:val="right"/>
              <w:rPr>
                <w:rFonts w:ascii="Times New Roman" w:hAnsi="Times New Roman" w:cs="Times New Roman" w:eastAsia="Times New Roman" w:hint="default"/>
                <w:sz w:val="18"/>
                <w:szCs w:val="18"/>
              </w:rPr>
            </w:pPr>
            <w:r>
              <w:rPr>
                <w:rFonts w:ascii="Times New Roman"/>
                <w:spacing w:val="-1"/>
                <w:sz w:val="18"/>
              </w:rPr>
              <w:t>42,736,829.84</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4,637,639.09</w:t>
            </w:r>
          </w:p>
        </w:tc>
      </w:tr>
      <w:tr>
        <w:trPr>
          <w:trHeight w:val="322" w:hRule="exact"/>
        </w:trPr>
        <w:tc>
          <w:tcPr>
            <w:tcW w:w="329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7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2"/>
              <w:jc w:val="right"/>
              <w:rPr>
                <w:rFonts w:ascii="Times New Roman" w:hAnsi="Times New Roman" w:cs="Times New Roman" w:eastAsia="Times New Roman" w:hint="default"/>
                <w:sz w:val="18"/>
                <w:szCs w:val="18"/>
              </w:rPr>
            </w:pPr>
            <w:r>
              <w:rPr>
                <w:rFonts w:ascii="Times New Roman"/>
                <w:sz w:val="18"/>
              </w:rPr>
              <w:t>31,525.36</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2"/>
              <w:jc w:val="right"/>
              <w:rPr>
                <w:rFonts w:ascii="Times New Roman" w:hAnsi="Times New Roman" w:cs="Times New Roman" w:eastAsia="Times New Roman" w:hint="default"/>
                <w:sz w:val="18"/>
                <w:szCs w:val="18"/>
              </w:rPr>
            </w:pPr>
            <w:r>
              <w:rPr>
                <w:rFonts w:ascii="Times New Roman"/>
                <w:spacing w:val="-1"/>
                <w:sz w:val="18"/>
              </w:rPr>
              <w:t>2,035,968.29</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1"/>
              <w:jc w:val="right"/>
              <w:rPr>
                <w:rFonts w:ascii="Times New Roman" w:hAnsi="Times New Roman" w:cs="Times New Roman" w:eastAsia="Times New Roman" w:hint="default"/>
                <w:sz w:val="18"/>
                <w:szCs w:val="18"/>
              </w:rPr>
            </w:pPr>
            <w:r>
              <w:rPr>
                <w:rFonts w:ascii="Times New Roman"/>
                <w:spacing w:val="-1"/>
                <w:sz w:val="18"/>
              </w:rPr>
              <w:t>2,060,045.65</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7,448.00</w:t>
            </w:r>
          </w:p>
        </w:tc>
      </w:tr>
      <w:tr>
        <w:trPr>
          <w:trHeight w:val="322" w:hRule="exact"/>
        </w:trPr>
        <w:tc>
          <w:tcPr>
            <w:tcW w:w="329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67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2"/>
              <w:jc w:val="right"/>
              <w:rPr>
                <w:rFonts w:ascii="Times New Roman" w:hAnsi="Times New Roman" w:cs="Times New Roman" w:eastAsia="Times New Roman" w:hint="default"/>
                <w:sz w:val="18"/>
                <w:szCs w:val="18"/>
              </w:rPr>
            </w:pPr>
            <w:r>
              <w:rPr>
                <w:rFonts w:ascii="Times New Roman"/>
                <w:sz w:val="18"/>
              </w:rPr>
              <w:t>41254.86</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2"/>
              <w:jc w:val="right"/>
              <w:rPr>
                <w:rFonts w:ascii="Times New Roman" w:hAnsi="Times New Roman" w:cs="Times New Roman" w:eastAsia="Times New Roman" w:hint="default"/>
                <w:sz w:val="18"/>
                <w:szCs w:val="18"/>
              </w:rPr>
            </w:pPr>
            <w:r>
              <w:rPr>
                <w:rFonts w:ascii="Times New Roman"/>
                <w:spacing w:val="-1"/>
                <w:sz w:val="18"/>
              </w:rPr>
              <w:t>4,815,225.79</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1"/>
              <w:jc w:val="right"/>
              <w:rPr>
                <w:rFonts w:ascii="Times New Roman" w:hAnsi="Times New Roman" w:cs="Times New Roman" w:eastAsia="Times New Roman" w:hint="default"/>
                <w:sz w:val="18"/>
                <w:szCs w:val="18"/>
              </w:rPr>
            </w:pPr>
            <w:r>
              <w:rPr>
                <w:rFonts w:ascii="Times New Roman"/>
                <w:spacing w:val="-1"/>
                <w:sz w:val="18"/>
              </w:rPr>
              <w:t>4,772,299.75</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84,180.90</w:t>
            </w:r>
          </w:p>
        </w:tc>
      </w:tr>
      <w:tr>
        <w:trPr>
          <w:trHeight w:val="322" w:hRule="exact"/>
        </w:trPr>
        <w:tc>
          <w:tcPr>
            <w:tcW w:w="329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67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2"/>
              <w:jc w:val="right"/>
              <w:rPr>
                <w:rFonts w:ascii="Times New Roman" w:hAnsi="Times New Roman" w:cs="Times New Roman" w:eastAsia="Times New Roman" w:hint="default"/>
                <w:sz w:val="18"/>
                <w:szCs w:val="18"/>
              </w:rPr>
            </w:pPr>
            <w:r>
              <w:rPr>
                <w:rFonts w:ascii="Times New Roman"/>
                <w:sz w:val="18"/>
              </w:rPr>
              <w:t>61,484.00</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2"/>
              <w:jc w:val="right"/>
              <w:rPr>
                <w:rFonts w:ascii="Times New Roman" w:hAnsi="Times New Roman" w:cs="Times New Roman" w:eastAsia="Times New Roman" w:hint="default"/>
                <w:sz w:val="18"/>
                <w:szCs w:val="18"/>
              </w:rPr>
            </w:pPr>
            <w:r>
              <w:rPr>
                <w:rFonts w:ascii="Times New Roman"/>
                <w:sz w:val="18"/>
              </w:rPr>
              <w:t>610,199.31</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1"/>
              <w:jc w:val="right"/>
              <w:rPr>
                <w:rFonts w:ascii="Times New Roman" w:hAnsi="Times New Roman" w:cs="Times New Roman" w:eastAsia="Times New Roman" w:hint="default"/>
                <w:sz w:val="18"/>
                <w:szCs w:val="18"/>
              </w:rPr>
            </w:pPr>
            <w:r>
              <w:rPr>
                <w:rFonts w:ascii="Times New Roman"/>
                <w:sz w:val="18"/>
              </w:rPr>
              <w:t>671,683.31</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z w:val="18"/>
              </w:rPr>
              <w:t>---</w:t>
            </w:r>
          </w:p>
        </w:tc>
      </w:tr>
      <w:tr>
        <w:trPr>
          <w:trHeight w:val="322" w:hRule="exact"/>
        </w:trPr>
        <w:tc>
          <w:tcPr>
            <w:tcW w:w="329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84"/>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）工会经费及职工教育经费</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2"/>
              <w:jc w:val="right"/>
              <w:rPr>
                <w:rFonts w:ascii="Times New Roman" w:hAnsi="Times New Roman" w:cs="Times New Roman" w:eastAsia="Times New Roman" w:hint="default"/>
                <w:sz w:val="18"/>
                <w:szCs w:val="18"/>
              </w:rPr>
            </w:pPr>
            <w:r>
              <w:rPr>
                <w:rFonts w:ascii="Times New Roman"/>
                <w:sz w:val="18"/>
              </w:rPr>
              <w:t>34,883.75</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2"/>
              <w:jc w:val="right"/>
              <w:rPr>
                <w:rFonts w:ascii="Times New Roman" w:hAnsi="Times New Roman" w:cs="Times New Roman" w:eastAsia="Times New Roman" w:hint="default"/>
                <w:sz w:val="18"/>
                <w:szCs w:val="18"/>
              </w:rPr>
            </w:pPr>
            <w:r>
              <w:rPr>
                <w:rFonts w:ascii="Times New Roman"/>
                <w:sz w:val="18"/>
              </w:rPr>
              <w:t>732,991.28</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1"/>
              <w:jc w:val="right"/>
              <w:rPr>
                <w:rFonts w:ascii="Times New Roman" w:hAnsi="Times New Roman" w:cs="Times New Roman" w:eastAsia="Times New Roman" w:hint="default"/>
                <w:sz w:val="18"/>
                <w:szCs w:val="18"/>
              </w:rPr>
            </w:pPr>
            <w:r>
              <w:rPr>
                <w:rFonts w:ascii="Times New Roman"/>
                <w:sz w:val="18"/>
              </w:rPr>
              <w:t>720,847.79</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47,027.24</w:t>
            </w:r>
          </w:p>
        </w:tc>
      </w:tr>
      <w:tr>
        <w:trPr>
          <w:trHeight w:val="327" w:hRule="exact"/>
        </w:trPr>
        <w:tc>
          <w:tcPr>
            <w:tcW w:w="3294"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50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67"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186" w:right="0"/>
              <w:jc w:val="left"/>
              <w:rPr>
                <w:rFonts w:ascii="Times New Roman" w:hAnsi="Times New Roman" w:cs="Times New Roman" w:eastAsia="Times New Roman" w:hint="default"/>
                <w:sz w:val="18"/>
                <w:szCs w:val="18"/>
              </w:rPr>
            </w:pPr>
            <w:r>
              <w:rPr>
                <w:rFonts w:ascii="Times New Roman"/>
                <w:sz w:val="18"/>
              </w:rPr>
              <w:t>4,108,925.61</w:t>
            </w:r>
          </w:p>
        </w:tc>
        <w:tc>
          <w:tcPr>
            <w:tcW w:w="1304"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32"/>
              <w:jc w:val="right"/>
              <w:rPr>
                <w:rFonts w:ascii="Times New Roman" w:hAnsi="Times New Roman" w:cs="Times New Roman" w:eastAsia="Times New Roman" w:hint="default"/>
                <w:sz w:val="18"/>
                <w:szCs w:val="18"/>
              </w:rPr>
            </w:pPr>
            <w:r>
              <w:rPr>
                <w:rFonts w:ascii="Times New Roman"/>
                <w:spacing w:val="-1"/>
                <w:sz w:val="18"/>
              </w:rPr>
              <w:t>51,629,075.96</w:t>
            </w:r>
          </w:p>
        </w:tc>
        <w:tc>
          <w:tcPr>
            <w:tcW w:w="1333"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61"/>
              <w:jc w:val="right"/>
              <w:rPr>
                <w:rFonts w:ascii="Times New Roman" w:hAnsi="Times New Roman" w:cs="Times New Roman" w:eastAsia="Times New Roman" w:hint="default"/>
                <w:sz w:val="18"/>
                <w:szCs w:val="18"/>
              </w:rPr>
            </w:pPr>
            <w:r>
              <w:rPr>
                <w:rFonts w:ascii="Times New Roman"/>
                <w:spacing w:val="-1"/>
                <w:sz w:val="18"/>
              </w:rPr>
              <w:t>50,961,706.34</w:t>
            </w:r>
          </w:p>
        </w:tc>
        <w:tc>
          <w:tcPr>
            <w:tcW w:w="1216"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4,776,295.23</w:t>
            </w:r>
          </w:p>
        </w:tc>
      </w:tr>
    </w:tbl>
    <w:p>
      <w:pPr>
        <w:spacing w:before="78"/>
        <w:ind w:left="875" w:right="194" w:firstLine="0"/>
        <w:jc w:val="left"/>
        <w:rPr>
          <w:rFonts w:ascii="宋体" w:hAnsi="宋体" w:cs="宋体" w:eastAsia="宋体" w:hint="default"/>
          <w:sz w:val="21"/>
          <w:szCs w:val="21"/>
        </w:rPr>
      </w:pPr>
      <w:r>
        <w:rPr/>
        <w:pict>
          <v:group style="position:absolute;margin-left:114.540001pt;margin-top:-115.896027pt;width:395.05pt;height:113.65pt;mso-position-horizontal-relative:page;mso-position-vertical-relative:paragraph;z-index:-776488" coordorigin="2291,-2318" coordsize="7901,2273">
            <v:shape style="position:absolute;left:4946;top:-2318;width:3978;height:370" type="#_x0000_t75" stroked="false">
              <v:imagedata r:id="rId193" o:title=""/>
            </v:shape>
            <v:shape style="position:absolute;left:2291;top:-1996;width:7901;height:1951" type="#_x0000_t75" stroked="false">
              <v:imagedata r:id="rId194" o:title=""/>
            </v:shape>
            <w10:wrap type="none"/>
          </v:group>
        </w:pict>
      </w:r>
      <w:r>
        <w:rPr>
          <w:rFonts w:ascii="宋体" w:hAnsi="宋体" w:cs="宋体" w:eastAsia="宋体" w:hint="default"/>
          <w:b/>
          <w:bCs/>
          <w:sz w:val="21"/>
          <w:szCs w:val="21"/>
        </w:rPr>
        <w:t>应付职工薪酬余额中无属于拖欠性质或工效挂钩的部分。</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7"/>
          <w:szCs w:val="17"/>
        </w:rPr>
      </w:pPr>
    </w:p>
    <w:tbl>
      <w:tblPr>
        <w:tblW w:w="0" w:type="auto"/>
        <w:jc w:val="left"/>
        <w:tblInd w:w="210" w:type="dxa"/>
        <w:tblLayout w:type="fixed"/>
        <w:tblCellMar>
          <w:top w:w="0" w:type="dxa"/>
          <w:left w:w="0" w:type="dxa"/>
          <w:bottom w:w="0" w:type="dxa"/>
          <w:right w:w="0" w:type="dxa"/>
        </w:tblCellMar>
        <w:tblLook w:val="01E0"/>
      </w:tblPr>
      <w:tblGrid>
        <w:gridCol w:w="3405"/>
        <w:gridCol w:w="2921"/>
        <w:gridCol w:w="2087"/>
      </w:tblGrid>
      <w:tr>
        <w:trPr>
          <w:trHeight w:val="357" w:hRule="exact"/>
        </w:trPr>
        <w:tc>
          <w:tcPr>
            <w:tcW w:w="3405" w:type="dxa"/>
            <w:tcBorders>
              <w:top w:val="nil" w:sz="6" w:space="0" w:color="auto"/>
              <w:left w:val="nil" w:sz="6" w:space="0" w:color="auto"/>
              <w:bottom w:val="single" w:sz="12" w:space="0" w:color="000000"/>
              <w:right w:val="nil" w:sz="6" w:space="0" w:color="auto"/>
            </w:tcBorders>
          </w:tcPr>
          <w:p>
            <w:pPr>
              <w:pStyle w:val="TableParagraph"/>
              <w:tabs>
                <w:tab w:pos="1309" w:val="left" w:leader="none"/>
              </w:tabs>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二十一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应交税费</w:t>
            </w:r>
            <w:r>
              <w:rPr>
                <w:rFonts w:ascii="宋体" w:hAnsi="宋体" w:cs="宋体" w:eastAsia="宋体" w:hint="default"/>
                <w:sz w:val="21"/>
                <w:szCs w:val="21"/>
              </w:rPr>
            </w:r>
          </w:p>
        </w:tc>
        <w:tc>
          <w:tcPr>
            <w:tcW w:w="5008" w:type="dxa"/>
            <w:gridSpan w:val="2"/>
            <w:tcBorders>
              <w:top w:val="nil" w:sz="6" w:space="0" w:color="auto"/>
              <w:left w:val="nil" w:sz="6" w:space="0" w:color="auto"/>
              <w:bottom w:val="single" w:sz="12" w:space="0" w:color="000000"/>
              <w:right w:val="nil" w:sz="6" w:space="0" w:color="auto"/>
            </w:tcBorders>
          </w:tcPr>
          <w:p>
            <w:pPr/>
          </w:p>
        </w:tc>
      </w:tr>
      <w:tr>
        <w:trPr>
          <w:trHeight w:val="332" w:hRule="exact"/>
        </w:trPr>
        <w:tc>
          <w:tcPr>
            <w:tcW w:w="3405"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698" w:right="0"/>
              <w:jc w:val="left"/>
              <w:rPr>
                <w:rFonts w:ascii="宋体" w:hAnsi="宋体" w:cs="宋体" w:eastAsia="宋体" w:hint="default"/>
                <w:sz w:val="18"/>
                <w:szCs w:val="18"/>
              </w:rPr>
            </w:pPr>
            <w:r>
              <w:rPr>
                <w:rFonts w:ascii="宋体" w:hAnsi="宋体" w:cs="宋体" w:eastAsia="宋体" w:hint="default"/>
                <w:sz w:val="18"/>
                <w:szCs w:val="18"/>
              </w:rPr>
              <w:t>税费项目</w:t>
            </w:r>
          </w:p>
        </w:tc>
        <w:tc>
          <w:tcPr>
            <w:tcW w:w="2921"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225"/>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208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490"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26"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6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292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88"/>
              <w:jc w:val="right"/>
              <w:rPr>
                <w:rFonts w:ascii="Times New Roman" w:hAnsi="Times New Roman" w:cs="Times New Roman" w:eastAsia="Times New Roman" w:hint="default"/>
                <w:sz w:val="18"/>
                <w:szCs w:val="18"/>
              </w:rPr>
            </w:pPr>
            <w:r>
              <w:rPr>
                <w:rFonts w:ascii="Times New Roman"/>
                <w:spacing w:val="-1"/>
                <w:sz w:val="18"/>
              </w:rPr>
              <w:t>-10,223,585.57</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z w:val="18"/>
              </w:rPr>
              <w:t>729,267.69</w:t>
            </w:r>
          </w:p>
        </w:tc>
      </w:tr>
      <w:tr>
        <w:trPr>
          <w:trHeight w:val="322"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66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92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88"/>
              <w:jc w:val="right"/>
              <w:rPr>
                <w:rFonts w:ascii="Times New Roman" w:hAnsi="Times New Roman" w:cs="Times New Roman" w:eastAsia="Times New Roman" w:hint="default"/>
                <w:sz w:val="18"/>
                <w:szCs w:val="18"/>
              </w:rPr>
            </w:pPr>
            <w:r>
              <w:rPr>
                <w:rFonts w:ascii="Times New Roman"/>
                <w:sz w:val="18"/>
              </w:rPr>
              <w:t>58,733.57</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z w:val="18"/>
              </w:rPr>
              <w:t>75,321.23</w:t>
            </w:r>
          </w:p>
        </w:tc>
      </w:tr>
      <w:tr>
        <w:trPr>
          <w:trHeight w:val="322"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62" w:right="0"/>
              <w:jc w:val="left"/>
              <w:rPr>
                <w:rFonts w:ascii="宋体" w:hAnsi="宋体" w:cs="宋体" w:eastAsia="宋体" w:hint="default"/>
                <w:sz w:val="18"/>
                <w:szCs w:val="18"/>
              </w:rPr>
            </w:pPr>
            <w:r>
              <w:rPr>
                <w:rFonts w:ascii="宋体" w:hAnsi="宋体" w:cs="宋体" w:eastAsia="宋体" w:hint="default"/>
                <w:sz w:val="18"/>
                <w:szCs w:val="18"/>
              </w:rPr>
              <w:t>城建税</w:t>
            </w:r>
          </w:p>
        </w:tc>
        <w:tc>
          <w:tcPr>
            <w:tcW w:w="292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88"/>
              <w:jc w:val="right"/>
              <w:rPr>
                <w:rFonts w:ascii="Times New Roman" w:hAnsi="Times New Roman" w:cs="Times New Roman" w:eastAsia="Times New Roman" w:hint="default"/>
                <w:sz w:val="18"/>
                <w:szCs w:val="18"/>
              </w:rPr>
            </w:pPr>
            <w:r>
              <w:rPr>
                <w:rFonts w:ascii="Times New Roman"/>
                <w:sz w:val="18"/>
              </w:rPr>
              <w:t>305,009.46</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461,931.48</w:t>
            </w:r>
          </w:p>
        </w:tc>
      </w:tr>
      <w:tr>
        <w:trPr>
          <w:trHeight w:val="322"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6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292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88"/>
              <w:jc w:val="right"/>
              <w:rPr>
                <w:rFonts w:ascii="Times New Roman" w:hAnsi="Times New Roman" w:cs="Times New Roman" w:eastAsia="Times New Roman" w:hint="default"/>
                <w:sz w:val="18"/>
                <w:szCs w:val="18"/>
              </w:rPr>
            </w:pPr>
            <w:r>
              <w:rPr>
                <w:rFonts w:ascii="Times New Roman"/>
                <w:sz w:val="18"/>
              </w:rPr>
              <w:t>45,508.40</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89,127.57</w:t>
            </w:r>
          </w:p>
        </w:tc>
      </w:tr>
      <w:tr>
        <w:trPr>
          <w:trHeight w:val="322"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66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292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88"/>
              <w:jc w:val="right"/>
              <w:rPr>
                <w:rFonts w:ascii="Times New Roman" w:hAnsi="Times New Roman" w:cs="Times New Roman" w:eastAsia="Times New Roman" w:hint="default"/>
                <w:sz w:val="18"/>
                <w:szCs w:val="18"/>
              </w:rPr>
            </w:pPr>
            <w:r>
              <w:rPr>
                <w:rFonts w:ascii="Times New Roman"/>
                <w:spacing w:val="-1"/>
                <w:sz w:val="18"/>
              </w:rPr>
              <w:t>7,615,088.43</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6,562,696.86</w:t>
            </w:r>
          </w:p>
        </w:tc>
      </w:tr>
      <w:tr>
        <w:trPr>
          <w:trHeight w:val="322"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6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92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88"/>
              <w:jc w:val="right"/>
              <w:rPr>
                <w:rFonts w:ascii="Times New Roman" w:hAnsi="Times New Roman" w:cs="Times New Roman" w:eastAsia="Times New Roman" w:hint="default"/>
                <w:sz w:val="18"/>
                <w:szCs w:val="18"/>
              </w:rPr>
            </w:pPr>
            <w:r>
              <w:rPr>
                <w:rFonts w:ascii="Times New Roman"/>
                <w:sz w:val="18"/>
              </w:rPr>
              <w:t>198,763.14</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176,923.05</w:t>
            </w:r>
          </w:p>
        </w:tc>
      </w:tr>
      <w:tr>
        <w:trPr>
          <w:trHeight w:val="322"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6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292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88"/>
              <w:jc w:val="right"/>
              <w:rPr>
                <w:rFonts w:ascii="Times New Roman" w:hAnsi="Times New Roman" w:cs="Times New Roman" w:eastAsia="Times New Roman" w:hint="default"/>
                <w:sz w:val="18"/>
                <w:szCs w:val="18"/>
              </w:rPr>
            </w:pPr>
            <w:r>
              <w:rPr>
                <w:rFonts w:ascii="Times New Roman"/>
                <w:sz w:val="18"/>
              </w:rPr>
              <w:t>120,498.62</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22"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66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292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88"/>
              <w:jc w:val="right"/>
              <w:rPr>
                <w:rFonts w:ascii="Times New Roman" w:hAnsi="Times New Roman" w:cs="Times New Roman" w:eastAsia="Times New Roman" w:hint="default"/>
                <w:sz w:val="18"/>
                <w:szCs w:val="18"/>
              </w:rPr>
            </w:pPr>
            <w:r>
              <w:rPr>
                <w:rFonts w:ascii="Times New Roman"/>
                <w:sz w:val="18"/>
              </w:rPr>
              <w:t>5,255.26</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28" w:hRule="exact"/>
        </w:trPr>
        <w:tc>
          <w:tcPr>
            <w:tcW w:w="3405"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711"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921"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488"/>
              <w:jc w:val="right"/>
              <w:rPr>
                <w:rFonts w:ascii="Times New Roman" w:hAnsi="Times New Roman" w:cs="Times New Roman" w:eastAsia="Times New Roman" w:hint="default"/>
                <w:sz w:val="18"/>
                <w:szCs w:val="18"/>
              </w:rPr>
            </w:pPr>
            <w:r>
              <w:rPr>
                <w:rFonts w:ascii="Times New Roman"/>
                <w:spacing w:val="-1"/>
                <w:sz w:val="18"/>
              </w:rPr>
              <w:t>-1,874,728.69</w:t>
            </w:r>
          </w:p>
        </w:tc>
        <w:tc>
          <w:tcPr>
            <w:tcW w:w="2087"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8,095,267.88</w:t>
            </w:r>
          </w:p>
        </w:tc>
      </w:tr>
      <w:tr>
        <w:trPr>
          <w:trHeight w:val="494" w:hRule="exact"/>
        </w:trPr>
        <w:tc>
          <w:tcPr>
            <w:tcW w:w="3405" w:type="dxa"/>
            <w:tcBorders>
              <w:top w:val="single" w:sz="12" w:space="0" w:color="000000"/>
              <w:left w:val="nil" w:sz="6" w:space="0" w:color="auto"/>
              <w:bottom w:val="nil" w:sz="6" w:space="0" w:color="auto"/>
              <w:right w:val="nil" w:sz="6" w:space="0" w:color="auto"/>
            </w:tcBorders>
          </w:tcPr>
          <w:p>
            <w:pPr>
              <w:pStyle w:val="TableParagraph"/>
              <w:tabs>
                <w:tab w:pos="1309" w:val="left" w:leader="none"/>
              </w:tabs>
              <w:spacing w:line="240" w:lineRule="auto" w:before="93"/>
              <w:ind w:left="35"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二十二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其他应付款</w:t>
            </w:r>
            <w:r>
              <w:rPr>
                <w:rFonts w:ascii="宋体" w:hAnsi="宋体" w:cs="宋体" w:eastAsia="宋体" w:hint="default"/>
                <w:sz w:val="21"/>
                <w:szCs w:val="21"/>
              </w:rPr>
            </w:r>
          </w:p>
        </w:tc>
        <w:tc>
          <w:tcPr>
            <w:tcW w:w="2921" w:type="dxa"/>
            <w:tcBorders>
              <w:top w:val="single" w:sz="12" w:space="0" w:color="000000"/>
              <w:left w:val="nil" w:sz="6" w:space="0" w:color="auto"/>
              <w:bottom w:val="nil" w:sz="6" w:space="0" w:color="auto"/>
              <w:right w:val="nil" w:sz="6" w:space="0" w:color="auto"/>
            </w:tcBorders>
          </w:tcPr>
          <w:p>
            <w:pPr/>
          </w:p>
        </w:tc>
        <w:tc>
          <w:tcPr>
            <w:tcW w:w="2087" w:type="dxa"/>
            <w:tcBorders>
              <w:top w:val="single" w:sz="12" w:space="0" w:color="000000"/>
              <w:left w:val="nil" w:sz="6" w:space="0" w:color="auto"/>
              <w:bottom w:val="nil" w:sz="6" w:space="0" w:color="auto"/>
              <w:right w:val="nil" w:sz="6" w:space="0" w:color="auto"/>
            </w:tcBorders>
          </w:tcPr>
          <w:p>
            <w:pPr/>
          </w:p>
        </w:tc>
      </w:tr>
    </w:tbl>
    <w:p>
      <w:pPr>
        <w:tabs>
          <w:tab w:pos="1414" w:val="left" w:leader="none"/>
        </w:tabs>
        <w:spacing w:before="13"/>
        <w:ind w:left="875" w:right="194" w:firstLine="0"/>
        <w:jc w:val="left"/>
        <w:rPr>
          <w:rFonts w:ascii="宋体" w:hAnsi="宋体" w:cs="宋体" w:eastAsia="宋体" w:hint="default"/>
          <w:sz w:val="21"/>
          <w:szCs w:val="21"/>
        </w:rPr>
      </w:pPr>
      <w:r>
        <w:rPr/>
        <w:pict>
          <v:group style="position:absolute;margin-left:113.82pt;margin-top:-187.426483pt;width:395.9pt;height:161.950pt;mso-position-horizontal-relative:page;mso-position-vertical-relative:paragraph;z-index:-776464" coordorigin="2276,-3749" coordsize="7918,3239">
            <v:shape style="position:absolute;left:5279;top:-3749;width:2448;height:370" type="#_x0000_t75" stroked="false">
              <v:imagedata r:id="rId195" o:title=""/>
            </v:shape>
            <v:shape style="position:absolute;left:2276;top:-3437;width:7918;height:2927" type="#_x0000_t75" stroked="false">
              <v:imagedata r:id="rId196" o:title=""/>
            </v:shape>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其他应付款情况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1270" w:top="1360" w:bottom="1460" w:left="1540" w:right="1600"/>
        </w:sectPr>
      </w:pPr>
    </w:p>
    <w:p>
      <w:pPr>
        <w:spacing w:line="240" w:lineRule="auto" w:before="9"/>
        <w:rPr>
          <w:rFonts w:ascii="宋体" w:hAnsi="宋体" w:cs="宋体" w:eastAsia="宋体" w:hint="default"/>
          <w:b/>
          <w:bCs/>
          <w:sz w:val="10"/>
          <w:szCs w:val="10"/>
        </w:rPr>
      </w:pPr>
    </w:p>
    <w:tbl>
      <w:tblPr>
        <w:tblW w:w="0" w:type="auto"/>
        <w:jc w:val="left"/>
        <w:tblInd w:w="903" w:type="dxa"/>
        <w:tblLayout w:type="fixed"/>
        <w:tblCellMar>
          <w:top w:w="0" w:type="dxa"/>
          <w:left w:w="0" w:type="dxa"/>
          <w:bottom w:w="0" w:type="dxa"/>
          <w:right w:w="0" w:type="dxa"/>
        </w:tblCellMar>
        <w:tblLook w:val="01E0"/>
      </w:tblPr>
      <w:tblGrid>
        <w:gridCol w:w="2924"/>
        <w:gridCol w:w="2928"/>
        <w:gridCol w:w="1758"/>
      </w:tblGrid>
      <w:tr>
        <w:trPr>
          <w:trHeight w:val="896" w:hRule="exact"/>
        </w:trPr>
        <w:tc>
          <w:tcPr>
            <w:tcW w:w="292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25" w:right="0"/>
              <w:jc w:val="left"/>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4" w:right="0"/>
              <w:jc w:val="center"/>
              <w:rPr>
                <w:rFonts w:ascii="宋体" w:hAnsi="宋体" w:cs="宋体" w:eastAsia="宋体" w:hint="default"/>
                <w:sz w:val="18"/>
                <w:szCs w:val="18"/>
              </w:rPr>
            </w:pPr>
            <w:r>
              <w:rPr>
                <w:rFonts w:ascii="宋体" w:hAnsi="宋体" w:cs="宋体" w:eastAsia="宋体" w:hint="default"/>
                <w:sz w:val="18"/>
                <w:szCs w:val="18"/>
              </w:rPr>
              <w:t>年末余额</w:t>
            </w:r>
          </w:p>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left="1372" w:right="0"/>
              <w:jc w:val="left"/>
              <w:rPr>
                <w:rFonts w:ascii="Times New Roman" w:hAnsi="Times New Roman" w:cs="Times New Roman" w:eastAsia="Times New Roman" w:hint="default"/>
                <w:sz w:val="20"/>
                <w:szCs w:val="20"/>
              </w:rPr>
            </w:pPr>
            <w:r>
              <w:rPr>
                <w:rFonts w:ascii="Times New Roman"/>
                <w:sz w:val="20"/>
              </w:rPr>
              <w:t>12,701,892.04</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05"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left="777" w:right="0"/>
              <w:jc w:val="left"/>
              <w:rPr>
                <w:rFonts w:ascii="Times New Roman" w:hAnsi="Times New Roman" w:cs="Times New Roman" w:eastAsia="Times New Roman" w:hint="default"/>
                <w:sz w:val="18"/>
                <w:szCs w:val="18"/>
              </w:rPr>
            </w:pPr>
            <w:r>
              <w:rPr>
                <w:rFonts w:ascii="Times New Roman"/>
                <w:sz w:val="18"/>
              </w:rPr>
              <w:t>9,158,040.16</w:t>
            </w:r>
          </w:p>
        </w:tc>
      </w:tr>
      <w:tr>
        <w:trPr>
          <w:trHeight w:val="464" w:hRule="exact"/>
        </w:trPr>
        <w:tc>
          <w:tcPr>
            <w:tcW w:w="292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133"/>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03"/>
              <w:jc w:val="right"/>
              <w:rPr>
                <w:rFonts w:ascii="Times New Roman" w:hAnsi="Times New Roman" w:cs="Times New Roman" w:eastAsia="Times New Roman" w:hint="default"/>
                <w:sz w:val="20"/>
                <w:szCs w:val="20"/>
              </w:rPr>
            </w:pPr>
            <w:r>
              <w:rPr>
                <w:rFonts w:ascii="Times New Roman"/>
                <w:spacing w:val="-1"/>
                <w:sz w:val="20"/>
              </w:rPr>
              <w:t>354,329.78</w:t>
            </w:r>
            <w:r>
              <w:rPr>
                <w:rFonts w:ascii="Times New Roman"/>
                <w:sz w:val="20"/>
              </w:rPr>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459" w:hRule="exact"/>
        </w:trPr>
        <w:tc>
          <w:tcPr>
            <w:tcW w:w="292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133"/>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40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3"/>
              <w:jc w:val="right"/>
              <w:rPr>
                <w:rFonts w:ascii="Times New Roman" w:hAnsi="Times New Roman" w:cs="Times New Roman" w:eastAsia="Times New Roman" w:hint="default"/>
                <w:sz w:val="18"/>
                <w:szCs w:val="18"/>
              </w:rPr>
            </w:pPr>
            <w:r>
              <w:rPr>
                <w:rFonts w:ascii="Times New Roman"/>
                <w:sz w:val="18"/>
              </w:rPr>
              <w:t>8,509.30</w:t>
            </w:r>
          </w:p>
        </w:tc>
      </w:tr>
      <w:tr>
        <w:trPr>
          <w:trHeight w:val="425" w:hRule="exact"/>
        </w:trPr>
        <w:tc>
          <w:tcPr>
            <w:tcW w:w="292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36"/>
              <w:jc w:val="right"/>
              <w:rPr>
                <w:rFonts w:ascii="宋体" w:hAnsi="宋体" w:cs="宋体" w:eastAsia="宋体" w:hint="default"/>
                <w:sz w:val="18"/>
                <w:szCs w:val="18"/>
              </w:rPr>
            </w:pPr>
            <w:r>
              <w:rPr>
                <w:rFonts w:ascii="宋体" w:hAnsi="宋体" w:cs="宋体" w:eastAsia="宋体" w:hint="default"/>
                <w:sz w:val="18"/>
                <w:szCs w:val="18"/>
              </w:rPr>
              <w:t>合计</w:t>
            </w:r>
          </w:p>
        </w:tc>
        <w:tc>
          <w:tcPr>
            <w:tcW w:w="2928"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403"/>
              <w:jc w:val="right"/>
              <w:rPr>
                <w:rFonts w:ascii="Times New Roman" w:hAnsi="Times New Roman" w:cs="Times New Roman" w:eastAsia="Times New Roman" w:hint="default"/>
                <w:sz w:val="18"/>
                <w:szCs w:val="18"/>
              </w:rPr>
            </w:pPr>
            <w:r>
              <w:rPr>
                <w:rFonts w:ascii="Times New Roman"/>
                <w:spacing w:val="-1"/>
                <w:sz w:val="18"/>
              </w:rPr>
              <w:t>13,056,221.82</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Times New Roman" w:hAnsi="Times New Roman" w:cs="Times New Roman" w:eastAsia="Times New Roman" w:hint="default"/>
                <w:sz w:val="18"/>
                <w:szCs w:val="18"/>
              </w:rPr>
            </w:pPr>
            <w:r>
              <w:rPr>
                <w:rFonts w:ascii="Times New Roman"/>
                <w:spacing w:val="-1"/>
                <w:sz w:val="18"/>
              </w:rPr>
              <w:t>9,166,549.46</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tabs>
          <w:tab w:pos="1414" w:val="left" w:leader="none"/>
        </w:tabs>
        <w:spacing w:before="35"/>
        <w:ind w:left="875" w:right="194" w:firstLine="0"/>
        <w:jc w:val="left"/>
        <w:rPr>
          <w:rFonts w:ascii="宋体" w:hAnsi="宋体" w:cs="宋体" w:eastAsia="宋体" w:hint="default"/>
          <w:sz w:val="21"/>
          <w:szCs w:val="21"/>
        </w:rPr>
      </w:pPr>
      <w:r>
        <w:rPr/>
        <w:pict>
          <v:group style="position:absolute;margin-left:117.029999pt;margin-top:-141.386475pt;width:390.6pt;height:118.5pt;mso-position-horizontal-relative:page;mso-position-vertical-relative:paragraph;z-index:-776440" coordorigin="2341,-2828" coordsize="7812,2370">
            <v:group style="position:absolute;left:2370;top:-2813;width:7755;height:2" coordorigin="2370,-2813" coordsize="7755,2">
              <v:shape style="position:absolute;left:2370;top:-2813;width:7755;height:2" coordorigin="2370,-2813" coordsize="7755,0" path="m2370,-2813l10124,-2813e" filled="false" stroked="true" strokeweight="1.5pt" strokecolor="#000000">
                <v:path arrowok="t"/>
              </v:shape>
              <v:shape style="position:absolute;left:5705;top:-2817;width:2316;height:492" type="#_x0000_t75" stroked="false">
                <v:imagedata r:id="rId197" o:title=""/>
              </v:shape>
            </v:group>
            <v:group style="position:absolute;left:2356;top:-473;width:3369;height:2" coordorigin="2356,-473" coordsize="3369,2">
              <v:shape style="position:absolute;left:2356;top:-473;width:3369;height:2" coordorigin="2356,-473" coordsize="3369,0" path="m2356,-473l5724,-473e" filled="false" stroked="true" strokeweight="1.5pt" strokecolor="#000000">
                <v:path arrowok="t"/>
              </v:shape>
            </v:group>
            <v:group style="position:absolute;left:5724;top:-473;width:2268;height:2" coordorigin="5724,-473" coordsize="2268,2">
              <v:shape style="position:absolute;left:5724;top:-473;width:2268;height:2" coordorigin="5724,-473" coordsize="2268,0" path="m5724,-473l7992,-473e" filled="false" stroked="true" strokeweight="1.5pt" strokecolor="#000000">
                <v:path arrowok="t"/>
              </v:shape>
              <v:shape style="position:absolute;left:2341;top:-2364;width:7811;height:1876" type="#_x0000_t75" stroked="false">
                <v:imagedata r:id="rId198" o:title=""/>
              </v:shape>
            </v:group>
            <v:group style="position:absolute;left:7992;top:-473;width:2133;height:2" coordorigin="7992,-473" coordsize="2133,2">
              <v:shape style="position:absolute;left:7992;top:-473;width:2133;height:2" coordorigin="7992,-473" coordsize="2133,0" path="m7992,-473l10124,-473e" filled="false" stroked="true" strokeweight="1.5pt" strokecolor="#000000">
                <v:path arrowok="t"/>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年末数中无欠持本公司</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％）表决权股份的股东单位款项。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414" w:val="left" w:leader="none"/>
        </w:tabs>
        <w:spacing w:before="0"/>
        <w:ind w:left="875" w:right="19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年末数中无欠关联方款项。</w:t>
      </w:r>
      <w:r>
        <w:rPr>
          <w:rFonts w:ascii="宋体" w:hAnsi="宋体" w:cs="宋体" w:eastAsia="宋体" w:hint="default"/>
          <w:sz w:val="21"/>
          <w:szCs w:val="21"/>
        </w:rPr>
      </w:r>
    </w:p>
    <w:p>
      <w:pPr>
        <w:tabs>
          <w:tab w:pos="1404" w:val="left" w:leader="none"/>
        </w:tabs>
        <w:spacing w:before="109"/>
        <w:ind w:left="875" w:right="194"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年末数中无账龄超过一年的大额其他应付款。</w:t>
      </w:r>
      <w:r>
        <w:rPr>
          <w:rFonts w:ascii="宋体" w:hAnsi="宋体" w:cs="宋体" w:eastAsia="宋体" w:hint="default"/>
          <w:sz w:val="21"/>
          <w:szCs w:val="21"/>
        </w:rPr>
      </w:r>
    </w:p>
    <w:p>
      <w:pPr>
        <w:tabs>
          <w:tab w:pos="1414" w:val="left" w:leader="none"/>
        </w:tabs>
        <w:spacing w:before="126"/>
        <w:ind w:left="875" w:right="194" w:firstLine="0"/>
        <w:jc w:val="left"/>
        <w:rPr>
          <w:rFonts w:ascii="宋体" w:hAnsi="宋体" w:cs="宋体" w:eastAsia="宋体" w:hint="default"/>
          <w:sz w:val="21"/>
          <w:szCs w:val="21"/>
        </w:rPr>
      </w:pPr>
      <w:r>
        <w:rPr/>
        <w:pict>
          <v:group style="position:absolute;margin-left:116.550003pt;margin-top:21.622021pt;width:390.9pt;height:79.4pt;mso-position-horizontal-relative:page;mso-position-vertical-relative:paragraph;z-index:-776320" coordorigin="2331,432" coordsize="7818,1588">
            <v:group style="position:absolute;left:2360;top:447;width:7754;height:2" coordorigin="2360,447" coordsize="7754,2">
              <v:shape style="position:absolute;left:2360;top:447;width:7754;height:2" coordorigin="2360,447" coordsize="7754,0" path="m2360,447l10114,447e" filled="false" stroked="true" strokeweight="1.5pt" strokecolor="#000000">
                <v:path arrowok="t"/>
              </v:shape>
              <v:shape style="position:absolute;left:4460;top:434;width:4603;height:432" type="#_x0000_t75" stroked="false">
                <v:imagedata r:id="rId199" o:title=""/>
              </v:shape>
            </v:group>
            <v:group style="position:absolute;left:2346;top:2005;width:2144;height:2" coordorigin="2346,2005" coordsize="2144,2">
              <v:shape style="position:absolute;left:2346;top:2005;width:2144;height:2" coordorigin="2346,2005" coordsize="2144,0" path="m2346,2005l4489,2005e" filled="false" stroked="true" strokeweight="1.5pt" strokecolor="#000000">
                <v:path arrowok="t"/>
              </v:shape>
            </v:group>
            <v:group style="position:absolute;left:4489;top:2005;width:1418;height:2" coordorigin="4489,2005" coordsize="1418,2">
              <v:shape style="position:absolute;left:4489;top:2005;width:1418;height:2" coordorigin="4489,2005" coordsize="1418,0" path="m4489,2005l5906,2005e" filled="false" stroked="true" strokeweight="1.5pt" strokecolor="#000000">
                <v:path arrowok="t"/>
              </v:shape>
            </v:group>
            <v:group style="position:absolute;left:5906;top:2005;width:3119;height:2" coordorigin="5906,2005" coordsize="3119,2">
              <v:shape style="position:absolute;left:5906;top:2005;width:3119;height:2" coordorigin="5906,2005" coordsize="3119,0" path="m5906,2005l9025,2005e" filled="false" stroked="true" strokeweight="1.5pt" strokecolor="#000000">
                <v:path arrowok="t"/>
              </v:shape>
              <v:shape style="position:absolute;left:2332;top:808;width:7817;height:1182" type="#_x0000_t75" stroked="false">
                <v:imagedata r:id="rId200" o:title=""/>
              </v:shape>
            </v:group>
            <v:group style="position:absolute;left:9025;top:2005;width:1089;height:2" coordorigin="9025,2005" coordsize="1089,2">
              <v:shape style="position:absolute;left:9025;top:2005;width:1089;height:2" coordorigin="9025,2005" coordsize="1089,0" path="m9025,2005l10114,2005e" filled="false" stroked="true" strokeweight="1.5pt" strokecolor="#000000">
                <v:path arrowok="t"/>
              </v:shape>
              <v:shape style="position:absolute;left:3067;top:56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4842;top:56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7020;top:56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性质或内容</w:t>
                      </w:r>
                    </w:p>
                  </w:txbxContent>
                </v:textbox>
                <w10:wrap type="none"/>
              </v:shape>
              <v:shape style="position:absolute;left:9391;top:56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备注</w:t>
                      </w:r>
                    </w:p>
                  </w:txbxContent>
                </v:textbox>
                <w10:wrap type="none"/>
              </v:shape>
            </v:group>
            <w10:wrap type="none"/>
          </v:group>
        </w:pict>
      </w: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金额较大的其他应付款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893" w:type="dxa"/>
        <w:tblLayout w:type="fixed"/>
        <w:tblCellMar>
          <w:top w:w="0" w:type="dxa"/>
          <w:left w:w="0" w:type="dxa"/>
          <w:bottom w:w="0" w:type="dxa"/>
          <w:right w:w="0" w:type="dxa"/>
        </w:tblCellMar>
        <w:tblLook w:val="01E0"/>
      </w:tblPr>
      <w:tblGrid>
        <w:gridCol w:w="2040"/>
        <w:gridCol w:w="1438"/>
        <w:gridCol w:w="2122"/>
      </w:tblGrid>
      <w:tr>
        <w:trPr>
          <w:trHeight w:val="386" w:hRule="exact"/>
        </w:trPr>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销售佣金</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4,556,809.92</w:t>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7" w:right="0"/>
              <w:jc w:val="left"/>
              <w:rPr>
                <w:rFonts w:ascii="宋体" w:hAnsi="宋体" w:cs="宋体" w:eastAsia="宋体" w:hint="default"/>
                <w:sz w:val="18"/>
                <w:szCs w:val="18"/>
              </w:rPr>
            </w:pPr>
            <w:r>
              <w:rPr>
                <w:rFonts w:ascii="宋体" w:hAnsi="宋体" w:cs="宋体" w:eastAsia="宋体" w:hint="default"/>
                <w:sz w:val="18"/>
                <w:szCs w:val="18"/>
              </w:rPr>
              <w:t>按合同计提的佣金</w:t>
            </w:r>
          </w:p>
        </w:tc>
      </w:tr>
      <w:tr>
        <w:trPr>
          <w:trHeight w:val="385" w:hRule="exact"/>
        </w:trPr>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长春市科技发展中心</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3,000,000.00</w:t>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7" w:right="0"/>
              <w:jc w:val="left"/>
              <w:rPr>
                <w:rFonts w:ascii="宋体" w:hAnsi="宋体" w:cs="宋体" w:eastAsia="宋体" w:hint="default"/>
                <w:sz w:val="18"/>
                <w:szCs w:val="18"/>
              </w:rPr>
            </w:pPr>
            <w:r>
              <w:rPr>
                <w:rFonts w:ascii="宋体" w:hAnsi="宋体" w:cs="宋体" w:eastAsia="宋体" w:hint="default"/>
                <w:sz w:val="18"/>
                <w:szCs w:val="18"/>
              </w:rPr>
              <w:t>子公司长春聚明的增资款</w:t>
            </w:r>
          </w:p>
        </w:tc>
      </w:tr>
      <w:tr>
        <w:trPr>
          <w:trHeight w:val="390" w:hRule="exact"/>
        </w:trPr>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付绕</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pacing w:val="-1"/>
                <w:sz w:val="18"/>
              </w:rPr>
              <w:t>2,000,000.00</w:t>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子公司长春聚明的增资款</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spacing w:before="35"/>
        <w:ind w:left="245" w:right="194" w:firstLine="0"/>
        <w:jc w:val="left"/>
        <w:rPr>
          <w:rFonts w:ascii="宋体" w:hAnsi="宋体" w:cs="宋体" w:eastAsia="宋体" w:hint="default"/>
          <w:sz w:val="21"/>
          <w:szCs w:val="21"/>
        </w:rPr>
      </w:pPr>
      <w:r>
        <w:rPr/>
        <w:pict>
          <v:group style="position:absolute;margin-left:119.519997pt;margin-top:17.643673pt;width:389.9pt;height:228pt;mso-position-horizontal-relative:page;mso-position-vertical-relative:paragraph;z-index:-776296" coordorigin="2390,353" coordsize="7798,4560">
            <v:shape style="position:absolute;left:6596;top:353;width:1750;height:379" type="#_x0000_t75" stroked="false">
              <v:imagedata r:id="rId201" o:title=""/>
            </v:shape>
            <v:shape style="position:absolute;left:2390;top:693;width:7798;height:4219" type="#_x0000_t75" stroked="false">
              <v:imagedata r:id="rId202"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6"/>
          <w:sz w:val="21"/>
          <w:szCs w:val="21"/>
        </w:rPr>
        <w:t> </w:t>
      </w:r>
      <w:r>
        <w:rPr>
          <w:rFonts w:ascii="宋体" w:hAnsi="宋体" w:cs="宋体" w:eastAsia="宋体" w:hint="default"/>
          <w:b/>
          <w:bCs/>
          <w:sz w:val="21"/>
          <w:szCs w:val="21"/>
        </w:rPr>
        <w:t>其他非流动负债</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tbl>
      <w:tblPr>
        <w:tblW w:w="0" w:type="auto"/>
        <w:jc w:val="left"/>
        <w:tblInd w:w="942" w:type="dxa"/>
        <w:tblLayout w:type="fixed"/>
        <w:tblCellMar>
          <w:top w:w="0" w:type="dxa"/>
          <w:left w:w="0" w:type="dxa"/>
          <w:bottom w:w="0" w:type="dxa"/>
          <w:right w:w="0" w:type="dxa"/>
        </w:tblCellMar>
        <w:tblLook w:val="01E0"/>
      </w:tblPr>
      <w:tblGrid>
        <w:gridCol w:w="4275"/>
        <w:gridCol w:w="1792"/>
        <w:gridCol w:w="1543"/>
      </w:tblGrid>
      <w:tr>
        <w:trPr>
          <w:trHeight w:val="715" w:hRule="exact"/>
        </w:trPr>
        <w:tc>
          <w:tcPr>
            <w:tcW w:w="4275"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right="209"/>
              <w:jc w:val="center"/>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115"/>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、技术改造专项资金</w:t>
            </w:r>
            <w:r>
              <w:rPr>
                <w:rFonts w:ascii="Times New Roman" w:hAnsi="Times New Roman" w:cs="Times New Roman" w:eastAsia="Times New Roman" w:hint="default"/>
                <w:sz w:val="18"/>
                <w:szCs w:val="18"/>
              </w:rPr>
              <w:t>*1</w:t>
            </w:r>
          </w:p>
        </w:tc>
        <w:tc>
          <w:tcPr>
            <w:tcW w:w="1792"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353" w:right="0"/>
              <w:jc w:val="left"/>
              <w:rPr>
                <w:rFonts w:ascii="宋体" w:hAnsi="宋体" w:cs="宋体" w:eastAsia="宋体" w:hint="default"/>
                <w:sz w:val="18"/>
                <w:szCs w:val="18"/>
              </w:rPr>
            </w:pPr>
            <w:r>
              <w:rPr>
                <w:rFonts w:ascii="宋体" w:hAnsi="宋体" w:cs="宋体" w:eastAsia="宋体" w:hint="default"/>
                <w:sz w:val="18"/>
                <w:szCs w:val="18"/>
              </w:rPr>
              <w:t>年末余额</w:t>
            </w:r>
          </w:p>
          <w:p>
            <w:pPr>
              <w:pStyle w:val="TableParagraph"/>
              <w:spacing w:line="240" w:lineRule="auto" w:before="154"/>
              <w:ind w:left="422" w:right="0"/>
              <w:jc w:val="left"/>
              <w:rPr>
                <w:rFonts w:ascii="Times New Roman" w:hAnsi="Times New Roman" w:cs="Times New Roman" w:eastAsia="Times New Roman" w:hint="default"/>
                <w:sz w:val="18"/>
                <w:szCs w:val="18"/>
              </w:rPr>
            </w:pPr>
            <w:r>
              <w:rPr>
                <w:rFonts w:ascii="Times New Roman"/>
                <w:sz w:val="18"/>
              </w:rPr>
              <w:t>27,385,000.00</w:t>
            </w:r>
          </w:p>
        </w:tc>
        <w:tc>
          <w:tcPr>
            <w:tcW w:w="1543"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333"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154"/>
              <w:ind w:left="472" w:right="0"/>
              <w:jc w:val="left"/>
              <w:rPr>
                <w:rFonts w:ascii="Times New Roman" w:hAnsi="Times New Roman" w:cs="Times New Roman" w:eastAsia="Times New Roman" w:hint="default"/>
                <w:sz w:val="18"/>
                <w:szCs w:val="18"/>
              </w:rPr>
            </w:pPr>
            <w:r>
              <w:rPr>
                <w:rFonts w:ascii="Times New Roman"/>
                <w:sz w:val="18"/>
              </w:rPr>
              <w:t>27,760,000.00</w:t>
            </w:r>
          </w:p>
        </w:tc>
      </w:tr>
      <w:tr>
        <w:trPr>
          <w:trHeight w:val="350" w:hRule="exact"/>
        </w:trPr>
        <w:tc>
          <w:tcPr>
            <w:tcW w:w="42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、科技研发资金</w:t>
            </w:r>
            <w:r>
              <w:rPr>
                <w:rFonts w:ascii="Times New Roman" w:hAnsi="Times New Roman" w:cs="Times New Roman" w:eastAsia="Times New Roman" w:hint="default"/>
                <w:sz w:val="18"/>
                <w:szCs w:val="18"/>
              </w:rPr>
              <w:t>*2</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4"/>
              <w:jc w:val="right"/>
              <w:rPr>
                <w:rFonts w:ascii="Times New Roman" w:hAnsi="Times New Roman" w:cs="Times New Roman" w:eastAsia="Times New Roman" w:hint="default"/>
                <w:sz w:val="18"/>
                <w:szCs w:val="18"/>
              </w:rPr>
            </w:pPr>
            <w:r>
              <w:rPr>
                <w:rFonts w:ascii="Times New Roman"/>
                <w:spacing w:val="-1"/>
                <w:sz w:val="18"/>
              </w:rPr>
              <w:t>1,200,000.00</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
              <w:jc w:val="right"/>
              <w:rPr>
                <w:rFonts w:ascii="Times New Roman" w:hAnsi="Times New Roman" w:cs="Times New Roman" w:eastAsia="Times New Roman" w:hint="default"/>
                <w:sz w:val="18"/>
                <w:szCs w:val="18"/>
              </w:rPr>
            </w:pPr>
            <w:r>
              <w:rPr>
                <w:rFonts w:ascii="Times New Roman"/>
                <w:spacing w:val="-1"/>
                <w:sz w:val="18"/>
              </w:rPr>
              <w:t>1,550,000.00</w:t>
            </w:r>
          </w:p>
        </w:tc>
      </w:tr>
      <w:tr>
        <w:trPr>
          <w:trHeight w:val="350" w:hRule="exact"/>
        </w:trPr>
        <w:tc>
          <w:tcPr>
            <w:tcW w:w="42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、技术改造专项资金</w:t>
            </w:r>
            <w:r>
              <w:rPr>
                <w:rFonts w:ascii="Times New Roman" w:hAnsi="Times New Roman" w:cs="Times New Roman" w:eastAsia="Times New Roman" w:hint="default"/>
                <w:sz w:val="18"/>
                <w:szCs w:val="18"/>
              </w:rPr>
              <w:t>*3</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2"/>
              <w:jc w:val="right"/>
              <w:rPr>
                <w:rFonts w:ascii="Times New Roman" w:hAnsi="Times New Roman" w:cs="Times New Roman" w:eastAsia="Times New Roman" w:hint="default"/>
                <w:sz w:val="18"/>
                <w:szCs w:val="18"/>
              </w:rPr>
            </w:pPr>
            <w:r>
              <w:rPr>
                <w:rFonts w:ascii="Times New Roman"/>
                <w:spacing w:val="-1"/>
                <w:sz w:val="18"/>
              </w:rPr>
              <w:t>466,666.67</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
              <w:jc w:val="right"/>
              <w:rPr>
                <w:rFonts w:ascii="Times New Roman" w:hAnsi="Times New Roman" w:cs="Times New Roman" w:eastAsia="Times New Roman" w:hint="default"/>
                <w:sz w:val="18"/>
                <w:szCs w:val="18"/>
              </w:rPr>
            </w:pPr>
            <w:r>
              <w:rPr>
                <w:rFonts w:ascii="Times New Roman"/>
                <w:spacing w:val="-1"/>
                <w:sz w:val="18"/>
              </w:rPr>
              <w:t>1,866,666.67</w:t>
            </w:r>
          </w:p>
        </w:tc>
      </w:tr>
      <w:tr>
        <w:trPr>
          <w:trHeight w:val="350" w:hRule="exact"/>
        </w:trPr>
        <w:tc>
          <w:tcPr>
            <w:tcW w:w="42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、重大科技成果转化项目经费</w:t>
            </w:r>
            <w:r>
              <w:rPr>
                <w:rFonts w:ascii="Times New Roman" w:hAnsi="Times New Roman" w:cs="Times New Roman" w:eastAsia="Times New Roman" w:hint="default"/>
                <w:sz w:val="18"/>
                <w:szCs w:val="18"/>
              </w:rPr>
              <w:t>*4</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4"/>
              <w:jc w:val="right"/>
              <w:rPr>
                <w:rFonts w:ascii="Times New Roman" w:hAnsi="Times New Roman" w:cs="Times New Roman" w:eastAsia="Times New Roman" w:hint="default"/>
                <w:sz w:val="18"/>
                <w:szCs w:val="18"/>
              </w:rPr>
            </w:pPr>
            <w:r>
              <w:rPr>
                <w:rFonts w:ascii="Times New Roman"/>
                <w:spacing w:val="-1"/>
                <w:sz w:val="18"/>
              </w:rPr>
              <w:t>4,615,384.61</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
              <w:jc w:val="right"/>
              <w:rPr>
                <w:rFonts w:ascii="Times New Roman" w:hAnsi="Times New Roman" w:cs="Times New Roman" w:eastAsia="Times New Roman" w:hint="default"/>
                <w:sz w:val="18"/>
                <w:szCs w:val="18"/>
              </w:rPr>
            </w:pPr>
            <w:r>
              <w:rPr>
                <w:rFonts w:ascii="Times New Roman"/>
                <w:spacing w:val="-1"/>
                <w:sz w:val="18"/>
              </w:rPr>
              <w:t>9,230,769.23</w:t>
            </w:r>
          </w:p>
        </w:tc>
      </w:tr>
      <w:tr>
        <w:trPr>
          <w:trHeight w:val="350" w:hRule="exact"/>
        </w:trPr>
        <w:tc>
          <w:tcPr>
            <w:tcW w:w="42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PI</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纳米纤维电池隔膜产品（一期）项目</w:t>
            </w:r>
            <w:r>
              <w:rPr>
                <w:rFonts w:ascii="Times New Roman" w:hAnsi="Times New Roman" w:cs="Times New Roman" w:eastAsia="Times New Roman" w:hint="default"/>
                <w:sz w:val="18"/>
                <w:szCs w:val="18"/>
              </w:rPr>
              <w:t>*5</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3"/>
              <w:jc w:val="right"/>
              <w:rPr>
                <w:rFonts w:ascii="Times New Roman" w:hAnsi="Times New Roman" w:cs="Times New Roman" w:eastAsia="Times New Roman" w:hint="default"/>
                <w:sz w:val="18"/>
                <w:szCs w:val="18"/>
              </w:rPr>
            </w:pPr>
            <w:r>
              <w:rPr>
                <w:rFonts w:ascii="Times New Roman"/>
                <w:spacing w:val="-1"/>
                <w:sz w:val="18"/>
              </w:rPr>
              <w:t>17,730,000.00</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50" w:hRule="exact"/>
        </w:trPr>
        <w:tc>
          <w:tcPr>
            <w:tcW w:w="42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3000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吨耐热聚酰亚胺纤维产业化</w:t>
            </w:r>
            <w:r>
              <w:rPr>
                <w:rFonts w:ascii="Times New Roman" w:hAnsi="Times New Roman" w:cs="Times New Roman" w:eastAsia="Times New Roman" w:hint="default"/>
                <w:sz w:val="18"/>
                <w:szCs w:val="18"/>
              </w:rPr>
              <w:t>*6</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3"/>
              <w:jc w:val="right"/>
              <w:rPr>
                <w:rFonts w:ascii="Times New Roman" w:hAnsi="Times New Roman" w:cs="Times New Roman" w:eastAsia="Times New Roman" w:hint="default"/>
                <w:sz w:val="18"/>
                <w:szCs w:val="18"/>
              </w:rPr>
            </w:pPr>
            <w:r>
              <w:rPr>
                <w:rFonts w:ascii="Times New Roman"/>
                <w:spacing w:val="-1"/>
                <w:sz w:val="18"/>
              </w:rPr>
              <w:t>10,000,000.00</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50" w:hRule="exact"/>
        </w:trPr>
        <w:tc>
          <w:tcPr>
            <w:tcW w:w="42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、双十项目</w:t>
            </w:r>
            <w:r>
              <w:rPr>
                <w:rFonts w:ascii="Times New Roman" w:hAnsi="Times New Roman" w:cs="Times New Roman" w:eastAsia="Times New Roman" w:hint="default"/>
                <w:sz w:val="18"/>
                <w:szCs w:val="18"/>
              </w:rPr>
              <w:t>*7</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3"/>
              <w:jc w:val="right"/>
              <w:rPr>
                <w:rFonts w:ascii="Times New Roman" w:hAnsi="Times New Roman" w:cs="Times New Roman" w:eastAsia="Times New Roman" w:hint="default"/>
                <w:sz w:val="18"/>
                <w:szCs w:val="18"/>
              </w:rPr>
            </w:pPr>
            <w:r>
              <w:rPr>
                <w:rFonts w:ascii="Times New Roman"/>
                <w:sz w:val="18"/>
              </w:rPr>
              <w:t>465,500.00</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50" w:hRule="exact"/>
        </w:trPr>
        <w:tc>
          <w:tcPr>
            <w:tcW w:w="42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、省校合作项目</w:t>
            </w:r>
            <w:r>
              <w:rPr>
                <w:rFonts w:ascii="Times New Roman" w:hAnsi="Times New Roman" w:cs="Times New Roman" w:eastAsia="Times New Roman" w:hint="default"/>
                <w:sz w:val="18"/>
                <w:szCs w:val="18"/>
              </w:rPr>
              <w:t>*8</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3"/>
              <w:jc w:val="right"/>
              <w:rPr>
                <w:rFonts w:ascii="Times New Roman" w:hAnsi="Times New Roman" w:cs="Times New Roman" w:eastAsia="Times New Roman" w:hint="default"/>
                <w:sz w:val="18"/>
                <w:szCs w:val="18"/>
              </w:rPr>
            </w:pPr>
            <w:r>
              <w:rPr>
                <w:rFonts w:ascii="Times New Roman"/>
                <w:sz w:val="18"/>
              </w:rPr>
              <w:t>423,076.92</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50" w:hRule="exact"/>
        </w:trPr>
        <w:tc>
          <w:tcPr>
            <w:tcW w:w="42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、耐热聚酰亚胺产业化项目</w:t>
            </w:r>
            <w:r>
              <w:rPr>
                <w:rFonts w:ascii="Times New Roman" w:hAnsi="Times New Roman" w:cs="Times New Roman" w:eastAsia="Times New Roman" w:hint="default"/>
                <w:sz w:val="18"/>
                <w:szCs w:val="18"/>
              </w:rPr>
              <w:t>*9</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3"/>
              <w:jc w:val="right"/>
              <w:rPr>
                <w:rFonts w:ascii="Times New Roman" w:hAnsi="Times New Roman" w:cs="Times New Roman" w:eastAsia="Times New Roman" w:hint="default"/>
                <w:sz w:val="18"/>
                <w:szCs w:val="18"/>
              </w:rPr>
            </w:pPr>
            <w:r>
              <w:rPr>
                <w:rFonts w:ascii="Times New Roman"/>
                <w:spacing w:val="-1"/>
                <w:sz w:val="18"/>
              </w:rPr>
              <w:t>4,800,000.00</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50" w:hRule="exact"/>
        </w:trPr>
        <w:tc>
          <w:tcPr>
            <w:tcW w:w="42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300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吨聚酰亚胺纤维项目</w:t>
            </w:r>
            <w:r>
              <w:rPr>
                <w:rFonts w:ascii="Times New Roman" w:hAnsi="Times New Roman" w:cs="Times New Roman" w:eastAsia="Times New Roman" w:hint="default"/>
                <w:sz w:val="18"/>
                <w:szCs w:val="18"/>
              </w:rPr>
              <w:t>*10</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3"/>
              <w:jc w:val="right"/>
              <w:rPr>
                <w:rFonts w:ascii="Times New Roman" w:hAnsi="Times New Roman" w:cs="Times New Roman" w:eastAsia="Times New Roman" w:hint="default"/>
                <w:sz w:val="18"/>
                <w:szCs w:val="18"/>
              </w:rPr>
            </w:pPr>
            <w:r>
              <w:rPr>
                <w:rFonts w:ascii="Times New Roman"/>
                <w:spacing w:val="-1"/>
                <w:sz w:val="18"/>
              </w:rPr>
              <w:t>2,480,279.72</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50" w:hRule="exact"/>
        </w:trPr>
        <w:tc>
          <w:tcPr>
            <w:tcW w:w="42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11</w:t>
            </w:r>
            <w:r>
              <w:rPr>
                <w:rFonts w:ascii="宋体" w:hAnsi="宋体" w:cs="宋体" w:eastAsia="宋体" w:hint="default"/>
                <w:sz w:val="18"/>
                <w:szCs w:val="18"/>
              </w:rPr>
              <w:t>、可弯曲白光</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OLED</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照明用柔性透明导电膜</w:t>
            </w:r>
            <w:r>
              <w:rPr>
                <w:rFonts w:ascii="Times New Roman" w:hAnsi="Times New Roman" w:cs="Times New Roman" w:eastAsia="Times New Roman" w:hint="default"/>
                <w:sz w:val="18"/>
                <w:szCs w:val="18"/>
              </w:rPr>
              <w:t>*11</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3"/>
              <w:jc w:val="right"/>
              <w:rPr>
                <w:rFonts w:ascii="Times New Roman" w:hAnsi="Times New Roman" w:cs="Times New Roman" w:eastAsia="Times New Roman" w:hint="default"/>
                <w:sz w:val="18"/>
                <w:szCs w:val="18"/>
              </w:rPr>
            </w:pPr>
            <w:r>
              <w:rPr>
                <w:rFonts w:ascii="Times New Roman"/>
                <w:spacing w:val="-1"/>
                <w:sz w:val="18"/>
              </w:rPr>
              <w:t>350,000.00</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55" w:hRule="exact"/>
        </w:trPr>
        <w:tc>
          <w:tcPr>
            <w:tcW w:w="427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09"/>
              <w:jc w:val="center"/>
              <w:rPr>
                <w:rFonts w:ascii="宋体" w:hAnsi="宋体" w:cs="宋体" w:eastAsia="宋体" w:hint="default"/>
                <w:sz w:val="18"/>
                <w:szCs w:val="18"/>
              </w:rPr>
            </w:pPr>
            <w:r>
              <w:rPr>
                <w:rFonts w:ascii="宋体" w:hAnsi="宋体" w:cs="宋体" w:eastAsia="宋体" w:hint="default"/>
                <w:sz w:val="18"/>
                <w:szCs w:val="18"/>
              </w:rPr>
              <w:t>合计</w:t>
            </w:r>
          </w:p>
        </w:tc>
        <w:tc>
          <w:tcPr>
            <w:tcW w:w="1792" w:type="dxa"/>
            <w:tcBorders>
              <w:top w:val="nil" w:sz="6" w:space="0" w:color="auto"/>
              <w:left w:val="nil" w:sz="6" w:space="0" w:color="auto"/>
              <w:bottom w:val="single" w:sz="12" w:space="0" w:color="000000"/>
              <w:right w:val="nil" w:sz="6" w:space="0" w:color="auto"/>
            </w:tcBorders>
          </w:tcPr>
          <w:p>
            <w:pPr>
              <w:pStyle w:val="TableParagraph"/>
              <w:spacing w:line="240" w:lineRule="auto" w:before="64"/>
              <w:ind w:right="332"/>
              <w:jc w:val="right"/>
              <w:rPr>
                <w:rFonts w:ascii="Times New Roman" w:hAnsi="Times New Roman" w:cs="Times New Roman" w:eastAsia="Times New Roman" w:hint="default"/>
                <w:sz w:val="18"/>
                <w:szCs w:val="18"/>
              </w:rPr>
            </w:pPr>
            <w:r>
              <w:rPr>
                <w:rFonts w:ascii="Times New Roman"/>
                <w:spacing w:val="-1"/>
                <w:sz w:val="18"/>
              </w:rPr>
              <w:t>69,915,907.92</w:t>
            </w:r>
          </w:p>
        </w:tc>
        <w:tc>
          <w:tcPr>
            <w:tcW w:w="1543" w:type="dxa"/>
            <w:tcBorders>
              <w:top w:val="nil" w:sz="6" w:space="0" w:color="auto"/>
              <w:left w:val="nil" w:sz="6" w:space="0" w:color="auto"/>
              <w:bottom w:val="single" w:sz="12" w:space="0" w:color="000000"/>
              <w:right w:val="nil" w:sz="6" w:space="0" w:color="auto"/>
            </w:tcBorders>
          </w:tcPr>
          <w:p>
            <w:pPr>
              <w:pStyle w:val="TableParagraph"/>
              <w:spacing w:line="240" w:lineRule="auto" w:before="64"/>
              <w:ind w:right="33"/>
              <w:jc w:val="right"/>
              <w:rPr>
                <w:rFonts w:ascii="Times New Roman" w:hAnsi="Times New Roman" w:cs="Times New Roman" w:eastAsia="Times New Roman" w:hint="default"/>
                <w:sz w:val="18"/>
                <w:szCs w:val="18"/>
              </w:rPr>
            </w:pPr>
            <w:r>
              <w:rPr>
                <w:rFonts w:ascii="Times New Roman"/>
                <w:spacing w:val="-1"/>
                <w:sz w:val="18"/>
              </w:rPr>
              <w:t>40,407,435.90</w:t>
            </w:r>
          </w:p>
        </w:tc>
      </w:tr>
    </w:tbl>
    <w:p>
      <w:pPr>
        <w:spacing w:line="331" w:lineRule="auto" w:before="78"/>
        <w:ind w:left="875" w:right="194"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根据吉经开财</w:t>
      </w:r>
      <w:r>
        <w:rPr>
          <w:rFonts w:ascii="Times New Roman" w:hAnsi="Times New Roman" w:cs="Times New Roman" w:eastAsia="Times New Roman" w:hint="default"/>
          <w:sz w:val="21"/>
          <w:szCs w:val="21"/>
        </w:rPr>
        <w:t>[2010]4 </w:t>
      </w:r>
      <w:r>
        <w:rPr>
          <w:rFonts w:ascii="宋体" w:hAnsi="宋体" w:cs="宋体" w:eastAsia="宋体" w:hint="default"/>
          <w:spacing w:val="-3"/>
          <w:sz w:val="21"/>
          <w:szCs w:val="21"/>
        </w:rPr>
        <w:t>号技术改造补助资金通知，本公司之子公司吉林高琦于</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年收到吉林经济技术开发区财政局拨入技术改造资金</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9,000,000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元，用于聚酰亚胺项 目</w:t>
      </w:r>
      <w:r>
        <w:rPr>
          <w:rFonts w:ascii="Times New Roman" w:hAnsi="Times New Roman" w:cs="Times New Roman" w:eastAsia="Times New Roman" w:hint="default"/>
          <w:sz w:val="21"/>
          <w:szCs w:val="21"/>
        </w:rPr>
        <w:t>-</w:t>
      </w:r>
      <w:r>
        <w:rPr>
          <w:rFonts w:ascii="宋体" w:hAnsi="宋体" w:cs="宋体" w:eastAsia="宋体" w:hint="default"/>
          <w:sz w:val="21"/>
          <w:szCs w:val="21"/>
        </w:rPr>
        <w:t>氯代苯酐生产线技术改造。本年技术改造完毕，按照购入的机器设备的折旧年限</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分期将递延收益平均分摊入损益，本年确认当期收益的金额为</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375,000.00</w:t>
      </w:r>
      <w:r>
        <w:rPr>
          <w:rFonts w:ascii="Times New Roman" w:hAnsi="Times New Roman" w:cs="Times New Roman" w:eastAsia="Times New Roman" w:hint="default"/>
          <w:spacing w:val="-23"/>
          <w:sz w:val="21"/>
          <w:szCs w:val="21"/>
        </w:rPr>
        <w:t> </w:t>
      </w:r>
      <w:r>
        <w:rPr>
          <w:rFonts w:ascii="宋体" w:hAnsi="宋体" w:cs="宋体" w:eastAsia="宋体" w:hint="default"/>
          <w:spacing w:val="-8"/>
          <w:sz w:val="21"/>
          <w:szCs w:val="21"/>
        </w:rPr>
        <w:t>元，年末递</w:t>
      </w:r>
    </w:p>
    <w:p>
      <w:pPr>
        <w:spacing w:before="20"/>
        <w:ind w:left="875" w:right="0" w:firstLine="0"/>
        <w:jc w:val="both"/>
        <w:rPr>
          <w:rFonts w:ascii="宋体" w:hAnsi="宋体" w:cs="宋体" w:eastAsia="宋体" w:hint="default"/>
          <w:sz w:val="21"/>
          <w:szCs w:val="21"/>
        </w:rPr>
      </w:pPr>
      <w:r>
        <w:rPr>
          <w:rFonts w:ascii="宋体" w:hAnsi="宋体" w:cs="宋体" w:eastAsia="宋体" w:hint="default"/>
          <w:sz w:val="21"/>
          <w:szCs w:val="21"/>
        </w:rPr>
        <w:t>延收益的余额为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8,625,000.00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after="0"/>
        <w:jc w:val="both"/>
        <w:rPr>
          <w:rFonts w:ascii="宋体" w:hAnsi="宋体" w:cs="宋体" w:eastAsia="宋体" w:hint="default"/>
          <w:sz w:val="21"/>
          <w:szCs w:val="21"/>
        </w:rPr>
        <w:sectPr>
          <w:pgSz w:w="11910" w:h="16840"/>
          <w:pgMar w:header="0" w:footer="1270" w:top="1360" w:bottom="1460" w:left="1540" w:right="1600"/>
        </w:sectPr>
      </w:pPr>
    </w:p>
    <w:p>
      <w:pPr>
        <w:spacing w:line="240" w:lineRule="auto" w:before="0"/>
        <w:rPr>
          <w:rFonts w:ascii="宋体" w:hAnsi="宋体" w:cs="宋体" w:eastAsia="宋体" w:hint="default"/>
          <w:sz w:val="10"/>
          <w:szCs w:val="10"/>
        </w:rPr>
      </w:pPr>
    </w:p>
    <w:p>
      <w:pPr>
        <w:spacing w:before="35"/>
        <w:ind w:left="875" w:right="0" w:firstLine="0"/>
        <w:jc w:val="both"/>
        <w:rPr>
          <w:rFonts w:ascii="Times New Roman" w:hAnsi="Times New Roman" w:cs="Times New Roman" w:eastAsia="Times New Roman" w:hint="default"/>
          <w:sz w:val="21"/>
          <w:szCs w:val="21"/>
        </w:rPr>
      </w:pPr>
      <w:r>
        <w:rPr>
          <w:rFonts w:ascii="宋体" w:hAnsi="宋体" w:cs="宋体" w:eastAsia="宋体" w:hint="default"/>
          <w:sz w:val="21"/>
          <w:szCs w:val="21"/>
        </w:rPr>
        <w:t>根据吉经开财</w:t>
      </w:r>
      <w:r>
        <w:rPr>
          <w:rFonts w:ascii="Times New Roman" w:hAnsi="Times New Roman" w:cs="Times New Roman" w:eastAsia="Times New Roman" w:hint="default"/>
          <w:sz w:val="21"/>
          <w:szCs w:val="21"/>
        </w:rPr>
        <w:t>[2010]19  </w:t>
      </w:r>
      <w:r>
        <w:rPr>
          <w:rFonts w:ascii="宋体" w:hAnsi="宋体" w:cs="宋体" w:eastAsia="宋体" w:hint="default"/>
          <w:sz w:val="21"/>
          <w:szCs w:val="21"/>
        </w:rPr>
        <w:t>号技术改造补助资金通知，本公司之子公司吉林高琦于</w:t>
      </w:r>
      <w:r>
        <w:rPr>
          <w:rFonts w:ascii="宋体" w:hAnsi="宋体" w:cs="宋体" w:eastAsia="宋体" w:hint="default"/>
          <w:spacing w:val="-16"/>
          <w:sz w:val="21"/>
          <w:szCs w:val="21"/>
        </w:rPr>
        <w:t> </w:t>
      </w:r>
      <w:r>
        <w:rPr>
          <w:rFonts w:ascii="Times New Roman" w:hAnsi="Times New Roman" w:cs="Times New Roman" w:eastAsia="Times New Roman" w:hint="default"/>
          <w:sz w:val="21"/>
          <w:szCs w:val="21"/>
        </w:rPr>
        <w:t>2010</w:t>
      </w:r>
    </w:p>
    <w:p>
      <w:pPr>
        <w:spacing w:line="331" w:lineRule="auto" w:before="109"/>
        <w:ind w:left="875" w:right="136" w:firstLine="0"/>
        <w:jc w:val="both"/>
        <w:rPr>
          <w:rFonts w:ascii="宋体" w:hAnsi="宋体" w:cs="宋体" w:eastAsia="宋体" w:hint="default"/>
          <w:sz w:val="21"/>
          <w:szCs w:val="21"/>
        </w:rPr>
      </w:pPr>
      <w:r>
        <w:rPr>
          <w:rFonts w:ascii="宋体" w:hAnsi="宋体" w:cs="宋体" w:eastAsia="宋体" w:hint="default"/>
          <w:sz w:val="21"/>
          <w:szCs w:val="21"/>
        </w:rPr>
        <w:t>年收到吉林经济技术开发区财政局拨入技术改造财政补助资金 </w:t>
      </w:r>
      <w:r>
        <w:rPr>
          <w:rFonts w:ascii="Times New Roman" w:hAnsi="Times New Roman" w:cs="Times New Roman" w:eastAsia="Times New Roman" w:hint="default"/>
          <w:sz w:val="21"/>
          <w:szCs w:val="21"/>
        </w:rPr>
        <w:t>18,760,000.00</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元，用 于聚酰亚胺项目</w:t>
      </w:r>
      <w:r>
        <w:rPr>
          <w:rFonts w:ascii="Times New Roman" w:hAnsi="Times New Roman" w:cs="Times New Roman" w:eastAsia="Times New Roman" w:hint="default"/>
          <w:sz w:val="21"/>
          <w:szCs w:val="21"/>
        </w:rPr>
        <w:t>-</w:t>
      </w:r>
      <w:r>
        <w:rPr>
          <w:rFonts w:ascii="宋体" w:hAnsi="宋体" w:cs="宋体" w:eastAsia="宋体" w:hint="default"/>
          <w:sz w:val="21"/>
          <w:szCs w:val="21"/>
        </w:rPr>
        <w:t>聚酰亚胺纤维技术改造。因聚酰亚胺纤维技术改造尚未完成，本年</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未确认收益，年末递延收益的余额为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18,760,000.00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3"/>
        <w:rPr>
          <w:rFonts w:ascii="宋体" w:hAnsi="宋体" w:cs="宋体" w:eastAsia="宋体" w:hint="default"/>
          <w:sz w:val="32"/>
          <w:szCs w:val="32"/>
        </w:rPr>
      </w:pPr>
    </w:p>
    <w:p>
      <w:pPr>
        <w:spacing w:line="336" w:lineRule="auto" w:before="0"/>
        <w:ind w:left="875" w:right="134"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 </w:t>
      </w:r>
      <w:r>
        <w:rPr>
          <w:rFonts w:ascii="宋体" w:hAnsi="宋体" w:cs="宋体" w:eastAsia="宋体" w:hint="default"/>
          <w:sz w:val="21"/>
          <w:szCs w:val="21"/>
        </w:rPr>
        <w:t>根据深科信〔</w:t>
      </w:r>
      <w:r>
        <w:rPr>
          <w:rFonts w:ascii="Times New Roman" w:hAnsi="Times New Roman" w:cs="Times New Roman" w:eastAsia="Times New Roman" w:hint="default"/>
          <w:sz w:val="21"/>
          <w:szCs w:val="21"/>
        </w:rPr>
        <w:t>2009</w:t>
      </w:r>
      <w:r>
        <w:rPr>
          <w:rFonts w:ascii="宋体" w:hAnsi="宋体" w:cs="宋体" w:eastAsia="宋体" w:hint="default"/>
          <w:sz w:val="21"/>
          <w:szCs w:val="21"/>
        </w:rPr>
        <w:t>〕</w:t>
      </w:r>
      <w:r>
        <w:rPr>
          <w:rFonts w:ascii="Times New Roman" w:hAnsi="Times New Roman" w:cs="Times New Roman" w:eastAsia="Times New Roman" w:hint="default"/>
          <w:sz w:val="21"/>
          <w:szCs w:val="21"/>
        </w:rPr>
        <w:t>202 </w:t>
      </w:r>
      <w:r>
        <w:rPr>
          <w:rFonts w:ascii="宋体" w:hAnsi="宋体" w:cs="宋体" w:eastAsia="宋体" w:hint="default"/>
          <w:sz w:val="21"/>
          <w:szCs w:val="21"/>
        </w:rPr>
        <w:t>号科技研发资金技术研究开发计划，本公司于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4"/>
          <w:sz w:val="21"/>
          <w:szCs w:val="21"/>
        </w:rPr>
        <w:t> </w:t>
      </w:r>
      <w:r>
        <w:rPr>
          <w:rFonts w:ascii="宋体" w:hAnsi="宋体" w:cs="宋体" w:eastAsia="宋体" w:hint="default"/>
          <w:sz w:val="21"/>
          <w:szCs w:val="21"/>
        </w:rPr>
        <w:t>年收</w:t>
      </w:r>
      <w:r>
        <w:rPr>
          <w:rFonts w:ascii="宋体" w:hAnsi="宋体" w:cs="宋体" w:eastAsia="宋体" w:hint="default"/>
          <w:spacing w:val="1"/>
          <w:sz w:val="21"/>
          <w:szCs w:val="21"/>
        </w:rPr>
        <w:t> </w:t>
      </w:r>
      <w:r>
        <w:rPr>
          <w:rFonts w:ascii="宋体" w:hAnsi="宋体" w:cs="宋体" w:eastAsia="宋体" w:hint="default"/>
          <w:sz w:val="21"/>
          <w:szCs w:val="21"/>
        </w:rPr>
        <w:t>到深圳市财政局拨入的科技研发资金</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1,200,000.00</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元，用于研发新型高性能高分子材 </w:t>
      </w:r>
      <w:r>
        <w:rPr>
          <w:rFonts w:ascii="宋体" w:hAnsi="宋体" w:cs="宋体" w:eastAsia="宋体" w:hint="default"/>
          <w:spacing w:val="-3"/>
          <w:sz w:val="21"/>
          <w:szCs w:val="21"/>
        </w:rPr>
        <w:t>料、金属复合材料及结构件。截止年末，该款项尚未使用，未确认收益，年末递延收</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益的余额为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1,200,000.00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p>
    <w:p>
      <w:pPr>
        <w:spacing w:line="336" w:lineRule="auto" w:before="16"/>
        <w:ind w:left="875" w:right="137" w:firstLine="0"/>
        <w:jc w:val="both"/>
        <w:rPr>
          <w:rFonts w:ascii="宋体" w:hAnsi="宋体" w:cs="宋体" w:eastAsia="宋体" w:hint="default"/>
          <w:sz w:val="21"/>
          <w:szCs w:val="21"/>
        </w:rPr>
      </w:pPr>
      <w:r>
        <w:rPr>
          <w:rFonts w:ascii="宋体" w:hAnsi="宋体" w:cs="宋体" w:eastAsia="宋体" w:hint="default"/>
          <w:spacing w:val="-3"/>
          <w:sz w:val="21"/>
          <w:szCs w:val="21"/>
        </w:rPr>
        <w:t>根据长科发〔</w:t>
      </w:r>
      <w:r>
        <w:rPr>
          <w:rFonts w:ascii="Times New Roman" w:hAnsi="Times New Roman" w:cs="Times New Roman" w:eastAsia="Times New Roman" w:hint="default"/>
          <w:spacing w:val="-3"/>
          <w:sz w:val="21"/>
          <w:szCs w:val="21"/>
        </w:rPr>
        <w:t>2009</w:t>
      </w: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82</w:t>
      </w:r>
      <w:r>
        <w:rPr>
          <w:rFonts w:ascii="Times New Roman" w:hAnsi="Times New Roman" w:cs="Times New Roman" w:eastAsia="Times New Roman" w:hint="default"/>
          <w:sz w:val="21"/>
          <w:szCs w:val="21"/>
        </w:rPr>
        <w:t> </w:t>
      </w:r>
      <w:r>
        <w:rPr>
          <w:rFonts w:ascii="宋体" w:hAnsi="宋体" w:cs="宋体" w:eastAsia="宋体" w:hint="default"/>
          <w:sz w:val="21"/>
          <w:szCs w:val="21"/>
        </w:rPr>
        <w:t>号关于下达</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年度长春市科技基础条件平台建设计划项目 的通知，本公司之子公司长春高琦于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年收到财政拨款</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700,000.00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元，用于建设 </w:t>
      </w:r>
      <w:r>
        <w:rPr>
          <w:rFonts w:ascii="宋体" w:hAnsi="宋体" w:cs="宋体" w:eastAsia="宋体" w:hint="default"/>
          <w:spacing w:val="-3"/>
          <w:sz w:val="21"/>
          <w:szCs w:val="21"/>
        </w:rPr>
        <w:t>聚酰亚胺（新材料）科技研发中心。长春高琦收到款后，按照项目剩余期限分期确认</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pacing w:val="-3"/>
          <w:sz w:val="21"/>
          <w:szCs w:val="21"/>
        </w:rPr>
        <w:t>收益，预计项目期限为</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4"/>
          <w:sz w:val="21"/>
          <w:szCs w:val="21"/>
        </w:rPr>
        <w:t> </w:t>
      </w:r>
      <w:r>
        <w:rPr>
          <w:rFonts w:ascii="宋体" w:hAnsi="宋体" w:cs="宋体" w:eastAsia="宋体" w:hint="default"/>
          <w:spacing w:val="-3"/>
          <w:sz w:val="21"/>
          <w:szCs w:val="21"/>
        </w:rPr>
        <w:t>年，以前年度确认收益的金额为</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350,000.00</w:t>
      </w:r>
      <w:r>
        <w:rPr>
          <w:rFonts w:ascii="Times New Roman" w:hAnsi="Times New Roman" w:cs="Times New Roman" w:eastAsia="Times New Roman" w:hint="default"/>
          <w:spacing w:val="4"/>
          <w:sz w:val="21"/>
          <w:szCs w:val="21"/>
        </w:rPr>
        <w:t> </w:t>
      </w:r>
      <w:r>
        <w:rPr>
          <w:rFonts w:ascii="宋体" w:hAnsi="宋体" w:cs="宋体" w:eastAsia="宋体" w:hint="default"/>
          <w:spacing w:val="-5"/>
          <w:sz w:val="21"/>
          <w:szCs w:val="21"/>
        </w:rPr>
        <w:t>元，本年确认收</w:t>
      </w:r>
    </w:p>
    <w:p>
      <w:pPr>
        <w:spacing w:before="16"/>
        <w:ind w:left="875" w:right="0" w:firstLine="0"/>
        <w:jc w:val="both"/>
        <w:rPr>
          <w:rFonts w:ascii="宋体" w:hAnsi="宋体" w:cs="宋体" w:eastAsia="宋体" w:hint="default"/>
          <w:sz w:val="21"/>
          <w:szCs w:val="21"/>
        </w:rPr>
      </w:pPr>
      <w:r>
        <w:rPr>
          <w:rFonts w:ascii="宋体" w:hAnsi="宋体" w:cs="宋体" w:eastAsia="宋体" w:hint="default"/>
          <w:sz w:val="21"/>
          <w:szCs w:val="21"/>
        </w:rPr>
        <w:t>益的金额为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350,000.00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元。截止年末，递延收益已确认完毕，无余额。</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before="0"/>
        <w:ind w:left="875"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根据长工信字〔</w:t>
      </w:r>
      <w:r>
        <w:rPr>
          <w:rFonts w:ascii="Times New Roman" w:hAnsi="Times New Roman" w:cs="Times New Roman" w:eastAsia="Times New Roman" w:hint="default"/>
          <w:sz w:val="21"/>
          <w:szCs w:val="21"/>
        </w:rPr>
        <w:t>2010</w:t>
      </w:r>
      <w:r>
        <w:rPr>
          <w:rFonts w:ascii="宋体" w:hAnsi="宋体" w:cs="宋体" w:eastAsia="宋体" w:hint="default"/>
          <w:sz w:val="21"/>
          <w:szCs w:val="21"/>
        </w:rPr>
        <w:t>〕</w:t>
      </w:r>
      <w:r>
        <w:rPr>
          <w:rFonts w:ascii="Times New Roman" w:hAnsi="Times New Roman" w:cs="Times New Roman" w:eastAsia="Times New Roman" w:hint="default"/>
          <w:sz w:val="21"/>
          <w:szCs w:val="21"/>
        </w:rPr>
        <w:t>346</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号转发省工信厅吉工信投资〔</w:t>
      </w:r>
      <w:r>
        <w:rPr>
          <w:rFonts w:ascii="Times New Roman" w:hAnsi="Times New Roman" w:cs="Times New Roman" w:eastAsia="Times New Roman" w:hint="default"/>
          <w:sz w:val="21"/>
          <w:szCs w:val="21"/>
        </w:rPr>
        <w:t>2010</w:t>
      </w:r>
      <w:r>
        <w:rPr>
          <w:rFonts w:ascii="宋体" w:hAnsi="宋体" w:cs="宋体" w:eastAsia="宋体" w:hint="default"/>
          <w:sz w:val="21"/>
          <w:szCs w:val="21"/>
        </w:rPr>
        <w:t>〕</w:t>
      </w:r>
      <w:r>
        <w:rPr>
          <w:rFonts w:ascii="Times New Roman" w:hAnsi="Times New Roman" w:cs="Times New Roman" w:eastAsia="Times New Roman" w:hint="default"/>
          <w:sz w:val="21"/>
          <w:szCs w:val="21"/>
        </w:rPr>
        <w:t>749</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号《关于下达</w:t>
      </w:r>
    </w:p>
    <w:p>
      <w:pPr>
        <w:spacing w:before="109"/>
        <w:ind w:left="875"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年度省企业技术改造专项资金投资计划的通知》</w:t>
      </w:r>
      <w:r>
        <w:rPr>
          <w:rFonts w:ascii="宋体" w:hAnsi="宋体" w:cs="宋体" w:eastAsia="宋体" w:hint="default"/>
          <w:spacing w:val="-32"/>
          <w:sz w:val="21"/>
          <w:szCs w:val="21"/>
        </w:rPr>
        <w:t> </w:t>
      </w:r>
      <w:r>
        <w:rPr>
          <w:rFonts w:ascii="宋体" w:hAnsi="宋体" w:cs="宋体" w:eastAsia="宋体" w:hint="default"/>
          <w:sz w:val="21"/>
          <w:szCs w:val="21"/>
        </w:rPr>
        <w:t>，本公司之子公司长春高琦于</w:t>
      </w:r>
    </w:p>
    <w:p>
      <w:pPr>
        <w:spacing w:line="338" w:lineRule="auto" w:before="110"/>
        <w:ind w:left="875" w:right="136"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年收到补助资金</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2,400,000.00</w:t>
      </w:r>
      <w:r>
        <w:rPr>
          <w:rFonts w:ascii="Times New Roman" w:hAnsi="Times New Roman" w:cs="Times New Roman" w:eastAsia="Times New Roman" w:hint="default"/>
          <w:spacing w:val="-1"/>
          <w:sz w:val="21"/>
          <w:szCs w:val="21"/>
        </w:rPr>
        <w:t> </w:t>
      </w:r>
      <w:r>
        <w:rPr>
          <w:rFonts w:ascii="宋体" w:hAnsi="宋体" w:cs="宋体" w:eastAsia="宋体" w:hint="default"/>
          <w:spacing w:val="-4"/>
          <w:sz w:val="21"/>
          <w:szCs w:val="21"/>
        </w:rPr>
        <w:t>元，用于高性能耐热聚酰亚胺纤维产业化项目。长</w:t>
      </w:r>
      <w:r>
        <w:rPr>
          <w:rFonts w:ascii="宋体" w:hAnsi="宋体" w:cs="宋体" w:eastAsia="宋体" w:hint="default"/>
          <w:sz w:val="21"/>
          <w:szCs w:val="21"/>
        </w:rPr>
        <w:t> </w:t>
      </w:r>
      <w:r>
        <w:rPr>
          <w:rFonts w:ascii="宋体" w:hAnsi="宋体" w:cs="宋体" w:eastAsia="宋体" w:hint="default"/>
          <w:spacing w:val="-3"/>
          <w:sz w:val="21"/>
          <w:szCs w:val="21"/>
        </w:rPr>
        <w:t>期高琦收到款后，按照项目剩余期限分期确认递延收益，以前年度累计确认收益的金</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额为</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533,333.33</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元，本年确认的收益金额为</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1,400,000.00</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元，年末递延收益的余额为</w:t>
      </w:r>
    </w:p>
    <w:p>
      <w:pPr>
        <w:spacing w:before="14"/>
        <w:ind w:left="875"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466,666.67</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spacing w:line="331" w:lineRule="auto" w:before="0"/>
        <w:ind w:left="875" w:right="109"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*4 </w:t>
      </w:r>
      <w:r>
        <w:rPr>
          <w:rFonts w:ascii="宋体" w:hAnsi="宋体" w:cs="宋体" w:eastAsia="宋体" w:hint="default"/>
          <w:sz w:val="21"/>
          <w:szCs w:val="21"/>
        </w:rPr>
        <w:t>根据长财教指〔</w:t>
      </w:r>
      <w:r>
        <w:rPr>
          <w:rFonts w:ascii="Times New Roman" w:hAnsi="Times New Roman" w:cs="Times New Roman" w:eastAsia="Times New Roman" w:hint="default"/>
          <w:sz w:val="21"/>
          <w:szCs w:val="21"/>
        </w:rPr>
        <w:t>2010</w:t>
      </w:r>
      <w:r>
        <w:rPr>
          <w:rFonts w:ascii="宋体" w:hAnsi="宋体" w:cs="宋体" w:eastAsia="宋体" w:hint="default"/>
          <w:sz w:val="21"/>
          <w:szCs w:val="21"/>
        </w:rPr>
        <w:t>〕</w:t>
      </w:r>
      <w:r>
        <w:rPr>
          <w:rFonts w:ascii="Times New Roman" w:hAnsi="Times New Roman" w:cs="Times New Roman" w:eastAsia="Times New Roman" w:hint="default"/>
          <w:sz w:val="21"/>
          <w:szCs w:val="21"/>
        </w:rPr>
        <w:t>1261</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号长春市财政局关于下达省重大科技成功转化项目经 费指标的通知，本公司之子公司长春高琦于</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年收到补助资金</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10,000,000.00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before="20"/>
        <w:ind w:left="875" w:right="0" w:firstLine="0"/>
        <w:jc w:val="both"/>
        <w:rPr>
          <w:rFonts w:ascii="宋体" w:hAnsi="宋体" w:cs="宋体" w:eastAsia="宋体" w:hint="default"/>
          <w:sz w:val="21"/>
          <w:szCs w:val="21"/>
        </w:rPr>
      </w:pPr>
      <w:r>
        <w:rPr>
          <w:rFonts w:ascii="宋体" w:hAnsi="宋体" w:cs="宋体" w:eastAsia="宋体" w:hint="default"/>
          <w:sz w:val="21"/>
          <w:szCs w:val="21"/>
        </w:rPr>
        <w:t>用于年产 </w:t>
      </w:r>
      <w:r>
        <w:rPr>
          <w:rFonts w:ascii="Times New Roman" w:hAnsi="Times New Roman" w:cs="Times New Roman" w:eastAsia="Times New Roman" w:hint="default"/>
          <w:sz w:val="21"/>
          <w:szCs w:val="21"/>
        </w:rPr>
        <w:t>5000</w:t>
      </w:r>
      <w:r>
        <w:rPr>
          <w:rFonts w:ascii="Times New Roman" w:hAnsi="Times New Roman" w:cs="Times New Roman" w:eastAsia="Times New Roman" w:hint="default"/>
          <w:spacing w:val="-30"/>
          <w:sz w:val="21"/>
          <w:szCs w:val="21"/>
        </w:rPr>
        <w:t> </w:t>
      </w:r>
      <w:r>
        <w:rPr>
          <w:rFonts w:ascii="宋体" w:hAnsi="宋体" w:cs="宋体" w:eastAsia="宋体" w:hint="default"/>
          <w:sz w:val="21"/>
          <w:szCs w:val="21"/>
        </w:rPr>
        <w:t>吨高性能聚酰亚胺纤维产业化开发。长春高琦收到款后，按照项目剩</w:t>
      </w:r>
    </w:p>
    <w:p>
      <w:pPr>
        <w:spacing w:before="109"/>
        <w:ind w:left="875" w:right="0" w:firstLine="0"/>
        <w:jc w:val="both"/>
        <w:rPr>
          <w:rFonts w:ascii="宋体" w:hAnsi="宋体" w:cs="宋体" w:eastAsia="宋体" w:hint="default"/>
          <w:sz w:val="21"/>
          <w:szCs w:val="21"/>
        </w:rPr>
      </w:pPr>
      <w:r>
        <w:rPr>
          <w:rFonts w:ascii="宋体" w:hAnsi="宋体" w:cs="宋体" w:eastAsia="宋体" w:hint="default"/>
          <w:sz w:val="21"/>
          <w:szCs w:val="21"/>
        </w:rPr>
        <w:t>余期限分期确认收益，以前年度累计确认收益的金额为</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769,230.77</w:t>
      </w:r>
      <w:r>
        <w:rPr>
          <w:rFonts w:ascii="Times New Roman" w:hAnsi="Times New Roman" w:cs="Times New Roman" w:eastAsia="Times New Roman" w:hint="default"/>
          <w:spacing w:val="-20"/>
          <w:sz w:val="21"/>
          <w:szCs w:val="21"/>
        </w:rPr>
        <w:t> </w:t>
      </w:r>
      <w:r>
        <w:rPr>
          <w:rFonts w:ascii="宋体" w:hAnsi="宋体" w:cs="宋体" w:eastAsia="宋体" w:hint="default"/>
          <w:spacing w:val="-6"/>
          <w:sz w:val="21"/>
          <w:szCs w:val="21"/>
        </w:rPr>
        <w:t>元，本年确认收益</w:t>
      </w:r>
    </w:p>
    <w:p>
      <w:pPr>
        <w:spacing w:before="110"/>
        <w:ind w:left="875" w:right="0" w:firstLine="0"/>
        <w:jc w:val="both"/>
        <w:rPr>
          <w:rFonts w:ascii="宋体" w:hAnsi="宋体" w:cs="宋体" w:eastAsia="宋体" w:hint="default"/>
          <w:sz w:val="21"/>
          <w:szCs w:val="21"/>
        </w:rPr>
      </w:pPr>
      <w:r>
        <w:rPr>
          <w:rFonts w:ascii="宋体" w:hAnsi="宋体" w:cs="宋体" w:eastAsia="宋体" w:hint="default"/>
          <w:sz w:val="21"/>
          <w:szCs w:val="21"/>
        </w:rPr>
        <w:t>的金额为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4,615,384.62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元，年末递延收益的余额为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4,615,384.61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spacing w:line="331" w:lineRule="auto" w:before="0"/>
        <w:ind w:left="875" w:right="135"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根据发改投资</w:t>
      </w:r>
      <w:r>
        <w:rPr>
          <w:rFonts w:ascii="Times New Roman" w:hAnsi="Times New Roman" w:cs="Times New Roman" w:eastAsia="Times New Roman" w:hint="default"/>
          <w:sz w:val="21"/>
          <w:szCs w:val="21"/>
        </w:rPr>
        <w:t>[2011]1764</w:t>
      </w:r>
      <w:r>
        <w:rPr>
          <w:rFonts w:ascii="Times New Roman" w:hAnsi="Times New Roman" w:cs="Times New Roman" w:eastAsia="Times New Roman" w:hint="default"/>
          <w:spacing w:val="37"/>
          <w:sz w:val="21"/>
          <w:szCs w:val="21"/>
        </w:rPr>
        <w:t> </w:t>
      </w:r>
      <w:r>
        <w:rPr>
          <w:rFonts w:ascii="宋体" w:hAnsi="宋体" w:cs="宋体" w:eastAsia="宋体" w:hint="default"/>
          <w:sz w:val="21"/>
          <w:szCs w:val="21"/>
        </w:rPr>
        <w:t>号国家发展改革委关于下达战略性新兴产业投资计划通 </w:t>
      </w:r>
      <w:r>
        <w:rPr>
          <w:rFonts w:ascii="宋体" w:hAnsi="宋体" w:cs="宋体" w:eastAsia="宋体" w:hint="default"/>
          <w:spacing w:val="-8"/>
          <w:sz w:val="21"/>
          <w:szCs w:val="21"/>
        </w:rPr>
        <w:t>知，本公司之子公司江西先材于</w:t>
      </w:r>
      <w:r>
        <w:rPr>
          <w:rFonts w:ascii="宋体" w:hAnsi="宋体" w:cs="宋体" w:eastAsia="宋体" w:hint="default"/>
          <w:spacing w:val="-7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年收到国家发改委下拨的补助资金</w:t>
      </w:r>
      <w:r>
        <w:rPr>
          <w:rFonts w:ascii="宋体" w:hAnsi="宋体" w:cs="宋体" w:eastAsia="宋体" w:hint="default"/>
          <w:spacing w:val="-73"/>
          <w:sz w:val="21"/>
          <w:szCs w:val="21"/>
        </w:rPr>
        <w:t> </w:t>
      </w:r>
      <w:r>
        <w:rPr>
          <w:rFonts w:ascii="Times New Roman" w:hAnsi="Times New Roman" w:cs="Times New Roman" w:eastAsia="Times New Roman" w:hint="default"/>
          <w:spacing w:val="-1"/>
          <w:sz w:val="21"/>
          <w:szCs w:val="21"/>
        </w:rPr>
        <w:t>17,730,000.00</w:t>
      </w:r>
      <w:r>
        <w:rPr>
          <w:rFonts w:ascii="Times New Roman" w:hAnsi="Times New Roman" w:cs="Times New Roman" w:eastAsia="Times New Roman" w:hint="default"/>
          <w:spacing w:val="-50"/>
          <w:sz w:val="21"/>
          <w:szCs w:val="21"/>
        </w:rPr>
        <w:t> </w:t>
      </w:r>
      <w:r>
        <w:rPr>
          <w:rFonts w:ascii="Times New Roman" w:hAnsi="Times New Roman" w:cs="Times New Roman" w:eastAsia="Times New Roman" w:hint="default"/>
          <w:spacing w:val="-50"/>
          <w:sz w:val="21"/>
          <w:szCs w:val="21"/>
        </w:rPr>
      </w:r>
      <w:r>
        <w:rPr>
          <w:rFonts w:ascii="宋体" w:hAnsi="宋体" w:cs="宋体" w:eastAsia="宋体" w:hint="default"/>
          <w:sz w:val="21"/>
          <w:szCs w:val="21"/>
        </w:rPr>
        <w:t>元，用于 </w:t>
      </w:r>
      <w:r>
        <w:rPr>
          <w:rFonts w:ascii="Times New Roman" w:hAnsi="Times New Roman" w:cs="Times New Roman" w:eastAsia="Times New Roman" w:hint="default"/>
          <w:sz w:val="21"/>
          <w:szCs w:val="21"/>
        </w:rPr>
        <w:t>PI</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纳米纤维电池隔膜产品（一期）项目土建工程及设备安装。因项目尚未 开始实施，未确认收益，年末递延收益的余额为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17,730,000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3"/>
        <w:rPr>
          <w:rFonts w:ascii="宋体" w:hAnsi="宋体" w:cs="宋体" w:eastAsia="宋体" w:hint="default"/>
          <w:sz w:val="32"/>
          <w:szCs w:val="32"/>
        </w:rPr>
      </w:pPr>
    </w:p>
    <w:p>
      <w:pPr>
        <w:spacing w:before="0"/>
        <w:ind w:left="875"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*6 </w:t>
      </w:r>
      <w:r>
        <w:rPr>
          <w:rFonts w:ascii="宋体" w:hAnsi="宋体" w:cs="宋体" w:eastAsia="宋体" w:hint="default"/>
          <w:sz w:val="21"/>
          <w:szCs w:val="21"/>
        </w:rPr>
        <w:t>根据吉市发改投字</w:t>
      </w:r>
      <w:r>
        <w:rPr>
          <w:rFonts w:ascii="Times New Roman" w:hAnsi="Times New Roman" w:cs="Times New Roman" w:eastAsia="Times New Roman" w:hint="default"/>
          <w:sz w:val="21"/>
          <w:szCs w:val="21"/>
        </w:rPr>
        <w:t>[2011]315</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号重点产业振兴和技术改造通知，本公司之子公司吉</w:t>
      </w:r>
    </w:p>
    <w:p>
      <w:pPr>
        <w:spacing w:after="0"/>
        <w:jc w:val="both"/>
        <w:rPr>
          <w:rFonts w:ascii="宋体" w:hAnsi="宋体" w:cs="宋体" w:eastAsia="宋体" w:hint="default"/>
          <w:sz w:val="21"/>
          <w:szCs w:val="21"/>
        </w:rPr>
        <w:sectPr>
          <w:footerReference w:type="default" r:id="rId203"/>
          <w:pgSz w:w="11910" w:h="16840"/>
          <w:pgMar w:footer="1270" w:header="0" w:top="1360" w:bottom="1460" w:left="1540" w:right="1660"/>
          <w:pgNumType w:start="146"/>
        </w:sectPr>
      </w:pPr>
    </w:p>
    <w:p>
      <w:pPr>
        <w:spacing w:line="240" w:lineRule="auto" w:before="0"/>
        <w:rPr>
          <w:rFonts w:ascii="宋体" w:hAnsi="宋体" w:cs="宋体" w:eastAsia="宋体" w:hint="default"/>
          <w:sz w:val="10"/>
          <w:szCs w:val="10"/>
        </w:rPr>
      </w:pPr>
    </w:p>
    <w:p>
      <w:pPr>
        <w:spacing w:before="35"/>
        <w:ind w:left="875" w:right="0" w:firstLine="0"/>
        <w:jc w:val="both"/>
        <w:rPr>
          <w:rFonts w:ascii="宋体" w:hAnsi="宋体" w:cs="宋体" w:eastAsia="宋体" w:hint="default"/>
          <w:sz w:val="21"/>
          <w:szCs w:val="21"/>
        </w:rPr>
      </w:pPr>
      <w:r>
        <w:rPr>
          <w:rFonts w:ascii="宋体" w:hAnsi="宋体" w:cs="宋体" w:eastAsia="宋体" w:hint="default"/>
          <w:sz w:val="21"/>
          <w:szCs w:val="21"/>
        </w:rPr>
        <w:t>林高琦于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年收到吉林市发展和改革委员会、吉林市工业和信息化局共同拨入的</w:t>
      </w:r>
    </w:p>
    <w:p>
      <w:pPr>
        <w:spacing w:before="109"/>
        <w:ind w:left="875" w:right="0" w:firstLine="0"/>
        <w:jc w:val="both"/>
        <w:rPr>
          <w:rFonts w:ascii="宋体" w:hAnsi="宋体" w:cs="宋体" w:eastAsia="宋体" w:hint="default"/>
          <w:sz w:val="21"/>
          <w:szCs w:val="21"/>
        </w:rPr>
      </w:pPr>
      <w:r>
        <w:rPr>
          <w:rFonts w:ascii="宋体" w:hAnsi="宋体" w:cs="宋体" w:eastAsia="宋体" w:hint="default"/>
          <w:sz w:val="21"/>
          <w:szCs w:val="21"/>
        </w:rPr>
        <w:t>技术改造资金</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10,000,000.00</w:t>
      </w:r>
      <w:r>
        <w:rPr>
          <w:rFonts w:ascii="Times New Roman" w:hAnsi="Times New Roman" w:cs="Times New Roman" w:eastAsia="Times New Roman" w:hint="default"/>
          <w:spacing w:val="-5"/>
          <w:sz w:val="21"/>
          <w:szCs w:val="21"/>
        </w:rPr>
        <w:t> </w:t>
      </w:r>
      <w:r>
        <w:rPr>
          <w:rFonts w:ascii="宋体" w:hAnsi="宋体" w:cs="宋体" w:eastAsia="宋体" w:hint="default"/>
          <w:spacing w:val="-4"/>
          <w:sz w:val="21"/>
          <w:szCs w:val="21"/>
        </w:rPr>
        <w:t>元，用于</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3000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吨耐热聚酰亚胺纤维产业化项目建设。因</w:t>
      </w:r>
    </w:p>
    <w:p>
      <w:pPr>
        <w:spacing w:before="110"/>
        <w:ind w:left="875" w:right="0" w:firstLine="0"/>
        <w:jc w:val="both"/>
        <w:rPr>
          <w:rFonts w:ascii="宋体" w:hAnsi="宋体" w:cs="宋体" w:eastAsia="宋体" w:hint="default"/>
          <w:sz w:val="21"/>
          <w:szCs w:val="21"/>
        </w:rPr>
      </w:pPr>
      <w:r>
        <w:rPr>
          <w:rFonts w:ascii="宋体" w:hAnsi="宋体" w:cs="宋体" w:eastAsia="宋体" w:hint="default"/>
          <w:sz w:val="21"/>
          <w:szCs w:val="21"/>
        </w:rPr>
        <w:t>该项目尚未完成，未确认收益，年末递延收益的余额为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spacing w:before="0"/>
        <w:ind w:left="875" w:right="0" w:firstLine="0"/>
        <w:jc w:val="both"/>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*7 </w:t>
      </w:r>
      <w:r>
        <w:rPr>
          <w:rFonts w:ascii="宋体" w:hAnsi="宋体" w:cs="宋体" w:eastAsia="宋体" w:hint="default"/>
          <w:sz w:val="21"/>
          <w:szCs w:val="21"/>
        </w:rPr>
        <w:t>根据长春市科学技术局长科发</w:t>
      </w:r>
      <w:r>
        <w:rPr>
          <w:rFonts w:ascii="Times New Roman" w:hAnsi="Times New Roman" w:cs="Times New Roman" w:eastAsia="Times New Roman" w:hint="default"/>
          <w:sz w:val="21"/>
          <w:szCs w:val="21"/>
        </w:rPr>
        <w:t>[2011]57 </w:t>
      </w:r>
      <w:r>
        <w:rPr>
          <w:rFonts w:ascii="宋体" w:hAnsi="宋体" w:cs="宋体" w:eastAsia="宋体" w:hint="default"/>
          <w:sz w:val="21"/>
          <w:szCs w:val="21"/>
        </w:rPr>
        <w:t>号文件，本公司之子公司长春高琦于</w:t>
      </w:r>
      <w:r>
        <w:rPr>
          <w:rFonts w:ascii="宋体" w:hAnsi="宋体" w:cs="宋体" w:eastAsia="宋体" w:hint="default"/>
          <w:spacing w:val="-4"/>
          <w:sz w:val="21"/>
          <w:szCs w:val="21"/>
        </w:rPr>
        <w:t> </w:t>
      </w:r>
      <w:r>
        <w:rPr>
          <w:rFonts w:ascii="Times New Roman" w:hAnsi="Times New Roman" w:cs="Times New Roman" w:eastAsia="Times New Roman" w:hint="default"/>
          <w:spacing w:val="-3"/>
          <w:sz w:val="21"/>
          <w:szCs w:val="21"/>
        </w:rPr>
        <w:t>2011</w:t>
      </w:r>
    </w:p>
    <w:p>
      <w:pPr>
        <w:spacing w:before="110"/>
        <w:ind w:left="875" w:right="0" w:firstLine="0"/>
        <w:jc w:val="both"/>
        <w:rPr>
          <w:rFonts w:ascii="宋体" w:hAnsi="宋体" w:cs="宋体" w:eastAsia="宋体" w:hint="default"/>
          <w:sz w:val="21"/>
          <w:szCs w:val="21"/>
        </w:rPr>
      </w:pPr>
      <w:r>
        <w:rPr>
          <w:rFonts w:ascii="宋体" w:hAnsi="宋体" w:cs="宋体" w:eastAsia="宋体" w:hint="default"/>
          <w:sz w:val="21"/>
          <w:szCs w:val="21"/>
        </w:rPr>
        <w:t>年收到补助资金</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490,000.00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元，用于</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吨聚酰亚胺纤维项目。长春高琦收到款后，</w:t>
      </w:r>
    </w:p>
    <w:p>
      <w:pPr>
        <w:spacing w:before="109"/>
        <w:ind w:left="875" w:right="0" w:firstLine="0"/>
        <w:jc w:val="both"/>
        <w:rPr>
          <w:rFonts w:ascii="宋体" w:hAnsi="宋体" w:cs="宋体" w:eastAsia="宋体" w:hint="default"/>
          <w:sz w:val="21"/>
          <w:szCs w:val="21"/>
        </w:rPr>
      </w:pPr>
      <w:r>
        <w:rPr>
          <w:rFonts w:ascii="宋体" w:hAnsi="宋体" w:cs="宋体" w:eastAsia="宋体" w:hint="default"/>
          <w:sz w:val="21"/>
          <w:szCs w:val="21"/>
        </w:rPr>
        <w:t>按照项目剩余期限分期确认递延收益，本年确认收益的金额为</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24,500.00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元，年末递</w:t>
      </w:r>
    </w:p>
    <w:p>
      <w:pPr>
        <w:spacing w:before="109"/>
        <w:ind w:left="875" w:right="0" w:firstLine="0"/>
        <w:jc w:val="both"/>
        <w:rPr>
          <w:rFonts w:ascii="宋体" w:hAnsi="宋体" w:cs="宋体" w:eastAsia="宋体" w:hint="default"/>
          <w:sz w:val="21"/>
          <w:szCs w:val="21"/>
        </w:rPr>
      </w:pPr>
      <w:r>
        <w:rPr>
          <w:rFonts w:ascii="宋体" w:hAnsi="宋体" w:cs="宋体" w:eastAsia="宋体" w:hint="default"/>
          <w:sz w:val="21"/>
          <w:szCs w:val="21"/>
        </w:rPr>
        <w:t>延收益的余额为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465,500.00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line="336" w:lineRule="auto" w:before="0"/>
        <w:ind w:left="875" w:right="192"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*8 </w:t>
      </w:r>
      <w:r>
        <w:rPr>
          <w:rFonts w:ascii="宋体" w:hAnsi="宋体" w:cs="宋体" w:eastAsia="宋体" w:hint="default"/>
          <w:sz w:val="21"/>
          <w:szCs w:val="21"/>
        </w:rPr>
        <w:t>根据吉林省工业和信息化厅吉工信科技</w:t>
      </w:r>
      <w:r>
        <w:rPr>
          <w:rFonts w:ascii="Times New Roman" w:hAnsi="Times New Roman" w:cs="Times New Roman" w:eastAsia="Times New Roman" w:hint="default"/>
          <w:sz w:val="21"/>
          <w:szCs w:val="21"/>
        </w:rPr>
        <w:t>[2011]507</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号文件，本公司之子公司长春高 琦于</w:t>
      </w:r>
      <w:r>
        <w:rPr>
          <w:rFonts w:ascii="宋体" w:hAnsi="宋体" w:cs="宋体" w:eastAsia="宋体" w:hint="default"/>
          <w:spacing w:val="-46"/>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年收到补助资金</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500,000.00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元，用于聚酰亚胺阻燃纤维与纺织品的开发与 </w:t>
      </w:r>
      <w:r>
        <w:rPr>
          <w:rFonts w:ascii="宋体" w:hAnsi="宋体" w:cs="宋体" w:eastAsia="宋体" w:hint="default"/>
          <w:spacing w:val="3"/>
          <w:sz w:val="21"/>
          <w:szCs w:val="21"/>
        </w:rPr>
        <w:t>研究。长春高琦收到款后，按照项目剩余期限分期确认收益，本年确认收益的金额</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Times New Roman" w:hAnsi="Times New Roman" w:cs="Times New Roman" w:eastAsia="Times New Roman" w:hint="default"/>
          <w:sz w:val="21"/>
          <w:szCs w:val="21"/>
        </w:rPr>
        <w:t>76,923.08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元，年末递延收益的余额为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423,076.92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11"/>
        <w:rPr>
          <w:rFonts w:ascii="宋体" w:hAnsi="宋体" w:cs="宋体" w:eastAsia="宋体" w:hint="default"/>
          <w:sz w:val="31"/>
          <w:szCs w:val="31"/>
        </w:rPr>
      </w:pPr>
    </w:p>
    <w:p>
      <w:pPr>
        <w:spacing w:line="328" w:lineRule="auto" w:before="0"/>
        <w:ind w:left="875" w:right="172"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pacing w:val="-1"/>
          <w:sz w:val="21"/>
          <w:szCs w:val="21"/>
        </w:rPr>
        <w:t>根据长发改高技</w:t>
      </w:r>
      <w:r>
        <w:rPr>
          <w:rFonts w:ascii="Times New Roman" w:hAnsi="Times New Roman" w:cs="Times New Roman" w:eastAsia="Times New Roman" w:hint="default"/>
          <w:spacing w:val="-1"/>
          <w:sz w:val="21"/>
          <w:szCs w:val="21"/>
        </w:rPr>
        <w:t>[2011]374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pacing w:val="-5"/>
          <w:sz w:val="21"/>
          <w:szCs w:val="21"/>
        </w:rPr>
        <w:t>年战略性新兴产业专项项目投资计划通知，本公</w:t>
      </w:r>
      <w:r>
        <w:rPr>
          <w:rFonts w:ascii="宋体" w:hAnsi="宋体" w:cs="宋体" w:eastAsia="宋体" w:hint="default"/>
          <w:sz w:val="21"/>
          <w:szCs w:val="21"/>
        </w:rPr>
        <w:t> </w:t>
      </w:r>
      <w:r>
        <w:rPr>
          <w:rFonts w:ascii="宋体" w:hAnsi="宋体" w:cs="宋体" w:eastAsia="宋体" w:hint="default"/>
          <w:spacing w:val="18"/>
          <w:sz w:val="21"/>
          <w:szCs w:val="21"/>
        </w:rPr>
        <w:t>司之子公</w:t>
      </w:r>
      <w:r>
        <w:rPr>
          <w:rFonts w:ascii="宋体" w:hAnsi="宋体" w:cs="宋体" w:eastAsia="宋体" w:hint="default"/>
          <w:spacing w:val="-78"/>
          <w:sz w:val="21"/>
          <w:szCs w:val="21"/>
        </w:rPr>
        <w:t> </w:t>
      </w:r>
      <w:r>
        <w:rPr>
          <w:rFonts w:ascii="宋体" w:hAnsi="宋体" w:cs="宋体" w:eastAsia="宋体" w:hint="default"/>
          <w:sz w:val="21"/>
          <w:szCs w:val="21"/>
        </w:rPr>
        <w:t>司</w:t>
      </w:r>
      <w:r>
        <w:rPr>
          <w:rFonts w:ascii="宋体" w:hAnsi="宋体" w:cs="宋体" w:eastAsia="宋体" w:hint="default"/>
          <w:spacing w:val="-78"/>
          <w:sz w:val="21"/>
          <w:szCs w:val="21"/>
        </w:rPr>
        <w:t> </w:t>
      </w:r>
      <w:r>
        <w:rPr>
          <w:rFonts w:ascii="宋体" w:hAnsi="宋体" w:cs="宋体" w:eastAsia="宋体" w:hint="default"/>
          <w:spacing w:val="18"/>
          <w:sz w:val="21"/>
          <w:szCs w:val="21"/>
        </w:rPr>
        <w:t>长春高琦</w:t>
      </w:r>
      <w:r>
        <w:rPr>
          <w:rFonts w:ascii="宋体" w:hAnsi="宋体" w:cs="宋体" w:eastAsia="宋体" w:hint="default"/>
          <w:spacing w:val="-78"/>
          <w:sz w:val="21"/>
          <w:szCs w:val="21"/>
        </w:rPr>
        <w:t> </w:t>
      </w:r>
      <w:r>
        <w:rPr>
          <w:rFonts w:ascii="宋体" w:hAnsi="宋体" w:cs="宋体" w:eastAsia="宋体" w:hint="default"/>
          <w:sz w:val="21"/>
          <w:szCs w:val="21"/>
        </w:rPr>
        <w:t>于</w:t>
      </w:r>
      <w:r>
        <w:rPr>
          <w:rFonts w:ascii="宋体" w:hAnsi="宋体" w:cs="宋体" w:eastAsia="宋体" w:hint="default"/>
          <w:spacing w:val="30"/>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3"/>
          <w:sz w:val="21"/>
          <w:szCs w:val="21"/>
        </w:rPr>
        <w:t> </w:t>
      </w:r>
      <w:r>
        <w:rPr>
          <w:rFonts w:ascii="宋体" w:hAnsi="宋体" w:cs="宋体" w:eastAsia="宋体" w:hint="default"/>
          <w:spacing w:val="19"/>
          <w:sz w:val="21"/>
          <w:szCs w:val="21"/>
        </w:rPr>
        <w:t>年收到长春</w:t>
      </w:r>
      <w:r>
        <w:rPr>
          <w:rFonts w:ascii="宋体" w:hAnsi="宋体" w:cs="宋体" w:eastAsia="宋体" w:hint="default"/>
          <w:spacing w:val="-78"/>
          <w:sz w:val="21"/>
          <w:szCs w:val="21"/>
        </w:rPr>
        <w:t> </w:t>
      </w:r>
      <w:r>
        <w:rPr>
          <w:rFonts w:ascii="宋体" w:hAnsi="宋体" w:cs="宋体" w:eastAsia="宋体" w:hint="default"/>
          <w:sz w:val="21"/>
          <w:szCs w:val="21"/>
        </w:rPr>
        <w:t>市</w:t>
      </w:r>
      <w:r>
        <w:rPr>
          <w:rFonts w:ascii="宋体" w:hAnsi="宋体" w:cs="宋体" w:eastAsia="宋体" w:hint="default"/>
          <w:spacing w:val="-78"/>
          <w:sz w:val="21"/>
          <w:szCs w:val="21"/>
        </w:rPr>
        <w:t> </w:t>
      </w:r>
      <w:r>
        <w:rPr>
          <w:rFonts w:ascii="宋体" w:hAnsi="宋体" w:cs="宋体" w:eastAsia="宋体" w:hint="default"/>
          <w:spacing w:val="18"/>
          <w:sz w:val="21"/>
          <w:szCs w:val="21"/>
        </w:rPr>
        <w:t>发展和改</w:t>
      </w:r>
      <w:r>
        <w:rPr>
          <w:rFonts w:ascii="宋体" w:hAnsi="宋体" w:cs="宋体" w:eastAsia="宋体" w:hint="default"/>
          <w:spacing w:val="-78"/>
          <w:sz w:val="21"/>
          <w:szCs w:val="21"/>
        </w:rPr>
        <w:t> </w:t>
      </w:r>
      <w:r>
        <w:rPr>
          <w:rFonts w:ascii="宋体" w:hAnsi="宋体" w:cs="宋体" w:eastAsia="宋体" w:hint="default"/>
          <w:sz w:val="21"/>
          <w:szCs w:val="21"/>
        </w:rPr>
        <w:t>革</w:t>
      </w:r>
      <w:r>
        <w:rPr>
          <w:rFonts w:ascii="宋体" w:hAnsi="宋体" w:cs="宋体" w:eastAsia="宋体" w:hint="default"/>
          <w:spacing w:val="-78"/>
          <w:sz w:val="21"/>
          <w:szCs w:val="21"/>
        </w:rPr>
        <w:t> </w:t>
      </w:r>
      <w:r>
        <w:rPr>
          <w:rFonts w:ascii="宋体" w:hAnsi="宋体" w:cs="宋体" w:eastAsia="宋体" w:hint="default"/>
          <w:spacing w:val="18"/>
          <w:sz w:val="21"/>
          <w:szCs w:val="21"/>
        </w:rPr>
        <w:t>委员会拨</w:t>
      </w:r>
      <w:r>
        <w:rPr>
          <w:rFonts w:ascii="宋体" w:hAnsi="宋体" w:cs="宋体" w:eastAsia="宋体" w:hint="default"/>
          <w:spacing w:val="-78"/>
          <w:sz w:val="21"/>
          <w:szCs w:val="21"/>
        </w:rPr>
        <w:t> </w:t>
      </w:r>
      <w:r>
        <w:rPr>
          <w:rFonts w:ascii="宋体" w:hAnsi="宋体" w:cs="宋体" w:eastAsia="宋体" w:hint="default"/>
          <w:sz w:val="21"/>
          <w:szCs w:val="21"/>
        </w:rPr>
        <w:t>入</w:t>
      </w:r>
      <w:r>
        <w:rPr>
          <w:rFonts w:ascii="宋体" w:hAnsi="宋体" w:cs="宋体" w:eastAsia="宋体" w:hint="default"/>
          <w:spacing w:val="-78"/>
          <w:sz w:val="21"/>
          <w:szCs w:val="21"/>
        </w:rPr>
        <w:t> </w:t>
      </w:r>
      <w:r>
        <w:rPr>
          <w:rFonts w:ascii="宋体" w:hAnsi="宋体" w:cs="宋体" w:eastAsia="宋体" w:hint="default"/>
          <w:spacing w:val="18"/>
          <w:sz w:val="21"/>
          <w:szCs w:val="21"/>
        </w:rPr>
        <w:t>专项资金</w:t>
      </w:r>
      <w:r>
        <w:rPr>
          <w:rFonts w:ascii="宋体" w:hAnsi="宋体" w:cs="宋体" w:eastAsia="宋体" w:hint="default"/>
          <w:spacing w:val="-80"/>
          <w:sz w:val="21"/>
          <w:szCs w:val="21"/>
        </w:rPr>
        <w:t> </w:t>
      </w:r>
      <w:r>
        <w:rPr>
          <w:rFonts w:ascii="Times New Roman" w:hAnsi="Times New Roman" w:cs="Times New Roman" w:eastAsia="Times New Roman" w:hint="default"/>
          <w:sz w:val="21"/>
          <w:szCs w:val="21"/>
        </w:rPr>
        <w:t>6,000,000.00</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元，用于聚酰亚胺纤维项目。长春高琦收到款后，按照项目剩余期限分</w:t>
      </w:r>
    </w:p>
    <w:p>
      <w:pPr>
        <w:spacing w:before="24"/>
        <w:ind w:left="875" w:right="0" w:firstLine="0"/>
        <w:jc w:val="both"/>
        <w:rPr>
          <w:rFonts w:ascii="宋体" w:hAnsi="宋体" w:cs="宋体" w:eastAsia="宋体" w:hint="default"/>
          <w:sz w:val="21"/>
          <w:szCs w:val="21"/>
        </w:rPr>
      </w:pPr>
      <w:r>
        <w:rPr>
          <w:rFonts w:ascii="宋体" w:hAnsi="宋体" w:cs="宋体" w:eastAsia="宋体" w:hint="default"/>
          <w:spacing w:val="16"/>
          <w:sz w:val="21"/>
          <w:szCs w:val="21"/>
        </w:rPr>
        <w:t>期确认收益，本年确认收益的金额为 </w:t>
      </w:r>
      <w:r>
        <w:rPr>
          <w:rFonts w:ascii="Times New Roman" w:hAnsi="Times New Roman" w:cs="Times New Roman" w:eastAsia="Times New Roman" w:hint="default"/>
          <w:sz w:val="21"/>
          <w:szCs w:val="21"/>
        </w:rPr>
        <w:t>1,200,000.00 </w:t>
      </w:r>
      <w:r>
        <w:rPr>
          <w:rFonts w:ascii="Times New Roman" w:hAnsi="Times New Roman" w:cs="Times New Roman" w:eastAsia="Times New Roman" w:hint="default"/>
          <w:spacing w:val="29"/>
          <w:sz w:val="21"/>
          <w:szCs w:val="21"/>
        </w:rPr>
        <w:t> </w:t>
      </w:r>
      <w:r>
        <w:rPr>
          <w:rFonts w:ascii="宋体" w:hAnsi="宋体" w:cs="宋体" w:eastAsia="宋体" w:hint="default"/>
          <w:spacing w:val="17"/>
          <w:sz w:val="21"/>
          <w:szCs w:val="21"/>
        </w:rPr>
        <w:t>元，年末递延收益的余额为</w:t>
      </w:r>
      <w:r>
        <w:rPr>
          <w:rFonts w:ascii="宋体" w:hAnsi="宋体" w:cs="宋体" w:eastAsia="宋体" w:hint="default"/>
          <w:sz w:val="21"/>
          <w:szCs w:val="21"/>
        </w:rPr>
      </w:r>
    </w:p>
    <w:p>
      <w:pPr>
        <w:spacing w:before="109"/>
        <w:ind w:left="875"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4,800,000.00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line="336" w:lineRule="auto" w:before="0"/>
        <w:ind w:left="875" w:right="192"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*10 </w:t>
      </w:r>
      <w:r>
        <w:rPr>
          <w:rFonts w:ascii="宋体" w:hAnsi="宋体" w:cs="宋体" w:eastAsia="宋体" w:hint="default"/>
          <w:spacing w:val="-4"/>
          <w:sz w:val="21"/>
          <w:szCs w:val="21"/>
        </w:rPr>
        <w:t>根据吉市发改产业〔</w:t>
      </w:r>
      <w:r>
        <w:rPr>
          <w:rFonts w:ascii="Times New Roman" w:hAnsi="Times New Roman" w:cs="Times New Roman" w:eastAsia="Times New Roman" w:hint="default"/>
          <w:spacing w:val="-4"/>
          <w:sz w:val="21"/>
          <w:szCs w:val="21"/>
        </w:rPr>
        <w:t>2010</w:t>
      </w:r>
      <w:r>
        <w:rPr>
          <w:rFonts w:ascii="宋体" w:hAnsi="宋体" w:cs="宋体" w:eastAsia="宋体" w:hint="default"/>
          <w:spacing w:val="-4"/>
          <w:sz w:val="21"/>
          <w:szCs w:val="21"/>
        </w:rPr>
        <w:t>〕</w:t>
      </w:r>
      <w:r>
        <w:rPr>
          <w:rFonts w:ascii="Times New Roman" w:hAnsi="Times New Roman" w:cs="Times New Roman" w:eastAsia="Times New Roman" w:hint="default"/>
          <w:spacing w:val="-4"/>
          <w:sz w:val="21"/>
          <w:szCs w:val="21"/>
        </w:rPr>
        <w:t>1105</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号东北等老工业基地调整改造通知，本公司之子 公司长春高琦于</w:t>
      </w:r>
      <w:r>
        <w:rPr>
          <w:rFonts w:ascii="宋体" w:hAnsi="宋体" w:cs="宋体" w:eastAsia="宋体" w:hint="default"/>
          <w:spacing w:val="-40"/>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年收到补助资金</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7,390,000.00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元，用于</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吨聚酰亚胺纤维项 </w:t>
      </w:r>
      <w:r>
        <w:rPr>
          <w:rFonts w:ascii="宋体" w:hAnsi="宋体" w:cs="宋体" w:eastAsia="宋体" w:hint="default"/>
          <w:spacing w:val="3"/>
          <w:sz w:val="21"/>
          <w:szCs w:val="21"/>
        </w:rPr>
        <w:t>目。长春高琦收到款后，按照项目剩余期限分期确认收益，本年确认收益的金额为</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Times New Roman" w:hAnsi="Times New Roman" w:cs="Times New Roman" w:eastAsia="Times New Roman" w:hint="default"/>
          <w:sz w:val="21"/>
          <w:szCs w:val="21"/>
        </w:rPr>
        <w:t>4,909,720.28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元，年末递延收益的余额为</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2,480,279.72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p>
    <w:p>
      <w:pPr>
        <w:spacing w:line="240" w:lineRule="auto" w:before="10"/>
        <w:rPr>
          <w:rFonts w:ascii="宋体" w:hAnsi="宋体" w:cs="宋体" w:eastAsia="宋体" w:hint="default"/>
          <w:sz w:val="31"/>
          <w:szCs w:val="31"/>
        </w:rPr>
      </w:pPr>
    </w:p>
    <w:p>
      <w:pPr>
        <w:spacing w:before="0"/>
        <w:ind w:left="875" w:right="0" w:firstLine="0"/>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本公司之子公司长春聚明于</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年收到长春市科学技术局</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年第二批中小企</w:t>
      </w:r>
    </w:p>
    <w:p>
      <w:pPr>
        <w:spacing w:before="110"/>
        <w:ind w:left="875" w:right="0" w:firstLine="0"/>
        <w:jc w:val="both"/>
        <w:rPr>
          <w:rFonts w:ascii="宋体" w:hAnsi="宋体" w:cs="宋体" w:eastAsia="宋体" w:hint="default"/>
          <w:sz w:val="21"/>
          <w:szCs w:val="21"/>
        </w:rPr>
      </w:pPr>
      <w:r>
        <w:rPr>
          <w:rFonts w:ascii="宋体" w:hAnsi="宋体" w:cs="宋体" w:eastAsia="宋体" w:hint="default"/>
          <w:sz w:val="21"/>
          <w:szCs w:val="21"/>
        </w:rPr>
        <w:t>业技术创新基金</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350,000.00</w:t>
      </w:r>
      <w:r>
        <w:rPr>
          <w:rFonts w:ascii="Times New Roman" w:hAnsi="Times New Roman" w:cs="Times New Roman" w:eastAsia="Times New Roman" w:hint="default"/>
          <w:spacing w:val="6"/>
          <w:sz w:val="21"/>
          <w:szCs w:val="21"/>
        </w:rPr>
        <w:t> </w:t>
      </w:r>
      <w:r>
        <w:rPr>
          <w:rFonts w:ascii="宋体" w:hAnsi="宋体" w:cs="宋体" w:eastAsia="宋体" w:hint="default"/>
          <w:spacing w:val="-4"/>
          <w:sz w:val="21"/>
          <w:szCs w:val="21"/>
        </w:rPr>
        <w:t>元，因项目尚未开始实施，本年未确认收益，年末递延收</w:t>
      </w:r>
    </w:p>
    <w:p>
      <w:pPr>
        <w:spacing w:before="109"/>
        <w:ind w:left="875" w:right="0" w:firstLine="0"/>
        <w:jc w:val="both"/>
        <w:rPr>
          <w:rFonts w:ascii="宋体" w:hAnsi="宋体" w:cs="宋体" w:eastAsia="宋体" w:hint="default"/>
          <w:sz w:val="21"/>
          <w:szCs w:val="21"/>
        </w:rPr>
      </w:pPr>
      <w:r>
        <w:rPr>
          <w:rFonts w:ascii="宋体" w:hAnsi="宋体" w:cs="宋体" w:eastAsia="宋体" w:hint="default"/>
          <w:sz w:val="21"/>
          <w:szCs w:val="21"/>
        </w:rPr>
        <w:t>益的余额为</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350,000.00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p>
    <w:p>
      <w:pPr>
        <w:spacing w:after="0"/>
        <w:jc w:val="both"/>
        <w:rPr>
          <w:rFonts w:ascii="宋体" w:hAnsi="宋体" w:cs="宋体" w:eastAsia="宋体" w:hint="default"/>
          <w:sz w:val="21"/>
          <w:szCs w:val="21"/>
        </w:rPr>
        <w:sectPr>
          <w:pgSz w:w="11910" w:h="16840"/>
          <w:pgMar w:header="0" w:footer="1270" w:top="1360" w:bottom="1460" w:left="1540" w:right="1600"/>
        </w:sectPr>
      </w:pPr>
    </w:p>
    <w:p>
      <w:pPr>
        <w:spacing w:line="240" w:lineRule="auto" w:before="5"/>
        <w:rPr>
          <w:rFonts w:ascii="宋体" w:hAnsi="宋体" w:cs="宋体" w:eastAsia="宋体" w:hint="default"/>
          <w:sz w:val="5"/>
          <w:szCs w:val="5"/>
        </w:rPr>
      </w:pPr>
    </w:p>
    <w:p>
      <w:pPr>
        <w:spacing w:line="434" w:lineRule="exact"/>
        <w:ind w:left="118"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706.9pt;height:21.75pt;mso-position-horizontal-relative:char;mso-position-vertical-relative:line" coordorigin="0,0" coordsize="14138,435">
            <v:shape style="position:absolute;left:0;top:0;width:1546;height:434" type="#_x0000_t75" stroked="false">
              <v:imagedata r:id="rId26" o:title=""/>
            </v:shape>
            <v:group style="position:absolute;left:112;top:398;width:14019;height:2" coordorigin="112,398" coordsize="14019,2">
              <v:shape style="position:absolute;left:112;top:398;width:14019;height:2" coordorigin="112,398" coordsize="14019,0" path="m112,398l14130,398e" filled="false" stroked="true" strokeweight=".71999pt" strokecolor="#000000">
                <v:path arrowok="t"/>
              </v:shape>
              <v:shape style="position:absolute;left:12796;top:163;width:130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v:group>
          </v:group>
        </w:pict>
      </w:r>
      <w:r>
        <w:rPr>
          <w:rFonts w:ascii="宋体" w:hAnsi="宋体" w:cs="宋体" w:eastAsia="宋体" w:hint="default"/>
          <w:position w:val="-8"/>
          <w:sz w:val="20"/>
          <w:szCs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p>
      <w:pPr>
        <w:tabs>
          <w:tab w:pos="1519" w:val="left" w:leader="none"/>
        </w:tabs>
        <w:spacing w:before="35"/>
        <w:ind w:left="245" w:right="0" w:firstLine="0"/>
        <w:jc w:val="left"/>
        <w:rPr>
          <w:rFonts w:ascii="宋体" w:hAnsi="宋体" w:cs="宋体" w:eastAsia="宋体" w:hint="default"/>
          <w:sz w:val="21"/>
          <w:szCs w:val="21"/>
        </w:rPr>
      </w:pPr>
      <w:r>
        <w:rPr/>
        <w:pict>
          <v:group style="position:absolute;margin-left:101.511002pt;margin-top:17.073664pt;width:673.2pt;height:295pt;mso-position-horizontal-relative:page;mso-position-vertical-relative:paragraph;z-index:-776032" coordorigin="2030,341" coordsize="13464,5900">
            <v:group style="position:absolute;left:2049;top:356;width:2393;height:2" coordorigin="2049,356" coordsize="2393,2">
              <v:shape style="position:absolute;left:2049;top:356;width:2393;height:2" coordorigin="2049,356" coordsize="2393,0" path="m2049,356l4442,356e" filled="false" stroked="true" strokeweight="1.5pt" strokecolor="#000000">
                <v:path arrowok="t"/>
              </v:shape>
            </v:group>
            <v:group style="position:absolute;left:4442;top:356;width:1452;height:2" coordorigin="4442,356" coordsize="1452,2">
              <v:shape style="position:absolute;left:4442;top:356;width:1452;height:2" coordorigin="4442,356" coordsize="1452,0" path="m4442,356l5894,356e" filled="false" stroked="true" strokeweight="1.5pt" strokecolor="#000000">
                <v:path arrowok="t"/>
              </v:shape>
            </v:group>
            <v:group style="position:absolute;left:5894;top:356;width:9580;height:2" coordorigin="5894,356" coordsize="9580,2">
              <v:shape style="position:absolute;left:5894;top:356;width:9580;height:2" coordorigin="5894,356" coordsize="9580,0" path="m5894,356l15474,356e" filled="false" stroked="true" strokeweight="1.5pt" strokecolor="#000000">
                <v:path arrowok="t"/>
              </v:shape>
              <v:shape style="position:absolute;left:4389;top:350;width:9641;height:622" type="#_x0000_t75" stroked="false">
                <v:imagedata r:id="rId206" o:title=""/>
              </v:shape>
              <v:shape style="position:absolute;left:2030;top:929;width:13464;height:5311" type="#_x0000_t75" stroked="false">
                <v:imagedata r:id="rId207" o:title=""/>
              </v:shape>
              <v:shape style="position:absolute;left:3053;top:56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97;top:5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6349;top:71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发行新股</w:t>
                      </w:r>
                    </w:p>
                  </w:txbxContent>
                </v:textbox>
                <w10:wrap type="none"/>
              </v:shape>
              <v:shape style="position:absolute;left:8149;top:7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送股</w:t>
                      </w:r>
                    </w:p>
                  </w:txbxContent>
                </v:textbox>
                <w10:wrap type="none"/>
              </v:shape>
              <v:shape style="position:absolute;left:8909;top:422;width:2082;height:474" type="#_x0000_t202" filled="false" stroked="false">
                <v:textbox inset="0,0,0,0">
                  <w:txbxContent>
                    <w:p>
                      <w:pPr>
                        <w:spacing w:line="194"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本年变动增（</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p>
                    <w:p>
                      <w:pPr>
                        <w:spacing w:before="45"/>
                        <w:ind w:left="0" w:right="1" w:firstLine="0"/>
                        <w:jc w:val="center"/>
                        <w:rPr>
                          <w:rFonts w:ascii="宋体" w:hAnsi="宋体" w:cs="宋体" w:eastAsia="宋体" w:hint="default"/>
                          <w:sz w:val="18"/>
                          <w:szCs w:val="18"/>
                        </w:rPr>
                      </w:pPr>
                      <w:r>
                        <w:rPr>
                          <w:rFonts w:ascii="宋体" w:hAnsi="宋体" w:cs="宋体" w:eastAsia="宋体" w:hint="default"/>
                          <w:sz w:val="18"/>
                          <w:szCs w:val="18"/>
                        </w:rPr>
                        <w:t>公积金转股</w:t>
                      </w:r>
                    </w:p>
                  </w:txbxContent>
                </v:textbox>
                <w10:wrap type="none"/>
              </v:shape>
              <v:shape style="position:absolute;left:14377;top:5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11390;top:7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13010;top:7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group>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二十四</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股本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6"/>
          <w:szCs w:val="26"/>
        </w:rPr>
      </w:pPr>
    </w:p>
    <w:tbl>
      <w:tblPr>
        <w:tblW w:w="0" w:type="auto"/>
        <w:jc w:val="left"/>
        <w:tblInd w:w="855" w:type="dxa"/>
        <w:tblLayout w:type="fixed"/>
        <w:tblCellMar>
          <w:top w:w="0" w:type="dxa"/>
          <w:left w:w="0" w:type="dxa"/>
          <w:bottom w:w="0" w:type="dxa"/>
          <w:right w:w="0" w:type="dxa"/>
        </w:tblCellMar>
        <w:tblLook w:val="01E0"/>
      </w:tblPr>
      <w:tblGrid>
        <w:gridCol w:w="2452"/>
        <w:gridCol w:w="2024"/>
        <w:gridCol w:w="1620"/>
        <w:gridCol w:w="1148"/>
        <w:gridCol w:w="1636"/>
        <w:gridCol w:w="1606"/>
        <w:gridCol w:w="1547"/>
        <w:gridCol w:w="1406"/>
      </w:tblGrid>
      <w:tr>
        <w:trPr>
          <w:trHeight w:val="316"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．有限售条件股份</w:t>
            </w:r>
          </w:p>
        </w:tc>
        <w:tc>
          <w:tcPr>
            <w:tcW w:w="10987" w:type="dxa"/>
            <w:gridSpan w:val="7"/>
            <w:tcBorders>
              <w:top w:val="nil" w:sz="6" w:space="0" w:color="auto"/>
              <w:left w:val="nil" w:sz="6" w:space="0" w:color="auto"/>
              <w:bottom w:val="nil" w:sz="6" w:space="0" w:color="auto"/>
              <w:right w:val="nil" w:sz="6" w:space="0" w:color="auto"/>
            </w:tcBorders>
          </w:tcPr>
          <w:p>
            <w:pPr/>
          </w:p>
        </w:tc>
      </w:tr>
      <w:tr>
        <w:trPr>
          <w:trHeight w:val="294"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国家持股</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718"/>
              <w:jc w:val="right"/>
              <w:rPr>
                <w:rFonts w:ascii="Times New Roman" w:hAnsi="Times New Roman" w:cs="Times New Roman" w:eastAsia="Times New Roman" w:hint="default"/>
                <w:sz w:val="18"/>
                <w:szCs w:val="18"/>
              </w:rPr>
            </w:pPr>
            <w:r>
              <w:rPr>
                <w:rFonts w:ascii="Times New Roman"/>
                <w:sz w:val="18"/>
              </w:rPr>
              <w:t>---</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0"/>
              <w:jc w:val="center"/>
              <w:rPr>
                <w:rFonts w:ascii="Times New Roman" w:hAnsi="Times New Roman" w:cs="Times New Roman" w:eastAsia="Times New Roman" w:hint="default"/>
                <w:sz w:val="18"/>
                <w:szCs w:val="18"/>
              </w:rPr>
            </w:pPr>
            <w:r>
              <w:rPr>
                <w:rFonts w:ascii="Times New Roman"/>
                <w:sz w:val="18"/>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6"/>
              <w:jc w:val="right"/>
              <w:rPr>
                <w:rFonts w:ascii="Times New Roman" w:hAnsi="Times New Roman" w:cs="Times New Roman" w:eastAsia="Times New Roman" w:hint="default"/>
                <w:sz w:val="18"/>
                <w:szCs w:val="18"/>
              </w:rPr>
            </w:pPr>
            <w:r>
              <w:rPr>
                <w:rFonts w:ascii="Times New Roman"/>
                <w:sz w:val="18"/>
              </w:rPr>
              <w:t>---</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61"/>
              <w:jc w:val="right"/>
              <w:rPr>
                <w:rFonts w:ascii="Times New Roman" w:hAnsi="Times New Roman" w:cs="Times New Roman" w:eastAsia="Times New Roman" w:hint="default"/>
                <w:sz w:val="18"/>
                <w:szCs w:val="18"/>
              </w:rPr>
            </w:pPr>
            <w:r>
              <w:rPr>
                <w:rFonts w:ascii="Times New Roman"/>
                <w:sz w:val="18"/>
              </w:rPr>
              <w:t>---</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7"/>
              <w:jc w:val="right"/>
              <w:rPr>
                <w:rFonts w:ascii="Times New Roman" w:hAnsi="Times New Roman" w:cs="Times New Roman" w:eastAsia="Times New Roman" w:hint="default"/>
                <w:sz w:val="18"/>
                <w:szCs w:val="18"/>
              </w:rPr>
            </w:pPr>
            <w:r>
              <w:rPr>
                <w:rFonts w:ascii="Times New Roman"/>
                <w:sz w:val="18"/>
              </w:rPr>
              <w:t>---</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2"/>
              <w:jc w:val="right"/>
              <w:rPr>
                <w:rFonts w:ascii="Times New Roman" w:hAnsi="Times New Roman" w:cs="Times New Roman" w:eastAsia="Times New Roman" w:hint="default"/>
                <w:sz w:val="18"/>
                <w:szCs w:val="18"/>
              </w:rPr>
            </w:pPr>
            <w:r>
              <w:rPr>
                <w:rFonts w:ascii="Times New Roman"/>
                <w:sz w:val="18"/>
              </w:rPr>
              <w:t>---</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Times New Roman" w:hAnsi="Times New Roman" w:cs="Times New Roman" w:eastAsia="Times New Roman" w:hint="default"/>
                <w:sz w:val="18"/>
                <w:szCs w:val="18"/>
              </w:rPr>
            </w:pPr>
            <w:r>
              <w:rPr>
                <w:rFonts w:ascii="Times New Roman"/>
                <w:sz w:val="18"/>
              </w:rPr>
              <w:t>---</w:t>
            </w:r>
          </w:p>
        </w:tc>
      </w:tr>
      <w:tr>
        <w:trPr>
          <w:trHeight w:val="294"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国有法人持股</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718"/>
              <w:jc w:val="right"/>
              <w:rPr>
                <w:rFonts w:ascii="Times New Roman" w:hAnsi="Times New Roman" w:cs="Times New Roman" w:eastAsia="Times New Roman" w:hint="default"/>
                <w:sz w:val="18"/>
                <w:szCs w:val="18"/>
              </w:rPr>
            </w:pPr>
            <w:r>
              <w:rPr>
                <w:rFonts w:ascii="Times New Roman"/>
                <w:sz w:val="18"/>
              </w:rPr>
              <w:t>---</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0"/>
              <w:jc w:val="center"/>
              <w:rPr>
                <w:rFonts w:ascii="Times New Roman" w:hAnsi="Times New Roman" w:cs="Times New Roman" w:eastAsia="Times New Roman" w:hint="default"/>
                <w:sz w:val="18"/>
                <w:szCs w:val="18"/>
              </w:rPr>
            </w:pPr>
            <w:r>
              <w:rPr>
                <w:rFonts w:ascii="Times New Roman"/>
                <w:sz w:val="18"/>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6"/>
              <w:jc w:val="right"/>
              <w:rPr>
                <w:rFonts w:ascii="Times New Roman" w:hAnsi="Times New Roman" w:cs="Times New Roman" w:eastAsia="Times New Roman" w:hint="default"/>
                <w:sz w:val="18"/>
                <w:szCs w:val="18"/>
              </w:rPr>
            </w:pPr>
            <w:r>
              <w:rPr>
                <w:rFonts w:ascii="Times New Roman"/>
                <w:sz w:val="18"/>
              </w:rPr>
              <w:t>---</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61"/>
              <w:jc w:val="right"/>
              <w:rPr>
                <w:rFonts w:ascii="Times New Roman" w:hAnsi="Times New Roman" w:cs="Times New Roman" w:eastAsia="Times New Roman" w:hint="default"/>
                <w:sz w:val="18"/>
                <w:szCs w:val="18"/>
              </w:rPr>
            </w:pPr>
            <w:r>
              <w:rPr>
                <w:rFonts w:ascii="Times New Roman"/>
                <w:sz w:val="18"/>
              </w:rPr>
              <w:t>---</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7"/>
              <w:jc w:val="right"/>
              <w:rPr>
                <w:rFonts w:ascii="Times New Roman" w:hAnsi="Times New Roman" w:cs="Times New Roman" w:eastAsia="Times New Roman" w:hint="default"/>
                <w:sz w:val="18"/>
                <w:szCs w:val="18"/>
              </w:rPr>
            </w:pPr>
            <w:r>
              <w:rPr>
                <w:rFonts w:ascii="Times New Roman"/>
                <w:sz w:val="18"/>
              </w:rPr>
              <w:t>---</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2"/>
              <w:jc w:val="right"/>
              <w:rPr>
                <w:rFonts w:ascii="Times New Roman" w:hAnsi="Times New Roman" w:cs="Times New Roman" w:eastAsia="Times New Roman" w:hint="default"/>
                <w:sz w:val="18"/>
                <w:szCs w:val="18"/>
              </w:rPr>
            </w:pPr>
            <w:r>
              <w:rPr>
                <w:rFonts w:ascii="Times New Roman"/>
                <w:sz w:val="18"/>
              </w:rPr>
              <w:t>---</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Times New Roman" w:hAnsi="Times New Roman" w:cs="Times New Roman" w:eastAsia="Times New Roman" w:hint="default"/>
                <w:sz w:val="18"/>
                <w:szCs w:val="18"/>
              </w:rPr>
            </w:pPr>
            <w:r>
              <w:rPr>
                <w:rFonts w:ascii="Times New Roman"/>
                <w:sz w:val="18"/>
              </w:rPr>
              <w:t>---</w:t>
            </w:r>
          </w:p>
        </w:tc>
      </w:tr>
      <w:tr>
        <w:trPr>
          <w:trHeight w:val="294"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其他内资持股</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717"/>
              <w:jc w:val="right"/>
              <w:rPr>
                <w:rFonts w:ascii="Times New Roman" w:hAnsi="Times New Roman" w:cs="Times New Roman" w:eastAsia="Times New Roman" w:hint="default"/>
                <w:sz w:val="18"/>
                <w:szCs w:val="18"/>
              </w:rPr>
            </w:pPr>
            <w:r>
              <w:rPr>
                <w:rFonts w:ascii="Times New Roman"/>
                <w:spacing w:val="-1"/>
                <w:sz w:val="18"/>
              </w:rPr>
              <w:t>13,361,100.00</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
              <w:jc w:val="center"/>
              <w:rPr>
                <w:rFonts w:ascii="Times New Roman" w:hAnsi="Times New Roman" w:cs="Times New Roman" w:eastAsia="Times New Roman" w:hint="default"/>
                <w:sz w:val="18"/>
                <w:szCs w:val="18"/>
              </w:rPr>
            </w:pPr>
            <w:r>
              <w:rPr>
                <w:rFonts w:ascii="Times New Roman"/>
                <w:sz w:val="18"/>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6"/>
              <w:jc w:val="right"/>
              <w:rPr>
                <w:rFonts w:ascii="Times New Roman" w:hAnsi="Times New Roman" w:cs="Times New Roman" w:eastAsia="Times New Roman" w:hint="default"/>
                <w:sz w:val="18"/>
                <w:szCs w:val="18"/>
              </w:rPr>
            </w:pPr>
            <w:r>
              <w:rPr>
                <w:rFonts w:ascii="Times New Roman"/>
                <w:sz w:val="18"/>
              </w:rPr>
              <w:t>---</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60"/>
              <w:jc w:val="right"/>
              <w:rPr>
                <w:rFonts w:ascii="Times New Roman" w:hAnsi="Times New Roman" w:cs="Times New Roman" w:eastAsia="Times New Roman" w:hint="default"/>
                <w:sz w:val="18"/>
                <w:szCs w:val="18"/>
              </w:rPr>
            </w:pPr>
            <w:r>
              <w:rPr>
                <w:rFonts w:ascii="Times New Roman"/>
                <w:spacing w:val="-1"/>
                <w:sz w:val="18"/>
              </w:rPr>
              <w:t>13,361,100.00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5"/>
              <w:jc w:val="right"/>
              <w:rPr>
                <w:rFonts w:ascii="Times New Roman" w:hAnsi="Times New Roman" w:cs="Times New Roman" w:eastAsia="Times New Roman" w:hint="default"/>
                <w:sz w:val="18"/>
                <w:szCs w:val="18"/>
              </w:rPr>
            </w:pPr>
            <w:r>
              <w:rPr>
                <w:rFonts w:ascii="Times New Roman"/>
                <w:spacing w:val="-1"/>
                <w:sz w:val="18"/>
              </w:rPr>
              <w:t>-15,401,200.00</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1"/>
              <w:jc w:val="right"/>
              <w:rPr>
                <w:rFonts w:ascii="Times New Roman" w:hAnsi="Times New Roman" w:cs="Times New Roman" w:eastAsia="Times New Roman" w:hint="default"/>
                <w:sz w:val="18"/>
                <w:szCs w:val="18"/>
              </w:rPr>
            </w:pPr>
            <w:r>
              <w:rPr>
                <w:rFonts w:ascii="Times New Roman"/>
                <w:spacing w:val="-1"/>
                <w:sz w:val="18"/>
              </w:rPr>
              <w:t>-2,040,100.00</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Times New Roman" w:hAnsi="Times New Roman" w:cs="Times New Roman" w:eastAsia="Times New Roman" w:hint="default"/>
                <w:sz w:val="18"/>
                <w:szCs w:val="18"/>
              </w:rPr>
            </w:pPr>
            <w:r>
              <w:rPr>
                <w:rFonts w:ascii="Times New Roman"/>
                <w:spacing w:val="-1"/>
                <w:sz w:val="18"/>
              </w:rPr>
              <w:t>11,321,000.00</w:t>
            </w:r>
          </w:p>
        </w:tc>
      </w:tr>
      <w:tr>
        <w:trPr>
          <w:trHeight w:val="292"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其中：境内非国有法人持股</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717"/>
              <w:jc w:val="right"/>
              <w:rPr>
                <w:rFonts w:ascii="Times New Roman" w:hAnsi="Times New Roman" w:cs="Times New Roman" w:eastAsia="Times New Roman" w:hint="default"/>
                <w:sz w:val="18"/>
                <w:szCs w:val="18"/>
              </w:rPr>
            </w:pPr>
            <w:r>
              <w:rPr>
                <w:rFonts w:ascii="Times New Roman"/>
                <w:spacing w:val="-1"/>
                <w:sz w:val="18"/>
              </w:rPr>
              <w:t>13,361,100.00</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
              <w:jc w:val="center"/>
              <w:rPr>
                <w:rFonts w:ascii="Times New Roman" w:hAnsi="Times New Roman" w:cs="Times New Roman" w:eastAsia="Times New Roman" w:hint="default"/>
                <w:sz w:val="18"/>
                <w:szCs w:val="18"/>
              </w:rPr>
            </w:pPr>
            <w:r>
              <w:rPr>
                <w:rFonts w:ascii="Times New Roman"/>
                <w:sz w:val="18"/>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6"/>
              <w:jc w:val="right"/>
              <w:rPr>
                <w:rFonts w:ascii="Times New Roman" w:hAnsi="Times New Roman" w:cs="Times New Roman" w:eastAsia="Times New Roman" w:hint="default"/>
                <w:sz w:val="18"/>
                <w:szCs w:val="18"/>
              </w:rPr>
            </w:pPr>
            <w:r>
              <w:rPr>
                <w:rFonts w:ascii="Times New Roman"/>
                <w:sz w:val="18"/>
              </w:rPr>
              <w:t>---</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60"/>
              <w:jc w:val="right"/>
              <w:rPr>
                <w:rFonts w:ascii="Times New Roman" w:hAnsi="Times New Roman" w:cs="Times New Roman" w:eastAsia="Times New Roman" w:hint="default"/>
                <w:sz w:val="18"/>
                <w:szCs w:val="18"/>
              </w:rPr>
            </w:pPr>
            <w:r>
              <w:rPr>
                <w:rFonts w:ascii="Times New Roman"/>
                <w:spacing w:val="-1"/>
                <w:sz w:val="18"/>
              </w:rPr>
              <w:t>13,361,100.00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5"/>
              <w:jc w:val="right"/>
              <w:rPr>
                <w:rFonts w:ascii="Times New Roman" w:hAnsi="Times New Roman" w:cs="Times New Roman" w:eastAsia="Times New Roman" w:hint="default"/>
                <w:sz w:val="18"/>
                <w:szCs w:val="18"/>
              </w:rPr>
            </w:pPr>
            <w:r>
              <w:rPr>
                <w:rFonts w:ascii="Times New Roman"/>
                <w:spacing w:val="-1"/>
                <w:sz w:val="18"/>
              </w:rPr>
              <w:t>-18,722,200.00</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1"/>
              <w:jc w:val="right"/>
              <w:rPr>
                <w:rFonts w:ascii="Times New Roman" w:hAnsi="Times New Roman" w:cs="Times New Roman" w:eastAsia="Times New Roman" w:hint="default"/>
                <w:sz w:val="18"/>
                <w:szCs w:val="18"/>
              </w:rPr>
            </w:pPr>
            <w:r>
              <w:rPr>
                <w:rFonts w:ascii="Times New Roman"/>
                <w:spacing w:val="-1"/>
                <w:sz w:val="18"/>
              </w:rPr>
              <w:t>-5,361,100.00</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Times New Roman" w:hAnsi="Times New Roman" w:cs="Times New Roman" w:eastAsia="Times New Roman" w:hint="default"/>
                <w:sz w:val="18"/>
                <w:szCs w:val="18"/>
              </w:rPr>
            </w:pPr>
            <w:r>
              <w:rPr>
                <w:rFonts w:ascii="Times New Roman"/>
                <w:spacing w:val="-1"/>
                <w:sz w:val="18"/>
              </w:rPr>
              <w:t>8,000,000.00</w:t>
            </w:r>
          </w:p>
        </w:tc>
      </w:tr>
      <w:tr>
        <w:trPr>
          <w:trHeight w:val="294"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34" w:lineRule="exact"/>
              <w:ind w:left="662"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718"/>
              <w:jc w:val="right"/>
              <w:rPr>
                <w:rFonts w:ascii="Times New Roman" w:hAnsi="Times New Roman" w:cs="Times New Roman" w:eastAsia="Times New Roman" w:hint="default"/>
                <w:sz w:val="18"/>
                <w:szCs w:val="18"/>
              </w:rPr>
            </w:pPr>
            <w:r>
              <w:rPr>
                <w:rFonts w:ascii="Times New Roman"/>
                <w:sz w:val="18"/>
              </w:rPr>
              <w:t>---</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0"/>
              <w:jc w:val="center"/>
              <w:rPr>
                <w:rFonts w:ascii="Times New Roman" w:hAnsi="Times New Roman" w:cs="Times New Roman" w:eastAsia="Times New Roman" w:hint="default"/>
                <w:sz w:val="18"/>
                <w:szCs w:val="18"/>
              </w:rPr>
            </w:pPr>
            <w:r>
              <w:rPr>
                <w:rFonts w:ascii="Times New Roman"/>
                <w:sz w:val="18"/>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45"/>
              <w:jc w:val="right"/>
              <w:rPr>
                <w:rFonts w:ascii="Times New Roman" w:hAnsi="Times New Roman" w:cs="Times New Roman" w:eastAsia="Times New Roman" w:hint="default"/>
                <w:sz w:val="18"/>
                <w:szCs w:val="18"/>
              </w:rPr>
            </w:pPr>
            <w:r>
              <w:rPr>
                <w:rFonts w:ascii="Times New Roman"/>
                <w:sz w:val="18"/>
              </w:rPr>
              <w:t>---</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60"/>
              <w:jc w:val="right"/>
              <w:rPr>
                <w:rFonts w:ascii="Times New Roman" w:hAnsi="Times New Roman" w:cs="Times New Roman" w:eastAsia="Times New Roman" w:hint="default"/>
                <w:sz w:val="18"/>
                <w:szCs w:val="18"/>
              </w:rPr>
            </w:pPr>
            <w:r>
              <w:rPr>
                <w:rFonts w:ascii="Times New Roman"/>
                <w:sz w:val="18"/>
              </w:rPr>
              <w:t>---</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45"/>
              <w:jc w:val="right"/>
              <w:rPr>
                <w:rFonts w:ascii="Times New Roman" w:hAnsi="Times New Roman" w:cs="Times New Roman" w:eastAsia="Times New Roman" w:hint="default"/>
                <w:sz w:val="18"/>
                <w:szCs w:val="18"/>
              </w:rPr>
            </w:pPr>
            <w:r>
              <w:rPr>
                <w:rFonts w:ascii="Times New Roman"/>
                <w:spacing w:val="-1"/>
                <w:sz w:val="18"/>
              </w:rPr>
              <w:t>3,321,000.00</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71"/>
              <w:jc w:val="right"/>
              <w:rPr>
                <w:rFonts w:ascii="Times New Roman" w:hAnsi="Times New Roman" w:cs="Times New Roman" w:eastAsia="Times New Roman" w:hint="default"/>
                <w:sz w:val="18"/>
                <w:szCs w:val="18"/>
              </w:rPr>
            </w:pPr>
            <w:r>
              <w:rPr>
                <w:rFonts w:ascii="Times New Roman"/>
                <w:spacing w:val="-1"/>
                <w:sz w:val="18"/>
              </w:rPr>
              <w:t>3,321,000.00</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5"/>
              <w:jc w:val="right"/>
              <w:rPr>
                <w:rFonts w:ascii="Times New Roman" w:hAnsi="Times New Roman" w:cs="Times New Roman" w:eastAsia="Times New Roman" w:hint="default"/>
                <w:sz w:val="18"/>
                <w:szCs w:val="18"/>
              </w:rPr>
            </w:pPr>
            <w:r>
              <w:rPr>
                <w:rFonts w:ascii="Times New Roman"/>
                <w:spacing w:val="-1"/>
                <w:sz w:val="18"/>
              </w:rPr>
              <w:t>3,321,000.00</w:t>
            </w:r>
          </w:p>
        </w:tc>
      </w:tr>
      <w:tr>
        <w:trPr>
          <w:trHeight w:val="296"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47"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外资持股</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718"/>
              <w:jc w:val="right"/>
              <w:rPr>
                <w:rFonts w:ascii="Times New Roman" w:hAnsi="Times New Roman" w:cs="Times New Roman" w:eastAsia="Times New Roman" w:hint="default"/>
                <w:sz w:val="18"/>
                <w:szCs w:val="18"/>
              </w:rPr>
            </w:pPr>
            <w:r>
              <w:rPr>
                <w:rFonts w:ascii="Times New Roman"/>
                <w:sz w:val="18"/>
              </w:rPr>
              <w:t>---</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0"/>
              <w:jc w:val="center"/>
              <w:rPr>
                <w:rFonts w:ascii="Times New Roman" w:hAnsi="Times New Roman" w:cs="Times New Roman" w:eastAsia="Times New Roman" w:hint="default"/>
                <w:sz w:val="18"/>
                <w:szCs w:val="18"/>
              </w:rPr>
            </w:pPr>
            <w:r>
              <w:rPr>
                <w:rFonts w:ascii="Times New Roman"/>
                <w:sz w:val="18"/>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46"/>
              <w:jc w:val="right"/>
              <w:rPr>
                <w:rFonts w:ascii="Times New Roman" w:hAnsi="Times New Roman" w:cs="Times New Roman" w:eastAsia="Times New Roman" w:hint="default"/>
                <w:sz w:val="18"/>
                <w:szCs w:val="18"/>
              </w:rPr>
            </w:pPr>
            <w:r>
              <w:rPr>
                <w:rFonts w:ascii="Times New Roman"/>
                <w:sz w:val="18"/>
              </w:rPr>
              <w:t>---</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61"/>
              <w:jc w:val="right"/>
              <w:rPr>
                <w:rFonts w:ascii="Times New Roman" w:hAnsi="Times New Roman" w:cs="Times New Roman" w:eastAsia="Times New Roman" w:hint="default"/>
                <w:sz w:val="18"/>
                <w:szCs w:val="18"/>
              </w:rPr>
            </w:pPr>
            <w:r>
              <w:rPr>
                <w:rFonts w:ascii="Times New Roman"/>
                <w:sz w:val="18"/>
              </w:rPr>
              <w:t>---</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47"/>
              <w:jc w:val="right"/>
              <w:rPr>
                <w:rFonts w:ascii="Times New Roman" w:hAnsi="Times New Roman" w:cs="Times New Roman" w:eastAsia="Times New Roman" w:hint="default"/>
                <w:sz w:val="18"/>
                <w:szCs w:val="18"/>
              </w:rPr>
            </w:pPr>
            <w:r>
              <w:rPr>
                <w:rFonts w:ascii="Times New Roman"/>
                <w:sz w:val="18"/>
              </w:rPr>
              <w:t>---</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72"/>
              <w:jc w:val="right"/>
              <w:rPr>
                <w:rFonts w:ascii="Times New Roman" w:hAnsi="Times New Roman" w:cs="Times New Roman" w:eastAsia="Times New Roman" w:hint="default"/>
                <w:sz w:val="18"/>
                <w:szCs w:val="18"/>
              </w:rPr>
            </w:pPr>
            <w:r>
              <w:rPr>
                <w:rFonts w:ascii="Times New Roman"/>
                <w:sz w:val="18"/>
              </w:rPr>
              <w:t>---</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6"/>
              <w:jc w:val="right"/>
              <w:rPr>
                <w:rFonts w:ascii="Times New Roman" w:hAnsi="Times New Roman" w:cs="Times New Roman" w:eastAsia="Times New Roman" w:hint="default"/>
                <w:sz w:val="18"/>
                <w:szCs w:val="18"/>
              </w:rPr>
            </w:pPr>
            <w:r>
              <w:rPr>
                <w:rFonts w:ascii="Times New Roman"/>
                <w:sz w:val="18"/>
              </w:rPr>
              <w:t>---</w:t>
            </w:r>
          </w:p>
        </w:tc>
      </w:tr>
      <w:tr>
        <w:trPr>
          <w:trHeight w:val="294"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高管股份</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717"/>
              <w:jc w:val="right"/>
              <w:rPr>
                <w:rFonts w:ascii="Times New Roman" w:hAnsi="Times New Roman" w:cs="Times New Roman" w:eastAsia="Times New Roman" w:hint="default"/>
                <w:sz w:val="18"/>
                <w:szCs w:val="18"/>
              </w:rPr>
            </w:pPr>
            <w:r>
              <w:rPr>
                <w:rFonts w:ascii="Times New Roman"/>
                <w:spacing w:val="-1"/>
                <w:sz w:val="18"/>
              </w:rPr>
              <w:t>157,811,559.00</w:t>
            </w:r>
          </w:p>
        </w:tc>
        <w:tc>
          <w:tcPr>
            <w:tcW w:w="1620" w:type="dxa"/>
            <w:tcBorders>
              <w:top w:val="nil" w:sz="6" w:space="0" w:color="auto"/>
              <w:left w:val="nil" w:sz="6" w:space="0" w:color="auto"/>
              <w:bottom w:val="nil" w:sz="6" w:space="0" w:color="auto"/>
              <w:right w:val="nil" w:sz="6" w:space="0" w:color="auto"/>
            </w:tcBorders>
          </w:tcPr>
          <w:p>
            <w:pPr/>
          </w:p>
        </w:tc>
        <w:tc>
          <w:tcPr>
            <w:tcW w:w="1148"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60"/>
              <w:jc w:val="right"/>
              <w:rPr>
                <w:rFonts w:ascii="Times New Roman" w:hAnsi="Times New Roman" w:cs="Times New Roman" w:eastAsia="Times New Roman" w:hint="default"/>
                <w:sz w:val="18"/>
                <w:szCs w:val="18"/>
              </w:rPr>
            </w:pPr>
            <w:r>
              <w:rPr>
                <w:rFonts w:ascii="Times New Roman"/>
                <w:spacing w:val="-1"/>
                <w:sz w:val="18"/>
              </w:rPr>
              <w:t>157,811,559.00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5"/>
              <w:jc w:val="right"/>
              <w:rPr>
                <w:rFonts w:ascii="Times New Roman" w:hAnsi="Times New Roman" w:cs="Times New Roman" w:eastAsia="Times New Roman" w:hint="default"/>
                <w:sz w:val="18"/>
                <w:szCs w:val="18"/>
              </w:rPr>
            </w:pPr>
            <w:r>
              <w:rPr>
                <w:rFonts w:ascii="Times New Roman"/>
                <w:spacing w:val="-1"/>
                <w:sz w:val="18"/>
              </w:rPr>
              <w:t>-38,920,853.00</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1"/>
              <w:jc w:val="right"/>
              <w:rPr>
                <w:rFonts w:ascii="Times New Roman" w:hAnsi="Times New Roman" w:cs="Times New Roman" w:eastAsia="Times New Roman" w:hint="default"/>
                <w:sz w:val="18"/>
                <w:szCs w:val="18"/>
              </w:rPr>
            </w:pPr>
            <w:r>
              <w:rPr>
                <w:rFonts w:ascii="Times New Roman"/>
                <w:spacing w:val="-1"/>
                <w:sz w:val="18"/>
              </w:rPr>
              <w:t>118,890,706.00</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Times New Roman" w:hAnsi="Times New Roman" w:cs="Times New Roman" w:eastAsia="Times New Roman" w:hint="default"/>
                <w:sz w:val="18"/>
                <w:szCs w:val="18"/>
              </w:rPr>
            </w:pPr>
            <w:r>
              <w:rPr>
                <w:rFonts w:ascii="Times New Roman"/>
                <w:spacing w:val="-1"/>
                <w:sz w:val="18"/>
              </w:rPr>
              <w:t>276,702,265.00</w:t>
            </w:r>
          </w:p>
        </w:tc>
      </w:tr>
      <w:tr>
        <w:trPr>
          <w:trHeight w:val="294"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其他</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718"/>
              <w:jc w:val="right"/>
              <w:rPr>
                <w:rFonts w:ascii="Times New Roman" w:hAnsi="Times New Roman" w:cs="Times New Roman" w:eastAsia="Times New Roman" w:hint="default"/>
                <w:sz w:val="18"/>
                <w:szCs w:val="18"/>
              </w:rPr>
            </w:pPr>
            <w:r>
              <w:rPr>
                <w:rFonts w:ascii="Times New Roman"/>
                <w:sz w:val="18"/>
              </w:rPr>
              <w:t>---</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0"/>
              <w:jc w:val="center"/>
              <w:rPr>
                <w:rFonts w:ascii="Times New Roman" w:hAnsi="Times New Roman" w:cs="Times New Roman" w:eastAsia="Times New Roman" w:hint="default"/>
                <w:sz w:val="18"/>
                <w:szCs w:val="18"/>
              </w:rPr>
            </w:pPr>
            <w:r>
              <w:rPr>
                <w:rFonts w:ascii="Times New Roman"/>
                <w:sz w:val="18"/>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6"/>
              <w:jc w:val="right"/>
              <w:rPr>
                <w:rFonts w:ascii="Times New Roman" w:hAnsi="Times New Roman" w:cs="Times New Roman" w:eastAsia="Times New Roman" w:hint="default"/>
                <w:sz w:val="18"/>
                <w:szCs w:val="18"/>
              </w:rPr>
            </w:pPr>
            <w:r>
              <w:rPr>
                <w:rFonts w:ascii="Times New Roman"/>
                <w:sz w:val="18"/>
              </w:rPr>
              <w:t>---</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60"/>
              <w:jc w:val="right"/>
              <w:rPr>
                <w:rFonts w:ascii="Times New Roman" w:hAnsi="Times New Roman" w:cs="Times New Roman" w:eastAsia="Times New Roman" w:hint="default"/>
                <w:sz w:val="18"/>
                <w:szCs w:val="18"/>
              </w:rPr>
            </w:pPr>
            <w:r>
              <w:rPr>
                <w:rFonts w:ascii="Times New Roman"/>
                <w:sz w:val="18"/>
              </w:rPr>
              <w:t>---</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5"/>
              <w:jc w:val="right"/>
              <w:rPr>
                <w:rFonts w:ascii="Times New Roman" w:hAnsi="Times New Roman" w:cs="Times New Roman" w:eastAsia="Times New Roman" w:hint="default"/>
                <w:sz w:val="18"/>
                <w:szCs w:val="18"/>
              </w:rPr>
            </w:pPr>
            <w:r>
              <w:rPr>
                <w:rFonts w:ascii="Times New Roman"/>
                <w:spacing w:val="-1"/>
                <w:sz w:val="18"/>
              </w:rPr>
              <w:t>18,722,200.00</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1"/>
              <w:jc w:val="right"/>
              <w:rPr>
                <w:rFonts w:ascii="Times New Roman" w:hAnsi="Times New Roman" w:cs="Times New Roman" w:eastAsia="Times New Roman" w:hint="default"/>
                <w:sz w:val="18"/>
                <w:szCs w:val="18"/>
              </w:rPr>
            </w:pPr>
            <w:r>
              <w:rPr>
                <w:rFonts w:ascii="Times New Roman"/>
                <w:spacing w:val="-1"/>
                <w:sz w:val="18"/>
              </w:rPr>
              <w:t>18,722,200.00</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Times New Roman" w:hAnsi="Times New Roman" w:cs="Times New Roman" w:eastAsia="Times New Roman" w:hint="default"/>
                <w:sz w:val="18"/>
                <w:szCs w:val="18"/>
              </w:rPr>
            </w:pPr>
            <w:r>
              <w:rPr>
                <w:rFonts w:ascii="Times New Roman"/>
                <w:spacing w:val="-1"/>
                <w:sz w:val="18"/>
              </w:rPr>
              <w:t>18,722,200.00</w:t>
            </w:r>
          </w:p>
        </w:tc>
      </w:tr>
      <w:tr>
        <w:trPr>
          <w:trHeight w:val="292"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有限售条件股份合计</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717"/>
              <w:jc w:val="right"/>
              <w:rPr>
                <w:rFonts w:ascii="Times New Roman" w:hAnsi="Times New Roman" w:cs="Times New Roman" w:eastAsia="Times New Roman" w:hint="default"/>
                <w:sz w:val="18"/>
                <w:szCs w:val="18"/>
              </w:rPr>
            </w:pPr>
            <w:r>
              <w:rPr>
                <w:rFonts w:ascii="Times New Roman"/>
                <w:spacing w:val="-1"/>
                <w:sz w:val="18"/>
              </w:rPr>
              <w:t>171,172,659.00</w:t>
            </w:r>
          </w:p>
        </w:tc>
        <w:tc>
          <w:tcPr>
            <w:tcW w:w="1620" w:type="dxa"/>
            <w:tcBorders>
              <w:top w:val="nil" w:sz="6" w:space="0" w:color="auto"/>
              <w:left w:val="nil" w:sz="6" w:space="0" w:color="auto"/>
              <w:bottom w:val="nil" w:sz="6" w:space="0" w:color="auto"/>
              <w:right w:val="nil" w:sz="6" w:space="0" w:color="auto"/>
            </w:tcBorders>
          </w:tcPr>
          <w:p>
            <w:pPr/>
          </w:p>
        </w:tc>
        <w:tc>
          <w:tcPr>
            <w:tcW w:w="1148"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60"/>
              <w:jc w:val="right"/>
              <w:rPr>
                <w:rFonts w:ascii="Times New Roman" w:hAnsi="Times New Roman" w:cs="Times New Roman" w:eastAsia="Times New Roman" w:hint="default"/>
                <w:sz w:val="18"/>
                <w:szCs w:val="18"/>
              </w:rPr>
            </w:pPr>
            <w:r>
              <w:rPr>
                <w:rFonts w:ascii="Times New Roman"/>
                <w:spacing w:val="-1"/>
                <w:sz w:val="18"/>
              </w:rPr>
              <w:t>171,172,659.00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6"/>
              <w:jc w:val="right"/>
              <w:rPr>
                <w:rFonts w:ascii="Times New Roman" w:hAnsi="Times New Roman" w:cs="Times New Roman" w:eastAsia="Times New Roman" w:hint="default"/>
                <w:sz w:val="18"/>
                <w:szCs w:val="18"/>
              </w:rPr>
            </w:pPr>
            <w:r>
              <w:rPr>
                <w:rFonts w:ascii="Times New Roman"/>
                <w:spacing w:val="-1"/>
                <w:sz w:val="18"/>
              </w:rPr>
              <w:t>-35,599,853.00</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1"/>
              <w:jc w:val="right"/>
              <w:rPr>
                <w:rFonts w:ascii="Times New Roman" w:hAnsi="Times New Roman" w:cs="Times New Roman" w:eastAsia="Times New Roman" w:hint="default"/>
                <w:sz w:val="18"/>
                <w:szCs w:val="18"/>
              </w:rPr>
            </w:pPr>
            <w:r>
              <w:rPr>
                <w:rFonts w:ascii="Times New Roman"/>
                <w:spacing w:val="-1"/>
                <w:sz w:val="18"/>
              </w:rPr>
              <w:t>135,572,806.00</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Times New Roman" w:hAnsi="Times New Roman" w:cs="Times New Roman" w:eastAsia="Times New Roman" w:hint="default"/>
                <w:sz w:val="18"/>
                <w:szCs w:val="18"/>
              </w:rPr>
            </w:pPr>
            <w:r>
              <w:rPr>
                <w:rFonts w:ascii="Times New Roman"/>
                <w:spacing w:val="-1"/>
                <w:sz w:val="18"/>
              </w:rPr>
              <w:t>306,745,465.00</w:t>
            </w:r>
          </w:p>
        </w:tc>
      </w:tr>
      <w:tr>
        <w:trPr>
          <w:trHeight w:val="296"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48"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．无限售条件流通股份</w:t>
            </w:r>
          </w:p>
        </w:tc>
        <w:tc>
          <w:tcPr>
            <w:tcW w:w="2024" w:type="dxa"/>
            <w:tcBorders>
              <w:top w:val="nil" w:sz="6" w:space="0" w:color="auto"/>
              <w:left w:val="nil" w:sz="6" w:space="0" w:color="auto"/>
              <w:bottom w:val="nil" w:sz="6" w:space="0" w:color="auto"/>
              <w:right w:val="nil" w:sz="6" w:space="0" w:color="auto"/>
            </w:tcBorders>
          </w:tcPr>
          <w:p>
            <w:pPr/>
          </w:p>
        </w:tc>
        <w:tc>
          <w:tcPr>
            <w:tcW w:w="1620" w:type="dxa"/>
            <w:tcBorders>
              <w:top w:val="nil" w:sz="6" w:space="0" w:color="auto"/>
              <w:left w:val="nil" w:sz="6" w:space="0" w:color="auto"/>
              <w:bottom w:val="nil" w:sz="6" w:space="0" w:color="auto"/>
              <w:right w:val="nil" w:sz="6" w:space="0" w:color="auto"/>
            </w:tcBorders>
          </w:tcPr>
          <w:p>
            <w:pPr/>
          </w:p>
        </w:tc>
        <w:tc>
          <w:tcPr>
            <w:tcW w:w="1148"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
        </w:tc>
        <w:tc>
          <w:tcPr>
            <w:tcW w:w="1547"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
        </w:tc>
      </w:tr>
      <w:tr>
        <w:trPr>
          <w:trHeight w:val="281"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人民币普通股</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717"/>
              <w:jc w:val="right"/>
              <w:rPr>
                <w:rFonts w:ascii="Times New Roman" w:hAnsi="Times New Roman" w:cs="Times New Roman" w:eastAsia="Times New Roman" w:hint="default"/>
                <w:sz w:val="18"/>
                <w:szCs w:val="18"/>
              </w:rPr>
            </w:pPr>
            <w:r>
              <w:rPr>
                <w:rFonts w:ascii="Times New Roman"/>
                <w:spacing w:val="-1"/>
                <w:sz w:val="18"/>
              </w:rPr>
              <w:t>144,287,661.00</w:t>
            </w:r>
          </w:p>
        </w:tc>
        <w:tc>
          <w:tcPr>
            <w:tcW w:w="1620" w:type="dxa"/>
            <w:tcBorders>
              <w:top w:val="nil" w:sz="6" w:space="0" w:color="auto"/>
              <w:left w:val="nil" w:sz="6" w:space="0" w:color="auto"/>
              <w:bottom w:val="nil" w:sz="6" w:space="0" w:color="auto"/>
              <w:right w:val="nil" w:sz="6" w:space="0" w:color="auto"/>
            </w:tcBorders>
          </w:tcPr>
          <w:p>
            <w:pPr/>
          </w:p>
        </w:tc>
        <w:tc>
          <w:tcPr>
            <w:tcW w:w="1148"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59"/>
              <w:jc w:val="right"/>
              <w:rPr>
                <w:rFonts w:ascii="Times New Roman" w:hAnsi="Times New Roman" w:cs="Times New Roman" w:eastAsia="Times New Roman" w:hint="default"/>
                <w:sz w:val="18"/>
                <w:szCs w:val="18"/>
              </w:rPr>
            </w:pPr>
            <w:r>
              <w:rPr>
                <w:rFonts w:ascii="Times New Roman"/>
                <w:spacing w:val="-1"/>
                <w:sz w:val="18"/>
              </w:rPr>
              <w:t>144,287,661.00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6"/>
              <w:jc w:val="right"/>
              <w:rPr>
                <w:rFonts w:ascii="Times New Roman" w:hAnsi="Times New Roman" w:cs="Times New Roman" w:eastAsia="Times New Roman" w:hint="default"/>
                <w:sz w:val="18"/>
                <w:szCs w:val="18"/>
              </w:rPr>
            </w:pPr>
            <w:r>
              <w:rPr>
                <w:rFonts w:ascii="Times New Roman"/>
                <w:spacing w:val="-1"/>
                <w:sz w:val="18"/>
              </w:rPr>
              <w:t>4,818,619.00</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1"/>
              <w:jc w:val="right"/>
              <w:rPr>
                <w:rFonts w:ascii="Times New Roman" w:hAnsi="Times New Roman" w:cs="Times New Roman" w:eastAsia="Times New Roman" w:hint="default"/>
                <w:sz w:val="18"/>
                <w:szCs w:val="18"/>
              </w:rPr>
            </w:pPr>
            <w:r>
              <w:rPr>
                <w:rFonts w:ascii="Times New Roman"/>
                <w:spacing w:val="-1"/>
                <w:sz w:val="18"/>
              </w:rPr>
              <w:t>149,106,280.00</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Times New Roman" w:hAnsi="Times New Roman" w:cs="Times New Roman" w:eastAsia="Times New Roman" w:hint="default"/>
                <w:sz w:val="18"/>
                <w:szCs w:val="18"/>
              </w:rPr>
            </w:pPr>
            <w:r>
              <w:rPr>
                <w:rFonts w:ascii="Times New Roman"/>
                <w:spacing w:val="-1"/>
                <w:sz w:val="18"/>
              </w:rPr>
              <w:t>293,393,941.00</w:t>
            </w:r>
          </w:p>
        </w:tc>
      </w:tr>
      <w:tr>
        <w:trPr>
          <w:trHeight w:val="575"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32"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境外法人股</w:t>
            </w:r>
          </w:p>
          <w:p>
            <w:pPr>
              <w:pStyle w:val="TableParagraph"/>
              <w:spacing w:line="240" w:lineRule="auto" w:before="4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境外上市的外资股</w:t>
            </w:r>
          </w:p>
        </w:tc>
        <w:tc>
          <w:tcPr>
            <w:tcW w:w="2024" w:type="dxa"/>
            <w:tcBorders>
              <w:top w:val="nil" w:sz="6" w:space="0" w:color="auto"/>
              <w:left w:val="nil" w:sz="6" w:space="0" w:color="auto"/>
              <w:bottom w:val="nil" w:sz="6" w:space="0" w:color="auto"/>
              <w:right w:val="nil" w:sz="6" w:space="0" w:color="auto"/>
            </w:tcBorders>
          </w:tcPr>
          <w:p>
            <w:pPr/>
          </w:p>
        </w:tc>
        <w:tc>
          <w:tcPr>
            <w:tcW w:w="1620" w:type="dxa"/>
            <w:tcBorders>
              <w:top w:val="nil" w:sz="6" w:space="0" w:color="auto"/>
              <w:left w:val="nil" w:sz="6" w:space="0" w:color="auto"/>
              <w:bottom w:val="nil" w:sz="6" w:space="0" w:color="auto"/>
              <w:right w:val="nil" w:sz="6" w:space="0" w:color="auto"/>
            </w:tcBorders>
          </w:tcPr>
          <w:p>
            <w:pPr/>
          </w:p>
        </w:tc>
        <w:tc>
          <w:tcPr>
            <w:tcW w:w="1148"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45"/>
              <w:jc w:val="right"/>
              <w:rPr>
                <w:rFonts w:ascii="Times New Roman" w:hAnsi="Times New Roman" w:cs="Times New Roman" w:eastAsia="Times New Roman" w:hint="default"/>
                <w:sz w:val="18"/>
                <w:szCs w:val="18"/>
              </w:rPr>
            </w:pPr>
            <w:r>
              <w:rPr>
                <w:rFonts w:ascii="Times New Roman"/>
                <w:spacing w:val="-1"/>
                <w:sz w:val="18"/>
              </w:rPr>
              <w:t>1,544,993.00</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71"/>
              <w:jc w:val="right"/>
              <w:rPr>
                <w:rFonts w:ascii="Times New Roman" w:hAnsi="Times New Roman" w:cs="Times New Roman" w:eastAsia="Times New Roman" w:hint="default"/>
                <w:sz w:val="18"/>
                <w:szCs w:val="18"/>
              </w:rPr>
            </w:pPr>
            <w:r>
              <w:rPr>
                <w:rFonts w:ascii="Times New Roman"/>
                <w:spacing w:val="-1"/>
                <w:sz w:val="18"/>
              </w:rPr>
              <w:t>1,544,993.00</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pacing w:val="-1"/>
                <w:sz w:val="18"/>
              </w:rPr>
              <w:t>1,544,993.00</w:t>
            </w:r>
          </w:p>
        </w:tc>
      </w:tr>
      <w:tr>
        <w:trPr>
          <w:trHeight w:val="305"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境内一般法人股</w:t>
            </w:r>
          </w:p>
        </w:tc>
        <w:tc>
          <w:tcPr>
            <w:tcW w:w="2024" w:type="dxa"/>
            <w:tcBorders>
              <w:top w:val="nil" w:sz="6" w:space="0" w:color="auto"/>
              <w:left w:val="nil" w:sz="6" w:space="0" w:color="auto"/>
              <w:bottom w:val="nil" w:sz="6" w:space="0" w:color="auto"/>
              <w:right w:val="nil" w:sz="6" w:space="0" w:color="auto"/>
            </w:tcBorders>
          </w:tcPr>
          <w:p>
            <w:pPr/>
          </w:p>
        </w:tc>
        <w:tc>
          <w:tcPr>
            <w:tcW w:w="1620" w:type="dxa"/>
            <w:tcBorders>
              <w:top w:val="nil" w:sz="6" w:space="0" w:color="auto"/>
              <w:left w:val="nil" w:sz="6" w:space="0" w:color="auto"/>
              <w:bottom w:val="nil" w:sz="6" w:space="0" w:color="auto"/>
              <w:right w:val="nil" w:sz="6" w:space="0" w:color="auto"/>
            </w:tcBorders>
          </w:tcPr>
          <w:p>
            <w:pPr/>
          </w:p>
        </w:tc>
        <w:tc>
          <w:tcPr>
            <w:tcW w:w="1148"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45"/>
              <w:jc w:val="right"/>
              <w:rPr>
                <w:rFonts w:ascii="Times New Roman" w:hAnsi="Times New Roman" w:cs="Times New Roman" w:eastAsia="Times New Roman" w:hint="default"/>
                <w:sz w:val="18"/>
                <w:szCs w:val="18"/>
              </w:rPr>
            </w:pPr>
            <w:r>
              <w:rPr>
                <w:rFonts w:ascii="Times New Roman"/>
                <w:spacing w:val="-1"/>
                <w:sz w:val="18"/>
              </w:rPr>
              <w:t>3,473,508.00</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71"/>
              <w:jc w:val="right"/>
              <w:rPr>
                <w:rFonts w:ascii="Times New Roman" w:hAnsi="Times New Roman" w:cs="Times New Roman" w:eastAsia="Times New Roman" w:hint="default"/>
                <w:sz w:val="18"/>
                <w:szCs w:val="18"/>
              </w:rPr>
            </w:pPr>
            <w:r>
              <w:rPr>
                <w:rFonts w:ascii="Times New Roman"/>
                <w:spacing w:val="-1"/>
                <w:sz w:val="18"/>
              </w:rPr>
              <w:t>3,473,508.00</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5"/>
              <w:jc w:val="right"/>
              <w:rPr>
                <w:rFonts w:ascii="Times New Roman" w:hAnsi="Times New Roman" w:cs="Times New Roman" w:eastAsia="Times New Roman" w:hint="default"/>
                <w:sz w:val="18"/>
                <w:szCs w:val="18"/>
              </w:rPr>
            </w:pPr>
            <w:r>
              <w:rPr>
                <w:rFonts w:ascii="Times New Roman"/>
                <w:spacing w:val="-1"/>
                <w:sz w:val="18"/>
              </w:rPr>
              <w:t>3,473,508.00</w:t>
            </w:r>
          </w:p>
        </w:tc>
      </w:tr>
      <w:tr>
        <w:trPr>
          <w:trHeight w:val="307"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34"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其他</w:t>
            </w:r>
          </w:p>
        </w:tc>
        <w:tc>
          <w:tcPr>
            <w:tcW w:w="2024" w:type="dxa"/>
            <w:tcBorders>
              <w:top w:val="nil" w:sz="6" w:space="0" w:color="auto"/>
              <w:left w:val="nil" w:sz="6" w:space="0" w:color="auto"/>
              <w:bottom w:val="nil" w:sz="6" w:space="0" w:color="auto"/>
              <w:right w:val="nil" w:sz="6" w:space="0" w:color="auto"/>
            </w:tcBorders>
          </w:tcPr>
          <w:p>
            <w:pPr/>
          </w:p>
        </w:tc>
        <w:tc>
          <w:tcPr>
            <w:tcW w:w="1620" w:type="dxa"/>
            <w:tcBorders>
              <w:top w:val="nil" w:sz="6" w:space="0" w:color="auto"/>
              <w:left w:val="nil" w:sz="6" w:space="0" w:color="auto"/>
              <w:bottom w:val="nil" w:sz="6" w:space="0" w:color="auto"/>
              <w:right w:val="nil" w:sz="6" w:space="0" w:color="auto"/>
            </w:tcBorders>
          </w:tcPr>
          <w:p>
            <w:pPr/>
          </w:p>
        </w:tc>
        <w:tc>
          <w:tcPr>
            <w:tcW w:w="1148"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45"/>
              <w:jc w:val="right"/>
              <w:rPr>
                <w:rFonts w:ascii="Times New Roman" w:hAnsi="Times New Roman" w:cs="Times New Roman" w:eastAsia="Times New Roman" w:hint="default"/>
                <w:sz w:val="18"/>
                <w:szCs w:val="18"/>
              </w:rPr>
            </w:pPr>
            <w:r>
              <w:rPr>
                <w:rFonts w:ascii="Times New Roman"/>
                <w:spacing w:val="-1"/>
                <w:sz w:val="18"/>
              </w:rPr>
              <w:t>25,762,733.00</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1"/>
              <w:jc w:val="right"/>
              <w:rPr>
                <w:rFonts w:ascii="Times New Roman" w:hAnsi="Times New Roman" w:cs="Times New Roman" w:eastAsia="Times New Roman" w:hint="default"/>
                <w:sz w:val="18"/>
                <w:szCs w:val="18"/>
              </w:rPr>
            </w:pPr>
            <w:r>
              <w:rPr>
                <w:rFonts w:ascii="Times New Roman"/>
                <w:spacing w:val="-1"/>
                <w:sz w:val="18"/>
              </w:rPr>
              <w:t>25,762,733.00</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25,762,733.00</w:t>
            </w:r>
          </w:p>
        </w:tc>
      </w:tr>
      <w:tr>
        <w:trPr>
          <w:trHeight w:val="294"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无限售条件流通股份合计</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717"/>
              <w:jc w:val="right"/>
              <w:rPr>
                <w:rFonts w:ascii="Times New Roman" w:hAnsi="Times New Roman" w:cs="Times New Roman" w:eastAsia="Times New Roman" w:hint="default"/>
                <w:sz w:val="18"/>
                <w:szCs w:val="18"/>
              </w:rPr>
            </w:pPr>
            <w:r>
              <w:rPr>
                <w:rFonts w:ascii="Times New Roman"/>
                <w:spacing w:val="-1"/>
                <w:sz w:val="18"/>
              </w:rPr>
              <w:t>144,287,661.00</w:t>
            </w:r>
          </w:p>
        </w:tc>
        <w:tc>
          <w:tcPr>
            <w:tcW w:w="1620" w:type="dxa"/>
            <w:tcBorders>
              <w:top w:val="nil" w:sz="6" w:space="0" w:color="auto"/>
              <w:left w:val="nil" w:sz="6" w:space="0" w:color="auto"/>
              <w:bottom w:val="nil" w:sz="6" w:space="0" w:color="auto"/>
              <w:right w:val="nil" w:sz="6" w:space="0" w:color="auto"/>
            </w:tcBorders>
          </w:tcPr>
          <w:p>
            <w:pPr/>
          </w:p>
        </w:tc>
        <w:tc>
          <w:tcPr>
            <w:tcW w:w="1148"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60"/>
              <w:jc w:val="right"/>
              <w:rPr>
                <w:rFonts w:ascii="Times New Roman" w:hAnsi="Times New Roman" w:cs="Times New Roman" w:eastAsia="Times New Roman" w:hint="default"/>
                <w:sz w:val="18"/>
                <w:szCs w:val="18"/>
              </w:rPr>
            </w:pPr>
            <w:r>
              <w:rPr>
                <w:rFonts w:ascii="Times New Roman"/>
                <w:spacing w:val="-1"/>
                <w:sz w:val="18"/>
              </w:rPr>
              <w:t>144,287,661.00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46"/>
              <w:jc w:val="right"/>
              <w:rPr>
                <w:rFonts w:ascii="Times New Roman" w:hAnsi="Times New Roman" w:cs="Times New Roman" w:eastAsia="Times New Roman" w:hint="default"/>
                <w:sz w:val="18"/>
                <w:szCs w:val="18"/>
              </w:rPr>
            </w:pPr>
            <w:r>
              <w:rPr>
                <w:rFonts w:ascii="Times New Roman"/>
                <w:spacing w:val="-1"/>
                <w:sz w:val="18"/>
              </w:rPr>
              <w:t>35,599,853.00</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71"/>
              <w:jc w:val="right"/>
              <w:rPr>
                <w:rFonts w:ascii="Times New Roman" w:hAnsi="Times New Roman" w:cs="Times New Roman" w:eastAsia="Times New Roman" w:hint="default"/>
                <w:sz w:val="18"/>
                <w:szCs w:val="18"/>
              </w:rPr>
            </w:pPr>
            <w:r>
              <w:rPr>
                <w:rFonts w:ascii="Times New Roman"/>
                <w:spacing w:val="-1"/>
                <w:sz w:val="18"/>
              </w:rPr>
              <w:t>179,887,514.00</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5"/>
              <w:jc w:val="right"/>
              <w:rPr>
                <w:rFonts w:ascii="Times New Roman" w:hAnsi="Times New Roman" w:cs="Times New Roman" w:eastAsia="Times New Roman" w:hint="default"/>
                <w:sz w:val="18"/>
                <w:szCs w:val="18"/>
              </w:rPr>
            </w:pPr>
            <w:r>
              <w:rPr>
                <w:rFonts w:ascii="Times New Roman"/>
                <w:spacing w:val="-1"/>
                <w:sz w:val="18"/>
              </w:rPr>
              <w:t>324,175,175.00</w:t>
            </w:r>
          </w:p>
        </w:tc>
      </w:tr>
      <w:tr>
        <w:trPr>
          <w:trHeight w:val="302" w:hRule="exact"/>
        </w:trPr>
        <w:tc>
          <w:tcPr>
            <w:tcW w:w="2452" w:type="dxa"/>
            <w:tcBorders>
              <w:top w:val="nil" w:sz="6" w:space="0" w:color="auto"/>
              <w:left w:val="nil" w:sz="6" w:space="0" w:color="auto"/>
              <w:bottom w:val="single" w:sz="12" w:space="0" w:color="000000"/>
              <w:right w:val="nil" w:sz="6" w:space="0" w:color="auto"/>
            </w:tcBorders>
          </w:tcPr>
          <w:p>
            <w:pPr>
              <w:pStyle w:val="TableParagraph"/>
              <w:spacing w:line="234" w:lineRule="exact"/>
              <w:ind w:right="55"/>
              <w:jc w:val="center"/>
              <w:rPr>
                <w:rFonts w:ascii="宋体" w:hAnsi="宋体" w:cs="宋体" w:eastAsia="宋体" w:hint="default"/>
                <w:sz w:val="18"/>
                <w:szCs w:val="18"/>
              </w:rPr>
            </w:pPr>
            <w:r>
              <w:rPr>
                <w:rFonts w:ascii="宋体" w:hAnsi="宋体" w:cs="宋体" w:eastAsia="宋体" w:hint="default"/>
                <w:sz w:val="18"/>
                <w:szCs w:val="18"/>
              </w:rPr>
              <w:t>合计</w:t>
            </w:r>
          </w:p>
        </w:tc>
        <w:tc>
          <w:tcPr>
            <w:tcW w:w="2024"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717"/>
              <w:jc w:val="right"/>
              <w:rPr>
                <w:rFonts w:ascii="Times New Roman" w:hAnsi="Times New Roman" w:cs="Times New Roman" w:eastAsia="Times New Roman" w:hint="default"/>
                <w:sz w:val="18"/>
                <w:szCs w:val="18"/>
              </w:rPr>
            </w:pPr>
            <w:r>
              <w:rPr>
                <w:rFonts w:ascii="Times New Roman"/>
                <w:spacing w:val="-1"/>
                <w:sz w:val="18"/>
              </w:rPr>
              <w:t>315,460,320.00</w:t>
            </w:r>
          </w:p>
        </w:tc>
        <w:tc>
          <w:tcPr>
            <w:tcW w:w="1620" w:type="dxa"/>
            <w:tcBorders>
              <w:top w:val="nil" w:sz="6" w:space="0" w:color="auto"/>
              <w:left w:val="nil" w:sz="6" w:space="0" w:color="auto"/>
              <w:bottom w:val="single" w:sz="12" w:space="0" w:color="000000"/>
              <w:right w:val="nil" w:sz="6" w:space="0" w:color="auto"/>
            </w:tcBorders>
          </w:tcPr>
          <w:p>
            <w:pPr/>
          </w:p>
        </w:tc>
        <w:tc>
          <w:tcPr>
            <w:tcW w:w="1148"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246"/>
              <w:jc w:val="right"/>
              <w:rPr>
                <w:rFonts w:ascii="Times New Roman" w:hAnsi="Times New Roman" w:cs="Times New Roman" w:eastAsia="Times New Roman" w:hint="default"/>
                <w:sz w:val="18"/>
                <w:szCs w:val="18"/>
              </w:rPr>
            </w:pPr>
            <w:r>
              <w:rPr>
                <w:rFonts w:ascii="Times New Roman"/>
                <w:sz w:val="18"/>
              </w:rPr>
              <w:t>---</w:t>
            </w:r>
          </w:p>
        </w:tc>
        <w:tc>
          <w:tcPr>
            <w:tcW w:w="1636"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260"/>
              <w:jc w:val="right"/>
              <w:rPr>
                <w:rFonts w:ascii="Times New Roman" w:hAnsi="Times New Roman" w:cs="Times New Roman" w:eastAsia="Times New Roman" w:hint="default"/>
                <w:sz w:val="18"/>
                <w:szCs w:val="18"/>
              </w:rPr>
            </w:pPr>
            <w:r>
              <w:rPr>
                <w:rFonts w:ascii="Times New Roman"/>
                <w:spacing w:val="-1"/>
                <w:sz w:val="18"/>
              </w:rPr>
              <w:t>315,460,320.00</w:t>
            </w:r>
          </w:p>
        </w:tc>
        <w:tc>
          <w:tcPr>
            <w:tcW w:w="1606"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246"/>
              <w:jc w:val="right"/>
              <w:rPr>
                <w:rFonts w:ascii="Times New Roman" w:hAnsi="Times New Roman" w:cs="Times New Roman" w:eastAsia="Times New Roman" w:hint="default"/>
                <w:sz w:val="18"/>
                <w:szCs w:val="18"/>
              </w:rPr>
            </w:pPr>
            <w:r>
              <w:rPr>
                <w:rFonts w:ascii="Times New Roman"/>
                <w:sz w:val="18"/>
              </w:rPr>
              <w:t>---</w:t>
            </w:r>
          </w:p>
        </w:tc>
        <w:tc>
          <w:tcPr>
            <w:tcW w:w="1547"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171"/>
              <w:jc w:val="right"/>
              <w:rPr>
                <w:rFonts w:ascii="Times New Roman" w:hAnsi="Times New Roman" w:cs="Times New Roman" w:eastAsia="Times New Roman" w:hint="default"/>
                <w:sz w:val="18"/>
                <w:szCs w:val="18"/>
              </w:rPr>
            </w:pPr>
            <w:r>
              <w:rPr>
                <w:rFonts w:ascii="Times New Roman"/>
                <w:spacing w:val="-1"/>
                <w:sz w:val="18"/>
              </w:rPr>
              <w:t>315,460,320.00</w:t>
            </w:r>
          </w:p>
        </w:tc>
        <w:tc>
          <w:tcPr>
            <w:tcW w:w="1406"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105"/>
              <w:jc w:val="right"/>
              <w:rPr>
                <w:rFonts w:ascii="Times New Roman" w:hAnsi="Times New Roman" w:cs="Times New Roman" w:eastAsia="Times New Roman" w:hint="default"/>
                <w:sz w:val="18"/>
                <w:szCs w:val="18"/>
              </w:rPr>
            </w:pPr>
            <w:r>
              <w:rPr>
                <w:rFonts w:ascii="Times New Roman"/>
                <w:spacing w:val="-1"/>
                <w:sz w:val="18"/>
              </w:rPr>
              <w:t>630,920,640.00</w:t>
            </w:r>
          </w:p>
        </w:tc>
      </w:tr>
    </w:tbl>
    <w:p>
      <w:pPr>
        <w:spacing w:before="78"/>
        <w:ind w:left="875" w:right="0" w:firstLine="0"/>
        <w:jc w:val="left"/>
        <w:rPr>
          <w:rFonts w:ascii="宋体" w:hAnsi="宋体" w:cs="宋体" w:eastAsia="宋体" w:hint="default"/>
          <w:sz w:val="21"/>
          <w:szCs w:val="21"/>
        </w:rPr>
      </w:pPr>
      <w:r>
        <w:rPr>
          <w:rFonts w:ascii="宋体" w:hAnsi="宋体" w:cs="宋体" w:eastAsia="宋体" w:hint="default"/>
          <w:sz w:val="21"/>
          <w:szCs w:val="21"/>
        </w:rPr>
        <w:t>股本的说明：</w:t>
      </w:r>
    </w:p>
    <w:p>
      <w:pPr>
        <w:spacing w:before="125"/>
        <w:ind w:left="875"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）本年增加系根据</w:t>
      </w:r>
      <w:r>
        <w:rPr>
          <w:rFonts w:ascii="宋体" w:hAnsi="宋体" w:cs="宋体" w:eastAsia="宋体" w:hint="default"/>
          <w:spacing w:val="-58"/>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日召开的</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年度股东大会决议，公司以</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年末总股本</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315,460,320.00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股为基数，以资本公积转增股本，</w:t>
      </w:r>
    </w:p>
    <w:p>
      <w:pPr>
        <w:spacing w:line="328" w:lineRule="auto" w:before="110"/>
        <w:ind w:left="875" w:right="0" w:firstLine="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股转增</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股，资本公积转增</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315,460,320.00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元。本次注册资本变更业经立信大华会计师事务所有限公司于</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日出具立信大华验 字</w:t>
      </w:r>
      <w:r>
        <w:rPr>
          <w:rFonts w:ascii="Times New Roman" w:hAnsi="Times New Roman" w:cs="Times New Roman" w:eastAsia="Times New Roman" w:hint="default"/>
          <w:sz w:val="21"/>
          <w:szCs w:val="21"/>
        </w:rPr>
        <w:t>[2011]120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号验资报告验证确认。</w:t>
      </w:r>
    </w:p>
    <w:p>
      <w:pPr>
        <w:spacing w:before="23"/>
        <w:ind w:left="875"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）其他系限售股解禁。</w:t>
      </w:r>
    </w:p>
    <w:p>
      <w:pPr>
        <w:spacing w:line="240" w:lineRule="auto" w:before="1"/>
        <w:rPr>
          <w:rFonts w:ascii="宋体" w:hAnsi="宋体" w:cs="宋体" w:eastAsia="宋体" w:hint="default"/>
          <w:sz w:val="25"/>
          <w:szCs w:val="25"/>
        </w:rPr>
      </w:pPr>
    </w:p>
    <w:p>
      <w:pPr>
        <w:spacing w:before="76"/>
        <w:ind w:left="0" w:right="219" w:firstLine="0"/>
        <w:jc w:val="right"/>
        <w:rPr>
          <w:rFonts w:ascii="Times New Roman" w:hAnsi="Times New Roman" w:cs="Times New Roman" w:eastAsia="Times New Roman" w:hint="default"/>
          <w:sz w:val="18"/>
          <w:szCs w:val="18"/>
        </w:rPr>
      </w:pPr>
      <w:r>
        <w:rPr>
          <w:rFonts w:ascii="Times New Roman"/>
          <w:sz w:val="18"/>
        </w:rPr>
        <w:t>148</w:t>
      </w:r>
    </w:p>
    <w:p>
      <w:pPr>
        <w:spacing w:after="0"/>
        <w:jc w:val="right"/>
        <w:rPr>
          <w:rFonts w:ascii="Times New Roman" w:hAnsi="Times New Roman" w:cs="Times New Roman" w:eastAsia="Times New Roman" w:hint="default"/>
          <w:sz w:val="18"/>
          <w:szCs w:val="18"/>
        </w:rPr>
        <w:sectPr>
          <w:headerReference w:type="default" r:id="rId204"/>
          <w:footerReference w:type="default" r:id="rId205"/>
          <w:pgSz w:w="16840" w:h="11910" w:orient="landscape"/>
          <w:pgMar w:header="0" w:footer="0" w:top="680" w:bottom="280" w:left="1180" w:right="1220"/>
        </w:sectPr>
      </w:pPr>
    </w:p>
    <w:p>
      <w:pPr>
        <w:spacing w:line="240" w:lineRule="auto" w:before="5"/>
        <w:rPr>
          <w:rFonts w:ascii="Times New Roman" w:hAnsi="Times New Roman" w:cs="Times New Roman" w:eastAsia="Times New Roman" w:hint="default"/>
          <w:sz w:val="11"/>
          <w:szCs w:val="11"/>
        </w:rPr>
      </w:pPr>
    </w:p>
    <w:p>
      <w:pPr>
        <w:tabs>
          <w:tab w:pos="1300" w:val="left" w:leader="none"/>
        </w:tabs>
        <w:spacing w:before="35"/>
        <w:ind w:left="245" w:right="259" w:firstLine="0"/>
        <w:jc w:val="left"/>
        <w:rPr>
          <w:rFonts w:ascii="宋体" w:hAnsi="宋体" w:cs="宋体" w:eastAsia="宋体" w:hint="default"/>
          <w:sz w:val="21"/>
          <w:szCs w:val="21"/>
        </w:rPr>
      </w:pPr>
      <w:r>
        <w:rPr>
          <w:rFonts w:ascii="宋体" w:hAnsi="宋体" w:cs="宋体" w:eastAsia="宋体" w:hint="default"/>
          <w:b/>
          <w:bCs/>
          <w:w w:val="95"/>
          <w:sz w:val="21"/>
          <w:szCs w:val="21"/>
        </w:rPr>
        <w:t>(二十五)</w:t>
        <w:tab/>
      </w:r>
      <w:r>
        <w:rPr>
          <w:rFonts w:ascii="宋体" w:hAnsi="宋体" w:cs="宋体" w:eastAsia="宋体" w:hint="default"/>
          <w:b/>
          <w:bCs/>
          <w:sz w:val="21"/>
          <w:szCs w:val="21"/>
        </w:rPr>
        <w:t>资本公积</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p>
      <w:pPr>
        <w:spacing w:line="1681" w:lineRule="exact"/>
        <w:ind w:left="798"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391pt;height:84.1pt;mso-position-horizontal-relative:char;mso-position-vertical-relative:line" coordorigin="0,0" coordsize="7820,1682">
            <v:group style="position:absolute;left:29;top:15;width:7757;height:2" coordorigin="29,15" coordsize="7757,2">
              <v:shape style="position:absolute;left:29;top:15;width:7757;height:2" coordorigin="29,15" coordsize="7757,0" path="m29,15l7786,15e" filled="false" stroked="true" strokeweight="1.5pt" strokecolor="#000000">
                <v:path arrowok="t"/>
              </v:shape>
              <v:shape style="position:absolute;left:2122;top:1;width:4037;height:432" type="#_x0000_t75" stroked="false">
                <v:imagedata r:id="rId209" o:title=""/>
              </v:shape>
            </v:group>
            <v:group style="position:absolute;left:15;top:1666;width:2136;height:2" coordorigin="15,1666" coordsize="2136,2">
              <v:shape style="position:absolute;left:15;top:1666;width:2136;height:2" coordorigin="15,1666" coordsize="2136,0" path="m15,1666l2151,1666e" filled="false" stroked="true" strokeweight="1.5pt" strokecolor="#000000">
                <v:path arrowok="t"/>
              </v:shape>
            </v:group>
            <v:group style="position:absolute;left:2151;top:1666;width:1418;height:2" coordorigin="2151,1666" coordsize="1418,2">
              <v:shape style="position:absolute;left:2151;top:1666;width:1418;height:2" coordorigin="2151,1666" coordsize="1418,0" path="m2151,1666l3568,1666e" filled="false" stroked="true" strokeweight="1.5pt" strokecolor="#000000">
                <v:path arrowok="t"/>
              </v:shape>
            </v:group>
            <v:group style="position:absolute;left:3568;top:1666;width:1134;height:2" coordorigin="3568,1666" coordsize="1134,2">
              <v:shape style="position:absolute;left:3568;top:1666;width:1134;height:2" coordorigin="3568,1666" coordsize="1134,0" path="m3568,1666l4702,1666e" filled="false" stroked="true" strokeweight="1.5pt" strokecolor="#000000">
                <v:path arrowok="t"/>
              </v:shape>
            </v:group>
            <v:group style="position:absolute;left:4702;top:1666;width:1419;height:2" coordorigin="4702,1666" coordsize="1419,2">
              <v:shape style="position:absolute;left:4702;top:1666;width:1419;height:2" coordorigin="4702,1666" coordsize="1419,0" path="m4702,1666l6121,1666e" filled="false" stroked="true" strokeweight="1.5pt" strokecolor="#000000">
                <v:path arrowok="t"/>
              </v:shape>
              <v:shape style="position:absolute;left:1;top:385;width:7819;height:1266" type="#_x0000_t75" stroked="false">
                <v:imagedata r:id="rId210" o:title=""/>
              </v:shape>
            </v:group>
            <v:group style="position:absolute;left:6121;top:1666;width:1666;height:2" coordorigin="6121,1666" coordsize="1666,2">
              <v:shape style="position:absolute;left:6121;top:1666;width:1666;height:2" coordorigin="6121,1666" coordsize="1666,0" path="m6121,1666l7786,1666e" filled="false" stroked="true" strokeweight="1.5pt" strokecolor="#000000">
                <v:path arrowok="t"/>
              </v:shape>
              <v:shape style="position:absolute;left:913;top:1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2504;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779;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5056;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6595;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137;top:513;width:5882;height:621"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资本溢价（股本溢价）</w:t>
                      </w:r>
                    </w:p>
                    <w:p>
                      <w:pPr>
                        <w:spacing w:line="240" w:lineRule="auto" w:before="12"/>
                        <w:rPr>
                          <w:rFonts w:ascii="宋体" w:hAnsi="宋体" w:cs="宋体" w:eastAsia="宋体" w:hint="default"/>
                          <w:b/>
                          <w:bCs/>
                          <w:sz w:val="13"/>
                          <w:szCs w:val="13"/>
                        </w:rPr>
                      </w:pPr>
                    </w:p>
                    <w:p>
                      <w:pPr>
                        <w:tabs>
                          <w:tab w:pos="2203" w:val="left" w:leader="none"/>
                          <w:tab w:pos="3651" w:val="left" w:leader="none"/>
                          <w:tab w:pos="4754" w:val="left" w:leader="none"/>
                        </w:tabs>
                        <w:spacing w:line="245"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）投资者投入的资本</w:t>
                        <w:tab/>
                      </w:r>
                      <w:r>
                        <w:rPr>
                          <w:rFonts w:ascii="Times New Roman" w:hAnsi="Times New Roman" w:cs="Times New Roman" w:eastAsia="Times New Roman" w:hint="default"/>
                          <w:spacing w:val="-1"/>
                          <w:sz w:val="18"/>
                          <w:szCs w:val="18"/>
                        </w:rPr>
                        <w:t>431,371,475.79</w:t>
                        <w:tab/>
                      </w:r>
                      <w:r>
                        <w:rPr>
                          <w:rFonts w:ascii="Times New Roman" w:hAnsi="Times New Roman" w:cs="Times New Roman" w:eastAsia="Times New Roman" w:hint="default"/>
                          <w:sz w:val="18"/>
                          <w:szCs w:val="18"/>
                        </w:rPr>
                        <w:t>150,858.39</w:t>
                        <w:tab/>
                      </w:r>
                      <w:r>
                        <w:rPr>
                          <w:rFonts w:ascii="Times New Roman" w:hAnsi="Times New Roman" w:cs="Times New Roman" w:eastAsia="Times New Roman" w:hint="default"/>
                          <w:spacing w:val="-1"/>
                          <w:sz w:val="18"/>
                          <w:szCs w:val="18"/>
                        </w:rPr>
                        <w:t>322,228,895.23</w:t>
                      </w:r>
                    </w:p>
                  </w:txbxContent>
                </v:textbox>
                <w10:wrap type="none"/>
              </v:shape>
              <v:shape style="position:absolute;left:6553;top:95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109,293,438.95</w:t>
                      </w:r>
                    </w:p>
                  </w:txbxContent>
                </v:textbox>
                <w10:wrap type="none"/>
              </v:shape>
              <v:shape style="position:absolute;left:913;top:137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341;top:1382;width:3679;height:180" type="#_x0000_t202" filled="false" stroked="false">
                <v:textbox inset="0,0,0,0">
                  <w:txbxContent>
                    <w:p>
                      <w:pPr>
                        <w:tabs>
                          <w:tab w:pos="1447" w:val="left" w:leader="none"/>
                          <w:tab w:pos="255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431,371,475.79</w:t>
                        <w:tab/>
                      </w:r>
                      <w:r>
                        <w:rPr>
                          <w:rFonts w:ascii="Times New Roman"/>
                          <w:sz w:val="18"/>
                        </w:rPr>
                        <w:t>150,858.39</w:t>
                        <w:tab/>
                      </w:r>
                      <w:r>
                        <w:rPr>
                          <w:rFonts w:ascii="Times New Roman"/>
                          <w:spacing w:val="-1"/>
                          <w:sz w:val="18"/>
                        </w:rPr>
                        <w:t>322,228,895.23</w:t>
                      </w:r>
                    </w:p>
                  </w:txbxContent>
                </v:textbox>
                <w10:wrap type="none"/>
              </v:shape>
              <v:shape style="position:absolute;left:6553;top:138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109,293,438.95</w:t>
                      </w:r>
                    </w:p>
                  </w:txbxContent>
                </v:textbox>
                <w10:wrap type="none"/>
              </v:shape>
            </v:group>
          </v:group>
        </w:pict>
      </w:r>
      <w:r>
        <w:rPr>
          <w:rFonts w:ascii="宋体" w:hAnsi="宋体" w:cs="宋体" w:eastAsia="宋体" w:hint="default"/>
          <w:position w:val="-33"/>
          <w:sz w:val="20"/>
          <w:szCs w:val="20"/>
        </w:rPr>
      </w:r>
    </w:p>
    <w:p>
      <w:pPr>
        <w:spacing w:before="93"/>
        <w:ind w:left="875" w:right="0" w:firstLine="0"/>
        <w:jc w:val="both"/>
        <w:rPr>
          <w:rFonts w:ascii="宋体" w:hAnsi="宋体" w:cs="宋体" w:eastAsia="宋体" w:hint="default"/>
          <w:sz w:val="21"/>
          <w:szCs w:val="21"/>
        </w:rPr>
      </w:pPr>
      <w:r>
        <w:rPr>
          <w:rFonts w:ascii="宋体" w:hAnsi="宋体" w:cs="宋体" w:eastAsia="宋体" w:hint="default"/>
          <w:sz w:val="21"/>
          <w:szCs w:val="21"/>
        </w:rPr>
        <w:t>资本公积的说明：</w:t>
      </w:r>
    </w:p>
    <w:p>
      <w:pPr>
        <w:spacing w:line="328" w:lineRule="auto" w:before="126"/>
        <w:ind w:left="875" w:right="637"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、本年资本公积增加金额为</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150,858.39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元，系</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月，本公司通过增资直接 控股江西先材，持股比例由</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77.17%</w:t>
      </w:r>
      <w:r>
        <w:rPr>
          <w:rFonts w:ascii="宋体" w:hAnsi="宋体" w:cs="宋体" w:eastAsia="宋体" w:hint="default"/>
          <w:sz w:val="21"/>
          <w:szCs w:val="21"/>
        </w:rPr>
        <w:t>变更为</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67.80%</w:t>
      </w:r>
      <w:r>
        <w:rPr>
          <w:rFonts w:ascii="宋体" w:hAnsi="宋体" w:cs="宋体" w:eastAsia="宋体" w:hint="default"/>
          <w:sz w:val="21"/>
          <w:szCs w:val="21"/>
        </w:rPr>
        <w:t>，公司增资额与江西先材增资日净 资产的可辨认公允价值之间的差额，增加资本公积</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150,858.39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before="24"/>
        <w:ind w:left="875"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、本年资</w:t>
      </w:r>
      <w:r>
        <w:rPr>
          <w:rFonts w:ascii="宋体" w:hAnsi="宋体" w:cs="宋体" w:eastAsia="宋体" w:hint="default"/>
          <w:spacing w:val="-2"/>
          <w:sz w:val="21"/>
          <w:szCs w:val="21"/>
        </w:rPr>
        <w:t>本</w:t>
      </w:r>
      <w:r>
        <w:rPr>
          <w:rFonts w:ascii="宋体" w:hAnsi="宋体" w:cs="宋体" w:eastAsia="宋体" w:hint="default"/>
          <w:sz w:val="21"/>
          <w:szCs w:val="21"/>
        </w:rPr>
        <w:t>公积减少金额为</w:t>
      </w:r>
      <w:r>
        <w:rPr>
          <w:rFonts w:ascii="宋体" w:hAnsi="宋体" w:cs="宋体" w:eastAsia="宋体" w:hint="default"/>
          <w:spacing w:val="-14"/>
          <w:sz w:val="21"/>
          <w:szCs w:val="21"/>
        </w:rPr>
        <w:t> </w:t>
      </w:r>
      <w:r>
        <w:rPr>
          <w:rFonts w:ascii="Times New Roman" w:hAnsi="Times New Roman" w:cs="Times New Roman" w:eastAsia="Times New Roman" w:hint="default"/>
          <w:sz w:val="21"/>
          <w:szCs w:val="21"/>
        </w:rPr>
        <w:t>32</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8</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9</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23 </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元</w:t>
      </w:r>
      <w:r>
        <w:rPr>
          <w:rFonts w:ascii="宋体" w:hAnsi="宋体" w:cs="宋体" w:eastAsia="宋体" w:hint="default"/>
          <w:spacing w:val="-2"/>
          <w:sz w:val="21"/>
          <w:szCs w:val="21"/>
        </w:rPr>
        <w:t>，</w:t>
      </w:r>
      <w:r>
        <w:rPr>
          <w:rFonts w:ascii="宋体" w:hAnsi="宋体" w:cs="宋体" w:eastAsia="宋体" w:hint="default"/>
          <w:sz w:val="21"/>
          <w:szCs w:val="21"/>
        </w:rPr>
        <w:t>其中</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pacing w:val="-2"/>
          <w:sz w:val="21"/>
          <w:szCs w:val="21"/>
        </w:rPr>
        <w:t>）</w:t>
      </w:r>
      <w:r>
        <w:rPr>
          <w:rFonts w:ascii="宋体" w:hAnsi="宋体" w:cs="宋体" w:eastAsia="宋体" w:hint="default"/>
          <w:sz w:val="21"/>
          <w:szCs w:val="21"/>
        </w:rPr>
        <w:t>经本公司第三届董事会</w:t>
      </w:r>
    </w:p>
    <w:p>
      <w:pPr>
        <w:spacing w:before="109"/>
        <w:ind w:left="875" w:right="0" w:firstLine="0"/>
        <w:jc w:val="both"/>
        <w:rPr>
          <w:rFonts w:ascii="宋体" w:hAnsi="宋体" w:cs="宋体" w:eastAsia="宋体" w:hint="default"/>
          <w:sz w:val="21"/>
          <w:szCs w:val="21"/>
        </w:rPr>
      </w:pPr>
      <w:r>
        <w:rPr>
          <w:rFonts w:ascii="宋体" w:hAnsi="宋体" w:cs="宋体" w:eastAsia="宋体" w:hint="default"/>
          <w:sz w:val="21"/>
          <w:szCs w:val="21"/>
        </w:rPr>
        <w:t>第二十四次会议决议，本公司于</w:t>
      </w:r>
      <w:r>
        <w:rPr>
          <w:rFonts w:ascii="宋体" w:hAnsi="宋体" w:cs="宋体" w:eastAsia="宋体" w:hint="default"/>
          <w:spacing w:val="-56"/>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日以资本公积</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315,460,320.00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元转增</w:t>
      </w:r>
    </w:p>
    <w:p>
      <w:pPr>
        <w:spacing w:before="109"/>
        <w:ind w:left="875" w:right="0" w:firstLine="0"/>
        <w:jc w:val="both"/>
        <w:rPr>
          <w:rFonts w:ascii="宋体" w:hAnsi="宋体" w:cs="宋体" w:eastAsia="宋体" w:hint="default"/>
          <w:sz w:val="21"/>
          <w:szCs w:val="21"/>
        </w:rPr>
      </w:pPr>
      <w:r>
        <w:rPr>
          <w:rFonts w:ascii="宋体" w:hAnsi="宋体" w:cs="宋体" w:eastAsia="宋体" w:hint="default"/>
          <w:sz w:val="21"/>
          <w:szCs w:val="21"/>
        </w:rPr>
        <w:t>股本，每</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股转增</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股。（</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月，经第三届董事会会议决议，本公司与</w:t>
      </w:r>
    </w:p>
    <w:p>
      <w:pPr>
        <w:spacing w:line="333" w:lineRule="auto" w:before="110"/>
        <w:ind w:left="875" w:right="636" w:firstLine="0"/>
        <w:jc w:val="both"/>
        <w:rPr>
          <w:rFonts w:ascii="宋体" w:hAnsi="宋体" w:cs="宋体" w:eastAsia="宋体" w:hint="default"/>
          <w:sz w:val="21"/>
          <w:szCs w:val="21"/>
        </w:rPr>
      </w:pPr>
      <w:r>
        <w:rPr>
          <w:rFonts w:ascii="宋体" w:hAnsi="宋体" w:cs="宋体" w:eastAsia="宋体" w:hint="default"/>
          <w:sz w:val="21"/>
          <w:szCs w:val="21"/>
        </w:rPr>
        <w:t>王斌先生签订股权转让协议，购买其持有的惠程高能 </w:t>
      </w:r>
      <w:r>
        <w:rPr>
          <w:rFonts w:ascii="Times New Roman" w:hAnsi="Times New Roman" w:cs="Times New Roman" w:eastAsia="Times New Roman" w:hint="default"/>
          <w:sz w:val="21"/>
          <w:szCs w:val="21"/>
        </w:rPr>
        <w:t>50 </w:t>
      </w:r>
      <w:r>
        <w:rPr>
          <w:rFonts w:ascii="宋体" w:hAnsi="宋体" w:cs="宋体" w:eastAsia="宋体" w:hint="default"/>
          <w:sz w:val="21"/>
          <w:szCs w:val="21"/>
        </w:rPr>
        <w:t>万元股份，购买价格为</w:t>
      </w:r>
      <w:r>
        <w:rPr>
          <w:rFonts w:ascii="宋体" w:hAnsi="宋体" w:cs="宋体" w:eastAsia="宋体" w:hint="default"/>
          <w:spacing w:val="18"/>
          <w:sz w:val="21"/>
          <w:szCs w:val="21"/>
        </w:rPr>
        <w:t> </w:t>
      </w:r>
      <w:r>
        <w:rPr>
          <w:rFonts w:ascii="Times New Roman" w:hAnsi="Times New Roman" w:cs="Times New Roman" w:eastAsia="Times New Roman" w:hint="default"/>
          <w:sz w:val="21"/>
          <w:szCs w:val="21"/>
        </w:rPr>
        <w:t>50 </w:t>
      </w:r>
      <w:r>
        <w:rPr>
          <w:rFonts w:ascii="宋体" w:hAnsi="宋体" w:cs="宋体" w:eastAsia="宋体" w:hint="default"/>
          <w:sz w:val="21"/>
          <w:szCs w:val="21"/>
        </w:rPr>
        <w:t>万元，购买后公司持股比例为</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，新取得的长期股权投资与按照新增持股比例计 </w:t>
      </w:r>
      <w:r>
        <w:rPr>
          <w:rFonts w:ascii="宋体" w:hAnsi="宋体" w:cs="宋体" w:eastAsia="宋体" w:hint="default"/>
          <w:spacing w:val="-3"/>
          <w:sz w:val="21"/>
          <w:szCs w:val="21"/>
        </w:rPr>
        <w:t>算应享有惠程高能自购买日开始持续计算的可辨认净资产之间的差额，冲减资本公积</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Times New Roman" w:hAnsi="Times New Roman" w:cs="Times New Roman" w:eastAsia="Times New Roman" w:hint="default"/>
          <w:sz w:val="21"/>
          <w:szCs w:val="21"/>
        </w:rPr>
        <w:t>114,942.97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月，本公司对长春高琦进行增资，增资后，本公司对 长春高琦出资比例从</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54.26%</w:t>
      </w:r>
      <w:r>
        <w:rPr>
          <w:rFonts w:ascii="宋体" w:hAnsi="宋体" w:cs="宋体" w:eastAsia="宋体" w:hint="default"/>
          <w:sz w:val="21"/>
          <w:szCs w:val="21"/>
        </w:rPr>
        <w:t>增加到</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84.63%</w:t>
      </w:r>
      <w:r>
        <w:rPr>
          <w:rFonts w:ascii="宋体" w:hAnsi="宋体" w:cs="宋体" w:eastAsia="宋体" w:hint="default"/>
          <w:sz w:val="21"/>
          <w:szCs w:val="21"/>
        </w:rPr>
        <w:t>。增资额与长春高琦增资日净资产的可辨 认公允价值之间的差额，冲减资本公积</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6,653,632.26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4"/>
        <w:rPr>
          <w:rFonts w:ascii="宋体" w:hAnsi="宋体" w:cs="宋体" w:eastAsia="宋体" w:hint="default"/>
          <w:sz w:val="29"/>
          <w:szCs w:val="29"/>
        </w:rPr>
      </w:pPr>
    </w:p>
    <w:tbl>
      <w:tblPr>
        <w:tblW w:w="0" w:type="auto"/>
        <w:jc w:val="left"/>
        <w:tblInd w:w="210" w:type="dxa"/>
        <w:tblLayout w:type="fixed"/>
        <w:tblCellMar>
          <w:top w:w="0" w:type="dxa"/>
          <w:left w:w="0" w:type="dxa"/>
          <w:bottom w:w="0" w:type="dxa"/>
          <w:right w:w="0" w:type="dxa"/>
        </w:tblCellMar>
        <w:tblLook w:val="01E0"/>
      </w:tblPr>
      <w:tblGrid>
        <w:gridCol w:w="2362"/>
        <w:gridCol w:w="1596"/>
        <w:gridCol w:w="1564"/>
        <w:gridCol w:w="1093"/>
        <w:gridCol w:w="606"/>
        <w:gridCol w:w="1628"/>
      </w:tblGrid>
      <w:tr>
        <w:trPr>
          <w:trHeight w:val="357" w:hRule="exact"/>
        </w:trPr>
        <w:tc>
          <w:tcPr>
            <w:tcW w:w="2362" w:type="dxa"/>
            <w:tcBorders>
              <w:top w:val="nil" w:sz="6" w:space="0" w:color="auto"/>
              <w:left w:val="nil" w:sz="6" w:space="0" w:color="auto"/>
              <w:bottom w:val="single" w:sz="12" w:space="0" w:color="000000"/>
              <w:right w:val="nil" w:sz="6" w:space="0" w:color="auto"/>
            </w:tcBorders>
          </w:tcPr>
          <w:p>
            <w:pPr>
              <w:pStyle w:val="TableParagraph"/>
              <w:tabs>
                <w:tab w:pos="1309" w:val="left" w:leader="none"/>
              </w:tabs>
              <w:spacing w:line="240" w:lineRule="auto" w:before="35"/>
              <w:ind w:left="35" w:right="0"/>
              <w:jc w:val="left"/>
              <w:rPr>
                <w:rFonts w:ascii="宋体" w:hAnsi="宋体" w:cs="宋体" w:eastAsia="宋体" w:hint="default"/>
                <w:sz w:val="21"/>
                <w:szCs w:val="21"/>
              </w:rPr>
            </w:pPr>
            <w:r>
              <w:rPr>
                <w:rFonts w:ascii="宋体" w:hAnsi="宋体" w:cs="宋体" w:eastAsia="宋体" w:hint="default"/>
                <w:b/>
                <w:bCs/>
                <w:w w:val="95"/>
                <w:sz w:val="21"/>
                <w:szCs w:val="21"/>
              </w:rPr>
              <w:t>(二十六)</w:t>
              <w:tab/>
            </w:r>
            <w:r>
              <w:rPr>
                <w:rFonts w:ascii="宋体" w:hAnsi="宋体" w:cs="宋体" w:eastAsia="宋体" w:hint="default"/>
                <w:b/>
                <w:bCs/>
                <w:sz w:val="21"/>
                <w:szCs w:val="21"/>
              </w:rPr>
              <w:t>盈余公积</w:t>
            </w:r>
            <w:r>
              <w:rPr>
                <w:rFonts w:ascii="宋体" w:hAnsi="宋体" w:cs="宋体" w:eastAsia="宋体" w:hint="default"/>
                <w:sz w:val="21"/>
                <w:szCs w:val="21"/>
              </w:rPr>
            </w:r>
          </w:p>
        </w:tc>
        <w:tc>
          <w:tcPr>
            <w:tcW w:w="6487" w:type="dxa"/>
            <w:gridSpan w:val="5"/>
            <w:tcBorders>
              <w:top w:val="nil" w:sz="6" w:space="0" w:color="auto"/>
              <w:left w:val="nil" w:sz="6" w:space="0" w:color="auto"/>
              <w:bottom w:val="single" w:sz="12" w:space="0" w:color="000000"/>
              <w:right w:val="nil" w:sz="6" w:space="0" w:color="auto"/>
            </w:tcBorders>
          </w:tcPr>
          <w:p>
            <w:pPr/>
          </w:p>
        </w:tc>
      </w:tr>
      <w:tr>
        <w:trPr>
          <w:trHeight w:val="333" w:hRule="exact"/>
        </w:trPr>
        <w:tc>
          <w:tcPr>
            <w:tcW w:w="2362"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8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07"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564"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56"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093"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606" w:type="dxa"/>
            <w:tcBorders>
              <w:top w:val="single" w:sz="12" w:space="0" w:color="000000"/>
              <w:left w:val="nil" w:sz="6" w:space="0" w:color="auto"/>
              <w:bottom w:val="nil" w:sz="6" w:space="0" w:color="auto"/>
              <w:right w:val="nil" w:sz="6" w:space="0" w:color="auto"/>
            </w:tcBorders>
          </w:tcPr>
          <w:p>
            <w:pPr/>
          </w:p>
        </w:tc>
        <w:tc>
          <w:tcPr>
            <w:tcW w:w="1628"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338"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326" w:hRule="exact"/>
        </w:trPr>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706"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4"/>
              <w:jc w:val="right"/>
              <w:rPr>
                <w:rFonts w:ascii="Times New Roman" w:hAnsi="Times New Roman" w:cs="Times New Roman" w:eastAsia="Times New Roman" w:hint="default"/>
                <w:sz w:val="18"/>
                <w:szCs w:val="18"/>
              </w:rPr>
            </w:pPr>
            <w:r>
              <w:rPr>
                <w:rFonts w:ascii="Times New Roman"/>
                <w:spacing w:val="-1"/>
                <w:sz w:val="18"/>
              </w:rPr>
              <w:t>39,839,986.66</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84"/>
              <w:jc w:val="right"/>
              <w:rPr>
                <w:rFonts w:ascii="Times New Roman" w:hAnsi="Times New Roman" w:cs="Times New Roman" w:eastAsia="Times New Roman" w:hint="default"/>
                <w:sz w:val="18"/>
                <w:szCs w:val="18"/>
              </w:rPr>
            </w:pPr>
            <w:r>
              <w:rPr>
                <w:rFonts w:ascii="Times New Roman"/>
                <w:spacing w:val="-1"/>
                <w:sz w:val="18"/>
              </w:rPr>
              <w:t>7,453,856.26</w:t>
            </w:r>
          </w:p>
        </w:tc>
        <w:tc>
          <w:tcPr>
            <w:tcW w:w="1093"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87" w:right="0"/>
              <w:jc w:val="left"/>
              <w:rPr>
                <w:rFonts w:ascii="Times New Roman" w:hAnsi="Times New Roman" w:cs="Times New Roman" w:eastAsia="Times New Roman" w:hint="default"/>
                <w:sz w:val="18"/>
                <w:szCs w:val="18"/>
              </w:rPr>
            </w:pPr>
            <w:r>
              <w:rPr>
                <w:rFonts w:ascii="Times New Roman"/>
                <w:sz w:val="18"/>
              </w:rPr>
              <w:t>---</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47,293,842.92</w:t>
            </w:r>
          </w:p>
        </w:tc>
      </w:tr>
      <w:tr>
        <w:trPr>
          <w:trHeight w:val="322" w:hRule="exact"/>
        </w:trPr>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706" w:right="0"/>
              <w:jc w:val="left"/>
              <w:rPr>
                <w:rFonts w:ascii="宋体" w:hAnsi="宋体" w:cs="宋体" w:eastAsia="宋体" w:hint="default"/>
                <w:sz w:val="18"/>
                <w:szCs w:val="18"/>
              </w:rPr>
            </w:pPr>
            <w:r>
              <w:rPr>
                <w:rFonts w:ascii="宋体" w:hAnsi="宋体" w:cs="宋体" w:eastAsia="宋体" w:hint="default"/>
                <w:sz w:val="18"/>
                <w:szCs w:val="18"/>
              </w:rPr>
              <w:t>任意盈余公积</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5"/>
              <w:jc w:val="right"/>
              <w:rPr>
                <w:rFonts w:ascii="Times New Roman" w:hAnsi="Times New Roman" w:cs="Times New Roman" w:eastAsia="Times New Roman" w:hint="default"/>
                <w:sz w:val="18"/>
                <w:szCs w:val="18"/>
              </w:rPr>
            </w:pPr>
            <w:r>
              <w:rPr>
                <w:rFonts w:ascii="Times New Roman"/>
                <w:spacing w:val="-1"/>
                <w:sz w:val="18"/>
              </w:rPr>
              <w:t>12,154,775.66</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4"/>
              <w:jc w:val="right"/>
              <w:rPr>
                <w:rFonts w:ascii="Times New Roman" w:hAnsi="Times New Roman" w:cs="Times New Roman" w:eastAsia="Times New Roman" w:hint="default"/>
                <w:sz w:val="18"/>
                <w:szCs w:val="18"/>
              </w:rPr>
            </w:pPr>
            <w:r>
              <w:rPr>
                <w:rFonts w:ascii="Times New Roman"/>
                <w:sz w:val="18"/>
              </w:rPr>
              <w:t>---</w:t>
            </w:r>
          </w:p>
        </w:tc>
        <w:tc>
          <w:tcPr>
            <w:tcW w:w="1093"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before="51"/>
              <w:ind w:left="87" w:right="0"/>
              <w:jc w:val="left"/>
              <w:rPr>
                <w:rFonts w:ascii="Times New Roman" w:hAnsi="Times New Roman" w:cs="Times New Roman" w:eastAsia="Times New Roman" w:hint="default"/>
                <w:sz w:val="18"/>
                <w:szCs w:val="18"/>
              </w:rPr>
            </w:pPr>
            <w:r>
              <w:rPr>
                <w:rFonts w:ascii="Times New Roman"/>
                <w:sz w:val="18"/>
              </w:rPr>
              <w:t>---</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12,154,775.66</w:t>
            </w:r>
          </w:p>
        </w:tc>
      </w:tr>
      <w:tr>
        <w:trPr>
          <w:trHeight w:val="328" w:hRule="exact"/>
        </w:trPr>
        <w:tc>
          <w:tcPr>
            <w:tcW w:w="2362"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28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254"/>
              <w:jc w:val="right"/>
              <w:rPr>
                <w:rFonts w:ascii="Times New Roman" w:hAnsi="Times New Roman" w:cs="Times New Roman" w:eastAsia="Times New Roman" w:hint="default"/>
                <w:sz w:val="18"/>
                <w:szCs w:val="18"/>
              </w:rPr>
            </w:pPr>
            <w:r>
              <w:rPr>
                <w:rFonts w:ascii="Times New Roman"/>
                <w:spacing w:val="-1"/>
                <w:sz w:val="18"/>
              </w:rPr>
              <w:t>51,994,762.32</w:t>
            </w:r>
          </w:p>
        </w:tc>
        <w:tc>
          <w:tcPr>
            <w:tcW w:w="1564"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283"/>
              <w:jc w:val="right"/>
              <w:rPr>
                <w:rFonts w:ascii="Times New Roman" w:hAnsi="Times New Roman" w:cs="Times New Roman" w:eastAsia="Times New Roman" w:hint="default"/>
                <w:sz w:val="18"/>
                <w:szCs w:val="18"/>
              </w:rPr>
            </w:pPr>
            <w:r>
              <w:rPr>
                <w:rFonts w:ascii="Times New Roman"/>
                <w:spacing w:val="-1"/>
                <w:sz w:val="18"/>
              </w:rPr>
              <w:t>7,453,856.26</w:t>
            </w:r>
          </w:p>
        </w:tc>
        <w:tc>
          <w:tcPr>
            <w:tcW w:w="1093" w:type="dxa"/>
            <w:tcBorders>
              <w:top w:val="nil" w:sz="6" w:space="0" w:color="auto"/>
              <w:left w:val="nil" w:sz="6" w:space="0" w:color="auto"/>
              <w:bottom w:val="single" w:sz="12" w:space="0" w:color="000000"/>
              <w:right w:val="nil" w:sz="6" w:space="0" w:color="auto"/>
            </w:tcBorders>
          </w:tcPr>
          <w:p>
            <w:pPr/>
          </w:p>
        </w:tc>
        <w:tc>
          <w:tcPr>
            <w:tcW w:w="606"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left="87" w:right="0"/>
              <w:jc w:val="left"/>
              <w:rPr>
                <w:rFonts w:ascii="Times New Roman" w:hAnsi="Times New Roman" w:cs="Times New Roman" w:eastAsia="Times New Roman" w:hint="default"/>
                <w:sz w:val="18"/>
                <w:szCs w:val="18"/>
              </w:rPr>
            </w:pPr>
            <w:r>
              <w:rPr>
                <w:rFonts w:ascii="Times New Roman"/>
                <w:sz w:val="18"/>
              </w:rPr>
              <w:t>---</w:t>
            </w:r>
          </w:p>
        </w:tc>
        <w:tc>
          <w:tcPr>
            <w:tcW w:w="1628"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59,448,618.58</w:t>
            </w:r>
          </w:p>
        </w:tc>
      </w:tr>
    </w:tbl>
    <w:p>
      <w:pPr>
        <w:spacing w:before="78"/>
        <w:ind w:left="875" w:right="259" w:firstLine="0"/>
        <w:jc w:val="left"/>
        <w:rPr>
          <w:rFonts w:ascii="宋体" w:hAnsi="宋体" w:cs="宋体" w:eastAsia="宋体" w:hint="default"/>
          <w:sz w:val="21"/>
          <w:szCs w:val="21"/>
        </w:rPr>
      </w:pPr>
      <w:r>
        <w:rPr/>
        <w:pict>
          <v:group style="position:absolute;margin-left:116.040001pt;margin-top:-67.595917pt;width:415.75pt;height:65.3500pt;mso-position-horizontal-relative:page;mso-position-vertical-relative:paragraph;z-index:-775600" coordorigin="2321,-1352" coordsize="8315,1307">
            <v:shape style="position:absolute;left:3769;top:-1352;width:5004;height:370" type="#_x0000_t75" stroked="false">
              <v:imagedata r:id="rId211" o:title=""/>
            </v:shape>
            <v:shape style="position:absolute;left:2321;top:-1040;width:8315;height:995" type="#_x0000_t75" stroked="false">
              <v:imagedata r:id="rId212" o:title=""/>
            </v:shape>
            <w10:wrap type="none"/>
          </v:group>
        </w:pict>
      </w:r>
      <w:r>
        <w:rPr>
          <w:rFonts w:ascii="宋体" w:hAnsi="宋体" w:cs="宋体" w:eastAsia="宋体" w:hint="default"/>
          <w:sz w:val="21"/>
          <w:szCs w:val="21"/>
        </w:rPr>
        <w:t>盈余公积说明：</w:t>
      </w:r>
    </w:p>
    <w:p>
      <w:pPr>
        <w:spacing w:line="328" w:lineRule="auto" w:before="126"/>
        <w:ind w:left="875" w:right="259" w:firstLine="0"/>
        <w:jc w:val="left"/>
        <w:rPr>
          <w:rFonts w:ascii="宋体" w:hAnsi="宋体" w:cs="宋体" w:eastAsia="宋体" w:hint="default"/>
          <w:sz w:val="21"/>
          <w:szCs w:val="21"/>
        </w:rPr>
      </w:pPr>
      <w:r>
        <w:rPr>
          <w:rFonts w:ascii="宋体" w:hAnsi="宋体" w:cs="宋体" w:eastAsia="宋体" w:hint="default"/>
          <w:sz w:val="21"/>
          <w:szCs w:val="21"/>
        </w:rPr>
        <w:t>根据公司法和本公司章程的规定，本公司按母公司净利润的</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提取法定盈余公积</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金。</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1519" w:val="left" w:leader="none"/>
        </w:tabs>
        <w:spacing w:before="0"/>
        <w:ind w:left="245" w:right="259" w:firstLine="0"/>
        <w:jc w:val="left"/>
        <w:rPr>
          <w:rFonts w:ascii="宋体" w:hAnsi="宋体" w:cs="宋体" w:eastAsia="宋体" w:hint="default"/>
          <w:sz w:val="21"/>
          <w:szCs w:val="21"/>
        </w:rPr>
      </w:pPr>
      <w:r>
        <w:rPr>
          <w:rFonts w:ascii="宋体" w:hAnsi="宋体" w:cs="宋体" w:eastAsia="宋体" w:hint="default"/>
          <w:b/>
          <w:bCs/>
          <w:w w:val="95"/>
          <w:sz w:val="21"/>
          <w:szCs w:val="21"/>
        </w:rPr>
        <w:t>(二十七)</w:t>
        <w:tab/>
      </w:r>
      <w:r>
        <w:rPr>
          <w:rFonts w:ascii="宋体" w:hAnsi="宋体" w:cs="宋体" w:eastAsia="宋体" w:hint="default"/>
          <w:b/>
          <w:bCs/>
          <w:sz w:val="21"/>
          <w:szCs w:val="21"/>
        </w:rPr>
        <w:t>未分配利润</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2304" w:lineRule="exact"/>
        <w:ind w:left="800"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414.25pt;height:115.2pt;mso-position-horizontal-relative:char;mso-position-vertical-relative:line" coordorigin="0,0" coordsize="8285,2304">
            <v:group style="position:absolute;left:29;top:15;width:8219;height:2" coordorigin="29,15" coordsize="8219,2">
              <v:shape style="position:absolute;left:29;top:15;width:8219;height:2" coordorigin="29,15" coordsize="8219,0" path="m29,15l8248,15e" filled="false" stroked="true" strokeweight="1.5pt" strokecolor="#000000">
                <v:path arrowok="t"/>
              </v:shape>
              <v:shape style="position:absolute;left:4025;top:1;width:2089;height:370" type="#_x0000_t75" stroked="false">
                <v:imagedata r:id="rId213" o:title=""/>
              </v:shape>
            </v:group>
            <v:group style="position:absolute;left:15;top:2289;width:4040;height:2" coordorigin="15,2289" coordsize="4040,2">
              <v:shape style="position:absolute;left:15;top:2289;width:4040;height:2" coordorigin="15,2289" coordsize="4040,0" path="m15,2289l4054,2289e" filled="false" stroked="true" strokeweight="1.5pt" strokecolor="#000000">
                <v:path arrowok="t"/>
              </v:shape>
            </v:group>
            <v:group style="position:absolute;left:4054;top:2289;width:2022;height:2" coordorigin="4054,2289" coordsize="2022,2">
              <v:shape style="position:absolute;left:4054;top:2289;width:2022;height:2" coordorigin="4054,2289" coordsize="2022,0" path="m4054,2289l6076,2289e" filled="false" stroked="true" strokeweight="1.5pt" strokecolor="#000000">
                <v:path arrowok="t"/>
              </v:shape>
              <v:shape style="position:absolute;left:1;top:313;width:8284;height:1961" type="#_x0000_t75" stroked="false">
                <v:imagedata r:id="rId214" o:title=""/>
              </v:shape>
            </v:group>
            <v:group style="position:absolute;left:6076;top:2289;width:2172;height:2" coordorigin="6076,2289" coordsize="2172,2">
              <v:shape style="position:absolute;left:6076;top:2289;width:2172;height:2" coordorigin="6076,2289" coordsize="2172,0" path="m6076,2289l8248,2289e" filled="false" stroked="true" strokeweight="1.5pt" strokecolor="#000000">
                <v:path arrowok="t"/>
              </v:shape>
              <v:shape style="position:absolute;left:1864;top:9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855;top:96;width:1120;height:832" type="#_x0000_t202" filled="false" stroked="false">
                <v:textbox inset="0,0,0,0">
                  <w:txbxContent>
                    <w:p>
                      <w:pPr>
                        <w:spacing w:line="180" w:lineRule="exact" w:before="0"/>
                        <w:ind w:left="34" w:right="0" w:firstLine="0"/>
                        <w:jc w:val="left"/>
                        <w:rPr>
                          <w:rFonts w:ascii="宋体" w:hAnsi="宋体" w:cs="宋体" w:eastAsia="宋体" w:hint="default"/>
                          <w:sz w:val="18"/>
                          <w:szCs w:val="18"/>
                        </w:rPr>
                      </w:pPr>
                      <w:r>
                        <w:rPr>
                          <w:rFonts w:ascii="宋体" w:hAnsi="宋体" w:cs="宋体" w:eastAsia="宋体" w:hint="default"/>
                          <w:sz w:val="18"/>
                          <w:szCs w:val="18"/>
                        </w:rPr>
                        <w:t>金额</w:t>
                      </w:r>
                    </w:p>
                    <w:p>
                      <w:pPr>
                        <w:spacing w:before="126"/>
                        <w:ind w:left="0" w:right="0" w:firstLine="0"/>
                        <w:jc w:val="left"/>
                        <w:rPr>
                          <w:rFonts w:ascii="Times New Roman" w:hAnsi="Times New Roman" w:cs="Times New Roman" w:eastAsia="Times New Roman" w:hint="default"/>
                          <w:sz w:val="18"/>
                          <w:szCs w:val="18"/>
                        </w:rPr>
                      </w:pPr>
                      <w:r>
                        <w:rPr>
                          <w:rFonts w:ascii="Times New Roman"/>
                          <w:spacing w:val="-1"/>
                          <w:sz w:val="18"/>
                        </w:rPr>
                        <w:t>204,982,380.11</w:t>
                      </w:r>
                    </w:p>
                    <w:p>
                      <w:pPr>
                        <w:spacing w:line="203" w:lineRule="exact" w:before="116"/>
                        <w:ind w:left="83" w:right="0" w:firstLine="0"/>
                        <w:jc w:val="left"/>
                        <w:rPr>
                          <w:rFonts w:ascii="Times New Roman" w:hAnsi="Times New Roman" w:cs="Times New Roman" w:eastAsia="Times New Roman" w:hint="default"/>
                          <w:sz w:val="18"/>
                          <w:szCs w:val="18"/>
                        </w:rPr>
                      </w:pPr>
                      <w:r>
                        <w:rPr>
                          <w:rFonts w:ascii="Times New Roman"/>
                          <w:sz w:val="18"/>
                        </w:rPr>
                        <w:t>70,590,817.47</w:t>
                      </w:r>
                    </w:p>
                  </w:txbxContent>
                </v:textbox>
                <w10:wrap type="none"/>
              </v:shape>
              <v:shape style="position:absolute;left:6535;top:96;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提取或分配比例</w:t>
                      </w:r>
                    </w:p>
                  </w:txbxContent>
                </v:textbox>
                <w10:wrap type="none"/>
              </v:shape>
              <v:shape style="position:absolute;left:137;top:418;width:3150;height:179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年初未分配利润</w:t>
                      </w:r>
                    </w:p>
                    <w:p>
                      <w:pPr>
                        <w:spacing w:line="328" w:lineRule="auto" w:before="87"/>
                        <w:ind w:left="0" w:right="0" w:firstLine="0"/>
                        <w:jc w:val="left"/>
                        <w:rPr>
                          <w:rFonts w:ascii="宋体" w:hAnsi="宋体" w:cs="宋体" w:eastAsia="宋体" w:hint="default"/>
                          <w:sz w:val="18"/>
                          <w:szCs w:val="18"/>
                        </w:rPr>
                      </w:pPr>
                      <w:r>
                        <w:rPr>
                          <w:rFonts w:ascii="宋体" w:hAnsi="宋体" w:cs="宋体" w:eastAsia="宋体" w:hint="default"/>
                          <w:sz w:val="18"/>
                          <w:szCs w:val="18"/>
                        </w:rPr>
                        <w:t>加： 本年归属于母公司所有者的净利润 减：提取法定盈余公积</w:t>
                      </w:r>
                    </w:p>
                    <w:p>
                      <w:pPr>
                        <w:spacing w:before="19"/>
                        <w:ind w:left="360" w:right="0" w:firstLine="0"/>
                        <w:jc w:val="left"/>
                        <w:rPr>
                          <w:rFonts w:ascii="宋体" w:hAnsi="宋体" w:cs="宋体" w:eastAsia="宋体" w:hint="default"/>
                          <w:sz w:val="18"/>
                          <w:szCs w:val="18"/>
                        </w:rPr>
                      </w:pPr>
                      <w:r>
                        <w:rPr>
                          <w:rFonts w:ascii="宋体" w:hAnsi="宋体" w:cs="宋体" w:eastAsia="宋体" w:hint="default"/>
                          <w:sz w:val="18"/>
                          <w:szCs w:val="18"/>
                        </w:rPr>
                        <w:t>提取任意盈余公积</w:t>
                      </w:r>
                    </w:p>
                    <w:p>
                      <w:pPr>
                        <w:spacing w:line="320" w:lineRule="atLeast" w:before="2"/>
                        <w:ind w:left="360" w:right="988" w:firstLine="0"/>
                        <w:jc w:val="left"/>
                        <w:rPr>
                          <w:rFonts w:ascii="宋体" w:hAnsi="宋体" w:cs="宋体" w:eastAsia="宋体" w:hint="default"/>
                          <w:sz w:val="18"/>
                          <w:szCs w:val="18"/>
                        </w:rPr>
                      </w:pPr>
                      <w:r>
                        <w:rPr>
                          <w:rFonts w:ascii="宋体" w:hAnsi="宋体" w:cs="宋体" w:eastAsia="宋体" w:hint="default"/>
                          <w:sz w:val="18"/>
                          <w:szCs w:val="18"/>
                        </w:rPr>
                        <w:t>应付普通股股利 转作股本的普通股股利</w:t>
                      </w:r>
                    </w:p>
                  </w:txbxContent>
                </v:textbox>
                <w10:wrap type="none"/>
              </v:shape>
              <v:shape style="position:absolute;left:5027;top:1062;width:2796;height:1154" type="#_x0000_t202" filled="false" stroked="false">
                <v:textbox inset="0,0,0,0">
                  <w:txbxContent>
                    <w:p>
                      <w:pPr>
                        <w:tabs>
                          <w:tab w:pos="1161" w:val="left" w:leader="none"/>
                        </w:tabs>
                        <w:spacing w:line="194"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7,453,856.26</w:t>
                        <w:tab/>
                      </w:r>
                      <w:r>
                        <w:rPr>
                          <w:rFonts w:ascii="宋体" w:hAnsi="宋体" w:cs="宋体" w:eastAsia="宋体" w:hint="default"/>
                          <w:sz w:val="18"/>
                          <w:szCs w:val="18"/>
                        </w:rPr>
                        <w:t>母公司净利润的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p>
                    <w:p>
                      <w:pPr>
                        <w:spacing w:before="112"/>
                        <w:ind w:left="765" w:right="0" w:firstLine="0"/>
                        <w:jc w:val="left"/>
                        <w:rPr>
                          <w:rFonts w:ascii="Times New Roman" w:hAnsi="Times New Roman" w:cs="Times New Roman" w:eastAsia="Times New Roman" w:hint="default"/>
                          <w:sz w:val="18"/>
                          <w:szCs w:val="18"/>
                        </w:rPr>
                      </w:pPr>
                      <w:r>
                        <w:rPr>
                          <w:rFonts w:ascii="Times New Roman"/>
                          <w:sz w:val="18"/>
                        </w:rPr>
                        <w:t>---</w:t>
                      </w:r>
                    </w:p>
                    <w:p>
                      <w:pPr>
                        <w:spacing w:before="116"/>
                        <w:ind w:left="765" w:right="0" w:firstLine="0"/>
                        <w:jc w:val="left"/>
                        <w:rPr>
                          <w:rFonts w:ascii="Times New Roman" w:hAnsi="Times New Roman" w:cs="Times New Roman" w:eastAsia="Times New Roman" w:hint="default"/>
                          <w:sz w:val="18"/>
                          <w:szCs w:val="18"/>
                        </w:rPr>
                      </w:pPr>
                      <w:r>
                        <w:rPr>
                          <w:rFonts w:ascii="Times New Roman"/>
                          <w:sz w:val="18"/>
                        </w:rPr>
                        <w:t>---</w:t>
                      </w:r>
                    </w:p>
                    <w:p>
                      <w:pPr>
                        <w:spacing w:line="203" w:lineRule="exact" w:before="114"/>
                        <w:ind w:left="765"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group>
          </v:group>
        </w:pict>
      </w:r>
      <w:r>
        <w:rPr>
          <w:rFonts w:ascii="宋体" w:hAnsi="宋体" w:cs="宋体" w:eastAsia="宋体" w:hint="default"/>
          <w:position w:val="-45"/>
          <w:sz w:val="20"/>
          <w:szCs w:val="20"/>
        </w:rPr>
      </w:r>
    </w:p>
    <w:p>
      <w:pPr>
        <w:spacing w:after="0" w:line="2304" w:lineRule="exact"/>
        <w:rPr>
          <w:rFonts w:ascii="宋体" w:hAnsi="宋体" w:cs="宋体" w:eastAsia="宋体" w:hint="default"/>
          <w:sz w:val="20"/>
          <w:szCs w:val="20"/>
        </w:rPr>
        <w:sectPr>
          <w:footerReference w:type="default" r:id="rId208"/>
          <w:pgSz w:w="11910" w:h="16840"/>
          <w:pgMar w:footer="1270" w:header="0" w:top="1360" w:bottom="1460" w:left="1540" w:right="1160"/>
          <w:pgNumType w:start="149"/>
        </w:sectPr>
      </w:pPr>
    </w:p>
    <w:p>
      <w:pPr>
        <w:spacing w:line="240" w:lineRule="auto" w:before="8"/>
        <w:rPr>
          <w:rFonts w:ascii="宋体" w:hAnsi="宋体" w:cs="宋体" w:eastAsia="宋体" w:hint="default"/>
          <w:b/>
          <w:bCs/>
          <w:sz w:val="5"/>
          <w:szCs w:val="5"/>
        </w:rPr>
      </w:pPr>
    </w:p>
    <w:p>
      <w:pPr>
        <w:spacing w:line="372" w:lineRule="exact"/>
        <w:ind w:left="800" w:right="0" w:firstLine="0"/>
        <w:rPr>
          <w:rFonts w:ascii="宋体" w:hAnsi="宋体" w:cs="宋体" w:eastAsia="宋体" w:hint="default"/>
          <w:sz w:val="20"/>
          <w:szCs w:val="20"/>
        </w:rPr>
      </w:pPr>
      <w:r>
        <w:rPr>
          <w:rFonts w:ascii="宋体" w:hAnsi="宋体" w:cs="宋体" w:eastAsia="宋体" w:hint="default"/>
          <w:position w:val="-6"/>
          <w:sz w:val="20"/>
          <w:szCs w:val="20"/>
        </w:rPr>
        <w:pict>
          <v:group style="width:413.2pt;height:18.6pt;mso-position-horizontal-relative:char;mso-position-vertical-relative:line" coordorigin="0,0" coordsize="8264,372">
            <v:group style="position:absolute;left:29;top:15;width:8219;height:2" coordorigin="29,15" coordsize="8219,2">
              <v:shape style="position:absolute;left:29;top:15;width:8219;height:2" coordorigin="29,15" coordsize="8219,0" path="m29,15l8248,15e" filled="false" stroked="true" strokeweight="1.5pt" strokecolor="#000000">
                <v:path arrowok="t"/>
              </v:shape>
            </v:group>
            <v:group style="position:absolute;left:15;top:357;width:4040;height:2" coordorigin="15,357" coordsize="4040,2">
              <v:shape style="position:absolute;left:15;top:357;width:4040;height:2" coordorigin="15,357" coordsize="4040,0" path="m15,357l4054,357e" filled="false" stroked="true" strokeweight="1.5pt" strokecolor="#000000">
                <v:path arrowok="t"/>
              </v:shape>
              <v:shape style="position:absolute;left:4054;top:30;width:10;height:312" type="#_x0000_t75" stroked="false">
                <v:imagedata r:id="rId215" o:title=""/>
              </v:shape>
            </v:group>
            <v:group style="position:absolute;left:4054;top:357;width:2022;height:2" coordorigin="4054,357" coordsize="2022,2">
              <v:shape style="position:absolute;left:4054;top:357;width:2022;height:2" coordorigin="4054,357" coordsize="2022,0" path="m4054,357l6076,357e" filled="false" stroked="true" strokeweight="1.5pt" strokecolor="#000000">
                <v:path arrowok="t"/>
              </v:shape>
              <v:shape style="position:absolute;left:6076;top:30;width:10;height:312" type="#_x0000_t75" stroked="false">
                <v:imagedata r:id="rId215" o:title=""/>
              </v:shape>
            </v:group>
            <v:group style="position:absolute;left:6076;top:357;width:2172;height:2" coordorigin="6076,357" coordsize="2172,2">
              <v:shape style="position:absolute;left:6076;top:357;width:2172;height:2" coordorigin="6076,357" coordsize="2172,0" path="m6076,357l8248,357e" filled="false" stroked="true" strokeweight="1.5pt" strokecolor="#000000">
                <v:path arrowok="t"/>
              </v:shape>
              <v:shape style="position:absolute;left:137;top:96;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年末未分配利润</w:t>
                      </w:r>
                    </w:p>
                  </w:txbxContent>
                </v:textbox>
                <w10:wrap type="none"/>
              </v:shape>
              <v:shape style="position:absolute;left:4855;top:104;width:11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268,119,341.32</w:t>
                      </w:r>
                    </w:p>
                  </w:txbxContent>
                </v:textbox>
                <w10:wrap type="none"/>
              </v:shape>
            </v:group>
          </v:group>
        </w:pict>
      </w:r>
      <w:r>
        <w:rPr>
          <w:rFonts w:ascii="宋体" w:hAnsi="宋体" w:cs="宋体" w:eastAsia="宋体" w:hint="default"/>
          <w:position w:val="-6"/>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tabs>
          <w:tab w:pos="1519" w:val="left" w:leader="none"/>
        </w:tabs>
        <w:spacing w:before="0"/>
        <w:ind w:left="245" w:right="25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二十八</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营业收入和营业成本</w:t>
      </w:r>
      <w:r>
        <w:rPr>
          <w:rFonts w:ascii="宋体" w:hAnsi="宋体" w:cs="宋体" w:eastAsia="宋体" w:hint="default"/>
          <w:sz w:val="21"/>
          <w:szCs w:val="21"/>
        </w:rPr>
      </w:r>
    </w:p>
    <w:p>
      <w:pPr>
        <w:tabs>
          <w:tab w:pos="1414" w:val="left" w:leader="none"/>
        </w:tabs>
        <w:spacing w:before="110"/>
        <w:ind w:left="875" w:right="259" w:firstLine="0"/>
        <w:jc w:val="left"/>
        <w:rPr>
          <w:rFonts w:ascii="宋体" w:hAnsi="宋体" w:cs="宋体" w:eastAsia="宋体" w:hint="default"/>
          <w:sz w:val="21"/>
          <w:szCs w:val="21"/>
        </w:rPr>
      </w:pPr>
      <w:r>
        <w:rPr/>
        <w:pict>
          <v:group style="position:absolute;margin-left:83.160004pt;margin-top:20.883957pt;width:447.8pt;height:65.3500pt;mso-position-horizontal-relative:page;mso-position-vertical-relative:paragraph;z-index:-775504" coordorigin="1663,418" coordsize="8956,1307">
            <v:shape style="position:absolute;left:5339;top:418;width:2755;height:370" type="#_x0000_t75" stroked="false">
              <v:imagedata r:id="rId216" o:title=""/>
            </v:shape>
            <v:shape style="position:absolute;left:1663;top:730;width:8956;height:995" type="#_x0000_t75" stroked="false">
              <v:imagedata r:id="rId217" o:title=""/>
            </v:shape>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营业收入、营业成本</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151" w:type="dxa"/>
        <w:tblLayout w:type="fixed"/>
        <w:tblCellMar>
          <w:top w:w="0" w:type="dxa"/>
          <w:left w:w="0" w:type="dxa"/>
          <w:bottom w:w="0" w:type="dxa"/>
          <w:right w:w="0" w:type="dxa"/>
        </w:tblCellMar>
        <w:tblLook w:val="01E0"/>
      </w:tblPr>
      <w:tblGrid>
        <w:gridCol w:w="1424"/>
        <w:gridCol w:w="1918"/>
        <w:gridCol w:w="3425"/>
        <w:gridCol w:w="2130"/>
      </w:tblGrid>
      <w:tr>
        <w:trPr>
          <w:trHeight w:val="658" w:hRule="exact"/>
        </w:trPr>
        <w:tc>
          <w:tcPr>
            <w:tcW w:w="1424"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1918"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35"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3425"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58"/>
              <w:jc w:val="center"/>
              <w:rPr>
                <w:rFonts w:ascii="宋体" w:hAnsi="宋体" w:cs="宋体" w:eastAsia="宋体" w:hint="default"/>
                <w:sz w:val="18"/>
                <w:szCs w:val="18"/>
              </w:rPr>
            </w:pPr>
            <w:r>
              <w:rPr>
                <w:rFonts w:ascii="宋体" w:hAnsi="宋体" w:cs="宋体" w:eastAsia="宋体" w:hint="default"/>
                <w:sz w:val="18"/>
                <w:szCs w:val="18"/>
              </w:rPr>
              <w:t>本年金额</w:t>
            </w:r>
          </w:p>
          <w:p>
            <w:pPr>
              <w:pStyle w:val="TableParagraph"/>
              <w:spacing w:line="240" w:lineRule="auto" w:before="127"/>
              <w:ind w:left="1793" w:right="0"/>
              <w:jc w:val="left"/>
              <w:rPr>
                <w:rFonts w:ascii="Times New Roman" w:hAnsi="Times New Roman" w:cs="Times New Roman" w:eastAsia="Times New Roman" w:hint="default"/>
                <w:sz w:val="18"/>
                <w:szCs w:val="18"/>
              </w:rPr>
            </w:pPr>
            <w:r>
              <w:rPr>
                <w:rFonts w:ascii="Times New Roman"/>
                <w:sz w:val="18"/>
              </w:rPr>
              <w:t>365,652,692.05</w:t>
            </w:r>
          </w:p>
        </w:tc>
        <w:tc>
          <w:tcPr>
            <w:tcW w:w="2130"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505" w:right="0"/>
              <w:jc w:val="left"/>
              <w:rPr>
                <w:rFonts w:ascii="宋体" w:hAnsi="宋体" w:cs="宋体" w:eastAsia="宋体" w:hint="default"/>
                <w:sz w:val="18"/>
                <w:szCs w:val="18"/>
              </w:rPr>
            </w:pPr>
            <w:r>
              <w:rPr>
                <w:rFonts w:ascii="宋体" w:hAnsi="宋体" w:cs="宋体" w:eastAsia="宋体" w:hint="default"/>
                <w:sz w:val="18"/>
                <w:szCs w:val="18"/>
              </w:rPr>
              <w:t>上年金额</w:t>
            </w:r>
          </w:p>
          <w:p>
            <w:pPr>
              <w:pStyle w:val="TableParagraph"/>
              <w:spacing w:line="240" w:lineRule="auto" w:before="127"/>
              <w:ind w:left="897" w:right="0"/>
              <w:jc w:val="left"/>
              <w:rPr>
                <w:rFonts w:ascii="Times New Roman" w:hAnsi="Times New Roman" w:cs="Times New Roman" w:eastAsia="Times New Roman" w:hint="default"/>
                <w:sz w:val="18"/>
                <w:szCs w:val="18"/>
              </w:rPr>
            </w:pPr>
            <w:r>
              <w:rPr>
                <w:rFonts w:ascii="Times New Roman"/>
                <w:sz w:val="18"/>
              </w:rPr>
              <w:t>343,206,269.47</w:t>
            </w:r>
          </w:p>
        </w:tc>
      </w:tr>
      <w:tr>
        <w:trPr>
          <w:trHeight w:val="322" w:hRule="exact"/>
        </w:trPr>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1918" w:type="dxa"/>
            <w:tcBorders>
              <w:top w:val="nil" w:sz="6" w:space="0" w:color="auto"/>
              <w:left w:val="nil" w:sz="6" w:space="0" w:color="auto"/>
              <w:bottom w:val="nil" w:sz="6" w:space="0" w:color="auto"/>
              <w:right w:val="nil" w:sz="6" w:space="0" w:color="auto"/>
            </w:tcBorders>
          </w:tcPr>
          <w:p>
            <w:pPr/>
          </w:p>
        </w:tc>
        <w:tc>
          <w:tcPr>
            <w:tcW w:w="342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503"/>
              <w:jc w:val="right"/>
              <w:rPr>
                <w:rFonts w:ascii="Times New Roman" w:hAnsi="Times New Roman" w:cs="Times New Roman" w:eastAsia="Times New Roman" w:hint="default"/>
                <w:sz w:val="18"/>
                <w:szCs w:val="18"/>
              </w:rPr>
            </w:pPr>
            <w:r>
              <w:rPr>
                <w:rFonts w:ascii="Times New Roman"/>
                <w:spacing w:val="-1"/>
                <w:sz w:val="18"/>
              </w:rPr>
              <w:t>4,489,815.45</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9,770,999.50</w:t>
            </w:r>
          </w:p>
        </w:tc>
      </w:tr>
      <w:tr>
        <w:trPr>
          <w:trHeight w:val="328" w:hRule="exact"/>
        </w:trPr>
        <w:tc>
          <w:tcPr>
            <w:tcW w:w="1424"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918" w:type="dxa"/>
            <w:tcBorders>
              <w:top w:val="nil" w:sz="6" w:space="0" w:color="auto"/>
              <w:left w:val="nil" w:sz="6" w:space="0" w:color="auto"/>
              <w:bottom w:val="single" w:sz="12" w:space="0" w:color="000000"/>
              <w:right w:val="nil" w:sz="6" w:space="0" w:color="auto"/>
            </w:tcBorders>
          </w:tcPr>
          <w:p>
            <w:pPr/>
          </w:p>
        </w:tc>
        <w:tc>
          <w:tcPr>
            <w:tcW w:w="3425"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503"/>
              <w:jc w:val="right"/>
              <w:rPr>
                <w:rFonts w:ascii="Times New Roman" w:hAnsi="Times New Roman" w:cs="Times New Roman" w:eastAsia="Times New Roman" w:hint="default"/>
                <w:sz w:val="18"/>
                <w:szCs w:val="18"/>
              </w:rPr>
            </w:pPr>
            <w:r>
              <w:rPr>
                <w:rFonts w:ascii="Times New Roman"/>
                <w:spacing w:val="-1"/>
                <w:sz w:val="18"/>
              </w:rPr>
              <w:t>205,069,644.89</w:t>
            </w:r>
          </w:p>
        </w:tc>
        <w:tc>
          <w:tcPr>
            <w:tcW w:w="2130"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176,993,345.29</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tabs>
          <w:tab w:pos="1414" w:val="left" w:leader="none"/>
        </w:tabs>
        <w:spacing w:before="35"/>
        <w:ind w:left="875" w:right="259" w:firstLine="0"/>
        <w:jc w:val="left"/>
        <w:rPr>
          <w:rFonts w:ascii="宋体" w:hAnsi="宋体" w:cs="宋体" w:eastAsia="宋体" w:hint="default"/>
          <w:sz w:val="21"/>
          <w:szCs w:val="21"/>
        </w:rPr>
      </w:pPr>
      <w:r>
        <w:rPr/>
        <w:pict>
          <v:group style="position:absolute;margin-left:83.160004pt;margin-top:17.073669pt;width:448.15pt;height:81.5pt;mso-position-horizontal-relative:page;mso-position-vertical-relative:paragraph;z-index:-775432" coordorigin="1663,341" coordsize="8963,1630">
            <v:group style="position:absolute;left:1692;top:356;width:8897;height:2" coordorigin="1692,356" coordsize="8897,2">
              <v:shape style="position:absolute;left:1692;top:356;width:8897;height:2" coordorigin="1692,356" coordsize="8897,0" path="m1692,356l10589,356e" filled="false" stroked="true" strokeweight="1.5pt" strokecolor="#000000">
                <v:path arrowok="t"/>
              </v:shape>
              <v:shape style="position:absolute;left:3326;top:343;width:3752;height:370" type="#_x0000_t75" stroked="false">
                <v:imagedata r:id="rId218" o:title=""/>
              </v:shape>
              <v:shape style="position:absolute;left:3326;top:655;width:7300;height:379" type="#_x0000_t75" stroked="false">
                <v:imagedata r:id="rId219" o:title=""/>
              </v:shape>
              <v:shape style="position:absolute;left:1663;top:976;width:8963;height:995" type="#_x0000_t75" stroked="false">
                <v:imagedata r:id="rId220" o:title=""/>
              </v:shape>
              <v:shape style="position:absolute;left:4842;top:43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8456;top:43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主营业务（分行业）</w:t>
      </w:r>
      <w:r>
        <w:rPr>
          <w:rFonts w:ascii="宋体" w:hAnsi="宋体" w:cs="宋体" w:eastAsia="宋体" w:hint="default"/>
          <w:sz w:val="21"/>
          <w:szCs w:val="21"/>
        </w:rPr>
      </w:r>
    </w:p>
    <w:p>
      <w:pPr>
        <w:spacing w:line="240" w:lineRule="auto" w:before="11"/>
        <w:rPr>
          <w:rFonts w:ascii="宋体" w:hAnsi="宋体" w:cs="宋体" w:eastAsia="宋体" w:hint="default"/>
          <w:b/>
          <w:bCs/>
          <w:sz w:val="20"/>
          <w:szCs w:val="20"/>
        </w:rPr>
      </w:pPr>
    </w:p>
    <w:tbl>
      <w:tblPr>
        <w:tblW w:w="0" w:type="auto"/>
        <w:jc w:val="left"/>
        <w:tblInd w:w="137" w:type="dxa"/>
        <w:tblLayout w:type="fixed"/>
        <w:tblCellMar>
          <w:top w:w="0" w:type="dxa"/>
          <w:left w:w="0" w:type="dxa"/>
          <w:bottom w:w="0" w:type="dxa"/>
          <w:right w:w="0" w:type="dxa"/>
        </w:tblCellMar>
        <w:tblLook w:val="01E0"/>
      </w:tblPr>
      <w:tblGrid>
        <w:gridCol w:w="1768"/>
        <w:gridCol w:w="1984"/>
        <w:gridCol w:w="1842"/>
        <w:gridCol w:w="1795"/>
        <w:gridCol w:w="1522"/>
      </w:tblGrid>
      <w:tr>
        <w:trPr>
          <w:trHeight w:val="412" w:hRule="exact"/>
        </w:trPr>
        <w:tc>
          <w:tcPr>
            <w:tcW w:w="1768" w:type="dxa"/>
            <w:tcBorders>
              <w:top w:val="nil" w:sz="6" w:space="0" w:color="auto"/>
              <w:left w:val="nil" w:sz="6" w:space="0" w:color="auto"/>
              <w:bottom w:val="nil" w:sz="6" w:space="0" w:color="auto"/>
              <w:right w:val="nil" w:sz="6" w:space="0" w:color="auto"/>
            </w:tcBorders>
          </w:tcPr>
          <w:p>
            <w:pPr>
              <w:pStyle w:val="TableParagraph"/>
              <w:spacing w:line="180" w:lineRule="exact"/>
              <w:ind w:left="488" w:right="0"/>
              <w:jc w:val="left"/>
              <w:rPr>
                <w:rFonts w:ascii="宋体" w:hAnsi="宋体" w:cs="宋体" w:eastAsia="宋体" w:hint="default"/>
                <w:sz w:val="18"/>
                <w:szCs w:val="18"/>
              </w:rPr>
            </w:pPr>
            <w:r>
              <w:rPr>
                <w:rFonts w:ascii="宋体" w:hAnsi="宋体" w:cs="宋体" w:eastAsia="宋体" w:hint="default"/>
                <w:sz w:val="18"/>
                <w:szCs w:val="18"/>
              </w:rPr>
              <w:t>行业名称</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47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34"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3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09"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27" w:hRule="exact"/>
        </w:trPr>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）电力行业</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2"/>
              <w:jc w:val="right"/>
              <w:rPr>
                <w:rFonts w:ascii="Times New Roman" w:hAnsi="Times New Roman" w:cs="Times New Roman" w:eastAsia="Times New Roman" w:hint="default"/>
                <w:sz w:val="18"/>
                <w:szCs w:val="18"/>
              </w:rPr>
            </w:pPr>
            <w:r>
              <w:rPr>
                <w:rFonts w:ascii="Times New Roman"/>
                <w:spacing w:val="-1"/>
                <w:sz w:val="18"/>
              </w:rPr>
              <w:t>360,035,020.27</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83" w:right="0"/>
              <w:jc w:val="left"/>
              <w:rPr>
                <w:rFonts w:ascii="Times New Roman" w:hAnsi="Times New Roman" w:cs="Times New Roman" w:eastAsia="Times New Roman" w:hint="default"/>
                <w:sz w:val="18"/>
                <w:szCs w:val="18"/>
              </w:rPr>
            </w:pPr>
            <w:r>
              <w:rPr>
                <w:rFonts w:ascii="Times New Roman"/>
                <w:sz w:val="18"/>
              </w:rPr>
              <w:t>198,952,159.73</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87"/>
              <w:jc w:val="right"/>
              <w:rPr>
                <w:rFonts w:ascii="Times New Roman" w:hAnsi="Times New Roman" w:cs="Times New Roman" w:eastAsia="Times New Roman" w:hint="default"/>
                <w:sz w:val="18"/>
                <w:szCs w:val="18"/>
              </w:rPr>
            </w:pPr>
            <w:r>
              <w:rPr>
                <w:rFonts w:ascii="Times New Roman"/>
                <w:spacing w:val="-1"/>
                <w:sz w:val="18"/>
              </w:rPr>
              <w:t>340,819,869.50</w:t>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169,100,288.91</w:t>
            </w:r>
          </w:p>
        </w:tc>
      </w:tr>
      <w:tr>
        <w:trPr>
          <w:trHeight w:val="322" w:hRule="exact"/>
        </w:trPr>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）化工行业</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2"/>
              <w:jc w:val="right"/>
              <w:rPr>
                <w:rFonts w:ascii="Times New Roman" w:hAnsi="Times New Roman" w:cs="Times New Roman" w:eastAsia="Times New Roman" w:hint="default"/>
                <w:sz w:val="18"/>
                <w:szCs w:val="18"/>
              </w:rPr>
            </w:pPr>
            <w:r>
              <w:rPr>
                <w:rFonts w:ascii="Times New Roman"/>
                <w:spacing w:val="-1"/>
                <w:sz w:val="18"/>
              </w:rPr>
              <w:t>5,617,671.78</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563" w:right="0"/>
              <w:jc w:val="left"/>
              <w:rPr>
                <w:rFonts w:ascii="Times New Roman" w:hAnsi="Times New Roman" w:cs="Times New Roman" w:eastAsia="Times New Roman" w:hint="default"/>
                <w:sz w:val="18"/>
                <w:szCs w:val="18"/>
              </w:rPr>
            </w:pPr>
            <w:r>
              <w:rPr>
                <w:rFonts w:ascii="Times New Roman"/>
                <w:sz w:val="18"/>
              </w:rPr>
              <w:t>5,437,537.62</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88"/>
              <w:jc w:val="right"/>
              <w:rPr>
                <w:rFonts w:ascii="Times New Roman" w:hAnsi="Times New Roman" w:cs="Times New Roman" w:eastAsia="Times New Roman" w:hint="default"/>
                <w:sz w:val="18"/>
                <w:szCs w:val="18"/>
              </w:rPr>
            </w:pPr>
            <w:r>
              <w:rPr>
                <w:rFonts w:ascii="Times New Roman"/>
                <w:spacing w:val="-1"/>
                <w:sz w:val="18"/>
              </w:rPr>
              <w:t>2,386,399.97</w:t>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1,120,620.45</w:t>
            </w:r>
          </w:p>
        </w:tc>
      </w:tr>
      <w:tr>
        <w:trPr>
          <w:trHeight w:val="327" w:hRule="exact"/>
        </w:trPr>
        <w:tc>
          <w:tcPr>
            <w:tcW w:w="176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68"/>
              <w:jc w:val="center"/>
              <w:rPr>
                <w:rFonts w:ascii="宋体" w:hAnsi="宋体" w:cs="宋体" w:eastAsia="宋体" w:hint="default"/>
                <w:sz w:val="18"/>
                <w:szCs w:val="18"/>
              </w:rPr>
            </w:pPr>
            <w:r>
              <w:rPr>
                <w:rFonts w:ascii="宋体" w:hAnsi="宋体" w:cs="宋体" w:eastAsia="宋体" w:hint="default"/>
                <w:sz w:val="18"/>
                <w:szCs w:val="18"/>
              </w:rPr>
              <w:t>合计</w:t>
            </w:r>
          </w:p>
        </w:tc>
        <w:tc>
          <w:tcPr>
            <w:tcW w:w="1984"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333"/>
              <w:jc w:val="right"/>
              <w:rPr>
                <w:rFonts w:ascii="Times New Roman" w:hAnsi="Times New Roman" w:cs="Times New Roman" w:eastAsia="Times New Roman" w:hint="default"/>
                <w:sz w:val="18"/>
                <w:szCs w:val="18"/>
              </w:rPr>
            </w:pPr>
            <w:r>
              <w:rPr>
                <w:rFonts w:ascii="Times New Roman"/>
                <w:spacing w:val="-1"/>
                <w:sz w:val="18"/>
              </w:rPr>
              <w:t>365,652,692.05</w:t>
            </w:r>
          </w:p>
        </w:tc>
        <w:tc>
          <w:tcPr>
            <w:tcW w:w="1842"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383" w:right="0"/>
              <w:jc w:val="left"/>
              <w:rPr>
                <w:rFonts w:ascii="Times New Roman" w:hAnsi="Times New Roman" w:cs="Times New Roman" w:eastAsia="Times New Roman" w:hint="default"/>
                <w:sz w:val="18"/>
                <w:szCs w:val="18"/>
              </w:rPr>
            </w:pPr>
            <w:r>
              <w:rPr>
                <w:rFonts w:ascii="Times New Roman"/>
                <w:sz w:val="18"/>
              </w:rPr>
              <w:t>204,389,697.35</w:t>
            </w:r>
          </w:p>
        </w:tc>
        <w:tc>
          <w:tcPr>
            <w:tcW w:w="1795"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287"/>
              <w:jc w:val="right"/>
              <w:rPr>
                <w:rFonts w:ascii="Times New Roman" w:hAnsi="Times New Roman" w:cs="Times New Roman" w:eastAsia="Times New Roman" w:hint="default"/>
                <w:sz w:val="18"/>
                <w:szCs w:val="18"/>
              </w:rPr>
            </w:pPr>
            <w:r>
              <w:rPr>
                <w:rFonts w:ascii="Times New Roman"/>
                <w:spacing w:val="-1"/>
                <w:sz w:val="18"/>
              </w:rPr>
              <w:t>343,206,269.47</w:t>
            </w:r>
          </w:p>
        </w:tc>
        <w:tc>
          <w:tcPr>
            <w:tcW w:w="1522"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170,220,909.36</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tabs>
          <w:tab w:pos="1414" w:val="left" w:leader="none"/>
        </w:tabs>
        <w:spacing w:before="35"/>
        <w:ind w:left="875" w:right="259" w:firstLine="0"/>
        <w:jc w:val="left"/>
        <w:rPr>
          <w:rFonts w:ascii="宋体" w:hAnsi="宋体" w:cs="宋体" w:eastAsia="宋体" w:hint="default"/>
          <w:sz w:val="21"/>
          <w:szCs w:val="21"/>
        </w:rPr>
      </w:pPr>
      <w:r>
        <w:rPr/>
        <w:pict>
          <v:group style="position:absolute;margin-left:83.639999pt;margin-top:17.073669pt;width:447pt;height:226.4pt;mso-position-horizontal-relative:page;mso-position-vertical-relative:paragraph;z-index:-775360" coordorigin="1673,341" coordsize="8940,4528">
            <v:group style="position:absolute;left:1692;top:356;width:8897;height:2" coordorigin="1692,356" coordsize="8897,2">
              <v:shape style="position:absolute;left:1692;top:356;width:8897;height:2" coordorigin="1692,356" coordsize="8897,0" path="m1692,356l10589,356e" filled="false" stroked="true" strokeweight="1.5pt" strokecolor="#000000">
                <v:path arrowok="t"/>
              </v:shape>
              <v:shape style="position:absolute;left:3468;top:343;width:3611;height:370" type="#_x0000_t75" stroked="false">
                <v:imagedata r:id="rId221" o:title=""/>
              </v:shape>
              <v:shape style="position:absolute;left:3478;top:664;width:7135;height:360" type="#_x0000_t75" stroked="false">
                <v:imagedata r:id="rId222" o:title=""/>
              </v:shape>
              <v:shape style="position:absolute;left:1673;top:986;width:8940;height:3883" type="#_x0000_t75" stroked="false">
                <v:imagedata r:id="rId223" o:title=""/>
              </v:shape>
              <v:shape style="position:absolute;left:4912;top:43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8456;top:43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group>
            <w10:wrap type="none"/>
          </v:group>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主营业务（分产品）</w:t>
      </w:r>
      <w:r>
        <w:rPr>
          <w:rFonts w:ascii="宋体" w:hAnsi="宋体" w:cs="宋体" w:eastAsia="宋体" w:hint="default"/>
          <w:sz w:val="21"/>
          <w:szCs w:val="21"/>
        </w:rPr>
      </w:r>
    </w:p>
    <w:p>
      <w:pPr>
        <w:spacing w:line="240" w:lineRule="auto" w:before="11"/>
        <w:rPr>
          <w:rFonts w:ascii="宋体" w:hAnsi="宋体" w:cs="宋体" w:eastAsia="宋体" w:hint="default"/>
          <w:b/>
          <w:bCs/>
          <w:sz w:val="20"/>
          <w:szCs w:val="20"/>
        </w:rPr>
      </w:pPr>
    </w:p>
    <w:tbl>
      <w:tblPr>
        <w:tblW w:w="0" w:type="auto"/>
        <w:jc w:val="left"/>
        <w:tblInd w:w="137" w:type="dxa"/>
        <w:tblLayout w:type="fixed"/>
        <w:tblCellMar>
          <w:top w:w="0" w:type="dxa"/>
          <w:left w:w="0" w:type="dxa"/>
          <w:bottom w:w="0" w:type="dxa"/>
          <w:right w:w="0" w:type="dxa"/>
        </w:tblCellMar>
        <w:tblLook w:val="01E0"/>
      </w:tblPr>
      <w:tblGrid>
        <w:gridCol w:w="1973"/>
        <w:gridCol w:w="1874"/>
        <w:gridCol w:w="1702"/>
        <w:gridCol w:w="1747"/>
        <w:gridCol w:w="1615"/>
      </w:tblGrid>
      <w:tr>
        <w:trPr>
          <w:trHeight w:val="412" w:hRule="exact"/>
        </w:trPr>
        <w:tc>
          <w:tcPr>
            <w:tcW w:w="1973"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产品名称</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41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09"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0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33"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26" w:hRule="exact"/>
        </w:trPr>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中压电缆分支箱</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85"/>
              <w:jc w:val="right"/>
              <w:rPr>
                <w:rFonts w:ascii="Times New Roman" w:hAnsi="Times New Roman" w:cs="Times New Roman" w:eastAsia="Times New Roman" w:hint="default"/>
                <w:sz w:val="18"/>
                <w:szCs w:val="18"/>
              </w:rPr>
            </w:pPr>
            <w:r>
              <w:rPr>
                <w:rFonts w:ascii="Times New Roman"/>
                <w:spacing w:val="-1"/>
                <w:sz w:val="18"/>
              </w:rPr>
              <w:t>113,770,576.02</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86"/>
              <w:jc w:val="right"/>
              <w:rPr>
                <w:rFonts w:ascii="Times New Roman" w:hAnsi="Times New Roman" w:cs="Times New Roman" w:eastAsia="Times New Roman" w:hint="default"/>
                <w:sz w:val="18"/>
                <w:szCs w:val="18"/>
              </w:rPr>
            </w:pPr>
            <w:r>
              <w:rPr>
                <w:rFonts w:ascii="Times New Roman"/>
                <w:spacing w:val="-1"/>
                <w:sz w:val="18"/>
              </w:rPr>
              <w:t>52,351,839.17</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88" w:right="0"/>
              <w:jc w:val="left"/>
              <w:rPr>
                <w:rFonts w:ascii="Times New Roman" w:hAnsi="Times New Roman" w:cs="Times New Roman" w:eastAsia="Times New Roman" w:hint="default"/>
                <w:sz w:val="18"/>
                <w:szCs w:val="18"/>
              </w:rPr>
            </w:pPr>
            <w:r>
              <w:rPr>
                <w:rFonts w:ascii="Times New Roman"/>
                <w:sz w:val="18"/>
              </w:rPr>
              <w:t>132,773,609.94</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82" w:right="0"/>
              <w:jc w:val="left"/>
              <w:rPr>
                <w:rFonts w:ascii="Times New Roman" w:hAnsi="Times New Roman" w:cs="Times New Roman" w:eastAsia="Times New Roman" w:hint="default"/>
                <w:sz w:val="18"/>
                <w:szCs w:val="18"/>
              </w:rPr>
            </w:pPr>
            <w:r>
              <w:rPr>
                <w:rFonts w:ascii="Times New Roman"/>
                <w:sz w:val="18"/>
              </w:rPr>
              <w:t>65,401,865.24</w:t>
            </w:r>
          </w:p>
        </w:tc>
      </w:tr>
      <w:tr>
        <w:trPr>
          <w:trHeight w:val="322" w:hRule="exact"/>
        </w:trPr>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中压电缆对接箱</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6"/>
              <w:jc w:val="right"/>
              <w:rPr>
                <w:rFonts w:ascii="Times New Roman" w:hAnsi="Times New Roman" w:cs="Times New Roman" w:eastAsia="Times New Roman" w:hint="default"/>
                <w:sz w:val="18"/>
                <w:szCs w:val="18"/>
              </w:rPr>
            </w:pPr>
            <w:r>
              <w:rPr>
                <w:rFonts w:ascii="Times New Roman"/>
                <w:spacing w:val="-1"/>
                <w:sz w:val="18"/>
              </w:rPr>
              <w:t>5,735,998.44</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5"/>
              <w:jc w:val="right"/>
              <w:rPr>
                <w:rFonts w:ascii="Times New Roman" w:hAnsi="Times New Roman" w:cs="Times New Roman" w:eastAsia="Times New Roman" w:hint="default"/>
                <w:sz w:val="18"/>
                <w:szCs w:val="18"/>
              </w:rPr>
            </w:pPr>
            <w:r>
              <w:rPr>
                <w:rFonts w:ascii="Times New Roman"/>
                <w:spacing w:val="-1"/>
                <w:sz w:val="18"/>
              </w:rPr>
              <w:t>2,470,562.08</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1"/>
              <w:jc w:val="right"/>
              <w:rPr>
                <w:rFonts w:ascii="Times New Roman" w:hAnsi="Times New Roman" w:cs="Times New Roman" w:eastAsia="Times New Roman" w:hint="default"/>
                <w:sz w:val="18"/>
                <w:szCs w:val="18"/>
              </w:rPr>
            </w:pPr>
            <w:r>
              <w:rPr>
                <w:rFonts w:ascii="Times New Roman"/>
                <w:spacing w:val="-1"/>
                <w:sz w:val="18"/>
              </w:rPr>
              <w:t>8,831,739.38</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5,158,600.80</w:t>
            </w:r>
          </w:p>
        </w:tc>
      </w:tr>
      <w:tr>
        <w:trPr>
          <w:trHeight w:val="322" w:hRule="exact"/>
        </w:trPr>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低压电缆分支箱</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5"/>
              <w:jc w:val="right"/>
              <w:rPr>
                <w:rFonts w:ascii="Times New Roman" w:hAnsi="Times New Roman" w:cs="Times New Roman" w:eastAsia="Times New Roman" w:hint="default"/>
                <w:sz w:val="18"/>
                <w:szCs w:val="18"/>
              </w:rPr>
            </w:pPr>
            <w:r>
              <w:rPr>
                <w:rFonts w:ascii="Times New Roman"/>
                <w:spacing w:val="-1"/>
                <w:sz w:val="18"/>
              </w:rPr>
              <w:t>108,685,740.06</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6"/>
              <w:jc w:val="right"/>
              <w:rPr>
                <w:rFonts w:ascii="Times New Roman" w:hAnsi="Times New Roman" w:cs="Times New Roman" w:eastAsia="Times New Roman" w:hint="default"/>
                <w:sz w:val="18"/>
                <w:szCs w:val="18"/>
              </w:rPr>
            </w:pPr>
            <w:r>
              <w:rPr>
                <w:rFonts w:ascii="Times New Roman"/>
                <w:spacing w:val="-1"/>
                <w:sz w:val="18"/>
              </w:rPr>
              <w:t>72,588,907.68</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1"/>
              <w:jc w:val="right"/>
              <w:rPr>
                <w:rFonts w:ascii="Times New Roman" w:hAnsi="Times New Roman" w:cs="Times New Roman" w:eastAsia="Times New Roman" w:hint="default"/>
                <w:sz w:val="18"/>
                <w:szCs w:val="18"/>
              </w:rPr>
            </w:pPr>
            <w:r>
              <w:rPr>
                <w:rFonts w:ascii="Times New Roman"/>
                <w:spacing w:val="-1"/>
                <w:sz w:val="18"/>
              </w:rPr>
              <w:t>94,860,725.15</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45,311,375.49</w:t>
            </w:r>
          </w:p>
        </w:tc>
      </w:tr>
      <w:tr>
        <w:trPr>
          <w:trHeight w:val="322" w:hRule="exact"/>
        </w:trPr>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电气设备箱体</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86"/>
              <w:jc w:val="right"/>
              <w:rPr>
                <w:rFonts w:ascii="Times New Roman" w:hAnsi="Times New Roman" w:cs="Times New Roman" w:eastAsia="Times New Roman" w:hint="default"/>
                <w:sz w:val="18"/>
                <w:szCs w:val="18"/>
              </w:rPr>
            </w:pPr>
            <w:r>
              <w:rPr>
                <w:rFonts w:ascii="Times New Roman"/>
                <w:spacing w:val="-1"/>
                <w:sz w:val="18"/>
              </w:rPr>
              <w:t>28,296,731.87</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86"/>
              <w:jc w:val="right"/>
              <w:rPr>
                <w:rFonts w:ascii="Times New Roman" w:hAnsi="Times New Roman" w:cs="Times New Roman" w:eastAsia="Times New Roman" w:hint="default"/>
                <w:sz w:val="18"/>
                <w:szCs w:val="18"/>
              </w:rPr>
            </w:pPr>
            <w:r>
              <w:rPr>
                <w:rFonts w:ascii="Times New Roman"/>
                <w:spacing w:val="-1"/>
                <w:sz w:val="18"/>
              </w:rPr>
              <w:t>18,726,235.13</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1"/>
              <w:jc w:val="right"/>
              <w:rPr>
                <w:rFonts w:ascii="Times New Roman" w:hAnsi="Times New Roman" w:cs="Times New Roman" w:eastAsia="Times New Roman" w:hint="default"/>
                <w:sz w:val="18"/>
                <w:szCs w:val="18"/>
              </w:rPr>
            </w:pPr>
            <w:r>
              <w:rPr>
                <w:rFonts w:ascii="Times New Roman"/>
                <w:spacing w:val="-1"/>
                <w:sz w:val="18"/>
              </w:rPr>
              <w:t>17,051,315.01</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9,652,171.78</w:t>
            </w:r>
          </w:p>
        </w:tc>
      </w:tr>
      <w:tr>
        <w:trPr>
          <w:trHeight w:val="322" w:hRule="exact"/>
        </w:trPr>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电缆附件及插头</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6"/>
              <w:jc w:val="right"/>
              <w:rPr>
                <w:rFonts w:ascii="Times New Roman" w:hAnsi="Times New Roman" w:cs="Times New Roman" w:eastAsia="Times New Roman" w:hint="default"/>
                <w:sz w:val="18"/>
                <w:szCs w:val="18"/>
              </w:rPr>
            </w:pPr>
            <w:r>
              <w:rPr>
                <w:rFonts w:ascii="Times New Roman"/>
                <w:spacing w:val="-1"/>
                <w:sz w:val="18"/>
              </w:rPr>
              <w:t>29,602,725.21</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6"/>
              <w:jc w:val="right"/>
              <w:rPr>
                <w:rFonts w:ascii="Times New Roman" w:hAnsi="Times New Roman" w:cs="Times New Roman" w:eastAsia="Times New Roman" w:hint="default"/>
                <w:sz w:val="18"/>
                <w:szCs w:val="18"/>
              </w:rPr>
            </w:pPr>
            <w:r>
              <w:rPr>
                <w:rFonts w:ascii="Times New Roman"/>
                <w:spacing w:val="-1"/>
                <w:sz w:val="18"/>
              </w:rPr>
              <w:t>14,615,751.16</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1"/>
              <w:jc w:val="right"/>
              <w:rPr>
                <w:rFonts w:ascii="Times New Roman" w:hAnsi="Times New Roman" w:cs="Times New Roman" w:eastAsia="Times New Roman" w:hint="default"/>
                <w:sz w:val="18"/>
                <w:szCs w:val="18"/>
              </w:rPr>
            </w:pPr>
            <w:r>
              <w:rPr>
                <w:rFonts w:ascii="Times New Roman"/>
                <w:spacing w:val="-1"/>
                <w:sz w:val="18"/>
              </w:rPr>
              <w:t>31,523,413.28</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16,083,318.96</w:t>
            </w:r>
          </w:p>
        </w:tc>
      </w:tr>
      <w:tr>
        <w:trPr>
          <w:trHeight w:val="322" w:hRule="exact"/>
        </w:trPr>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绝缘母线和管母线</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6"/>
              <w:jc w:val="right"/>
              <w:rPr>
                <w:rFonts w:ascii="Times New Roman" w:hAnsi="Times New Roman" w:cs="Times New Roman" w:eastAsia="Times New Roman" w:hint="default"/>
                <w:sz w:val="18"/>
                <w:szCs w:val="18"/>
              </w:rPr>
            </w:pPr>
            <w:r>
              <w:rPr>
                <w:rFonts w:ascii="Times New Roman"/>
                <w:spacing w:val="-1"/>
                <w:sz w:val="18"/>
              </w:rPr>
              <w:t>7,397,064.72</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5"/>
              <w:jc w:val="right"/>
              <w:rPr>
                <w:rFonts w:ascii="Times New Roman" w:hAnsi="Times New Roman" w:cs="Times New Roman" w:eastAsia="Times New Roman" w:hint="default"/>
                <w:sz w:val="18"/>
                <w:szCs w:val="18"/>
              </w:rPr>
            </w:pPr>
            <w:r>
              <w:rPr>
                <w:rFonts w:ascii="Times New Roman"/>
                <w:spacing w:val="-1"/>
                <w:sz w:val="18"/>
              </w:rPr>
              <w:t>4,782,624.31</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1"/>
              <w:jc w:val="right"/>
              <w:rPr>
                <w:rFonts w:ascii="Times New Roman" w:hAnsi="Times New Roman" w:cs="Times New Roman" w:eastAsia="Times New Roman" w:hint="default"/>
                <w:sz w:val="18"/>
                <w:szCs w:val="18"/>
              </w:rPr>
            </w:pPr>
            <w:r>
              <w:rPr>
                <w:rFonts w:ascii="Times New Roman"/>
                <w:spacing w:val="-1"/>
                <w:sz w:val="18"/>
              </w:rPr>
              <w:t>7,228,233.63</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4,131,180.72</w:t>
            </w:r>
          </w:p>
        </w:tc>
      </w:tr>
      <w:tr>
        <w:trPr>
          <w:trHeight w:val="322" w:hRule="exact"/>
        </w:trPr>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开关</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86"/>
              <w:jc w:val="right"/>
              <w:rPr>
                <w:rFonts w:ascii="Times New Roman" w:hAnsi="Times New Roman" w:cs="Times New Roman" w:eastAsia="Times New Roman" w:hint="default"/>
                <w:sz w:val="18"/>
                <w:szCs w:val="18"/>
              </w:rPr>
            </w:pPr>
            <w:r>
              <w:rPr>
                <w:rFonts w:ascii="Times New Roman"/>
                <w:spacing w:val="-1"/>
                <w:sz w:val="18"/>
              </w:rPr>
              <w:t>17,459,879.76</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85"/>
              <w:jc w:val="right"/>
              <w:rPr>
                <w:rFonts w:ascii="Times New Roman" w:hAnsi="Times New Roman" w:cs="Times New Roman" w:eastAsia="Times New Roman" w:hint="default"/>
                <w:sz w:val="18"/>
                <w:szCs w:val="18"/>
              </w:rPr>
            </w:pPr>
            <w:r>
              <w:rPr>
                <w:rFonts w:ascii="Times New Roman"/>
                <w:spacing w:val="-1"/>
                <w:sz w:val="18"/>
              </w:rPr>
              <w:t>8,046,530.01</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1"/>
              <w:jc w:val="right"/>
              <w:rPr>
                <w:rFonts w:ascii="Times New Roman" w:hAnsi="Times New Roman" w:cs="Times New Roman" w:eastAsia="Times New Roman" w:hint="default"/>
                <w:sz w:val="18"/>
                <w:szCs w:val="18"/>
              </w:rPr>
            </w:pPr>
            <w:r>
              <w:rPr>
                <w:rFonts w:ascii="Times New Roman"/>
                <w:spacing w:val="-1"/>
                <w:sz w:val="18"/>
              </w:rPr>
              <w:t>31,908,365.65</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15,378,743.26</w:t>
            </w:r>
          </w:p>
        </w:tc>
      </w:tr>
      <w:tr>
        <w:trPr>
          <w:trHeight w:val="322" w:hRule="exact"/>
        </w:trPr>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真空开关</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6"/>
              <w:jc w:val="right"/>
              <w:rPr>
                <w:rFonts w:ascii="Times New Roman" w:hAnsi="Times New Roman" w:cs="Times New Roman" w:eastAsia="Times New Roman" w:hint="default"/>
                <w:sz w:val="18"/>
                <w:szCs w:val="18"/>
              </w:rPr>
            </w:pPr>
            <w:r>
              <w:rPr>
                <w:rFonts w:ascii="Times New Roman"/>
                <w:spacing w:val="-1"/>
                <w:sz w:val="18"/>
              </w:rPr>
              <w:t>16,130,390.38</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5"/>
              <w:jc w:val="right"/>
              <w:rPr>
                <w:rFonts w:ascii="Times New Roman" w:hAnsi="Times New Roman" w:cs="Times New Roman" w:eastAsia="Times New Roman" w:hint="default"/>
                <w:sz w:val="18"/>
                <w:szCs w:val="18"/>
              </w:rPr>
            </w:pPr>
            <w:r>
              <w:rPr>
                <w:rFonts w:ascii="Times New Roman"/>
                <w:spacing w:val="-1"/>
                <w:sz w:val="18"/>
              </w:rPr>
              <w:t>7,421,592.61</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2"/>
              <w:jc w:val="right"/>
              <w:rPr>
                <w:rFonts w:ascii="Times New Roman" w:hAnsi="Times New Roman" w:cs="Times New Roman" w:eastAsia="Times New Roman" w:hint="default"/>
                <w:sz w:val="18"/>
                <w:szCs w:val="18"/>
              </w:rPr>
            </w:pPr>
            <w:r>
              <w:rPr>
                <w:rFonts w:ascii="Times New Roman"/>
                <w:sz w:val="18"/>
              </w:rPr>
              <w:t>---</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22" w:hRule="exact"/>
        </w:trPr>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特种工程材料</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6"/>
              <w:jc w:val="right"/>
              <w:rPr>
                <w:rFonts w:ascii="Times New Roman" w:hAnsi="Times New Roman" w:cs="Times New Roman" w:eastAsia="Times New Roman" w:hint="default"/>
                <w:sz w:val="18"/>
                <w:szCs w:val="18"/>
              </w:rPr>
            </w:pPr>
            <w:r>
              <w:rPr>
                <w:rFonts w:ascii="Times New Roman"/>
                <w:spacing w:val="-1"/>
                <w:sz w:val="18"/>
              </w:rPr>
              <w:t>2,756,817.05</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5"/>
              <w:jc w:val="right"/>
              <w:rPr>
                <w:rFonts w:ascii="Times New Roman" w:hAnsi="Times New Roman" w:cs="Times New Roman" w:eastAsia="Times New Roman" w:hint="default"/>
                <w:sz w:val="18"/>
                <w:szCs w:val="18"/>
              </w:rPr>
            </w:pPr>
            <w:r>
              <w:rPr>
                <w:rFonts w:ascii="Times New Roman"/>
                <w:spacing w:val="-1"/>
                <w:sz w:val="18"/>
              </w:rPr>
              <w:t>2,576,206.98</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1"/>
              <w:jc w:val="right"/>
              <w:rPr>
                <w:rFonts w:ascii="Times New Roman" w:hAnsi="Times New Roman" w:cs="Times New Roman" w:eastAsia="Times New Roman" w:hint="default"/>
                <w:sz w:val="18"/>
                <w:szCs w:val="18"/>
              </w:rPr>
            </w:pPr>
            <w:r>
              <w:rPr>
                <w:rFonts w:ascii="Times New Roman"/>
                <w:spacing w:val="-1"/>
                <w:sz w:val="18"/>
              </w:rPr>
              <w:t>2,386,399.97</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1,120,620.45</w:t>
            </w:r>
          </w:p>
        </w:tc>
      </w:tr>
      <w:tr>
        <w:trPr>
          <w:trHeight w:val="322" w:hRule="exact"/>
        </w:trPr>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聚酰材料</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86"/>
              <w:jc w:val="right"/>
              <w:rPr>
                <w:rFonts w:ascii="Times New Roman" w:hAnsi="Times New Roman" w:cs="Times New Roman" w:eastAsia="Times New Roman" w:hint="default"/>
                <w:sz w:val="18"/>
                <w:szCs w:val="18"/>
              </w:rPr>
            </w:pPr>
            <w:r>
              <w:rPr>
                <w:rFonts w:ascii="Times New Roman"/>
                <w:spacing w:val="-1"/>
                <w:sz w:val="18"/>
              </w:rPr>
              <w:t>2,860,854.73</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85"/>
              <w:jc w:val="right"/>
              <w:rPr>
                <w:rFonts w:ascii="Times New Roman" w:hAnsi="Times New Roman" w:cs="Times New Roman" w:eastAsia="Times New Roman" w:hint="default"/>
                <w:sz w:val="18"/>
                <w:szCs w:val="18"/>
              </w:rPr>
            </w:pPr>
            <w:r>
              <w:rPr>
                <w:rFonts w:ascii="Times New Roman"/>
                <w:spacing w:val="-1"/>
                <w:sz w:val="18"/>
              </w:rPr>
              <w:t>2,861,330.64</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2"/>
              <w:jc w:val="right"/>
              <w:rPr>
                <w:rFonts w:ascii="Times New Roman" w:hAnsi="Times New Roman" w:cs="Times New Roman" w:eastAsia="Times New Roman" w:hint="default"/>
                <w:sz w:val="18"/>
                <w:szCs w:val="18"/>
              </w:rPr>
            </w:pPr>
            <w:r>
              <w:rPr>
                <w:rFonts w:ascii="Times New Roman"/>
                <w:sz w:val="18"/>
              </w:rPr>
              <w:t>---</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22" w:hRule="exact"/>
        </w:trPr>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6"/>
              <w:jc w:val="right"/>
              <w:rPr>
                <w:rFonts w:ascii="Times New Roman" w:hAnsi="Times New Roman" w:cs="Times New Roman" w:eastAsia="Times New Roman" w:hint="default"/>
                <w:sz w:val="18"/>
                <w:szCs w:val="18"/>
              </w:rPr>
            </w:pPr>
            <w:r>
              <w:rPr>
                <w:rFonts w:ascii="Times New Roman"/>
                <w:spacing w:val="-1"/>
                <w:sz w:val="18"/>
              </w:rPr>
              <w:t>32,955,913.81</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7"/>
              <w:jc w:val="right"/>
              <w:rPr>
                <w:rFonts w:ascii="Times New Roman" w:hAnsi="Times New Roman" w:cs="Times New Roman" w:eastAsia="Times New Roman" w:hint="default"/>
                <w:sz w:val="18"/>
                <w:szCs w:val="18"/>
              </w:rPr>
            </w:pPr>
            <w:r>
              <w:rPr>
                <w:rFonts w:ascii="Times New Roman"/>
                <w:spacing w:val="-1"/>
                <w:sz w:val="18"/>
              </w:rPr>
              <w:t>17,948,117.58</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1"/>
              <w:jc w:val="right"/>
              <w:rPr>
                <w:rFonts w:ascii="Times New Roman" w:hAnsi="Times New Roman" w:cs="Times New Roman" w:eastAsia="Times New Roman" w:hint="default"/>
                <w:sz w:val="18"/>
                <w:szCs w:val="18"/>
              </w:rPr>
            </w:pPr>
            <w:r>
              <w:rPr>
                <w:rFonts w:ascii="Times New Roman"/>
                <w:spacing w:val="-1"/>
                <w:sz w:val="18"/>
              </w:rPr>
              <w:t>16,642,467.46</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7,983,032.66</w:t>
            </w:r>
          </w:p>
        </w:tc>
      </w:tr>
      <w:tr>
        <w:trPr>
          <w:trHeight w:val="328" w:hRule="exact"/>
        </w:trPr>
        <w:tc>
          <w:tcPr>
            <w:tcW w:w="1973"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135"/>
              <w:jc w:val="center"/>
              <w:rPr>
                <w:rFonts w:ascii="宋体" w:hAnsi="宋体" w:cs="宋体" w:eastAsia="宋体" w:hint="default"/>
                <w:sz w:val="18"/>
                <w:szCs w:val="18"/>
              </w:rPr>
            </w:pPr>
            <w:r>
              <w:rPr>
                <w:rFonts w:ascii="宋体" w:hAnsi="宋体" w:cs="宋体" w:eastAsia="宋体" w:hint="default"/>
                <w:sz w:val="18"/>
                <w:szCs w:val="18"/>
              </w:rPr>
              <w:t>合计</w:t>
            </w:r>
          </w:p>
        </w:tc>
        <w:tc>
          <w:tcPr>
            <w:tcW w:w="1874"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285"/>
              <w:jc w:val="right"/>
              <w:rPr>
                <w:rFonts w:ascii="Times New Roman" w:hAnsi="Times New Roman" w:cs="Times New Roman" w:eastAsia="Times New Roman" w:hint="default"/>
                <w:sz w:val="18"/>
                <w:szCs w:val="18"/>
              </w:rPr>
            </w:pPr>
            <w:r>
              <w:rPr>
                <w:rFonts w:ascii="Times New Roman"/>
                <w:spacing w:val="-1"/>
                <w:sz w:val="18"/>
              </w:rPr>
              <w:t>365,652,692.05</w:t>
            </w:r>
          </w:p>
        </w:tc>
        <w:tc>
          <w:tcPr>
            <w:tcW w:w="1702"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285"/>
              <w:jc w:val="right"/>
              <w:rPr>
                <w:rFonts w:ascii="Times New Roman" w:hAnsi="Times New Roman" w:cs="Times New Roman" w:eastAsia="Times New Roman" w:hint="default"/>
                <w:sz w:val="18"/>
                <w:szCs w:val="18"/>
              </w:rPr>
            </w:pPr>
            <w:r>
              <w:rPr>
                <w:rFonts w:ascii="Times New Roman"/>
                <w:spacing w:val="-1"/>
                <w:sz w:val="18"/>
              </w:rPr>
              <w:t>204,389,697.35</w:t>
            </w:r>
          </w:p>
        </w:tc>
        <w:tc>
          <w:tcPr>
            <w:tcW w:w="1747"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left="287" w:right="0"/>
              <w:jc w:val="left"/>
              <w:rPr>
                <w:rFonts w:ascii="Times New Roman" w:hAnsi="Times New Roman" w:cs="Times New Roman" w:eastAsia="Times New Roman" w:hint="default"/>
                <w:sz w:val="18"/>
                <w:szCs w:val="18"/>
              </w:rPr>
            </w:pPr>
            <w:r>
              <w:rPr>
                <w:rFonts w:ascii="Times New Roman"/>
                <w:sz w:val="18"/>
              </w:rPr>
              <w:t>343,206,269.47</w:t>
            </w:r>
          </w:p>
        </w:tc>
        <w:tc>
          <w:tcPr>
            <w:tcW w:w="1615"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170,220,909.36</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tabs>
          <w:tab w:pos="1414" w:val="left" w:leader="none"/>
        </w:tabs>
        <w:spacing w:before="35"/>
        <w:ind w:left="875" w:right="259" w:firstLine="0"/>
        <w:jc w:val="left"/>
        <w:rPr>
          <w:rFonts w:ascii="宋体" w:hAnsi="宋体" w:cs="宋体" w:eastAsia="宋体" w:hint="default"/>
          <w:sz w:val="21"/>
          <w:szCs w:val="21"/>
        </w:rPr>
      </w:pPr>
      <w:r>
        <w:rPr/>
        <w:pict>
          <v:group style="position:absolute;margin-left:83.160004pt;margin-top:17.073675pt;width:447.15pt;height:113.7pt;mso-position-horizontal-relative:page;mso-position-vertical-relative:paragraph;z-index:-775288" coordorigin="1663,341" coordsize="8943,2274">
            <v:group style="position:absolute;left:1692;top:356;width:8878;height:2" coordorigin="1692,356" coordsize="8878,2">
              <v:shape style="position:absolute;left:1692;top:356;width:8878;height:2" coordorigin="1692,356" coordsize="8878,0" path="m1692,356l10570,356e" filled="false" stroked="true" strokeweight="1.5pt" strokecolor="#000000">
                <v:path arrowok="t"/>
              </v:shape>
              <v:shape style="position:absolute;left:3582;top:343;width:3487;height:370" type="#_x0000_t75" stroked="false">
                <v:imagedata r:id="rId224" o:title=""/>
              </v:shape>
              <v:shape style="position:absolute;left:3582;top:655;width:7024;height:379" type="#_x0000_t75" stroked="false">
                <v:imagedata r:id="rId225" o:title=""/>
              </v:shape>
              <v:shape style="position:absolute;left:1663;top:976;width:8942;height:1639" type="#_x0000_t75" stroked="false">
                <v:imagedata r:id="rId226" o:title=""/>
              </v:shape>
              <v:shape style="position:absolute;left:4964;top:43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8441;top:43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group>
            <w10:wrap type="none"/>
          </v:group>
        </w:pict>
      </w: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主营业务（分地区）</w:t>
      </w:r>
      <w:r>
        <w:rPr>
          <w:rFonts w:ascii="宋体" w:hAnsi="宋体" w:cs="宋体" w:eastAsia="宋体" w:hint="default"/>
          <w:sz w:val="21"/>
          <w:szCs w:val="21"/>
        </w:rPr>
      </w:r>
    </w:p>
    <w:p>
      <w:pPr>
        <w:spacing w:line="240" w:lineRule="auto" w:before="11"/>
        <w:rPr>
          <w:rFonts w:ascii="宋体" w:hAnsi="宋体" w:cs="宋体" w:eastAsia="宋体" w:hint="default"/>
          <w:b/>
          <w:bCs/>
          <w:sz w:val="20"/>
          <w:szCs w:val="20"/>
        </w:rPr>
      </w:pPr>
    </w:p>
    <w:tbl>
      <w:tblPr>
        <w:tblW w:w="0" w:type="auto"/>
        <w:jc w:val="left"/>
        <w:tblInd w:w="137" w:type="dxa"/>
        <w:tblLayout w:type="fixed"/>
        <w:tblCellMar>
          <w:top w:w="0" w:type="dxa"/>
          <w:left w:w="0" w:type="dxa"/>
          <w:bottom w:w="0" w:type="dxa"/>
          <w:right w:w="0" w:type="dxa"/>
        </w:tblCellMar>
        <w:tblLook w:val="01E0"/>
      </w:tblPr>
      <w:tblGrid>
        <w:gridCol w:w="1876"/>
        <w:gridCol w:w="1966"/>
        <w:gridCol w:w="1696"/>
        <w:gridCol w:w="1746"/>
        <w:gridCol w:w="1607"/>
      </w:tblGrid>
      <w:tr>
        <w:trPr>
          <w:trHeight w:val="412" w:hRule="exact"/>
        </w:trPr>
        <w:tc>
          <w:tcPr>
            <w:tcW w:w="1876" w:type="dxa"/>
            <w:tcBorders>
              <w:top w:val="nil" w:sz="6" w:space="0" w:color="auto"/>
              <w:left w:val="nil" w:sz="6" w:space="0" w:color="auto"/>
              <w:bottom w:val="nil" w:sz="6" w:space="0" w:color="auto"/>
              <w:right w:val="nil" w:sz="6" w:space="0" w:color="auto"/>
            </w:tcBorders>
          </w:tcPr>
          <w:p>
            <w:pPr>
              <w:pStyle w:val="TableParagraph"/>
              <w:spacing w:line="180" w:lineRule="exact"/>
              <w:ind w:left="615" w:right="0"/>
              <w:jc w:val="left"/>
              <w:rPr>
                <w:rFonts w:ascii="宋体" w:hAnsi="宋体" w:cs="宋体" w:eastAsia="宋体" w:hint="default"/>
                <w:sz w:val="18"/>
                <w:szCs w:val="18"/>
              </w:rPr>
            </w:pPr>
            <w:r>
              <w:rPr>
                <w:rFonts w:ascii="宋体" w:hAnsi="宋体" w:cs="宋体" w:eastAsia="宋体" w:hint="default"/>
                <w:sz w:val="18"/>
                <w:szCs w:val="18"/>
              </w:rPr>
              <w:t>地区名称</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55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299"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0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31"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26" w:hRule="exact"/>
        </w:trPr>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华中地区</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98"/>
              <w:jc w:val="right"/>
              <w:rPr>
                <w:rFonts w:ascii="Times New Roman" w:hAnsi="Times New Roman" w:cs="Times New Roman" w:eastAsia="Times New Roman" w:hint="default"/>
                <w:sz w:val="18"/>
                <w:szCs w:val="18"/>
              </w:rPr>
            </w:pPr>
            <w:r>
              <w:rPr>
                <w:rFonts w:ascii="Times New Roman"/>
                <w:spacing w:val="-1"/>
                <w:sz w:val="18"/>
              </w:rPr>
              <w:t>20,267,154.01</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88"/>
              <w:jc w:val="right"/>
              <w:rPr>
                <w:rFonts w:ascii="Times New Roman" w:hAnsi="Times New Roman" w:cs="Times New Roman" w:eastAsia="Times New Roman" w:hint="default"/>
                <w:sz w:val="18"/>
                <w:szCs w:val="18"/>
              </w:rPr>
            </w:pPr>
            <w:r>
              <w:rPr>
                <w:rFonts w:ascii="Times New Roman"/>
                <w:spacing w:val="-1"/>
                <w:sz w:val="18"/>
              </w:rPr>
              <w:t>11,281,344.82</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29"/>
              <w:jc w:val="right"/>
              <w:rPr>
                <w:rFonts w:ascii="Times New Roman" w:hAnsi="Times New Roman" w:cs="Times New Roman" w:eastAsia="Times New Roman" w:hint="default"/>
                <w:sz w:val="18"/>
                <w:szCs w:val="18"/>
              </w:rPr>
            </w:pPr>
            <w:r>
              <w:rPr>
                <w:rFonts w:ascii="Times New Roman"/>
                <w:spacing w:val="-1"/>
                <w:sz w:val="18"/>
              </w:rPr>
              <w:t>19,206,135.64</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9,525,717.23</w:t>
            </w:r>
          </w:p>
        </w:tc>
      </w:tr>
      <w:tr>
        <w:trPr>
          <w:trHeight w:val="322" w:hRule="exact"/>
        </w:trPr>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华南地区</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98"/>
              <w:jc w:val="right"/>
              <w:rPr>
                <w:rFonts w:ascii="Times New Roman" w:hAnsi="Times New Roman" w:cs="Times New Roman" w:eastAsia="Times New Roman" w:hint="default"/>
                <w:sz w:val="18"/>
                <w:szCs w:val="18"/>
              </w:rPr>
            </w:pPr>
            <w:r>
              <w:rPr>
                <w:rFonts w:ascii="Times New Roman"/>
                <w:spacing w:val="-1"/>
                <w:sz w:val="18"/>
              </w:rPr>
              <w:t>143,202,053.31</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6"/>
              <w:jc w:val="right"/>
              <w:rPr>
                <w:rFonts w:ascii="Times New Roman" w:hAnsi="Times New Roman" w:cs="Times New Roman" w:eastAsia="Times New Roman" w:hint="default"/>
                <w:sz w:val="18"/>
                <w:szCs w:val="18"/>
              </w:rPr>
            </w:pPr>
            <w:r>
              <w:rPr>
                <w:rFonts w:ascii="Times New Roman"/>
                <w:spacing w:val="-1"/>
                <w:sz w:val="18"/>
              </w:rPr>
              <w:t>79,710,833.69</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88" w:right="0"/>
              <w:jc w:val="left"/>
              <w:rPr>
                <w:rFonts w:ascii="Times New Roman" w:hAnsi="Times New Roman" w:cs="Times New Roman" w:eastAsia="Times New Roman" w:hint="default"/>
                <w:sz w:val="18"/>
                <w:szCs w:val="18"/>
              </w:rPr>
            </w:pPr>
            <w:r>
              <w:rPr>
                <w:rFonts w:ascii="Times New Roman"/>
                <w:sz w:val="18"/>
              </w:rPr>
              <w:t>127,973,724.38</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63,471,462.14</w:t>
            </w:r>
          </w:p>
        </w:tc>
      </w:tr>
      <w:tr>
        <w:trPr>
          <w:trHeight w:val="322" w:hRule="exact"/>
        </w:trPr>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98"/>
              <w:jc w:val="right"/>
              <w:rPr>
                <w:rFonts w:ascii="Times New Roman" w:hAnsi="Times New Roman" w:cs="Times New Roman" w:eastAsia="Times New Roman" w:hint="default"/>
                <w:sz w:val="18"/>
                <w:szCs w:val="18"/>
              </w:rPr>
            </w:pPr>
            <w:r>
              <w:rPr>
                <w:rFonts w:ascii="Times New Roman"/>
                <w:spacing w:val="-1"/>
                <w:sz w:val="18"/>
              </w:rPr>
              <w:t>29,300,195.36</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8"/>
              <w:jc w:val="right"/>
              <w:rPr>
                <w:rFonts w:ascii="Times New Roman" w:hAnsi="Times New Roman" w:cs="Times New Roman" w:eastAsia="Times New Roman" w:hint="default"/>
                <w:sz w:val="18"/>
                <w:szCs w:val="18"/>
              </w:rPr>
            </w:pPr>
            <w:r>
              <w:rPr>
                <w:rFonts w:ascii="Times New Roman"/>
                <w:spacing w:val="-1"/>
                <w:sz w:val="18"/>
              </w:rPr>
              <w:t>16,309,423.96</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29"/>
              <w:jc w:val="right"/>
              <w:rPr>
                <w:rFonts w:ascii="Times New Roman" w:hAnsi="Times New Roman" w:cs="Times New Roman" w:eastAsia="Times New Roman" w:hint="default"/>
                <w:sz w:val="18"/>
                <w:szCs w:val="18"/>
              </w:rPr>
            </w:pPr>
            <w:r>
              <w:rPr>
                <w:rFonts w:ascii="Times New Roman"/>
                <w:spacing w:val="-1"/>
                <w:sz w:val="18"/>
              </w:rPr>
              <w:t>26,529,660.08</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13,157,984.76</w:t>
            </w:r>
          </w:p>
        </w:tc>
      </w:tr>
      <w:tr>
        <w:trPr>
          <w:trHeight w:val="322" w:hRule="exact"/>
        </w:trPr>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东北地区</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97"/>
              <w:jc w:val="right"/>
              <w:rPr>
                <w:rFonts w:ascii="Times New Roman" w:hAnsi="Times New Roman" w:cs="Times New Roman" w:eastAsia="Times New Roman" w:hint="default"/>
                <w:sz w:val="18"/>
                <w:szCs w:val="18"/>
              </w:rPr>
            </w:pPr>
            <w:r>
              <w:rPr>
                <w:rFonts w:ascii="Times New Roman"/>
                <w:spacing w:val="-1"/>
                <w:sz w:val="18"/>
              </w:rPr>
              <w:t>14,841,122.70</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86"/>
              <w:jc w:val="right"/>
              <w:rPr>
                <w:rFonts w:ascii="Times New Roman" w:hAnsi="Times New Roman" w:cs="Times New Roman" w:eastAsia="Times New Roman" w:hint="default"/>
                <w:sz w:val="18"/>
                <w:szCs w:val="18"/>
              </w:rPr>
            </w:pPr>
            <w:r>
              <w:rPr>
                <w:rFonts w:ascii="Times New Roman"/>
                <w:spacing w:val="-1"/>
                <w:sz w:val="18"/>
              </w:rPr>
              <w:t>9,116,780.42</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1"/>
              <w:jc w:val="right"/>
              <w:rPr>
                <w:rFonts w:ascii="Times New Roman" w:hAnsi="Times New Roman" w:cs="Times New Roman" w:eastAsia="Times New Roman" w:hint="default"/>
                <w:sz w:val="18"/>
                <w:szCs w:val="18"/>
              </w:rPr>
            </w:pPr>
            <w:r>
              <w:rPr>
                <w:rFonts w:ascii="Times New Roman"/>
                <w:spacing w:val="-1"/>
                <w:sz w:val="18"/>
              </w:rPr>
              <w:t>15,527,370.11</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7,701,150.29</w:t>
            </w:r>
          </w:p>
        </w:tc>
      </w:tr>
      <w:tr>
        <w:trPr>
          <w:trHeight w:val="328" w:hRule="exact"/>
        </w:trPr>
        <w:tc>
          <w:tcPr>
            <w:tcW w:w="1876"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966"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298"/>
              <w:jc w:val="right"/>
              <w:rPr>
                <w:rFonts w:ascii="Times New Roman" w:hAnsi="Times New Roman" w:cs="Times New Roman" w:eastAsia="Times New Roman" w:hint="default"/>
                <w:sz w:val="18"/>
                <w:szCs w:val="18"/>
              </w:rPr>
            </w:pPr>
            <w:r>
              <w:rPr>
                <w:rFonts w:ascii="Times New Roman"/>
                <w:spacing w:val="-1"/>
                <w:sz w:val="18"/>
              </w:rPr>
              <w:t>101,408,114.20</w:t>
            </w:r>
          </w:p>
        </w:tc>
        <w:tc>
          <w:tcPr>
            <w:tcW w:w="1696"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286"/>
              <w:jc w:val="right"/>
              <w:rPr>
                <w:rFonts w:ascii="Times New Roman" w:hAnsi="Times New Roman" w:cs="Times New Roman" w:eastAsia="Times New Roman" w:hint="default"/>
                <w:sz w:val="18"/>
                <w:szCs w:val="18"/>
              </w:rPr>
            </w:pPr>
            <w:r>
              <w:rPr>
                <w:rFonts w:ascii="Times New Roman"/>
                <w:spacing w:val="-1"/>
                <w:sz w:val="18"/>
              </w:rPr>
              <w:t>56,446,993.17</w:t>
            </w:r>
          </w:p>
        </w:tc>
        <w:tc>
          <w:tcPr>
            <w:tcW w:w="1746"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329"/>
              <w:jc w:val="right"/>
              <w:rPr>
                <w:rFonts w:ascii="Times New Roman" w:hAnsi="Times New Roman" w:cs="Times New Roman" w:eastAsia="Times New Roman" w:hint="default"/>
                <w:sz w:val="18"/>
                <w:szCs w:val="18"/>
              </w:rPr>
            </w:pPr>
            <w:r>
              <w:rPr>
                <w:rFonts w:ascii="Times New Roman"/>
                <w:spacing w:val="-1"/>
                <w:sz w:val="18"/>
              </w:rPr>
              <w:t>96,122,772.02</w:t>
            </w:r>
          </w:p>
        </w:tc>
        <w:tc>
          <w:tcPr>
            <w:tcW w:w="1607"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47,674,262.15</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270" w:top="1360" w:bottom="1460" w:left="1540" w:right="1160"/>
        </w:sectPr>
      </w:pPr>
    </w:p>
    <w:p>
      <w:pPr>
        <w:spacing w:line="240" w:lineRule="auto" w:before="10"/>
        <w:rPr>
          <w:rFonts w:ascii="宋体" w:hAnsi="宋体" w:cs="宋体" w:eastAsia="宋体" w:hint="default"/>
          <w:b/>
          <w:bCs/>
          <w:sz w:val="6"/>
          <w:szCs w:val="6"/>
        </w:rPr>
      </w:pPr>
      <w:r>
        <w:rPr/>
        <w:pict>
          <v:group style="position:absolute;margin-left:117.059998pt;margin-top:305.100006pt;width:399.2pt;height:97.5pt;mso-position-horizontal-relative:page;mso-position-vertical-relative:page;z-index:-775216" coordorigin="2341,6102" coordsize="7984,1950">
            <v:shape style="position:absolute;left:4618;top:6102;width:4162;height:370" type="#_x0000_t75" stroked="false">
              <v:imagedata r:id="rId227" o:title=""/>
            </v:shape>
            <v:shape style="position:absolute;left:2341;top:6424;width:7984;height:1628" type="#_x0000_t75" stroked="false">
              <v:imagedata r:id="rId228" o:title=""/>
            </v:shape>
            <w10:wrap type="none"/>
          </v:group>
        </w:pict>
      </w:r>
      <w:r>
        <w:rPr/>
        <w:pict>
          <v:group style="position:absolute;margin-left:117.059998pt;margin-top:444.179993pt;width:399.7pt;height:203.55pt;mso-position-horizontal-relative:page;mso-position-vertical-relative:page;z-index:-775192" coordorigin="2341,8884" coordsize="7994,4071">
            <v:shape style="position:absolute;left:5711;top:8884;width:2320;height:432" type="#_x0000_t75" stroked="false">
              <v:imagedata r:id="rId229" o:title=""/>
            </v:shape>
            <v:shape style="position:absolute;left:2341;top:9258;width:7993;height:3696" type="#_x0000_t75" stroked="false">
              <v:imagedata r:id="rId230" o:title=""/>
            </v:shape>
            <w10:wrap type="none"/>
          </v:group>
        </w:pict>
      </w:r>
      <w:r>
        <w:rPr/>
        <w:pict>
          <v:group style="position:absolute;margin-left:117.059998pt;margin-top:689.669983pt;width:399.25pt;height:61.55pt;mso-position-horizontal-relative:page;mso-position-vertical-relative:page;z-index:-775168" coordorigin="2341,13793" coordsize="7985,1231">
            <v:shape style="position:absolute;left:5704;top:13793;width:2317;height:437" type="#_x0000_t75" stroked="false">
              <v:imagedata r:id="rId231" o:title=""/>
            </v:shape>
            <v:shape style="position:absolute;left:2341;top:14191;width:7984;height:833" type="#_x0000_t75" stroked="false">
              <v:imagedata r:id="rId232" o:title=""/>
            </v:shape>
            <w10:wrap type="none"/>
          </v:group>
        </w:pict>
      </w:r>
    </w:p>
    <w:tbl>
      <w:tblPr>
        <w:tblW w:w="0" w:type="auto"/>
        <w:jc w:val="left"/>
        <w:tblInd w:w="151" w:type="dxa"/>
        <w:tblLayout w:type="fixed"/>
        <w:tblCellMar>
          <w:top w:w="0" w:type="dxa"/>
          <w:left w:w="0" w:type="dxa"/>
          <w:bottom w:w="0" w:type="dxa"/>
          <w:right w:w="0" w:type="dxa"/>
        </w:tblCellMar>
        <w:tblLook w:val="01E0"/>
      </w:tblPr>
      <w:tblGrid>
        <w:gridCol w:w="1885"/>
        <w:gridCol w:w="1934"/>
        <w:gridCol w:w="1705"/>
        <w:gridCol w:w="1768"/>
        <w:gridCol w:w="1586"/>
      </w:tblGrid>
      <w:tr>
        <w:trPr>
          <w:trHeight w:val="336" w:hRule="exact"/>
        </w:trPr>
        <w:tc>
          <w:tcPr>
            <w:tcW w:w="1885"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西南及西北地区</w:t>
            </w:r>
          </w:p>
        </w:tc>
        <w:tc>
          <w:tcPr>
            <w:tcW w:w="1934"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right="289"/>
              <w:jc w:val="right"/>
              <w:rPr>
                <w:rFonts w:ascii="Times New Roman" w:hAnsi="Times New Roman" w:cs="Times New Roman" w:eastAsia="Times New Roman" w:hint="default"/>
                <w:sz w:val="18"/>
                <w:szCs w:val="18"/>
              </w:rPr>
            </w:pPr>
            <w:r>
              <w:rPr>
                <w:rFonts w:ascii="Times New Roman"/>
                <w:spacing w:val="-1"/>
                <w:sz w:val="18"/>
              </w:rPr>
              <w:t>52,382,990.33</w:t>
            </w:r>
          </w:p>
        </w:tc>
        <w:tc>
          <w:tcPr>
            <w:tcW w:w="1705"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right="286"/>
              <w:jc w:val="right"/>
              <w:rPr>
                <w:rFonts w:ascii="Times New Roman" w:hAnsi="Times New Roman" w:cs="Times New Roman" w:eastAsia="Times New Roman" w:hint="default"/>
                <w:sz w:val="18"/>
                <w:szCs w:val="18"/>
              </w:rPr>
            </w:pPr>
            <w:r>
              <w:rPr>
                <w:rFonts w:ascii="Times New Roman"/>
                <w:spacing w:val="-1"/>
                <w:sz w:val="18"/>
              </w:rPr>
              <w:t>29,158,044.41</w:t>
            </w:r>
          </w:p>
        </w:tc>
        <w:tc>
          <w:tcPr>
            <w:tcW w:w="1768"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left="25" w:right="0"/>
              <w:jc w:val="center"/>
              <w:rPr>
                <w:rFonts w:ascii="Times New Roman" w:hAnsi="Times New Roman" w:cs="Times New Roman" w:eastAsia="Times New Roman" w:hint="default"/>
                <w:sz w:val="18"/>
                <w:szCs w:val="18"/>
              </w:rPr>
            </w:pPr>
            <w:r>
              <w:rPr>
                <w:rFonts w:ascii="Times New Roman"/>
                <w:sz w:val="18"/>
              </w:rPr>
              <w:t>56,223,476.54</w:t>
            </w:r>
          </w:p>
        </w:tc>
        <w:tc>
          <w:tcPr>
            <w:tcW w:w="1586"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27,885,304.42</w:t>
            </w:r>
          </w:p>
        </w:tc>
      </w:tr>
      <w:tr>
        <w:trPr>
          <w:trHeight w:val="322"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出口</w:t>
            </w: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9"/>
              <w:jc w:val="right"/>
              <w:rPr>
                <w:rFonts w:ascii="Times New Roman" w:hAnsi="Times New Roman" w:cs="Times New Roman" w:eastAsia="Times New Roman" w:hint="default"/>
                <w:sz w:val="18"/>
                <w:szCs w:val="18"/>
              </w:rPr>
            </w:pPr>
            <w:r>
              <w:rPr>
                <w:rFonts w:ascii="Times New Roman"/>
                <w:spacing w:val="-1"/>
                <w:sz w:val="18"/>
              </w:rPr>
              <w:t>4,251,062.14</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6"/>
              <w:jc w:val="right"/>
              <w:rPr>
                <w:rFonts w:ascii="Times New Roman" w:hAnsi="Times New Roman" w:cs="Times New Roman" w:eastAsia="Times New Roman" w:hint="default"/>
                <w:sz w:val="18"/>
                <w:szCs w:val="18"/>
              </w:rPr>
            </w:pPr>
            <w:r>
              <w:rPr>
                <w:rFonts w:ascii="Times New Roman"/>
                <w:spacing w:val="-1"/>
                <w:sz w:val="18"/>
              </w:rPr>
              <w:t>2,366,276.88</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15" w:right="0"/>
              <w:jc w:val="center"/>
              <w:rPr>
                <w:rFonts w:ascii="Times New Roman" w:hAnsi="Times New Roman" w:cs="Times New Roman" w:eastAsia="Times New Roman" w:hint="default"/>
                <w:sz w:val="18"/>
                <w:szCs w:val="18"/>
              </w:rPr>
            </w:pPr>
            <w:r>
              <w:rPr>
                <w:rFonts w:ascii="Times New Roman"/>
                <w:sz w:val="18"/>
              </w:rPr>
              <w:t>1,623,130.70</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805,028.37</w:t>
            </w:r>
          </w:p>
        </w:tc>
      </w:tr>
      <w:tr>
        <w:trPr>
          <w:trHeight w:val="329" w:hRule="exact"/>
        </w:trPr>
        <w:tc>
          <w:tcPr>
            <w:tcW w:w="1885"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left="3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34"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288"/>
              <w:jc w:val="right"/>
              <w:rPr>
                <w:rFonts w:ascii="Times New Roman" w:hAnsi="Times New Roman" w:cs="Times New Roman" w:eastAsia="Times New Roman" w:hint="default"/>
                <w:sz w:val="18"/>
                <w:szCs w:val="18"/>
              </w:rPr>
            </w:pPr>
            <w:r>
              <w:rPr>
                <w:rFonts w:ascii="Times New Roman"/>
                <w:spacing w:val="-1"/>
                <w:sz w:val="18"/>
              </w:rPr>
              <w:t>365,652,692.05</w:t>
            </w:r>
          </w:p>
        </w:tc>
        <w:tc>
          <w:tcPr>
            <w:tcW w:w="1705"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286"/>
              <w:jc w:val="right"/>
              <w:rPr>
                <w:rFonts w:ascii="Times New Roman" w:hAnsi="Times New Roman" w:cs="Times New Roman" w:eastAsia="Times New Roman" w:hint="default"/>
                <w:sz w:val="18"/>
                <w:szCs w:val="18"/>
              </w:rPr>
            </w:pPr>
            <w:r>
              <w:rPr>
                <w:rFonts w:ascii="Times New Roman"/>
                <w:spacing w:val="-1"/>
                <w:sz w:val="18"/>
              </w:rPr>
              <w:t>204,389,697.35</w:t>
            </w:r>
          </w:p>
        </w:tc>
        <w:tc>
          <w:tcPr>
            <w:tcW w:w="1768"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62"/>
              <w:jc w:val="center"/>
              <w:rPr>
                <w:rFonts w:ascii="Times New Roman" w:hAnsi="Times New Roman" w:cs="Times New Roman" w:eastAsia="Times New Roman" w:hint="default"/>
                <w:sz w:val="18"/>
                <w:szCs w:val="18"/>
              </w:rPr>
            </w:pPr>
            <w:r>
              <w:rPr>
                <w:rFonts w:ascii="Times New Roman"/>
                <w:sz w:val="18"/>
              </w:rPr>
              <w:t>343,206,269.47</w:t>
            </w:r>
          </w:p>
        </w:tc>
        <w:tc>
          <w:tcPr>
            <w:tcW w:w="1586"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170,220,909.36</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414" w:val="left" w:leader="none"/>
        </w:tabs>
        <w:spacing w:before="35"/>
        <w:ind w:left="875" w:right="0" w:firstLine="0"/>
        <w:jc w:val="left"/>
        <w:rPr>
          <w:rFonts w:ascii="宋体" w:hAnsi="宋体" w:cs="宋体" w:eastAsia="宋体" w:hint="default"/>
          <w:sz w:val="21"/>
          <w:szCs w:val="21"/>
        </w:rPr>
      </w:pPr>
      <w:r>
        <w:rPr/>
        <w:pict>
          <v:group style="position:absolute;margin-left:83.160004pt;margin-top:-73.646179pt;width:447.15pt;height:49.3pt;mso-position-horizontal-relative:page;mso-position-vertical-relative:paragraph;z-index:-775264" coordorigin="1663,-1473" coordsize="8943,986">
            <v:shape style="position:absolute;left:3582;top:-1473;width:5190;height:370" type="#_x0000_t75" stroked="false">
              <v:imagedata r:id="rId233" o:title=""/>
            </v:shape>
            <v:shape style="position:absolute;left:1663;top:-1161;width:8942;height:673" type="#_x0000_t75" stroked="false">
              <v:imagedata r:id="rId234" o:title=""/>
            </v:shape>
            <w10:wrap type="none"/>
          </v:group>
        </w:pict>
      </w:r>
      <w:r>
        <w:rPr/>
        <w:pict>
          <v:group style="position:absolute;margin-left:117.059998pt;margin-top:17.133823pt;width:397.4pt;height:100.7pt;mso-position-horizontal-relative:page;mso-position-vertical-relative:paragraph;z-index:-775240" coordorigin="2341,343" coordsize="7948,2014">
            <v:shape style="position:absolute;left:5502;top:343;width:1964;height:432" type="#_x0000_t75" stroked="false">
              <v:imagedata r:id="rId235" o:title=""/>
            </v:shape>
            <v:shape style="position:absolute;left:2341;top:717;width:7948;height:1639" type="#_x0000_t75" stroked="false">
              <v:imagedata r:id="rId236" o:title=""/>
            </v:shape>
            <w10:wrap type="none"/>
          </v:group>
        </w:pict>
      </w: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公司前五名客户的营业收入情况</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830" w:type="dxa"/>
        <w:tblLayout w:type="fixed"/>
        <w:tblCellMar>
          <w:top w:w="0" w:type="dxa"/>
          <w:left w:w="0" w:type="dxa"/>
          <w:bottom w:w="0" w:type="dxa"/>
          <w:right w:w="0" w:type="dxa"/>
        </w:tblCellMar>
        <w:tblLook w:val="01E0"/>
      </w:tblPr>
      <w:tblGrid>
        <w:gridCol w:w="1025"/>
        <w:gridCol w:w="1643"/>
        <w:gridCol w:w="2440"/>
        <w:gridCol w:w="2779"/>
      </w:tblGrid>
      <w:tr>
        <w:trPr>
          <w:trHeight w:val="721" w:hRule="exact"/>
        </w:trPr>
        <w:tc>
          <w:tcPr>
            <w:tcW w:w="102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60"/>
              <w:ind w:left="108"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64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77" w:right="0"/>
              <w:jc w:val="left"/>
              <w:rPr>
                <w:rFonts w:ascii="宋体" w:hAnsi="宋体" w:cs="宋体" w:eastAsia="宋体" w:hint="default"/>
                <w:sz w:val="18"/>
                <w:szCs w:val="18"/>
              </w:rPr>
            </w:pPr>
            <w:r>
              <w:rPr>
                <w:rFonts w:ascii="宋体" w:hAnsi="宋体" w:cs="宋体" w:eastAsia="宋体" w:hint="default"/>
                <w:sz w:val="18"/>
                <w:szCs w:val="18"/>
              </w:rPr>
              <w:t>名次</w:t>
            </w:r>
          </w:p>
        </w:tc>
        <w:tc>
          <w:tcPr>
            <w:tcW w:w="244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905" w:right="0"/>
              <w:jc w:val="left"/>
              <w:rPr>
                <w:rFonts w:ascii="宋体" w:hAnsi="宋体" w:cs="宋体" w:eastAsia="宋体" w:hint="default"/>
                <w:sz w:val="18"/>
                <w:szCs w:val="18"/>
              </w:rPr>
            </w:pPr>
            <w:r>
              <w:rPr>
                <w:rFonts w:ascii="宋体" w:hAnsi="宋体" w:cs="宋体" w:eastAsia="宋体" w:hint="default"/>
                <w:sz w:val="18"/>
                <w:szCs w:val="18"/>
              </w:rPr>
              <w:t>营业收入总额</w:t>
            </w:r>
          </w:p>
          <w:p>
            <w:pPr>
              <w:pStyle w:val="TableParagraph"/>
              <w:spacing w:line="240" w:lineRule="auto" w:before="158"/>
              <w:ind w:left="1168" w:right="0"/>
              <w:jc w:val="left"/>
              <w:rPr>
                <w:rFonts w:ascii="Times New Roman" w:hAnsi="Times New Roman" w:cs="Times New Roman" w:eastAsia="Times New Roman" w:hint="default"/>
                <w:sz w:val="18"/>
                <w:szCs w:val="18"/>
              </w:rPr>
            </w:pPr>
            <w:r>
              <w:rPr>
                <w:rFonts w:ascii="Times New Roman"/>
                <w:sz w:val="18"/>
              </w:rPr>
              <w:t>112,448,939.76</w:t>
            </w:r>
          </w:p>
        </w:tc>
        <w:tc>
          <w:tcPr>
            <w:tcW w:w="277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94"/>
              <w:jc w:val="right"/>
              <w:rPr>
                <w:rFonts w:ascii="Times New Roman" w:hAnsi="Times New Roman" w:cs="Times New Roman" w:eastAsia="Times New Roman" w:hint="default"/>
                <w:sz w:val="18"/>
                <w:szCs w:val="18"/>
              </w:rPr>
            </w:pPr>
            <w:r>
              <w:rPr>
                <w:rFonts w:ascii="宋体" w:hAnsi="宋体" w:cs="宋体" w:eastAsia="宋体" w:hint="default"/>
                <w:sz w:val="18"/>
                <w:szCs w:val="18"/>
              </w:rPr>
              <w:t>占公司全部营业收入的比例</w:t>
            </w:r>
            <w:r>
              <w:rPr>
                <w:rFonts w:ascii="Times New Roman" w:hAnsi="Times New Roman" w:cs="Times New Roman" w:eastAsia="Times New Roman" w:hint="default"/>
                <w:sz w:val="18"/>
                <w:szCs w:val="18"/>
              </w:rPr>
              <w:t>(%)</w:t>
            </w:r>
          </w:p>
          <w:p>
            <w:pPr>
              <w:pStyle w:val="TableParagraph"/>
              <w:spacing w:line="240" w:lineRule="auto" w:before="144"/>
              <w:ind w:right="105"/>
              <w:jc w:val="right"/>
              <w:rPr>
                <w:rFonts w:ascii="Times New Roman" w:hAnsi="Times New Roman" w:cs="Times New Roman" w:eastAsia="Times New Roman" w:hint="default"/>
                <w:sz w:val="18"/>
                <w:szCs w:val="18"/>
              </w:rPr>
            </w:pPr>
            <w:r>
              <w:rPr>
                <w:rFonts w:ascii="Times New Roman"/>
                <w:sz w:val="18"/>
              </w:rPr>
              <w:t>30.38</w:t>
            </w:r>
          </w:p>
        </w:tc>
      </w:tr>
      <w:tr>
        <w:trPr>
          <w:trHeight w:val="322" w:hRule="exact"/>
        </w:trPr>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643" w:type="dxa"/>
            <w:tcBorders>
              <w:top w:val="nil" w:sz="6" w:space="0" w:color="auto"/>
              <w:left w:val="nil" w:sz="6" w:space="0" w:color="auto"/>
              <w:bottom w:val="nil" w:sz="6" w:space="0" w:color="auto"/>
              <w:right w:val="nil" w:sz="6" w:space="0" w:color="auto"/>
            </w:tcBorders>
          </w:tcPr>
          <w:p>
            <w:pPr/>
          </w:p>
        </w:tc>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9"/>
              <w:jc w:val="right"/>
              <w:rPr>
                <w:rFonts w:ascii="Times New Roman" w:hAnsi="Times New Roman" w:cs="Times New Roman" w:eastAsia="Times New Roman" w:hint="default"/>
                <w:sz w:val="18"/>
                <w:szCs w:val="18"/>
              </w:rPr>
            </w:pPr>
            <w:r>
              <w:rPr>
                <w:rFonts w:ascii="Times New Roman"/>
                <w:spacing w:val="-1"/>
                <w:sz w:val="18"/>
              </w:rPr>
              <w:t>38,191,293.75</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10.32</w:t>
            </w:r>
          </w:p>
        </w:tc>
      </w:tr>
      <w:tr>
        <w:trPr>
          <w:trHeight w:val="322" w:hRule="exact"/>
        </w:trPr>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643" w:type="dxa"/>
            <w:tcBorders>
              <w:top w:val="nil" w:sz="6" w:space="0" w:color="auto"/>
              <w:left w:val="nil" w:sz="6" w:space="0" w:color="auto"/>
              <w:bottom w:val="nil" w:sz="6" w:space="0" w:color="auto"/>
              <w:right w:val="nil" w:sz="6" w:space="0" w:color="auto"/>
            </w:tcBorders>
          </w:tcPr>
          <w:p>
            <w:pPr/>
          </w:p>
        </w:tc>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9"/>
              <w:jc w:val="right"/>
              <w:rPr>
                <w:rFonts w:ascii="Times New Roman" w:hAnsi="Times New Roman" w:cs="Times New Roman" w:eastAsia="Times New Roman" w:hint="default"/>
                <w:sz w:val="18"/>
                <w:szCs w:val="18"/>
              </w:rPr>
            </w:pPr>
            <w:r>
              <w:rPr>
                <w:rFonts w:ascii="Times New Roman"/>
                <w:spacing w:val="-1"/>
                <w:sz w:val="18"/>
              </w:rPr>
              <w:t>13,415,223.23</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3.62</w:t>
            </w:r>
          </w:p>
        </w:tc>
      </w:tr>
      <w:tr>
        <w:trPr>
          <w:trHeight w:val="322" w:hRule="exact"/>
        </w:trPr>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8"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643" w:type="dxa"/>
            <w:tcBorders>
              <w:top w:val="nil" w:sz="6" w:space="0" w:color="auto"/>
              <w:left w:val="nil" w:sz="6" w:space="0" w:color="auto"/>
              <w:bottom w:val="nil" w:sz="6" w:space="0" w:color="auto"/>
              <w:right w:val="nil" w:sz="6" w:space="0" w:color="auto"/>
            </w:tcBorders>
          </w:tcPr>
          <w:p>
            <w:pPr/>
          </w:p>
        </w:tc>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49"/>
              <w:jc w:val="right"/>
              <w:rPr>
                <w:rFonts w:ascii="Times New Roman" w:hAnsi="Times New Roman" w:cs="Times New Roman" w:eastAsia="Times New Roman" w:hint="default"/>
                <w:sz w:val="18"/>
                <w:szCs w:val="18"/>
              </w:rPr>
            </w:pPr>
            <w:r>
              <w:rPr>
                <w:rFonts w:ascii="Times New Roman"/>
                <w:spacing w:val="-1"/>
                <w:sz w:val="18"/>
              </w:rPr>
              <w:t>8,003,025.64</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z w:val="18"/>
              </w:rPr>
              <w:t>2.16</w:t>
            </w:r>
          </w:p>
        </w:tc>
      </w:tr>
      <w:tr>
        <w:trPr>
          <w:trHeight w:val="328" w:hRule="exact"/>
        </w:trPr>
        <w:tc>
          <w:tcPr>
            <w:tcW w:w="1025"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643" w:type="dxa"/>
            <w:tcBorders>
              <w:top w:val="nil" w:sz="6" w:space="0" w:color="auto"/>
              <w:left w:val="nil" w:sz="6" w:space="0" w:color="auto"/>
              <w:bottom w:val="single" w:sz="12" w:space="0" w:color="000000"/>
              <w:right w:val="nil" w:sz="6" w:space="0" w:color="auto"/>
            </w:tcBorders>
          </w:tcPr>
          <w:p>
            <w:pPr/>
          </w:p>
        </w:tc>
        <w:tc>
          <w:tcPr>
            <w:tcW w:w="2440"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49"/>
              <w:jc w:val="right"/>
              <w:rPr>
                <w:rFonts w:ascii="Times New Roman" w:hAnsi="Times New Roman" w:cs="Times New Roman" w:eastAsia="Times New Roman" w:hint="default"/>
                <w:sz w:val="18"/>
                <w:szCs w:val="18"/>
              </w:rPr>
            </w:pPr>
            <w:r>
              <w:rPr>
                <w:rFonts w:ascii="Times New Roman"/>
                <w:spacing w:val="-1"/>
                <w:sz w:val="18"/>
              </w:rPr>
              <w:t>6,635,257.35</w:t>
            </w:r>
          </w:p>
        </w:tc>
        <w:tc>
          <w:tcPr>
            <w:tcW w:w="2779"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1.79</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tbl>
      <w:tblPr>
        <w:tblW w:w="0" w:type="auto"/>
        <w:jc w:val="left"/>
        <w:tblInd w:w="210" w:type="dxa"/>
        <w:tblLayout w:type="fixed"/>
        <w:tblCellMar>
          <w:top w:w="0" w:type="dxa"/>
          <w:left w:w="0" w:type="dxa"/>
          <w:bottom w:w="0" w:type="dxa"/>
          <w:right w:w="0" w:type="dxa"/>
        </w:tblCellMar>
        <w:tblLook w:val="01E0"/>
      </w:tblPr>
      <w:tblGrid>
        <w:gridCol w:w="3229"/>
        <w:gridCol w:w="2161"/>
        <w:gridCol w:w="1606"/>
        <w:gridCol w:w="1559"/>
      </w:tblGrid>
      <w:tr>
        <w:trPr>
          <w:trHeight w:val="358" w:hRule="exact"/>
        </w:trPr>
        <w:tc>
          <w:tcPr>
            <w:tcW w:w="3229" w:type="dxa"/>
            <w:tcBorders>
              <w:top w:val="nil" w:sz="6" w:space="0" w:color="auto"/>
              <w:left w:val="nil" w:sz="6" w:space="0" w:color="auto"/>
              <w:bottom w:val="single" w:sz="12" w:space="0" w:color="000000"/>
              <w:right w:val="nil" w:sz="6" w:space="0" w:color="auto"/>
            </w:tcBorders>
          </w:tcPr>
          <w:p>
            <w:pPr>
              <w:pStyle w:val="TableParagraph"/>
              <w:tabs>
                <w:tab w:pos="1308" w:val="left" w:leader="none"/>
              </w:tabs>
              <w:spacing w:line="240" w:lineRule="auto" w:before="35"/>
              <w:ind w:left="35" w:right="0"/>
              <w:jc w:val="left"/>
              <w:rPr>
                <w:rFonts w:ascii="宋体" w:hAnsi="宋体" w:cs="宋体" w:eastAsia="宋体" w:hint="default"/>
                <w:sz w:val="21"/>
                <w:szCs w:val="21"/>
              </w:rPr>
            </w:pPr>
            <w:r>
              <w:rPr>
                <w:rFonts w:ascii="宋体" w:hAnsi="宋体" w:cs="宋体" w:eastAsia="宋体" w:hint="default"/>
                <w:b/>
                <w:bCs/>
                <w:w w:val="95"/>
                <w:sz w:val="21"/>
                <w:szCs w:val="21"/>
              </w:rPr>
              <w:t>(二十九)</w:t>
              <w:tab/>
            </w:r>
            <w:r>
              <w:rPr>
                <w:rFonts w:ascii="宋体" w:hAnsi="宋体" w:cs="宋体" w:eastAsia="宋体" w:hint="default"/>
                <w:b/>
                <w:bCs/>
                <w:sz w:val="21"/>
                <w:szCs w:val="21"/>
              </w:rPr>
              <w:t>营业税金及附加</w:t>
            </w:r>
            <w:r>
              <w:rPr>
                <w:rFonts w:ascii="宋体" w:hAnsi="宋体" w:cs="宋体" w:eastAsia="宋体" w:hint="default"/>
                <w:sz w:val="21"/>
                <w:szCs w:val="21"/>
              </w:rPr>
            </w:r>
          </w:p>
        </w:tc>
        <w:tc>
          <w:tcPr>
            <w:tcW w:w="5326" w:type="dxa"/>
            <w:gridSpan w:val="3"/>
            <w:tcBorders>
              <w:top w:val="nil" w:sz="6" w:space="0" w:color="auto"/>
              <w:left w:val="nil" w:sz="6" w:space="0" w:color="auto"/>
              <w:bottom w:val="single" w:sz="12" w:space="0" w:color="000000"/>
              <w:right w:val="nil" w:sz="6" w:space="0" w:color="auto"/>
            </w:tcBorders>
          </w:tcPr>
          <w:p>
            <w:pPr/>
          </w:p>
        </w:tc>
      </w:tr>
      <w:tr>
        <w:trPr>
          <w:trHeight w:val="332" w:hRule="exact"/>
        </w:trPr>
        <w:tc>
          <w:tcPr>
            <w:tcW w:w="3229"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8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161"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444"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606"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330" w:right="0"/>
              <w:jc w:val="left"/>
              <w:rPr>
                <w:rFonts w:ascii="宋体" w:hAnsi="宋体" w:cs="宋体" w:eastAsia="宋体" w:hint="default"/>
                <w:sz w:val="18"/>
                <w:szCs w:val="18"/>
              </w:rPr>
            </w:pPr>
            <w:r>
              <w:rPr>
                <w:rFonts w:ascii="宋体" w:hAnsi="宋体" w:cs="宋体" w:eastAsia="宋体" w:hint="default"/>
                <w:sz w:val="18"/>
                <w:szCs w:val="18"/>
              </w:rPr>
              <w:t>上年金额</w:t>
            </w:r>
          </w:p>
        </w:tc>
        <w:tc>
          <w:tcPr>
            <w:tcW w:w="1559"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418" w:right="0"/>
              <w:jc w:val="left"/>
              <w:rPr>
                <w:rFonts w:ascii="宋体" w:hAnsi="宋体" w:cs="宋体" w:eastAsia="宋体" w:hint="default"/>
                <w:sz w:val="18"/>
                <w:szCs w:val="18"/>
              </w:rPr>
            </w:pPr>
            <w:r>
              <w:rPr>
                <w:rFonts w:ascii="宋体" w:hAnsi="宋体" w:cs="宋体" w:eastAsia="宋体" w:hint="default"/>
                <w:sz w:val="18"/>
                <w:szCs w:val="18"/>
              </w:rPr>
              <w:t>计缴标准</w:t>
            </w:r>
          </w:p>
        </w:tc>
      </w:tr>
      <w:tr>
        <w:trPr>
          <w:trHeight w:val="327" w:hRule="exact"/>
        </w:trPr>
        <w:tc>
          <w:tcPr>
            <w:tcW w:w="322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7"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28"/>
              <w:jc w:val="right"/>
              <w:rPr>
                <w:rFonts w:ascii="Times New Roman" w:hAnsi="Times New Roman" w:cs="Times New Roman" w:eastAsia="Times New Roman" w:hint="default"/>
                <w:sz w:val="18"/>
                <w:szCs w:val="18"/>
              </w:rPr>
            </w:pPr>
            <w:r>
              <w:rPr>
                <w:rFonts w:ascii="Times New Roman"/>
                <w:sz w:val="18"/>
              </w:rPr>
              <w:t>102,918.49</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z w:val="18"/>
              </w:rPr>
              <w:t>76,668.61</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应税收入的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p>
        </w:tc>
      </w:tr>
      <w:tr>
        <w:trPr>
          <w:trHeight w:val="322" w:hRule="exact"/>
        </w:trPr>
        <w:tc>
          <w:tcPr>
            <w:tcW w:w="322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17"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28"/>
              <w:jc w:val="right"/>
              <w:rPr>
                <w:rFonts w:ascii="Times New Roman" w:hAnsi="Times New Roman" w:cs="Times New Roman" w:eastAsia="Times New Roman" w:hint="default"/>
                <w:sz w:val="18"/>
                <w:szCs w:val="18"/>
              </w:rPr>
            </w:pPr>
            <w:r>
              <w:rPr>
                <w:rFonts w:ascii="Times New Roman"/>
                <w:spacing w:val="-1"/>
                <w:sz w:val="18"/>
              </w:rPr>
              <w:t>1,923,889.57</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722,991.98</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流转税额的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p>
        </w:tc>
      </w:tr>
      <w:tr>
        <w:trPr>
          <w:trHeight w:val="322" w:hRule="exact"/>
        </w:trPr>
        <w:tc>
          <w:tcPr>
            <w:tcW w:w="322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717"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28"/>
              <w:jc w:val="right"/>
              <w:rPr>
                <w:rFonts w:ascii="Times New Roman" w:hAnsi="Times New Roman" w:cs="Times New Roman" w:eastAsia="Times New Roman" w:hint="default"/>
                <w:sz w:val="18"/>
                <w:szCs w:val="18"/>
              </w:rPr>
            </w:pPr>
            <w:r>
              <w:rPr>
                <w:rFonts w:ascii="Times New Roman"/>
                <w:sz w:val="18"/>
              </w:rPr>
              <w:t>824,259.39</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955,685.11</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流转税额的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r>
      <w:tr>
        <w:trPr>
          <w:trHeight w:val="322" w:hRule="exact"/>
        </w:trPr>
        <w:tc>
          <w:tcPr>
            <w:tcW w:w="322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17"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28"/>
              <w:jc w:val="right"/>
              <w:rPr>
                <w:rFonts w:ascii="Times New Roman" w:hAnsi="Times New Roman" w:cs="Times New Roman" w:eastAsia="Times New Roman" w:hint="default"/>
                <w:sz w:val="18"/>
                <w:szCs w:val="18"/>
              </w:rPr>
            </w:pPr>
            <w:r>
              <w:rPr>
                <w:rFonts w:ascii="Times New Roman"/>
                <w:sz w:val="18"/>
              </w:rPr>
              <w:t>549,506.26</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流转税额的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r>
      <w:tr>
        <w:trPr>
          <w:trHeight w:val="327" w:hRule="exact"/>
        </w:trPr>
        <w:tc>
          <w:tcPr>
            <w:tcW w:w="322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28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161"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328"/>
              <w:jc w:val="right"/>
              <w:rPr>
                <w:rFonts w:ascii="Times New Roman" w:hAnsi="Times New Roman" w:cs="Times New Roman" w:eastAsia="Times New Roman" w:hint="default"/>
                <w:sz w:val="18"/>
                <w:szCs w:val="18"/>
              </w:rPr>
            </w:pPr>
            <w:r>
              <w:rPr>
                <w:rFonts w:ascii="Times New Roman"/>
                <w:spacing w:val="-1"/>
                <w:sz w:val="18"/>
              </w:rPr>
              <w:t>3,400,573.71</w:t>
            </w:r>
          </w:p>
        </w:tc>
        <w:tc>
          <w:tcPr>
            <w:tcW w:w="1606"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1,755,345.70</w:t>
            </w:r>
          </w:p>
        </w:tc>
        <w:tc>
          <w:tcPr>
            <w:tcW w:w="1559"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tbl>
      <w:tblPr>
        <w:tblW w:w="0" w:type="auto"/>
        <w:jc w:val="left"/>
        <w:tblInd w:w="210" w:type="dxa"/>
        <w:tblLayout w:type="fixed"/>
        <w:tblCellMar>
          <w:top w:w="0" w:type="dxa"/>
          <w:left w:w="0" w:type="dxa"/>
          <w:bottom w:w="0" w:type="dxa"/>
          <w:right w:w="0" w:type="dxa"/>
        </w:tblCellMar>
        <w:tblLook w:val="01E0"/>
      </w:tblPr>
      <w:tblGrid>
        <w:gridCol w:w="1888"/>
        <w:gridCol w:w="1735"/>
        <w:gridCol w:w="2967"/>
        <w:gridCol w:w="1965"/>
      </w:tblGrid>
      <w:tr>
        <w:trPr>
          <w:trHeight w:val="357" w:hRule="exact"/>
        </w:trPr>
        <w:tc>
          <w:tcPr>
            <w:tcW w:w="1888"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236"/>
              <w:jc w:val="right"/>
              <w:rPr>
                <w:rFonts w:ascii="宋体" w:hAnsi="宋体" w:cs="宋体" w:eastAsia="宋体" w:hint="default"/>
                <w:sz w:val="21"/>
                <w:szCs w:val="21"/>
              </w:rPr>
            </w:pPr>
            <w:r>
              <w:rPr>
                <w:rFonts w:ascii="宋体" w:hAnsi="宋体" w:cs="宋体" w:eastAsia="宋体" w:hint="default"/>
                <w:b/>
                <w:bCs/>
                <w:sz w:val="21"/>
                <w:szCs w:val="21"/>
              </w:rPr>
              <w:t>(三十)</w:t>
            </w:r>
            <w:r>
              <w:rPr>
                <w:rFonts w:ascii="宋体" w:hAnsi="宋体" w:cs="宋体" w:eastAsia="宋体" w:hint="default"/>
                <w:b/>
                <w:bCs/>
                <w:spacing w:val="30"/>
                <w:sz w:val="21"/>
                <w:szCs w:val="21"/>
              </w:rPr>
              <w:t> </w:t>
            </w:r>
            <w:r>
              <w:rPr>
                <w:rFonts w:ascii="宋体" w:hAnsi="宋体" w:cs="宋体" w:eastAsia="宋体" w:hint="default"/>
                <w:b/>
                <w:bCs/>
                <w:sz w:val="21"/>
                <w:szCs w:val="21"/>
              </w:rPr>
              <w:t>销售费用</w:t>
            </w:r>
            <w:r>
              <w:rPr>
                <w:rFonts w:ascii="宋体" w:hAnsi="宋体" w:cs="宋体" w:eastAsia="宋体" w:hint="default"/>
                <w:sz w:val="21"/>
                <w:szCs w:val="21"/>
              </w:rPr>
            </w:r>
          </w:p>
        </w:tc>
        <w:tc>
          <w:tcPr>
            <w:tcW w:w="6667" w:type="dxa"/>
            <w:gridSpan w:val="3"/>
            <w:tcBorders>
              <w:top w:val="nil" w:sz="6" w:space="0" w:color="auto"/>
              <w:left w:val="nil" w:sz="6" w:space="0" w:color="auto"/>
              <w:bottom w:val="single" w:sz="12" w:space="0" w:color="000000"/>
              <w:right w:val="nil" w:sz="6" w:space="0" w:color="auto"/>
            </w:tcBorders>
          </w:tcPr>
          <w:p>
            <w:pPr/>
          </w:p>
        </w:tc>
      </w:tr>
      <w:tr>
        <w:trPr>
          <w:trHeight w:val="379" w:hRule="exact"/>
        </w:trPr>
        <w:tc>
          <w:tcPr>
            <w:tcW w:w="1888" w:type="dxa"/>
            <w:tcBorders>
              <w:top w:val="single" w:sz="12" w:space="0" w:color="000000"/>
              <w:left w:val="nil" w:sz="6" w:space="0" w:color="auto"/>
              <w:bottom w:val="nil" w:sz="6" w:space="0" w:color="auto"/>
              <w:right w:val="nil" w:sz="6" w:space="0" w:color="auto"/>
            </w:tcBorders>
          </w:tcPr>
          <w:p>
            <w:pPr/>
          </w:p>
        </w:tc>
        <w:tc>
          <w:tcPr>
            <w:tcW w:w="173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38"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96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7" w:right="0"/>
              <w:jc w:val="center"/>
              <w:rPr>
                <w:rFonts w:ascii="宋体" w:hAnsi="宋体" w:cs="宋体" w:eastAsia="宋体" w:hint="default"/>
                <w:sz w:val="18"/>
                <w:szCs w:val="18"/>
              </w:rPr>
            </w:pPr>
            <w:r>
              <w:rPr>
                <w:rFonts w:ascii="宋体" w:hAnsi="宋体" w:cs="宋体" w:eastAsia="宋体" w:hint="default"/>
                <w:sz w:val="18"/>
                <w:szCs w:val="18"/>
              </w:rPr>
              <w:t>本年金额</w:t>
            </w:r>
          </w:p>
        </w:tc>
        <w:tc>
          <w:tcPr>
            <w:tcW w:w="196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49"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342" w:hRule="exact"/>
        </w:trPr>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1"/>
              <w:ind w:left="727"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1735" w:type="dxa"/>
            <w:tcBorders>
              <w:top w:val="nil" w:sz="6" w:space="0" w:color="auto"/>
              <w:left w:val="nil" w:sz="6" w:space="0" w:color="auto"/>
              <w:bottom w:val="nil" w:sz="6" w:space="0" w:color="auto"/>
              <w:right w:val="nil" w:sz="6" w:space="0" w:color="auto"/>
            </w:tcBorders>
          </w:tcPr>
          <w:p>
            <w:pPr/>
          </w:p>
        </w:tc>
        <w:tc>
          <w:tcPr>
            <w:tcW w:w="296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47"/>
              <w:jc w:val="right"/>
              <w:rPr>
                <w:rFonts w:ascii="Times New Roman" w:hAnsi="Times New Roman" w:cs="Times New Roman" w:eastAsia="Times New Roman" w:hint="default"/>
                <w:sz w:val="18"/>
                <w:szCs w:val="18"/>
              </w:rPr>
            </w:pPr>
            <w:r>
              <w:rPr>
                <w:rFonts w:ascii="Times New Roman"/>
                <w:spacing w:val="-1"/>
                <w:sz w:val="18"/>
              </w:rPr>
              <w:t>14,548,337.98</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
              <w:jc w:val="right"/>
              <w:rPr>
                <w:rFonts w:ascii="Times New Roman" w:hAnsi="Times New Roman" w:cs="Times New Roman" w:eastAsia="Times New Roman" w:hint="default"/>
                <w:sz w:val="18"/>
                <w:szCs w:val="18"/>
              </w:rPr>
            </w:pPr>
            <w:r>
              <w:rPr>
                <w:rFonts w:ascii="Times New Roman"/>
                <w:spacing w:val="-1"/>
                <w:sz w:val="18"/>
              </w:rPr>
              <w:t>8,382,297.09</w:t>
            </w:r>
          </w:p>
        </w:tc>
      </w:tr>
      <w:tr>
        <w:trPr>
          <w:trHeight w:val="322" w:hRule="exact"/>
        </w:trPr>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60"/>
              <w:jc w:val="right"/>
              <w:rPr>
                <w:rFonts w:ascii="宋体" w:hAnsi="宋体" w:cs="宋体" w:eastAsia="宋体" w:hint="default"/>
                <w:sz w:val="18"/>
                <w:szCs w:val="18"/>
              </w:rPr>
            </w:pPr>
            <w:r>
              <w:rPr>
                <w:rFonts w:ascii="宋体" w:hAnsi="宋体" w:cs="宋体" w:eastAsia="宋体" w:hint="default"/>
                <w:sz w:val="18"/>
                <w:szCs w:val="18"/>
              </w:rPr>
              <w:t>业务推广费</w:t>
            </w:r>
          </w:p>
        </w:tc>
        <w:tc>
          <w:tcPr>
            <w:tcW w:w="1735" w:type="dxa"/>
            <w:tcBorders>
              <w:top w:val="nil" w:sz="6" w:space="0" w:color="auto"/>
              <w:left w:val="nil" w:sz="6" w:space="0" w:color="auto"/>
              <w:bottom w:val="nil" w:sz="6" w:space="0" w:color="auto"/>
              <w:right w:val="nil" w:sz="6" w:space="0" w:color="auto"/>
            </w:tcBorders>
          </w:tcPr>
          <w:p>
            <w:pPr/>
          </w:p>
        </w:tc>
        <w:tc>
          <w:tcPr>
            <w:tcW w:w="296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48"/>
              <w:jc w:val="right"/>
              <w:rPr>
                <w:rFonts w:ascii="Times New Roman" w:hAnsi="Times New Roman" w:cs="Times New Roman" w:eastAsia="Times New Roman" w:hint="default"/>
                <w:sz w:val="18"/>
                <w:szCs w:val="18"/>
              </w:rPr>
            </w:pPr>
            <w:r>
              <w:rPr>
                <w:rFonts w:ascii="Times New Roman"/>
                <w:spacing w:val="-1"/>
                <w:sz w:val="18"/>
              </w:rPr>
              <w:t>10,166,201.90</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2,314,678.15</w:t>
            </w:r>
          </w:p>
        </w:tc>
      </w:tr>
      <w:tr>
        <w:trPr>
          <w:trHeight w:val="322" w:hRule="exact"/>
        </w:trPr>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727" w:right="0"/>
              <w:jc w:val="left"/>
              <w:rPr>
                <w:rFonts w:ascii="宋体" w:hAnsi="宋体" w:cs="宋体" w:eastAsia="宋体" w:hint="default"/>
                <w:sz w:val="18"/>
                <w:szCs w:val="18"/>
              </w:rPr>
            </w:pPr>
            <w:r>
              <w:rPr>
                <w:rFonts w:ascii="宋体" w:hAnsi="宋体" w:cs="宋体" w:eastAsia="宋体" w:hint="default"/>
                <w:sz w:val="18"/>
                <w:szCs w:val="18"/>
              </w:rPr>
              <w:t>运杂费</w:t>
            </w:r>
          </w:p>
        </w:tc>
        <w:tc>
          <w:tcPr>
            <w:tcW w:w="1735" w:type="dxa"/>
            <w:tcBorders>
              <w:top w:val="nil" w:sz="6" w:space="0" w:color="auto"/>
              <w:left w:val="nil" w:sz="6" w:space="0" w:color="auto"/>
              <w:bottom w:val="nil" w:sz="6" w:space="0" w:color="auto"/>
              <w:right w:val="nil" w:sz="6" w:space="0" w:color="auto"/>
            </w:tcBorders>
          </w:tcPr>
          <w:p>
            <w:pPr/>
          </w:p>
        </w:tc>
        <w:tc>
          <w:tcPr>
            <w:tcW w:w="296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47"/>
              <w:jc w:val="right"/>
              <w:rPr>
                <w:rFonts w:ascii="Times New Roman" w:hAnsi="Times New Roman" w:cs="Times New Roman" w:eastAsia="Times New Roman" w:hint="default"/>
                <w:sz w:val="18"/>
                <w:szCs w:val="18"/>
              </w:rPr>
            </w:pPr>
            <w:r>
              <w:rPr>
                <w:rFonts w:ascii="Times New Roman"/>
                <w:spacing w:val="-1"/>
                <w:sz w:val="18"/>
              </w:rPr>
              <w:t>5,488,106.80</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4,959,295.48</w:t>
            </w:r>
          </w:p>
        </w:tc>
      </w:tr>
      <w:tr>
        <w:trPr>
          <w:trHeight w:val="322" w:hRule="exact"/>
        </w:trPr>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727"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1735" w:type="dxa"/>
            <w:tcBorders>
              <w:top w:val="nil" w:sz="6" w:space="0" w:color="auto"/>
              <w:left w:val="nil" w:sz="6" w:space="0" w:color="auto"/>
              <w:bottom w:val="nil" w:sz="6" w:space="0" w:color="auto"/>
              <w:right w:val="nil" w:sz="6" w:space="0" w:color="auto"/>
            </w:tcBorders>
          </w:tcPr>
          <w:p>
            <w:pPr/>
          </w:p>
        </w:tc>
        <w:tc>
          <w:tcPr>
            <w:tcW w:w="296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47"/>
              <w:jc w:val="right"/>
              <w:rPr>
                <w:rFonts w:ascii="Times New Roman" w:hAnsi="Times New Roman" w:cs="Times New Roman" w:eastAsia="Times New Roman" w:hint="default"/>
                <w:sz w:val="18"/>
                <w:szCs w:val="18"/>
              </w:rPr>
            </w:pPr>
            <w:r>
              <w:rPr>
                <w:rFonts w:ascii="Times New Roman"/>
                <w:spacing w:val="-1"/>
                <w:sz w:val="18"/>
              </w:rPr>
              <w:t>4,848,466.77</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2,313,015.04</w:t>
            </w:r>
          </w:p>
        </w:tc>
      </w:tr>
      <w:tr>
        <w:trPr>
          <w:trHeight w:val="322" w:hRule="exact"/>
        </w:trPr>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727"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1735" w:type="dxa"/>
            <w:tcBorders>
              <w:top w:val="nil" w:sz="6" w:space="0" w:color="auto"/>
              <w:left w:val="nil" w:sz="6" w:space="0" w:color="auto"/>
              <w:bottom w:val="nil" w:sz="6" w:space="0" w:color="auto"/>
              <w:right w:val="nil" w:sz="6" w:space="0" w:color="auto"/>
            </w:tcBorders>
          </w:tcPr>
          <w:p>
            <w:pPr/>
          </w:p>
        </w:tc>
        <w:tc>
          <w:tcPr>
            <w:tcW w:w="296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47"/>
              <w:jc w:val="right"/>
              <w:rPr>
                <w:rFonts w:ascii="Times New Roman" w:hAnsi="Times New Roman" w:cs="Times New Roman" w:eastAsia="Times New Roman" w:hint="default"/>
                <w:sz w:val="18"/>
                <w:szCs w:val="18"/>
              </w:rPr>
            </w:pPr>
            <w:r>
              <w:rPr>
                <w:rFonts w:ascii="Times New Roman"/>
                <w:spacing w:val="-1"/>
                <w:sz w:val="18"/>
              </w:rPr>
              <w:t>2,041,357.75</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2,564,446.24</w:t>
            </w:r>
          </w:p>
        </w:tc>
      </w:tr>
      <w:tr>
        <w:trPr>
          <w:trHeight w:val="322" w:hRule="exact"/>
        </w:trPr>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727"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1735" w:type="dxa"/>
            <w:tcBorders>
              <w:top w:val="nil" w:sz="6" w:space="0" w:color="auto"/>
              <w:left w:val="nil" w:sz="6" w:space="0" w:color="auto"/>
              <w:bottom w:val="nil" w:sz="6" w:space="0" w:color="auto"/>
              <w:right w:val="nil" w:sz="6" w:space="0" w:color="auto"/>
            </w:tcBorders>
          </w:tcPr>
          <w:p>
            <w:pPr/>
          </w:p>
        </w:tc>
        <w:tc>
          <w:tcPr>
            <w:tcW w:w="296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47"/>
              <w:jc w:val="right"/>
              <w:rPr>
                <w:rFonts w:ascii="Times New Roman" w:hAnsi="Times New Roman" w:cs="Times New Roman" w:eastAsia="Times New Roman" w:hint="default"/>
                <w:sz w:val="18"/>
                <w:szCs w:val="18"/>
              </w:rPr>
            </w:pPr>
            <w:r>
              <w:rPr>
                <w:rFonts w:ascii="Times New Roman"/>
                <w:spacing w:val="-1"/>
                <w:sz w:val="18"/>
              </w:rPr>
              <w:t>1,800,833.81</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1,492,362.38</w:t>
            </w:r>
          </w:p>
        </w:tc>
      </w:tr>
      <w:tr>
        <w:trPr>
          <w:trHeight w:val="322" w:hRule="exact"/>
        </w:trPr>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60"/>
              <w:jc w:val="right"/>
              <w:rPr>
                <w:rFonts w:ascii="宋体" w:hAnsi="宋体" w:cs="宋体" w:eastAsia="宋体" w:hint="default"/>
                <w:sz w:val="18"/>
                <w:szCs w:val="18"/>
              </w:rPr>
            </w:pPr>
            <w:r>
              <w:rPr>
                <w:rFonts w:ascii="宋体" w:hAnsi="宋体" w:cs="宋体" w:eastAsia="宋体" w:hint="default"/>
                <w:sz w:val="18"/>
                <w:szCs w:val="18"/>
              </w:rPr>
              <w:t>业务招待费</w:t>
            </w:r>
          </w:p>
        </w:tc>
        <w:tc>
          <w:tcPr>
            <w:tcW w:w="1735" w:type="dxa"/>
            <w:tcBorders>
              <w:top w:val="nil" w:sz="6" w:space="0" w:color="auto"/>
              <w:left w:val="nil" w:sz="6" w:space="0" w:color="auto"/>
              <w:bottom w:val="nil" w:sz="6" w:space="0" w:color="auto"/>
              <w:right w:val="nil" w:sz="6" w:space="0" w:color="auto"/>
            </w:tcBorders>
          </w:tcPr>
          <w:p>
            <w:pPr/>
          </w:p>
        </w:tc>
        <w:tc>
          <w:tcPr>
            <w:tcW w:w="296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47"/>
              <w:jc w:val="right"/>
              <w:rPr>
                <w:rFonts w:ascii="Times New Roman" w:hAnsi="Times New Roman" w:cs="Times New Roman" w:eastAsia="Times New Roman" w:hint="default"/>
                <w:sz w:val="18"/>
                <w:szCs w:val="18"/>
              </w:rPr>
            </w:pPr>
            <w:r>
              <w:rPr>
                <w:rFonts w:ascii="Times New Roman"/>
                <w:sz w:val="18"/>
              </w:rPr>
              <w:t>347,476.10</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1,870,315.79</w:t>
            </w:r>
          </w:p>
        </w:tc>
      </w:tr>
      <w:tr>
        <w:trPr>
          <w:trHeight w:val="322" w:hRule="exact"/>
        </w:trPr>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727" w:right="0"/>
              <w:jc w:val="left"/>
              <w:rPr>
                <w:rFonts w:ascii="宋体" w:hAnsi="宋体" w:cs="宋体" w:eastAsia="宋体" w:hint="default"/>
                <w:sz w:val="18"/>
                <w:szCs w:val="18"/>
              </w:rPr>
            </w:pPr>
            <w:r>
              <w:rPr>
                <w:rFonts w:ascii="宋体" w:hAnsi="宋体" w:cs="宋体" w:eastAsia="宋体" w:hint="default"/>
                <w:sz w:val="18"/>
                <w:szCs w:val="18"/>
              </w:rPr>
              <w:t>会务费</w:t>
            </w:r>
          </w:p>
        </w:tc>
        <w:tc>
          <w:tcPr>
            <w:tcW w:w="1735" w:type="dxa"/>
            <w:tcBorders>
              <w:top w:val="nil" w:sz="6" w:space="0" w:color="auto"/>
              <w:left w:val="nil" w:sz="6" w:space="0" w:color="auto"/>
              <w:bottom w:val="nil" w:sz="6" w:space="0" w:color="auto"/>
              <w:right w:val="nil" w:sz="6" w:space="0" w:color="auto"/>
            </w:tcBorders>
          </w:tcPr>
          <w:p>
            <w:pPr/>
          </w:p>
        </w:tc>
        <w:tc>
          <w:tcPr>
            <w:tcW w:w="296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47"/>
              <w:jc w:val="right"/>
              <w:rPr>
                <w:rFonts w:ascii="Times New Roman" w:hAnsi="Times New Roman" w:cs="Times New Roman" w:eastAsia="Times New Roman" w:hint="default"/>
                <w:sz w:val="18"/>
                <w:szCs w:val="18"/>
              </w:rPr>
            </w:pPr>
            <w:r>
              <w:rPr>
                <w:rFonts w:ascii="Times New Roman"/>
                <w:sz w:val="18"/>
              </w:rPr>
              <w:t>736,939.00</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1,167,918.00</w:t>
            </w:r>
          </w:p>
        </w:tc>
      </w:tr>
      <w:tr>
        <w:trPr>
          <w:trHeight w:val="337" w:hRule="exact"/>
        </w:trPr>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727" w:right="0"/>
              <w:jc w:val="left"/>
              <w:rPr>
                <w:rFonts w:ascii="宋体" w:hAnsi="宋体" w:cs="宋体" w:eastAsia="宋体" w:hint="default"/>
                <w:sz w:val="18"/>
                <w:szCs w:val="18"/>
              </w:rPr>
            </w:pPr>
            <w:r>
              <w:rPr>
                <w:rFonts w:ascii="宋体" w:hAnsi="宋体" w:cs="宋体" w:eastAsia="宋体" w:hint="default"/>
                <w:sz w:val="18"/>
                <w:szCs w:val="18"/>
              </w:rPr>
              <w:t>通讯费</w:t>
            </w:r>
          </w:p>
        </w:tc>
        <w:tc>
          <w:tcPr>
            <w:tcW w:w="1735" w:type="dxa"/>
            <w:tcBorders>
              <w:top w:val="nil" w:sz="6" w:space="0" w:color="auto"/>
              <w:left w:val="nil" w:sz="6" w:space="0" w:color="auto"/>
              <w:bottom w:val="nil" w:sz="6" w:space="0" w:color="auto"/>
              <w:right w:val="nil" w:sz="6" w:space="0" w:color="auto"/>
            </w:tcBorders>
          </w:tcPr>
          <w:p>
            <w:pPr/>
          </w:p>
        </w:tc>
        <w:tc>
          <w:tcPr>
            <w:tcW w:w="296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47"/>
              <w:jc w:val="right"/>
              <w:rPr>
                <w:rFonts w:ascii="Times New Roman" w:hAnsi="Times New Roman" w:cs="Times New Roman" w:eastAsia="Times New Roman" w:hint="default"/>
                <w:sz w:val="18"/>
                <w:szCs w:val="18"/>
              </w:rPr>
            </w:pPr>
            <w:r>
              <w:rPr>
                <w:rFonts w:ascii="Times New Roman"/>
                <w:sz w:val="18"/>
              </w:rPr>
              <w:t>492,183.28</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1,891,779.63</w:t>
            </w:r>
          </w:p>
        </w:tc>
      </w:tr>
      <w:tr>
        <w:trPr>
          <w:trHeight w:val="369" w:hRule="exact"/>
        </w:trPr>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71"/>
              <w:jc w:val="center"/>
              <w:rPr>
                <w:rFonts w:ascii="宋体" w:hAnsi="宋体" w:cs="宋体" w:eastAsia="宋体" w:hint="default"/>
                <w:sz w:val="18"/>
                <w:szCs w:val="18"/>
              </w:rPr>
            </w:pPr>
            <w:r>
              <w:rPr>
                <w:rFonts w:ascii="宋体" w:hAnsi="宋体" w:cs="宋体" w:eastAsia="宋体" w:hint="default"/>
                <w:sz w:val="18"/>
                <w:szCs w:val="18"/>
              </w:rPr>
              <w:t>其他</w:t>
            </w:r>
          </w:p>
        </w:tc>
        <w:tc>
          <w:tcPr>
            <w:tcW w:w="1735" w:type="dxa"/>
            <w:tcBorders>
              <w:top w:val="nil" w:sz="6" w:space="0" w:color="auto"/>
              <w:left w:val="nil" w:sz="6" w:space="0" w:color="auto"/>
              <w:bottom w:val="nil" w:sz="6" w:space="0" w:color="auto"/>
              <w:right w:val="nil" w:sz="6" w:space="0" w:color="auto"/>
            </w:tcBorders>
          </w:tcPr>
          <w:p>
            <w:pPr/>
          </w:p>
        </w:tc>
        <w:tc>
          <w:tcPr>
            <w:tcW w:w="296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447"/>
              <w:jc w:val="right"/>
              <w:rPr>
                <w:rFonts w:ascii="Times New Roman" w:hAnsi="Times New Roman" w:cs="Times New Roman" w:eastAsia="Times New Roman" w:hint="default"/>
                <w:sz w:val="18"/>
                <w:szCs w:val="18"/>
              </w:rPr>
            </w:pPr>
            <w:r>
              <w:rPr>
                <w:rFonts w:ascii="Times New Roman"/>
                <w:spacing w:val="-1"/>
                <w:sz w:val="18"/>
              </w:rPr>
              <w:t>7,053,840.75</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spacing w:val="-1"/>
                <w:sz w:val="18"/>
              </w:rPr>
              <w:t>5,738,137.47</w:t>
            </w:r>
          </w:p>
        </w:tc>
      </w:tr>
      <w:tr>
        <w:trPr>
          <w:trHeight w:val="391" w:hRule="exact"/>
        </w:trPr>
        <w:tc>
          <w:tcPr>
            <w:tcW w:w="1888" w:type="dxa"/>
            <w:tcBorders>
              <w:top w:val="nil" w:sz="6" w:space="0" w:color="auto"/>
              <w:left w:val="nil" w:sz="6" w:space="0" w:color="auto"/>
              <w:bottom w:val="single" w:sz="12" w:space="0" w:color="000000"/>
              <w:right w:val="nil" w:sz="6" w:space="0" w:color="auto"/>
            </w:tcBorders>
          </w:tcPr>
          <w:p>
            <w:pPr/>
          </w:p>
        </w:tc>
        <w:tc>
          <w:tcPr>
            <w:tcW w:w="1735"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238"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967"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447"/>
              <w:jc w:val="right"/>
              <w:rPr>
                <w:rFonts w:ascii="Times New Roman" w:hAnsi="Times New Roman" w:cs="Times New Roman" w:eastAsia="Times New Roman" w:hint="default"/>
                <w:sz w:val="18"/>
                <w:szCs w:val="18"/>
              </w:rPr>
            </w:pPr>
            <w:r>
              <w:rPr>
                <w:rFonts w:ascii="Times New Roman"/>
                <w:spacing w:val="-1"/>
                <w:sz w:val="18"/>
              </w:rPr>
              <w:t>47,523,744.14</w:t>
            </w:r>
          </w:p>
        </w:tc>
        <w:tc>
          <w:tcPr>
            <w:tcW w:w="1965"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32,694,245.27</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tbl>
      <w:tblPr>
        <w:tblW w:w="0" w:type="auto"/>
        <w:jc w:val="left"/>
        <w:tblInd w:w="210" w:type="dxa"/>
        <w:tblLayout w:type="fixed"/>
        <w:tblCellMar>
          <w:top w:w="0" w:type="dxa"/>
          <w:left w:w="0" w:type="dxa"/>
          <w:bottom w:w="0" w:type="dxa"/>
          <w:right w:w="0" w:type="dxa"/>
        </w:tblCellMar>
        <w:tblLook w:val="01E0"/>
      </w:tblPr>
      <w:tblGrid>
        <w:gridCol w:w="3730"/>
        <w:gridCol w:w="2860"/>
        <w:gridCol w:w="1966"/>
      </w:tblGrid>
      <w:tr>
        <w:trPr>
          <w:trHeight w:val="357" w:hRule="exact"/>
        </w:trPr>
        <w:tc>
          <w:tcPr>
            <w:tcW w:w="3730" w:type="dxa"/>
            <w:tcBorders>
              <w:top w:val="nil" w:sz="6" w:space="0" w:color="auto"/>
              <w:left w:val="nil" w:sz="6" w:space="0" w:color="auto"/>
              <w:bottom w:val="single" w:sz="12" w:space="0" w:color="000000"/>
              <w:right w:val="nil" w:sz="6" w:space="0" w:color="auto"/>
            </w:tcBorders>
          </w:tcPr>
          <w:p>
            <w:pPr>
              <w:pStyle w:val="TableParagraph"/>
              <w:tabs>
                <w:tab w:pos="1309" w:val="left" w:leader="none"/>
              </w:tabs>
              <w:spacing w:line="240" w:lineRule="auto" w:before="35"/>
              <w:ind w:left="35" w:right="0"/>
              <w:jc w:val="left"/>
              <w:rPr>
                <w:rFonts w:ascii="宋体" w:hAnsi="宋体" w:cs="宋体" w:eastAsia="宋体" w:hint="default"/>
                <w:sz w:val="21"/>
                <w:szCs w:val="21"/>
              </w:rPr>
            </w:pPr>
            <w:r>
              <w:rPr>
                <w:rFonts w:ascii="宋体" w:hAnsi="宋体" w:cs="宋体" w:eastAsia="宋体" w:hint="default"/>
                <w:b/>
                <w:bCs/>
                <w:w w:val="95"/>
                <w:sz w:val="21"/>
                <w:szCs w:val="21"/>
              </w:rPr>
              <w:t>(三十一)</w:t>
              <w:tab/>
            </w:r>
            <w:r>
              <w:rPr>
                <w:rFonts w:ascii="宋体" w:hAnsi="宋体" w:cs="宋体" w:eastAsia="宋体" w:hint="default"/>
                <w:b/>
                <w:bCs/>
                <w:sz w:val="21"/>
                <w:szCs w:val="21"/>
              </w:rPr>
              <w:t>管理费用</w:t>
            </w:r>
            <w:r>
              <w:rPr>
                <w:rFonts w:ascii="宋体" w:hAnsi="宋体" w:cs="宋体" w:eastAsia="宋体" w:hint="default"/>
                <w:sz w:val="21"/>
                <w:szCs w:val="21"/>
              </w:rPr>
            </w:r>
          </w:p>
        </w:tc>
        <w:tc>
          <w:tcPr>
            <w:tcW w:w="4825" w:type="dxa"/>
            <w:gridSpan w:val="2"/>
            <w:tcBorders>
              <w:top w:val="nil" w:sz="6" w:space="0" w:color="auto"/>
              <w:left w:val="nil" w:sz="6" w:space="0" w:color="auto"/>
              <w:bottom w:val="single" w:sz="12" w:space="0" w:color="000000"/>
              <w:right w:val="nil" w:sz="6" w:space="0" w:color="auto"/>
            </w:tcBorders>
          </w:tcPr>
          <w:p>
            <w:pPr/>
          </w:p>
        </w:tc>
      </w:tr>
      <w:tr>
        <w:trPr>
          <w:trHeight w:val="421" w:hRule="exact"/>
        </w:trPr>
        <w:tc>
          <w:tcPr>
            <w:tcW w:w="3730" w:type="dxa"/>
            <w:tcBorders>
              <w:top w:val="single" w:sz="12" w:space="0" w:color="000000"/>
              <w:left w:val="nil" w:sz="6" w:space="0" w:color="auto"/>
              <w:bottom w:val="nil" w:sz="6" w:space="0" w:color="auto"/>
              <w:right w:val="nil" w:sz="6" w:space="0" w:color="auto"/>
            </w:tcBorders>
          </w:tcPr>
          <w:p>
            <w:pPr>
              <w:pStyle w:val="TableParagraph"/>
              <w:spacing w:line="240" w:lineRule="auto" w:before="53"/>
              <w:ind w:left="86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860" w:type="dxa"/>
            <w:tcBorders>
              <w:top w:val="single" w:sz="12" w:space="0" w:color="000000"/>
              <w:left w:val="nil" w:sz="6" w:space="0" w:color="auto"/>
              <w:bottom w:val="nil" w:sz="6" w:space="0" w:color="auto"/>
              <w:right w:val="nil" w:sz="6" w:space="0" w:color="auto"/>
            </w:tcBorders>
          </w:tcPr>
          <w:p>
            <w:pPr>
              <w:pStyle w:val="TableParagraph"/>
              <w:spacing w:line="240" w:lineRule="auto" w:before="53"/>
              <w:ind w:right="92"/>
              <w:jc w:val="center"/>
              <w:rPr>
                <w:rFonts w:ascii="宋体" w:hAnsi="宋体" w:cs="宋体" w:eastAsia="宋体" w:hint="default"/>
                <w:sz w:val="18"/>
                <w:szCs w:val="18"/>
              </w:rPr>
            </w:pPr>
            <w:r>
              <w:rPr>
                <w:rFonts w:ascii="宋体" w:hAnsi="宋体" w:cs="宋体" w:eastAsia="宋体" w:hint="default"/>
                <w:sz w:val="18"/>
                <w:szCs w:val="18"/>
              </w:rPr>
              <w:t>本年金额</w:t>
            </w:r>
          </w:p>
        </w:tc>
        <w:tc>
          <w:tcPr>
            <w:tcW w:w="1966" w:type="dxa"/>
            <w:tcBorders>
              <w:top w:val="single" w:sz="12" w:space="0" w:color="000000"/>
              <w:left w:val="nil" w:sz="6" w:space="0" w:color="auto"/>
              <w:bottom w:val="nil" w:sz="6" w:space="0" w:color="auto"/>
              <w:right w:val="nil" w:sz="6" w:space="0" w:color="auto"/>
            </w:tcBorders>
          </w:tcPr>
          <w:p>
            <w:pPr>
              <w:pStyle w:val="TableParagraph"/>
              <w:spacing w:line="240" w:lineRule="auto" w:before="53"/>
              <w:ind w:left="449"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428" w:hRule="exact"/>
        </w:trPr>
        <w:tc>
          <w:tcPr>
            <w:tcW w:w="3730" w:type="dxa"/>
            <w:tcBorders>
              <w:top w:val="nil" w:sz="6" w:space="0" w:color="auto"/>
              <w:left w:val="nil" w:sz="6" w:space="0" w:color="auto"/>
              <w:bottom w:val="nil" w:sz="6" w:space="0" w:color="auto"/>
              <w:right w:val="nil" w:sz="6" w:space="0" w:color="auto"/>
            </w:tcBorders>
          </w:tcPr>
          <w:p>
            <w:pPr>
              <w:pStyle w:val="TableParagraph"/>
              <w:spacing w:line="240" w:lineRule="auto" w:before="96"/>
              <w:ind w:left="727" w:right="0"/>
              <w:jc w:val="left"/>
              <w:rPr>
                <w:rFonts w:ascii="宋体" w:hAnsi="宋体" w:cs="宋体" w:eastAsia="宋体" w:hint="default"/>
                <w:sz w:val="18"/>
                <w:szCs w:val="18"/>
              </w:rPr>
            </w:pPr>
            <w:r>
              <w:rPr>
                <w:rFonts w:ascii="宋体" w:hAnsi="宋体" w:cs="宋体" w:eastAsia="宋体" w:hint="default"/>
                <w:sz w:val="18"/>
                <w:szCs w:val="18"/>
              </w:rPr>
              <w:t>研究开发费用</w:t>
            </w:r>
          </w:p>
        </w:tc>
        <w:tc>
          <w:tcPr>
            <w:tcW w:w="2860"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448"/>
              <w:jc w:val="right"/>
              <w:rPr>
                <w:rFonts w:ascii="Times New Roman" w:hAnsi="Times New Roman" w:cs="Times New Roman" w:eastAsia="Times New Roman" w:hint="default"/>
                <w:sz w:val="18"/>
                <w:szCs w:val="18"/>
              </w:rPr>
            </w:pPr>
            <w:r>
              <w:rPr>
                <w:rFonts w:ascii="Times New Roman"/>
                <w:spacing w:val="-1"/>
                <w:sz w:val="18"/>
              </w:rPr>
              <w:t>16,093,011.90</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06"/>
              <w:jc w:val="right"/>
              <w:rPr>
                <w:rFonts w:ascii="Times New Roman" w:hAnsi="Times New Roman" w:cs="Times New Roman" w:eastAsia="Times New Roman" w:hint="default"/>
                <w:sz w:val="18"/>
                <w:szCs w:val="18"/>
              </w:rPr>
            </w:pPr>
            <w:r>
              <w:rPr>
                <w:rFonts w:ascii="Times New Roman"/>
                <w:spacing w:val="-1"/>
                <w:sz w:val="18"/>
              </w:rPr>
              <w:t>9,151,421.36</w:t>
            </w:r>
          </w:p>
        </w:tc>
      </w:tr>
      <w:tr>
        <w:trPr>
          <w:trHeight w:val="392" w:hRule="exact"/>
        </w:trPr>
        <w:tc>
          <w:tcPr>
            <w:tcW w:w="3730" w:type="dxa"/>
            <w:tcBorders>
              <w:top w:val="nil" w:sz="6" w:space="0" w:color="auto"/>
              <w:left w:val="nil" w:sz="6" w:space="0" w:color="auto"/>
              <w:bottom w:val="single" w:sz="12" w:space="0" w:color="000000"/>
              <w:right w:val="nil" w:sz="6" w:space="0" w:color="auto"/>
            </w:tcBorders>
          </w:tcPr>
          <w:p>
            <w:pPr>
              <w:pStyle w:val="TableParagraph"/>
              <w:spacing w:line="240" w:lineRule="auto" w:before="75"/>
              <w:ind w:left="727" w:right="0"/>
              <w:jc w:val="left"/>
              <w:rPr>
                <w:rFonts w:ascii="宋体" w:hAnsi="宋体" w:cs="宋体" w:eastAsia="宋体" w:hint="default"/>
                <w:sz w:val="18"/>
                <w:szCs w:val="18"/>
              </w:rPr>
            </w:pPr>
            <w:r>
              <w:rPr>
                <w:rFonts w:ascii="宋体" w:hAnsi="宋体" w:cs="宋体" w:eastAsia="宋体" w:hint="default"/>
                <w:sz w:val="18"/>
                <w:szCs w:val="18"/>
              </w:rPr>
              <w:t>折旧摊销及其他财产费用</w:t>
            </w:r>
          </w:p>
        </w:tc>
        <w:tc>
          <w:tcPr>
            <w:tcW w:w="2860" w:type="dxa"/>
            <w:tcBorders>
              <w:top w:val="nil" w:sz="6" w:space="0" w:color="auto"/>
              <w:left w:val="nil" w:sz="6" w:space="0" w:color="auto"/>
              <w:bottom w:val="single" w:sz="12" w:space="0" w:color="000000"/>
              <w:right w:val="nil" w:sz="6" w:space="0" w:color="auto"/>
            </w:tcBorders>
          </w:tcPr>
          <w:p>
            <w:pPr>
              <w:pStyle w:val="TableParagraph"/>
              <w:spacing w:line="240" w:lineRule="auto" w:before="73"/>
              <w:ind w:right="447"/>
              <w:jc w:val="right"/>
              <w:rPr>
                <w:rFonts w:ascii="Times New Roman" w:hAnsi="Times New Roman" w:cs="Times New Roman" w:eastAsia="Times New Roman" w:hint="default"/>
                <w:sz w:val="18"/>
                <w:szCs w:val="18"/>
              </w:rPr>
            </w:pPr>
            <w:r>
              <w:rPr>
                <w:rFonts w:ascii="Times New Roman"/>
                <w:spacing w:val="-1"/>
                <w:sz w:val="18"/>
              </w:rPr>
              <w:t>14,352,457.62</w:t>
            </w:r>
          </w:p>
        </w:tc>
        <w:tc>
          <w:tcPr>
            <w:tcW w:w="1966" w:type="dxa"/>
            <w:tcBorders>
              <w:top w:val="nil" w:sz="6" w:space="0" w:color="auto"/>
              <w:left w:val="nil" w:sz="6" w:space="0" w:color="auto"/>
              <w:bottom w:val="single" w:sz="12" w:space="0" w:color="000000"/>
              <w:right w:val="nil" w:sz="6" w:space="0" w:color="auto"/>
            </w:tcBorders>
          </w:tcPr>
          <w:p>
            <w:pPr>
              <w:pStyle w:val="TableParagraph"/>
              <w:spacing w:line="240" w:lineRule="auto" w:before="73"/>
              <w:ind w:right="106"/>
              <w:jc w:val="right"/>
              <w:rPr>
                <w:rFonts w:ascii="Times New Roman" w:hAnsi="Times New Roman" w:cs="Times New Roman" w:eastAsia="Times New Roman" w:hint="default"/>
                <w:sz w:val="18"/>
                <w:szCs w:val="18"/>
              </w:rPr>
            </w:pPr>
            <w:r>
              <w:rPr>
                <w:rFonts w:ascii="Times New Roman"/>
                <w:spacing w:val="-1"/>
                <w:sz w:val="18"/>
              </w:rPr>
              <w:t>9,988,065.56</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270" w:top="1360" w:bottom="1460" w:left="1540" w:right="1180"/>
        </w:sectPr>
      </w:pPr>
    </w:p>
    <w:p>
      <w:pPr>
        <w:spacing w:line="240" w:lineRule="auto" w:before="7"/>
        <w:rPr>
          <w:rFonts w:ascii="宋体" w:hAnsi="宋体" w:cs="宋体" w:eastAsia="宋体" w:hint="default"/>
          <w:b/>
          <w:bCs/>
          <w:sz w:val="8"/>
          <w:szCs w:val="8"/>
        </w:rPr>
      </w:pPr>
      <w:r>
        <w:rPr/>
        <w:pict>
          <v:group style="position:absolute;margin-left:117.059998pt;margin-top:72pt;width:399.3pt;height:245.25pt;mso-position-horizontal-relative:page;mso-position-vertical-relative:page;z-index:-774520" coordorigin="2341,1440" coordsize="7986,4905">
            <v:group style="position:absolute;left:2370;top:1455;width:7936;height:2" coordorigin="2370,1455" coordsize="7936,2">
              <v:shape style="position:absolute;left:2370;top:1455;width:7936;height:2" coordorigin="2370,1455" coordsize="7936,0" path="m2370,1455l10306,1455e" filled="false" stroked="true" strokeweight="1.5pt" strokecolor="#000000">
                <v:path arrowok="t"/>
              </v:shape>
              <v:shape style="position:absolute;left:5704;top:1450;width:2317;height:437" type="#_x0000_t75" stroked="false">
                <v:imagedata r:id="rId237" o:title=""/>
              </v:shape>
              <v:shape style="position:absolute;left:2341;top:1847;width:7986;height:4497" type="#_x0000_t75" stroked="false">
                <v:imagedata r:id="rId238" o:title=""/>
              </v:shape>
            </v:group>
            <w10:wrap type="none"/>
          </v:group>
        </w:pict>
      </w:r>
    </w:p>
    <w:tbl>
      <w:tblPr>
        <w:tblW w:w="0" w:type="auto"/>
        <w:jc w:val="left"/>
        <w:tblInd w:w="210" w:type="dxa"/>
        <w:tblLayout w:type="fixed"/>
        <w:tblCellMar>
          <w:top w:w="0" w:type="dxa"/>
          <w:left w:w="0" w:type="dxa"/>
          <w:bottom w:w="0" w:type="dxa"/>
          <w:right w:w="0" w:type="dxa"/>
        </w:tblCellMar>
        <w:tblLook w:val="01E0"/>
      </w:tblPr>
      <w:tblGrid>
        <w:gridCol w:w="2133"/>
        <w:gridCol w:w="1497"/>
        <w:gridCol w:w="3009"/>
        <w:gridCol w:w="1843"/>
        <w:gridCol w:w="73"/>
      </w:tblGrid>
      <w:tr>
        <w:trPr>
          <w:trHeight w:val="826"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left="727"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6"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2"/>
              <w:jc w:val="center"/>
              <w:rPr>
                <w:rFonts w:ascii="宋体" w:hAnsi="宋体" w:cs="宋体" w:eastAsia="宋体" w:hint="default"/>
                <w:sz w:val="18"/>
                <w:szCs w:val="18"/>
              </w:rPr>
            </w:pPr>
            <w:r>
              <w:rPr>
                <w:rFonts w:ascii="宋体" w:hAnsi="宋体" w:cs="宋体" w:eastAsia="宋体" w:hint="default"/>
                <w:sz w:val="18"/>
                <w:szCs w:val="18"/>
              </w:rPr>
              <w:t>本年金额</w:t>
            </w:r>
          </w:p>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1486" w:right="0"/>
              <w:jc w:val="left"/>
              <w:rPr>
                <w:rFonts w:ascii="Times New Roman" w:hAnsi="Times New Roman" w:cs="Times New Roman" w:eastAsia="Times New Roman" w:hint="default"/>
                <w:sz w:val="18"/>
                <w:szCs w:val="18"/>
              </w:rPr>
            </w:pPr>
            <w:r>
              <w:rPr>
                <w:rFonts w:ascii="Times New Roman"/>
                <w:sz w:val="18"/>
              </w:rPr>
              <w:t>11,637,358.11</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00" w:right="0"/>
              <w:jc w:val="left"/>
              <w:rPr>
                <w:rFonts w:ascii="宋体" w:hAnsi="宋体" w:cs="宋体" w:eastAsia="宋体" w:hint="default"/>
                <w:sz w:val="18"/>
                <w:szCs w:val="18"/>
              </w:rPr>
            </w:pPr>
            <w:r>
              <w:rPr>
                <w:rFonts w:ascii="宋体" w:hAnsi="宋体" w:cs="宋体" w:eastAsia="宋体" w:hint="default"/>
                <w:sz w:val="18"/>
                <w:szCs w:val="18"/>
              </w:rPr>
              <w:t>上年金额</w:t>
            </w:r>
          </w:p>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862" w:right="0"/>
              <w:jc w:val="left"/>
              <w:rPr>
                <w:rFonts w:ascii="Times New Roman" w:hAnsi="Times New Roman" w:cs="Times New Roman" w:eastAsia="Times New Roman" w:hint="default"/>
                <w:sz w:val="18"/>
                <w:szCs w:val="18"/>
              </w:rPr>
            </w:pPr>
            <w:r>
              <w:rPr>
                <w:rFonts w:ascii="Times New Roman"/>
                <w:sz w:val="18"/>
              </w:rPr>
              <w:t>5,967,025.91</w:t>
            </w:r>
          </w:p>
        </w:tc>
        <w:tc>
          <w:tcPr>
            <w:tcW w:w="73" w:type="dxa"/>
            <w:tcBorders>
              <w:top w:val="nil" w:sz="6" w:space="0" w:color="auto"/>
              <w:left w:val="nil" w:sz="6" w:space="0" w:color="auto"/>
              <w:bottom w:val="nil" w:sz="6" w:space="0" w:color="auto"/>
              <w:right w:val="nil" w:sz="6" w:space="0" w:color="auto"/>
            </w:tcBorders>
          </w:tcPr>
          <w:p>
            <w:pPr/>
          </w:p>
        </w:tc>
      </w:tr>
      <w:tr>
        <w:trPr>
          <w:trHeight w:val="407"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center"/>
              <w:rPr>
                <w:rFonts w:ascii="宋体" w:hAnsi="宋体" w:cs="宋体" w:eastAsia="宋体" w:hint="default"/>
                <w:sz w:val="18"/>
                <w:szCs w:val="18"/>
              </w:rPr>
            </w:pPr>
            <w:r>
              <w:rPr>
                <w:rFonts w:ascii="宋体" w:hAnsi="宋体" w:cs="宋体" w:eastAsia="宋体" w:hint="default"/>
                <w:sz w:val="18"/>
                <w:szCs w:val="18"/>
              </w:rPr>
              <w:t>差旅费</w:t>
            </w:r>
          </w:p>
        </w:tc>
        <w:tc>
          <w:tcPr>
            <w:tcW w:w="1497" w:type="dxa"/>
            <w:tcBorders>
              <w:top w:val="nil" w:sz="6" w:space="0" w:color="auto"/>
              <w:left w:val="nil" w:sz="6" w:space="0" w:color="auto"/>
              <w:bottom w:val="nil" w:sz="6" w:space="0" w:color="auto"/>
              <w:right w:val="nil" w:sz="6" w:space="0" w:color="auto"/>
            </w:tcBorders>
          </w:tcPr>
          <w:p>
            <w:pP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497"/>
              <w:jc w:val="right"/>
              <w:rPr>
                <w:rFonts w:ascii="Times New Roman" w:hAnsi="Times New Roman" w:cs="Times New Roman" w:eastAsia="Times New Roman" w:hint="default"/>
                <w:sz w:val="18"/>
                <w:szCs w:val="18"/>
              </w:rPr>
            </w:pPr>
            <w:r>
              <w:rPr>
                <w:rFonts w:ascii="Times New Roman"/>
                <w:spacing w:val="-1"/>
                <w:sz w:val="18"/>
              </w:rPr>
              <w:t>1,849,591.99</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33"/>
              <w:jc w:val="right"/>
              <w:rPr>
                <w:rFonts w:ascii="Times New Roman" w:hAnsi="Times New Roman" w:cs="Times New Roman" w:eastAsia="Times New Roman" w:hint="default"/>
                <w:sz w:val="18"/>
                <w:szCs w:val="18"/>
              </w:rPr>
            </w:pPr>
            <w:r>
              <w:rPr>
                <w:rFonts w:ascii="Times New Roman"/>
                <w:spacing w:val="-1"/>
                <w:sz w:val="18"/>
              </w:rPr>
              <w:t>1,919,882.92</w:t>
            </w:r>
          </w:p>
        </w:tc>
        <w:tc>
          <w:tcPr>
            <w:tcW w:w="73" w:type="dxa"/>
            <w:tcBorders>
              <w:top w:val="single" w:sz="6" w:space="0" w:color="auto"/>
              <w:left w:val="single" w:sz="6" w:space="0" w:color="auto"/>
              <w:bottom w:val="single" w:sz="6" w:space="0" w:color="auto"/>
              <w:right w:val="single" w:sz="6" w:space="0" w:color="auto"/>
            </w:tcBorders>
          </w:tcPr>
          <w:p>
            <w:pPr/>
          </w:p>
        </w:tc>
      </w:tr>
      <w:tr>
        <w:trPr>
          <w:trHeight w:val="407"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center"/>
              <w:rPr>
                <w:rFonts w:ascii="宋体" w:hAnsi="宋体" w:cs="宋体" w:eastAsia="宋体" w:hint="default"/>
                <w:sz w:val="18"/>
                <w:szCs w:val="18"/>
              </w:rPr>
            </w:pPr>
            <w:r>
              <w:rPr>
                <w:rFonts w:ascii="宋体" w:hAnsi="宋体" w:cs="宋体" w:eastAsia="宋体" w:hint="default"/>
                <w:sz w:val="18"/>
                <w:szCs w:val="18"/>
              </w:rPr>
              <w:t>水电费</w:t>
            </w:r>
          </w:p>
        </w:tc>
        <w:tc>
          <w:tcPr>
            <w:tcW w:w="1497" w:type="dxa"/>
            <w:tcBorders>
              <w:top w:val="nil" w:sz="6" w:space="0" w:color="auto"/>
              <w:left w:val="nil" w:sz="6" w:space="0" w:color="auto"/>
              <w:bottom w:val="nil" w:sz="6" w:space="0" w:color="auto"/>
              <w:right w:val="nil" w:sz="6" w:space="0" w:color="auto"/>
            </w:tcBorders>
          </w:tcPr>
          <w:p>
            <w:pP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497"/>
              <w:jc w:val="right"/>
              <w:rPr>
                <w:rFonts w:ascii="Times New Roman" w:hAnsi="Times New Roman" w:cs="Times New Roman" w:eastAsia="Times New Roman" w:hint="default"/>
                <w:sz w:val="18"/>
                <w:szCs w:val="18"/>
              </w:rPr>
            </w:pPr>
            <w:r>
              <w:rPr>
                <w:rFonts w:ascii="Times New Roman"/>
                <w:spacing w:val="-1"/>
                <w:sz w:val="18"/>
              </w:rPr>
              <w:t>1,952,110.58</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33"/>
              <w:jc w:val="right"/>
              <w:rPr>
                <w:rFonts w:ascii="Times New Roman" w:hAnsi="Times New Roman" w:cs="Times New Roman" w:eastAsia="Times New Roman" w:hint="default"/>
                <w:sz w:val="18"/>
                <w:szCs w:val="18"/>
              </w:rPr>
            </w:pPr>
            <w:r>
              <w:rPr>
                <w:rFonts w:ascii="Times New Roman"/>
                <w:sz w:val="18"/>
              </w:rPr>
              <w:t>836,535.28</w:t>
            </w:r>
          </w:p>
        </w:tc>
        <w:tc>
          <w:tcPr>
            <w:tcW w:w="73" w:type="dxa"/>
            <w:tcBorders>
              <w:top w:val="single" w:sz="6" w:space="0" w:color="auto"/>
              <w:left w:val="single" w:sz="6" w:space="0" w:color="auto"/>
              <w:bottom w:val="single" w:sz="6" w:space="0" w:color="auto"/>
              <w:right w:val="single" w:sz="6" w:space="0" w:color="auto"/>
            </w:tcBorders>
          </w:tcPr>
          <w:p>
            <w:pPr/>
          </w:p>
        </w:tc>
      </w:tr>
      <w:tr>
        <w:trPr>
          <w:trHeight w:val="407"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76"/>
              <w:ind w:left="727" w:right="0"/>
              <w:jc w:val="left"/>
              <w:rPr>
                <w:rFonts w:ascii="宋体" w:hAnsi="宋体" w:cs="宋体" w:eastAsia="宋体" w:hint="default"/>
                <w:sz w:val="18"/>
                <w:szCs w:val="18"/>
              </w:rPr>
            </w:pPr>
            <w:r>
              <w:rPr>
                <w:rFonts w:ascii="宋体" w:hAnsi="宋体" w:cs="宋体" w:eastAsia="宋体" w:hint="default"/>
                <w:sz w:val="18"/>
                <w:szCs w:val="18"/>
              </w:rPr>
              <w:t>咨询培训费</w:t>
            </w:r>
          </w:p>
        </w:tc>
        <w:tc>
          <w:tcPr>
            <w:tcW w:w="1497" w:type="dxa"/>
            <w:tcBorders>
              <w:top w:val="nil" w:sz="6" w:space="0" w:color="auto"/>
              <w:left w:val="nil" w:sz="6" w:space="0" w:color="auto"/>
              <w:bottom w:val="nil" w:sz="6" w:space="0" w:color="auto"/>
              <w:right w:val="nil" w:sz="6" w:space="0" w:color="auto"/>
            </w:tcBorders>
          </w:tcPr>
          <w:p>
            <w:pP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497"/>
              <w:jc w:val="right"/>
              <w:rPr>
                <w:rFonts w:ascii="Times New Roman" w:hAnsi="Times New Roman" w:cs="Times New Roman" w:eastAsia="Times New Roman" w:hint="default"/>
                <w:sz w:val="18"/>
                <w:szCs w:val="18"/>
              </w:rPr>
            </w:pPr>
            <w:r>
              <w:rPr>
                <w:rFonts w:ascii="Times New Roman"/>
                <w:spacing w:val="-1"/>
                <w:sz w:val="18"/>
              </w:rPr>
              <w:t>1,643,464.00</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33"/>
              <w:jc w:val="right"/>
              <w:rPr>
                <w:rFonts w:ascii="Times New Roman" w:hAnsi="Times New Roman" w:cs="Times New Roman" w:eastAsia="Times New Roman" w:hint="default"/>
                <w:sz w:val="18"/>
                <w:szCs w:val="18"/>
              </w:rPr>
            </w:pPr>
            <w:r>
              <w:rPr>
                <w:rFonts w:ascii="Times New Roman"/>
                <w:sz w:val="18"/>
              </w:rPr>
              <w:t>828.00</w:t>
            </w:r>
          </w:p>
        </w:tc>
        <w:tc>
          <w:tcPr>
            <w:tcW w:w="73" w:type="dxa"/>
            <w:tcBorders>
              <w:top w:val="single" w:sz="6" w:space="0" w:color="auto"/>
              <w:left w:val="single" w:sz="6" w:space="0" w:color="auto"/>
              <w:bottom w:val="single" w:sz="6" w:space="0" w:color="auto"/>
              <w:right w:val="single" w:sz="6" w:space="0" w:color="auto"/>
            </w:tcBorders>
          </w:tcPr>
          <w:p>
            <w:pPr/>
          </w:p>
        </w:tc>
      </w:tr>
      <w:tr>
        <w:trPr>
          <w:trHeight w:val="407"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75"/>
              <w:ind w:left="727" w:right="0"/>
              <w:jc w:val="left"/>
              <w:rPr>
                <w:rFonts w:ascii="宋体" w:hAnsi="宋体" w:cs="宋体" w:eastAsia="宋体" w:hint="default"/>
                <w:sz w:val="18"/>
                <w:szCs w:val="18"/>
              </w:rPr>
            </w:pPr>
            <w:r>
              <w:rPr>
                <w:rFonts w:ascii="宋体" w:hAnsi="宋体" w:cs="宋体" w:eastAsia="宋体" w:hint="default"/>
                <w:sz w:val="18"/>
                <w:szCs w:val="18"/>
              </w:rPr>
              <w:t>审计中介费</w:t>
            </w:r>
          </w:p>
        </w:tc>
        <w:tc>
          <w:tcPr>
            <w:tcW w:w="1497" w:type="dxa"/>
            <w:tcBorders>
              <w:top w:val="nil" w:sz="6" w:space="0" w:color="auto"/>
              <w:left w:val="nil" w:sz="6" w:space="0" w:color="auto"/>
              <w:bottom w:val="nil" w:sz="6" w:space="0" w:color="auto"/>
              <w:right w:val="nil" w:sz="6" w:space="0" w:color="auto"/>
            </w:tcBorders>
          </w:tcPr>
          <w:p>
            <w:pP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497"/>
              <w:jc w:val="right"/>
              <w:rPr>
                <w:rFonts w:ascii="Times New Roman" w:hAnsi="Times New Roman" w:cs="Times New Roman" w:eastAsia="Times New Roman" w:hint="default"/>
                <w:sz w:val="18"/>
                <w:szCs w:val="18"/>
              </w:rPr>
            </w:pPr>
            <w:r>
              <w:rPr>
                <w:rFonts w:ascii="Times New Roman"/>
                <w:sz w:val="18"/>
              </w:rPr>
              <w:t>920,542.60</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33"/>
              <w:jc w:val="right"/>
              <w:rPr>
                <w:rFonts w:ascii="Times New Roman" w:hAnsi="Times New Roman" w:cs="Times New Roman" w:eastAsia="Times New Roman" w:hint="default"/>
                <w:sz w:val="18"/>
                <w:szCs w:val="18"/>
              </w:rPr>
            </w:pPr>
            <w:r>
              <w:rPr>
                <w:rFonts w:ascii="Times New Roman"/>
                <w:sz w:val="18"/>
              </w:rPr>
              <w:t>450,163.00</w:t>
            </w:r>
          </w:p>
        </w:tc>
        <w:tc>
          <w:tcPr>
            <w:tcW w:w="73" w:type="dxa"/>
            <w:tcBorders>
              <w:top w:val="single" w:sz="6" w:space="0" w:color="auto"/>
              <w:left w:val="single" w:sz="6" w:space="0" w:color="auto"/>
              <w:bottom w:val="single" w:sz="6" w:space="0" w:color="auto"/>
              <w:right w:val="single" w:sz="6" w:space="0" w:color="auto"/>
            </w:tcBorders>
          </w:tcPr>
          <w:p>
            <w:pPr/>
          </w:p>
        </w:tc>
      </w:tr>
      <w:tr>
        <w:trPr>
          <w:trHeight w:val="407"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center"/>
              <w:rPr>
                <w:rFonts w:ascii="宋体" w:hAnsi="宋体" w:cs="宋体" w:eastAsia="宋体" w:hint="default"/>
                <w:sz w:val="18"/>
                <w:szCs w:val="18"/>
              </w:rPr>
            </w:pPr>
            <w:r>
              <w:rPr>
                <w:rFonts w:ascii="宋体" w:hAnsi="宋体" w:cs="宋体" w:eastAsia="宋体" w:hint="default"/>
                <w:sz w:val="18"/>
                <w:szCs w:val="18"/>
              </w:rPr>
              <w:t>办公费</w:t>
            </w:r>
          </w:p>
        </w:tc>
        <w:tc>
          <w:tcPr>
            <w:tcW w:w="1497" w:type="dxa"/>
            <w:tcBorders>
              <w:top w:val="nil" w:sz="6" w:space="0" w:color="auto"/>
              <w:left w:val="nil" w:sz="6" w:space="0" w:color="auto"/>
              <w:bottom w:val="nil" w:sz="6" w:space="0" w:color="auto"/>
              <w:right w:val="nil" w:sz="6" w:space="0" w:color="auto"/>
            </w:tcBorders>
          </w:tcPr>
          <w:p>
            <w:pP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497"/>
              <w:jc w:val="right"/>
              <w:rPr>
                <w:rFonts w:ascii="Times New Roman" w:hAnsi="Times New Roman" w:cs="Times New Roman" w:eastAsia="Times New Roman" w:hint="default"/>
                <w:sz w:val="18"/>
                <w:szCs w:val="18"/>
              </w:rPr>
            </w:pPr>
            <w:r>
              <w:rPr>
                <w:rFonts w:ascii="Times New Roman"/>
                <w:sz w:val="18"/>
              </w:rPr>
              <w:t>989,841.79</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33"/>
              <w:jc w:val="right"/>
              <w:rPr>
                <w:rFonts w:ascii="Times New Roman" w:hAnsi="Times New Roman" w:cs="Times New Roman" w:eastAsia="Times New Roman" w:hint="default"/>
                <w:sz w:val="18"/>
                <w:szCs w:val="18"/>
              </w:rPr>
            </w:pPr>
            <w:r>
              <w:rPr>
                <w:rFonts w:ascii="Times New Roman"/>
                <w:sz w:val="18"/>
              </w:rPr>
              <w:t>830,643.84</w:t>
            </w:r>
          </w:p>
        </w:tc>
        <w:tc>
          <w:tcPr>
            <w:tcW w:w="73" w:type="dxa"/>
            <w:tcBorders>
              <w:top w:val="single" w:sz="6" w:space="0" w:color="auto"/>
              <w:left w:val="single" w:sz="6" w:space="0" w:color="auto"/>
              <w:bottom w:val="single" w:sz="6" w:space="0" w:color="auto"/>
              <w:right w:val="single" w:sz="6" w:space="0" w:color="auto"/>
            </w:tcBorders>
          </w:tcPr>
          <w:p>
            <w:pPr/>
          </w:p>
        </w:tc>
      </w:tr>
      <w:tr>
        <w:trPr>
          <w:trHeight w:val="407"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center"/>
              <w:rPr>
                <w:rFonts w:ascii="宋体" w:hAnsi="宋体" w:cs="宋体" w:eastAsia="宋体" w:hint="default"/>
                <w:sz w:val="18"/>
                <w:szCs w:val="18"/>
              </w:rPr>
            </w:pPr>
            <w:r>
              <w:rPr>
                <w:rFonts w:ascii="宋体" w:hAnsi="宋体" w:cs="宋体" w:eastAsia="宋体" w:hint="default"/>
                <w:sz w:val="18"/>
                <w:szCs w:val="18"/>
              </w:rPr>
              <w:t>交通费</w:t>
            </w:r>
          </w:p>
        </w:tc>
        <w:tc>
          <w:tcPr>
            <w:tcW w:w="1497" w:type="dxa"/>
            <w:tcBorders>
              <w:top w:val="nil" w:sz="6" w:space="0" w:color="auto"/>
              <w:left w:val="nil" w:sz="6" w:space="0" w:color="auto"/>
              <w:bottom w:val="nil" w:sz="6" w:space="0" w:color="auto"/>
              <w:right w:val="nil" w:sz="6" w:space="0" w:color="auto"/>
            </w:tcBorders>
          </w:tcPr>
          <w:p>
            <w:pP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497"/>
              <w:jc w:val="right"/>
              <w:rPr>
                <w:rFonts w:ascii="Times New Roman" w:hAnsi="Times New Roman" w:cs="Times New Roman" w:eastAsia="Times New Roman" w:hint="default"/>
                <w:sz w:val="18"/>
                <w:szCs w:val="18"/>
              </w:rPr>
            </w:pPr>
            <w:r>
              <w:rPr>
                <w:rFonts w:ascii="Times New Roman"/>
                <w:sz w:val="18"/>
              </w:rPr>
              <w:t>503,605.75</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33"/>
              <w:jc w:val="right"/>
              <w:rPr>
                <w:rFonts w:ascii="Times New Roman" w:hAnsi="Times New Roman" w:cs="Times New Roman" w:eastAsia="Times New Roman" w:hint="default"/>
                <w:sz w:val="18"/>
                <w:szCs w:val="18"/>
              </w:rPr>
            </w:pPr>
            <w:r>
              <w:rPr>
                <w:rFonts w:ascii="Times New Roman"/>
                <w:spacing w:val="-1"/>
                <w:sz w:val="18"/>
              </w:rPr>
              <w:t>1,237,906.80</w:t>
            </w:r>
          </w:p>
        </w:tc>
        <w:tc>
          <w:tcPr>
            <w:tcW w:w="73" w:type="dxa"/>
            <w:tcBorders>
              <w:top w:val="single" w:sz="6" w:space="0" w:color="auto"/>
              <w:left w:val="single" w:sz="6" w:space="0" w:color="auto"/>
              <w:bottom w:val="single" w:sz="6" w:space="0" w:color="auto"/>
              <w:right w:val="single" w:sz="6" w:space="0" w:color="auto"/>
            </w:tcBorders>
          </w:tcPr>
          <w:p>
            <w:pPr/>
          </w:p>
        </w:tc>
      </w:tr>
      <w:tr>
        <w:trPr>
          <w:trHeight w:val="407"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75"/>
              <w:ind w:left="727"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1497" w:type="dxa"/>
            <w:tcBorders>
              <w:top w:val="nil" w:sz="6" w:space="0" w:color="auto"/>
              <w:left w:val="nil" w:sz="6" w:space="0" w:color="auto"/>
              <w:bottom w:val="nil" w:sz="6" w:space="0" w:color="auto"/>
              <w:right w:val="nil" w:sz="6" w:space="0" w:color="auto"/>
            </w:tcBorders>
          </w:tcPr>
          <w:p>
            <w:pP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497"/>
              <w:jc w:val="right"/>
              <w:rPr>
                <w:rFonts w:ascii="Times New Roman" w:hAnsi="Times New Roman" w:cs="Times New Roman" w:eastAsia="Times New Roman" w:hint="default"/>
                <w:sz w:val="18"/>
                <w:szCs w:val="18"/>
              </w:rPr>
            </w:pPr>
            <w:r>
              <w:rPr>
                <w:rFonts w:ascii="Times New Roman"/>
                <w:sz w:val="18"/>
              </w:rPr>
              <w:t>617,874.79</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33"/>
              <w:jc w:val="right"/>
              <w:rPr>
                <w:rFonts w:ascii="Times New Roman" w:hAnsi="Times New Roman" w:cs="Times New Roman" w:eastAsia="Times New Roman" w:hint="default"/>
                <w:sz w:val="18"/>
                <w:szCs w:val="18"/>
              </w:rPr>
            </w:pPr>
            <w:r>
              <w:rPr>
                <w:rFonts w:ascii="Times New Roman"/>
                <w:sz w:val="18"/>
              </w:rPr>
              <w:t>466,206.66</w:t>
            </w:r>
          </w:p>
        </w:tc>
        <w:tc>
          <w:tcPr>
            <w:tcW w:w="73" w:type="dxa"/>
            <w:tcBorders>
              <w:top w:val="single" w:sz="6" w:space="0" w:color="auto"/>
              <w:left w:val="single" w:sz="6" w:space="0" w:color="auto"/>
              <w:bottom w:val="single" w:sz="6" w:space="0" w:color="auto"/>
              <w:right w:val="single" w:sz="6" w:space="0" w:color="auto"/>
            </w:tcBorders>
          </w:tcPr>
          <w:p>
            <w:pPr/>
          </w:p>
        </w:tc>
      </w:tr>
      <w:tr>
        <w:trPr>
          <w:trHeight w:val="407"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6"/>
              <w:jc w:val="center"/>
              <w:rPr>
                <w:rFonts w:ascii="宋体" w:hAnsi="宋体" w:cs="宋体" w:eastAsia="宋体" w:hint="default"/>
                <w:sz w:val="18"/>
                <w:szCs w:val="18"/>
              </w:rPr>
            </w:pPr>
            <w:r>
              <w:rPr>
                <w:rFonts w:ascii="宋体" w:hAnsi="宋体" w:cs="宋体" w:eastAsia="宋体" w:hint="default"/>
                <w:sz w:val="18"/>
                <w:szCs w:val="18"/>
              </w:rPr>
              <w:t>通讯费</w:t>
            </w:r>
          </w:p>
        </w:tc>
        <w:tc>
          <w:tcPr>
            <w:tcW w:w="1497" w:type="dxa"/>
            <w:tcBorders>
              <w:top w:val="nil" w:sz="6" w:space="0" w:color="auto"/>
              <w:left w:val="nil" w:sz="6" w:space="0" w:color="auto"/>
              <w:bottom w:val="nil" w:sz="6" w:space="0" w:color="auto"/>
              <w:right w:val="nil" w:sz="6" w:space="0" w:color="auto"/>
            </w:tcBorders>
          </w:tcPr>
          <w:p>
            <w:pP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497"/>
              <w:jc w:val="right"/>
              <w:rPr>
                <w:rFonts w:ascii="Times New Roman" w:hAnsi="Times New Roman" w:cs="Times New Roman" w:eastAsia="Times New Roman" w:hint="default"/>
                <w:sz w:val="18"/>
                <w:szCs w:val="18"/>
              </w:rPr>
            </w:pPr>
            <w:r>
              <w:rPr>
                <w:rFonts w:ascii="Times New Roman"/>
                <w:sz w:val="18"/>
              </w:rPr>
              <w:t>428,412.28</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33"/>
              <w:jc w:val="right"/>
              <w:rPr>
                <w:rFonts w:ascii="Times New Roman" w:hAnsi="Times New Roman" w:cs="Times New Roman" w:eastAsia="Times New Roman" w:hint="default"/>
                <w:sz w:val="18"/>
                <w:szCs w:val="18"/>
              </w:rPr>
            </w:pPr>
            <w:r>
              <w:rPr>
                <w:rFonts w:ascii="Times New Roman"/>
                <w:sz w:val="18"/>
              </w:rPr>
              <w:t>400,600.47</w:t>
            </w:r>
          </w:p>
        </w:tc>
        <w:tc>
          <w:tcPr>
            <w:tcW w:w="73" w:type="dxa"/>
            <w:tcBorders>
              <w:top w:val="single" w:sz="6" w:space="0" w:color="auto"/>
              <w:left w:val="single" w:sz="6" w:space="0" w:color="auto"/>
              <w:bottom w:val="single" w:sz="6" w:space="0" w:color="auto"/>
              <w:right w:val="single" w:sz="6" w:space="0" w:color="auto"/>
            </w:tcBorders>
          </w:tcPr>
          <w:p>
            <w:pPr/>
          </w:p>
        </w:tc>
      </w:tr>
      <w:tr>
        <w:trPr>
          <w:trHeight w:val="404"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16"/>
              <w:jc w:val="center"/>
              <w:rPr>
                <w:rFonts w:ascii="宋体" w:hAnsi="宋体" w:cs="宋体" w:eastAsia="宋体" w:hint="default"/>
                <w:sz w:val="18"/>
                <w:szCs w:val="18"/>
              </w:rPr>
            </w:pPr>
            <w:r>
              <w:rPr>
                <w:rFonts w:ascii="宋体" w:hAnsi="宋体" w:cs="宋体" w:eastAsia="宋体" w:hint="default"/>
                <w:sz w:val="18"/>
                <w:szCs w:val="18"/>
              </w:rPr>
              <w:t>其他</w:t>
            </w:r>
          </w:p>
        </w:tc>
        <w:tc>
          <w:tcPr>
            <w:tcW w:w="1497" w:type="dxa"/>
            <w:tcBorders>
              <w:top w:val="nil" w:sz="6" w:space="0" w:color="auto"/>
              <w:left w:val="nil" w:sz="6" w:space="0" w:color="auto"/>
              <w:bottom w:val="nil" w:sz="6" w:space="0" w:color="auto"/>
              <w:right w:val="nil" w:sz="6" w:space="0" w:color="auto"/>
            </w:tcBorders>
          </w:tcPr>
          <w:p>
            <w:pP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497"/>
              <w:jc w:val="right"/>
              <w:rPr>
                <w:rFonts w:ascii="Times New Roman" w:hAnsi="Times New Roman" w:cs="Times New Roman" w:eastAsia="Times New Roman" w:hint="default"/>
                <w:sz w:val="18"/>
                <w:szCs w:val="18"/>
              </w:rPr>
            </w:pPr>
            <w:r>
              <w:rPr>
                <w:rFonts w:ascii="Times New Roman"/>
                <w:spacing w:val="-1"/>
                <w:sz w:val="18"/>
              </w:rPr>
              <w:t>6,844,419.46</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33"/>
              <w:jc w:val="right"/>
              <w:rPr>
                <w:rFonts w:ascii="Times New Roman" w:hAnsi="Times New Roman" w:cs="Times New Roman" w:eastAsia="Times New Roman" w:hint="default"/>
                <w:sz w:val="18"/>
                <w:szCs w:val="18"/>
              </w:rPr>
            </w:pPr>
            <w:r>
              <w:rPr>
                <w:rFonts w:ascii="Times New Roman"/>
                <w:spacing w:val="-1"/>
                <w:sz w:val="18"/>
              </w:rPr>
              <w:t>13,888,226.83</w:t>
            </w:r>
          </w:p>
        </w:tc>
        <w:tc>
          <w:tcPr>
            <w:tcW w:w="73" w:type="dxa"/>
            <w:tcBorders>
              <w:top w:val="single" w:sz="6" w:space="0" w:color="auto"/>
              <w:left w:val="single" w:sz="6" w:space="0" w:color="auto"/>
              <w:bottom w:val="single" w:sz="6" w:space="0" w:color="auto"/>
              <w:right w:val="single" w:sz="6" w:space="0" w:color="auto"/>
            </w:tcBorders>
          </w:tcPr>
          <w:p>
            <w:pPr/>
          </w:p>
        </w:tc>
      </w:tr>
      <w:tr>
        <w:trPr>
          <w:trHeight w:val="396" w:hRule="exact"/>
        </w:trPr>
        <w:tc>
          <w:tcPr>
            <w:tcW w:w="2133"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1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09" w:type="dxa"/>
            <w:tcBorders>
              <w:top w:val="nil" w:sz="6" w:space="0" w:color="auto"/>
              <w:left w:val="nil" w:sz="6" w:space="0" w:color="auto"/>
              <w:bottom w:val="single" w:sz="12" w:space="0" w:color="000000"/>
              <w:right w:val="nil" w:sz="6" w:space="0" w:color="auto"/>
            </w:tcBorders>
          </w:tcPr>
          <w:p>
            <w:pPr>
              <w:pStyle w:val="TableParagraph"/>
              <w:spacing w:line="240" w:lineRule="auto" w:before="76"/>
              <w:ind w:right="497"/>
              <w:jc w:val="right"/>
              <w:rPr>
                <w:rFonts w:ascii="Times New Roman" w:hAnsi="Times New Roman" w:cs="Times New Roman" w:eastAsia="Times New Roman" w:hint="default"/>
                <w:sz w:val="18"/>
                <w:szCs w:val="18"/>
              </w:rPr>
            </w:pPr>
            <w:r>
              <w:rPr>
                <w:rFonts w:ascii="Times New Roman"/>
                <w:spacing w:val="-1"/>
                <w:sz w:val="18"/>
              </w:rPr>
              <w:t>57,832,690.87</w:t>
            </w:r>
          </w:p>
        </w:tc>
        <w:tc>
          <w:tcPr>
            <w:tcW w:w="1843" w:type="dxa"/>
            <w:tcBorders>
              <w:top w:val="nil" w:sz="6" w:space="0" w:color="auto"/>
              <w:left w:val="nil" w:sz="6" w:space="0" w:color="auto"/>
              <w:bottom w:val="single" w:sz="12" w:space="0" w:color="000000"/>
              <w:right w:val="nil" w:sz="6" w:space="0" w:color="auto"/>
            </w:tcBorders>
          </w:tcPr>
          <w:p>
            <w:pPr>
              <w:pStyle w:val="TableParagraph"/>
              <w:spacing w:line="240" w:lineRule="auto" w:before="76"/>
              <w:ind w:right="33"/>
              <w:jc w:val="right"/>
              <w:rPr>
                <w:rFonts w:ascii="Times New Roman" w:hAnsi="Times New Roman" w:cs="Times New Roman" w:eastAsia="Times New Roman" w:hint="default"/>
                <w:sz w:val="18"/>
                <w:szCs w:val="18"/>
              </w:rPr>
            </w:pPr>
            <w:r>
              <w:rPr>
                <w:rFonts w:ascii="Times New Roman"/>
                <w:spacing w:val="-1"/>
                <w:sz w:val="18"/>
              </w:rPr>
              <w:t>45,137,506.63</w:t>
            </w:r>
          </w:p>
        </w:tc>
        <w:tc>
          <w:tcPr>
            <w:tcW w:w="73" w:type="dxa"/>
            <w:tcBorders>
              <w:top w:val="single" w:sz="6" w:space="0" w:color="auto"/>
              <w:left w:val="single" w:sz="6" w:space="0" w:color="auto"/>
              <w:bottom w:val="single" w:sz="6" w:space="0" w:color="auto"/>
              <w:right w:val="single" w:sz="6" w:space="0" w:color="auto"/>
            </w:tcBorders>
          </w:tcPr>
          <w:p>
            <w:pPr/>
          </w:p>
        </w:tc>
      </w:tr>
      <w:tr>
        <w:trPr>
          <w:trHeight w:val="829"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8"/>
                <w:szCs w:val="18"/>
              </w:rPr>
            </w:pPr>
          </w:p>
          <w:p>
            <w:pPr>
              <w:pStyle w:val="TableParagraph"/>
              <w:tabs>
                <w:tab w:pos="1309" w:val="left" w:leader="none"/>
              </w:tabs>
              <w:spacing w:line="240" w:lineRule="auto"/>
              <w:ind w:left="35" w:right="-21"/>
              <w:jc w:val="left"/>
              <w:rPr>
                <w:rFonts w:ascii="宋体" w:hAnsi="宋体" w:cs="宋体" w:eastAsia="宋体" w:hint="default"/>
                <w:sz w:val="21"/>
                <w:szCs w:val="21"/>
              </w:rPr>
            </w:pPr>
            <w:r>
              <w:rPr>
                <w:rFonts w:ascii="宋体" w:hAnsi="宋体" w:cs="宋体" w:eastAsia="宋体" w:hint="default"/>
                <w:b/>
                <w:bCs/>
                <w:w w:val="95"/>
                <w:sz w:val="21"/>
                <w:szCs w:val="21"/>
              </w:rPr>
              <w:t>(三十二)</w:t>
              <w:tab/>
            </w:r>
            <w:r>
              <w:rPr>
                <w:rFonts w:ascii="宋体" w:hAnsi="宋体" w:cs="宋体" w:eastAsia="宋体" w:hint="default"/>
                <w:b/>
                <w:bCs/>
                <w:sz w:val="21"/>
                <w:szCs w:val="21"/>
              </w:rPr>
              <w:t>财务费用</w:t>
            </w:r>
            <w:r>
              <w:rPr>
                <w:rFonts w:ascii="宋体" w:hAnsi="宋体" w:cs="宋体" w:eastAsia="宋体" w:hint="default"/>
                <w:sz w:val="21"/>
                <w:szCs w:val="21"/>
              </w:rPr>
            </w:r>
          </w:p>
        </w:tc>
        <w:tc>
          <w:tcPr>
            <w:tcW w:w="1497" w:type="dxa"/>
            <w:tcBorders>
              <w:top w:val="nil" w:sz="6" w:space="0" w:color="auto"/>
              <w:left w:val="nil" w:sz="6" w:space="0" w:color="auto"/>
              <w:bottom w:val="single" w:sz="12" w:space="0" w:color="000000"/>
              <w:right w:val="nil" w:sz="6" w:space="0" w:color="auto"/>
            </w:tcBorders>
          </w:tcPr>
          <w:p>
            <w:pPr/>
          </w:p>
        </w:tc>
        <w:tc>
          <w:tcPr>
            <w:tcW w:w="3009" w:type="dxa"/>
            <w:tcBorders>
              <w:top w:val="nil" w:sz="6" w:space="0" w:color="auto"/>
              <w:left w:val="nil" w:sz="6" w:space="0" w:color="auto"/>
              <w:bottom w:val="single" w:sz="12" w:space="0" w:color="000000"/>
              <w:right w:val="nil" w:sz="6" w:space="0" w:color="auto"/>
            </w:tcBorders>
          </w:tcPr>
          <w:p>
            <w:pPr/>
          </w:p>
        </w:tc>
        <w:tc>
          <w:tcPr>
            <w:tcW w:w="1916" w:type="dxa"/>
            <w:gridSpan w:val="2"/>
            <w:tcBorders>
              <w:top w:val="nil" w:sz="6" w:space="0" w:color="auto"/>
              <w:left w:val="nil" w:sz="6" w:space="0" w:color="auto"/>
              <w:bottom w:val="single" w:sz="12" w:space="0" w:color="000000"/>
              <w:right w:val="nil" w:sz="6" w:space="0" w:color="auto"/>
            </w:tcBorders>
          </w:tcPr>
          <w:p>
            <w:pPr/>
          </w:p>
        </w:tc>
      </w:tr>
      <w:tr>
        <w:trPr>
          <w:trHeight w:val="361" w:hRule="exact"/>
        </w:trPr>
        <w:tc>
          <w:tcPr>
            <w:tcW w:w="2133" w:type="dxa"/>
            <w:tcBorders>
              <w:top w:val="nil" w:sz="6" w:space="0" w:color="auto"/>
              <w:left w:val="nil" w:sz="6" w:space="0" w:color="auto"/>
              <w:bottom w:val="nil" w:sz="6" w:space="0" w:color="auto"/>
              <w:right w:val="nil" w:sz="6" w:space="0" w:color="auto"/>
            </w:tcBorders>
          </w:tcPr>
          <w:p>
            <w:pPr/>
          </w:p>
        </w:tc>
        <w:tc>
          <w:tcPr>
            <w:tcW w:w="1497"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15" w:right="0"/>
              <w:jc w:val="left"/>
              <w:rPr>
                <w:rFonts w:ascii="宋体" w:hAnsi="宋体" w:cs="宋体" w:eastAsia="宋体" w:hint="default"/>
                <w:sz w:val="18"/>
                <w:szCs w:val="18"/>
              </w:rPr>
            </w:pPr>
            <w:r>
              <w:rPr>
                <w:rFonts w:ascii="宋体" w:hAnsi="宋体" w:cs="宋体" w:eastAsia="宋体" w:hint="default"/>
                <w:sz w:val="18"/>
                <w:szCs w:val="18"/>
              </w:rPr>
              <w:t>类别</w:t>
            </w:r>
          </w:p>
        </w:tc>
        <w:tc>
          <w:tcPr>
            <w:tcW w:w="3009"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111" w:right="0"/>
              <w:jc w:val="center"/>
              <w:rPr>
                <w:rFonts w:ascii="宋体" w:hAnsi="宋体" w:cs="宋体" w:eastAsia="宋体" w:hint="default"/>
                <w:sz w:val="18"/>
                <w:szCs w:val="18"/>
              </w:rPr>
            </w:pPr>
            <w:r>
              <w:rPr>
                <w:rFonts w:ascii="宋体" w:hAnsi="宋体" w:cs="宋体" w:eastAsia="宋体" w:hint="default"/>
                <w:sz w:val="18"/>
                <w:szCs w:val="18"/>
              </w:rPr>
              <w:t>本年金额</w:t>
            </w:r>
          </w:p>
        </w:tc>
        <w:tc>
          <w:tcPr>
            <w:tcW w:w="1916"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25"/>
              <w:ind w:left="450"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360"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727"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497" w:type="dxa"/>
            <w:tcBorders>
              <w:top w:val="nil" w:sz="6" w:space="0" w:color="auto"/>
              <w:left w:val="nil" w:sz="6" w:space="0" w:color="auto"/>
              <w:bottom w:val="nil" w:sz="6" w:space="0" w:color="auto"/>
              <w:right w:val="nil" w:sz="6" w:space="0" w:color="auto"/>
            </w:tcBorders>
          </w:tcPr>
          <w:p>
            <w:pP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0"/>
              <w:jc w:val="right"/>
              <w:rPr>
                <w:rFonts w:ascii="Times New Roman" w:hAnsi="Times New Roman" w:cs="Times New Roman" w:eastAsia="Times New Roman" w:hint="default"/>
                <w:sz w:val="18"/>
                <w:szCs w:val="18"/>
              </w:rPr>
            </w:pPr>
            <w:r>
              <w:rPr>
                <w:rFonts w:ascii="Times New Roman"/>
                <w:sz w:val="18"/>
              </w:rPr>
              <w:t>5,574,805.31</w:t>
            </w:r>
          </w:p>
        </w:tc>
        <w:tc>
          <w:tcPr>
            <w:tcW w:w="191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9"/>
              <w:ind w:left="863" w:right="0"/>
              <w:jc w:val="left"/>
              <w:rPr>
                <w:rFonts w:ascii="Times New Roman" w:hAnsi="Times New Roman" w:cs="Times New Roman" w:eastAsia="Times New Roman" w:hint="default"/>
                <w:sz w:val="18"/>
                <w:szCs w:val="18"/>
              </w:rPr>
            </w:pPr>
            <w:r>
              <w:rPr>
                <w:rFonts w:ascii="Times New Roman"/>
                <w:sz w:val="18"/>
              </w:rPr>
              <w:t>9,332,875.24</w:t>
            </w:r>
          </w:p>
        </w:tc>
      </w:tr>
      <w:tr>
        <w:trPr>
          <w:trHeight w:val="350"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907"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1497" w:type="dxa"/>
            <w:tcBorders>
              <w:top w:val="nil" w:sz="6" w:space="0" w:color="auto"/>
              <w:left w:val="nil" w:sz="6" w:space="0" w:color="auto"/>
              <w:bottom w:val="nil" w:sz="6" w:space="0" w:color="auto"/>
              <w:right w:val="nil" w:sz="6" w:space="0" w:color="auto"/>
            </w:tcBorders>
          </w:tcPr>
          <w:p>
            <w:pP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400"/>
              <w:jc w:val="right"/>
              <w:rPr>
                <w:rFonts w:ascii="Times New Roman" w:hAnsi="Times New Roman" w:cs="Times New Roman" w:eastAsia="Times New Roman" w:hint="default"/>
                <w:sz w:val="18"/>
                <w:szCs w:val="18"/>
              </w:rPr>
            </w:pPr>
            <w:r>
              <w:rPr>
                <w:rFonts w:ascii="Times New Roman"/>
                <w:spacing w:val="-1"/>
                <w:sz w:val="18"/>
              </w:rPr>
              <w:t>3,116,417.12</w:t>
            </w:r>
          </w:p>
        </w:tc>
        <w:tc>
          <w:tcPr>
            <w:tcW w:w="191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8"/>
              <w:ind w:left="863" w:right="0"/>
              <w:jc w:val="left"/>
              <w:rPr>
                <w:rFonts w:ascii="Times New Roman" w:hAnsi="Times New Roman" w:cs="Times New Roman" w:eastAsia="Times New Roman" w:hint="default"/>
                <w:sz w:val="18"/>
                <w:szCs w:val="18"/>
              </w:rPr>
            </w:pPr>
            <w:r>
              <w:rPr>
                <w:rFonts w:ascii="Times New Roman"/>
                <w:sz w:val="18"/>
              </w:rPr>
              <w:t>1,187,099.15</w:t>
            </w:r>
          </w:p>
        </w:tc>
      </w:tr>
      <w:tr>
        <w:trPr>
          <w:trHeight w:val="343"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727"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1497" w:type="dxa"/>
            <w:tcBorders>
              <w:top w:val="nil" w:sz="6" w:space="0" w:color="auto"/>
              <w:left w:val="nil" w:sz="6" w:space="0" w:color="auto"/>
              <w:bottom w:val="nil" w:sz="6" w:space="0" w:color="auto"/>
              <w:right w:val="nil" w:sz="6" w:space="0" w:color="auto"/>
            </w:tcBorders>
          </w:tcPr>
          <w:p>
            <w:pP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98"/>
              <w:jc w:val="right"/>
              <w:rPr>
                <w:rFonts w:ascii="Times New Roman" w:hAnsi="Times New Roman" w:cs="Times New Roman" w:eastAsia="Times New Roman" w:hint="default"/>
                <w:sz w:val="18"/>
                <w:szCs w:val="18"/>
              </w:rPr>
            </w:pPr>
            <w:r>
              <w:rPr>
                <w:rFonts w:ascii="Times New Roman"/>
                <w:sz w:val="18"/>
              </w:rPr>
              <w:t>-307,002.81</w:t>
            </w:r>
          </w:p>
        </w:tc>
        <w:tc>
          <w:tcPr>
            <w:tcW w:w="191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8"/>
              <w:ind w:left="1095" w:right="0"/>
              <w:jc w:val="left"/>
              <w:rPr>
                <w:rFonts w:ascii="Times New Roman" w:hAnsi="Times New Roman" w:cs="Times New Roman" w:eastAsia="Times New Roman" w:hint="default"/>
                <w:sz w:val="18"/>
                <w:szCs w:val="18"/>
              </w:rPr>
            </w:pPr>
            <w:r>
              <w:rPr>
                <w:rFonts w:ascii="Times New Roman"/>
                <w:sz w:val="18"/>
              </w:rPr>
              <w:t>27,811.10</w:t>
            </w:r>
          </w:p>
        </w:tc>
      </w:tr>
      <w:tr>
        <w:trPr>
          <w:trHeight w:val="350"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16"/>
              <w:jc w:val="center"/>
              <w:rPr>
                <w:rFonts w:ascii="宋体" w:hAnsi="宋体" w:cs="宋体" w:eastAsia="宋体" w:hint="default"/>
                <w:sz w:val="18"/>
                <w:szCs w:val="18"/>
              </w:rPr>
            </w:pPr>
            <w:r>
              <w:rPr>
                <w:rFonts w:ascii="宋体" w:hAnsi="宋体" w:cs="宋体" w:eastAsia="宋体" w:hint="default"/>
                <w:sz w:val="18"/>
                <w:szCs w:val="18"/>
              </w:rPr>
              <w:t>其他</w:t>
            </w:r>
          </w:p>
        </w:tc>
        <w:tc>
          <w:tcPr>
            <w:tcW w:w="1497" w:type="dxa"/>
            <w:tcBorders>
              <w:top w:val="nil" w:sz="6" w:space="0" w:color="auto"/>
              <w:left w:val="nil" w:sz="6" w:space="0" w:color="auto"/>
              <w:bottom w:val="nil" w:sz="6" w:space="0" w:color="auto"/>
              <w:right w:val="nil" w:sz="6" w:space="0" w:color="auto"/>
            </w:tcBorders>
          </w:tcPr>
          <w:p>
            <w:pP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98"/>
              <w:jc w:val="right"/>
              <w:rPr>
                <w:rFonts w:ascii="Times New Roman" w:hAnsi="Times New Roman" w:cs="Times New Roman" w:eastAsia="Times New Roman" w:hint="default"/>
                <w:sz w:val="18"/>
                <w:szCs w:val="18"/>
              </w:rPr>
            </w:pPr>
            <w:r>
              <w:rPr>
                <w:rFonts w:ascii="Times New Roman"/>
                <w:sz w:val="18"/>
              </w:rPr>
              <w:t>167,320.61</w:t>
            </w:r>
          </w:p>
        </w:tc>
        <w:tc>
          <w:tcPr>
            <w:tcW w:w="191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5"/>
              <w:ind w:left="1024" w:right="0"/>
              <w:jc w:val="left"/>
              <w:rPr>
                <w:rFonts w:ascii="Times New Roman" w:hAnsi="Times New Roman" w:cs="Times New Roman" w:eastAsia="Times New Roman" w:hint="default"/>
                <w:sz w:val="18"/>
                <w:szCs w:val="18"/>
              </w:rPr>
            </w:pPr>
            <w:r>
              <w:rPr>
                <w:rFonts w:ascii="Times New Roman"/>
                <w:spacing w:val="-4"/>
                <w:sz w:val="18"/>
              </w:rPr>
              <w:t>111,111.64</w:t>
            </w:r>
          </w:p>
        </w:tc>
      </w:tr>
      <w:tr>
        <w:trPr>
          <w:trHeight w:val="356" w:hRule="exact"/>
        </w:trPr>
        <w:tc>
          <w:tcPr>
            <w:tcW w:w="2133"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left="1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09"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399"/>
              <w:jc w:val="right"/>
              <w:rPr>
                <w:rFonts w:ascii="Times New Roman" w:hAnsi="Times New Roman" w:cs="Times New Roman" w:eastAsia="Times New Roman" w:hint="default"/>
                <w:sz w:val="18"/>
                <w:szCs w:val="18"/>
              </w:rPr>
            </w:pPr>
            <w:r>
              <w:rPr>
                <w:rFonts w:ascii="Times New Roman"/>
                <w:spacing w:val="-1"/>
                <w:sz w:val="18"/>
              </w:rPr>
              <w:t>2,318,705.99</w:t>
            </w:r>
          </w:p>
        </w:tc>
        <w:tc>
          <w:tcPr>
            <w:tcW w:w="1916"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65"/>
              <w:ind w:left="863" w:right="0"/>
              <w:jc w:val="left"/>
              <w:rPr>
                <w:rFonts w:ascii="Times New Roman" w:hAnsi="Times New Roman" w:cs="Times New Roman" w:eastAsia="Times New Roman" w:hint="default"/>
                <w:sz w:val="18"/>
                <w:szCs w:val="18"/>
              </w:rPr>
            </w:pPr>
            <w:r>
              <w:rPr>
                <w:rFonts w:ascii="Times New Roman"/>
                <w:sz w:val="18"/>
              </w:rPr>
              <w:t>8,284,698.83</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tabs>
          <w:tab w:pos="1519" w:val="left" w:leader="none"/>
        </w:tabs>
        <w:spacing w:before="35"/>
        <w:ind w:left="245" w:right="0" w:firstLine="0"/>
        <w:jc w:val="left"/>
        <w:rPr>
          <w:rFonts w:ascii="宋体" w:hAnsi="宋体" w:cs="宋体" w:eastAsia="宋体" w:hint="default"/>
          <w:sz w:val="21"/>
          <w:szCs w:val="21"/>
        </w:rPr>
      </w:pPr>
      <w:r>
        <w:rPr/>
        <w:pict>
          <v:group style="position:absolute;margin-left:117.059998pt;margin-top:-132.025879pt;width:399.5pt;height:105.6pt;mso-position-horizontal-relative:page;mso-position-vertical-relative:paragraph;z-index:-774496" coordorigin="2341,-2641" coordsize="7990,2112">
            <v:shape style="position:absolute;left:5761;top:-2641;width:2362;height:384" type="#_x0000_t75" stroked="false">
              <v:imagedata r:id="rId239" o:title=""/>
            </v:shape>
            <v:shape style="position:absolute;left:2341;top:-2298;width:7990;height:1769" type="#_x0000_t75" stroked="false">
              <v:imagedata r:id="rId240" o:title=""/>
            </v:shape>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三十三</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投资收益</w:t>
      </w:r>
      <w:r>
        <w:rPr>
          <w:rFonts w:ascii="宋体" w:hAnsi="宋体" w:cs="宋体" w:eastAsia="宋体" w:hint="default"/>
          <w:sz w:val="21"/>
          <w:szCs w:val="21"/>
        </w:rPr>
      </w:r>
    </w:p>
    <w:p>
      <w:pPr>
        <w:tabs>
          <w:tab w:pos="1414" w:val="left" w:leader="none"/>
        </w:tabs>
        <w:spacing w:before="109"/>
        <w:ind w:left="87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投资收益明细情况</w:t>
      </w:r>
      <w:r>
        <w:rPr>
          <w:rFonts w:ascii="宋体" w:hAnsi="宋体" w:cs="宋体" w:eastAsia="宋体" w:hint="default"/>
          <w:sz w:val="21"/>
          <w:szCs w:val="21"/>
        </w:rPr>
      </w:r>
    </w:p>
    <w:p>
      <w:pPr>
        <w:spacing w:line="1678" w:lineRule="exact"/>
        <w:ind w:left="800"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399.55pt;height:83.95pt;mso-position-horizontal-relative:char;mso-position-vertical-relative:line" coordorigin="0,0" coordsize="7991,1679">
            <v:group style="position:absolute;left:29;top:15;width:4456;height:2" coordorigin="29,15" coordsize="4456,2">
              <v:shape style="position:absolute;left:29;top:15;width:4456;height:2" coordorigin="29,15" coordsize="4456,0" path="m29,15l4485,15e" filled="false" stroked="true" strokeweight="1.5pt" strokecolor="#000000">
                <v:path arrowok="t"/>
              </v:shape>
            </v:group>
            <v:group style="position:absolute;left:4485;top:15;width:1593;height:2" coordorigin="4485,15" coordsize="1593,2">
              <v:shape style="position:absolute;left:4485;top:15;width:1593;height:2" coordorigin="4485,15" coordsize="1593,0" path="m4485,15l6077,15e" filled="false" stroked="true" strokeweight="1.5pt" strokecolor="#000000">
                <v:path arrowok="t"/>
              </v:shape>
            </v:group>
            <v:group style="position:absolute;left:6077;top:15;width:1888;height:2" coordorigin="6077,15" coordsize="1888,2">
              <v:shape style="position:absolute;left:6077;top:15;width:1888;height:2" coordorigin="6077,15" coordsize="1888,0" path="m6077,15l7965,15e" filled="false" stroked="true" strokeweight="1.5pt" strokecolor="#000000">
                <v:path arrowok="t"/>
              </v:shape>
              <v:shape style="position:absolute;left:4435;top:10;width:1672;height:437" type="#_x0000_t75" stroked="false">
                <v:imagedata r:id="rId241" o:title=""/>
              </v:shape>
            </v:group>
            <v:group style="position:absolute;left:15;top:1664;width:4440;height:2" coordorigin="15,1664" coordsize="4440,2">
              <v:shape style="position:absolute;left:15;top:1664;width:4440;height:2" coordorigin="15,1664" coordsize="4440,0" path="m15,1664l4455,1664e" filled="false" stroked="true" strokeweight="1.5pt" strokecolor="#000000">
                <v:path arrowok="t"/>
              </v:shape>
            </v:group>
            <v:group style="position:absolute;left:4455;top:1664;width:30;height:2" coordorigin="4455,1664" coordsize="30,2">
              <v:shape style="position:absolute;left:4455;top:1664;width:30;height:2" coordorigin="4455,1664" coordsize="30,0" path="m4455,1664l4485,1664e" filled="false" stroked="true" strokeweight="1.5pt" strokecolor="#000000">
                <v:path arrowok="t"/>
              </v:shape>
            </v:group>
            <v:group style="position:absolute;left:4485;top:1664;width:1593;height:2" coordorigin="4485,1664" coordsize="1593,2">
              <v:shape style="position:absolute;left:4485;top:1664;width:1593;height:2" coordorigin="4485,1664" coordsize="1593,0" path="m4485,1664l6077,1664e" filled="false" stroked="true" strokeweight="1.5pt" strokecolor="#000000">
                <v:path arrowok="t"/>
              </v:shape>
              <v:shape style="position:absolute;left:1;top:407;width:7990;height:1241" type="#_x0000_t75" stroked="false">
                <v:imagedata r:id="rId242" o:title=""/>
              </v:shape>
            </v:group>
            <v:group style="position:absolute;left:6077;top:1664;width:1888;height:2" coordorigin="6077,1664" coordsize="1888,2">
              <v:shape style="position:absolute;left:6077;top:1664;width:1888;height:2" coordorigin="6077,1664" coordsize="1888,0" path="m6077,1664l7965,1664e" filled="false" stroked="true" strokeweight="1.5pt" strokecolor="#000000">
                <v:path arrowok="t"/>
              </v:shape>
              <v:shape style="position:absolute;left:2065;top:13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911;top:1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6663;top:1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137;top:546;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银行理财产品取得的投资收益</w:t>
                      </w:r>
                    </w:p>
                  </w:txbxContent>
                </v:textbox>
                <w10:wrap type="none"/>
              </v:shape>
              <v:shape style="position:absolute;left:5031;top:554;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1,293,630.97</w:t>
                      </w:r>
                    </w:p>
                  </w:txbxContent>
                </v:textbox>
                <w10:wrap type="none"/>
              </v:shape>
              <v:shape style="position:absolute;left:7675;top:554;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953;width:28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处置交易性金融资产取得的投资收益</w:t>
                      </w:r>
                    </w:p>
                  </w:txbxContent>
                </v:textbox>
                <w10:wrap type="none"/>
              </v:shape>
              <v:shape style="position:absolute;left:5795;top:960;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852;top:960;width:10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-6,179,757.34</w:t>
                      </w:r>
                    </w:p>
                  </w:txbxContent>
                </v:textbox>
                <w10:wrap type="none"/>
              </v:shape>
              <v:shape style="position:absolute;left:2065;top:136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5031;top:136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1,293,630.97</w:t>
                      </w:r>
                    </w:p>
                  </w:txbxContent>
                </v:textbox>
                <w10:wrap type="none"/>
              </v:shape>
              <v:shape style="position:absolute;left:6851;top:1367;width:10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-6,179,757.34</w:t>
                      </w:r>
                    </w:p>
                  </w:txbxContent>
                </v:textbox>
                <w10:wrap type="none"/>
              </v:shape>
            </v:group>
          </v:group>
        </w:pict>
      </w:r>
      <w:r>
        <w:rPr>
          <w:rFonts w:ascii="宋体" w:hAnsi="宋体" w:cs="宋体" w:eastAsia="宋体" w:hint="default"/>
          <w:position w:val="-33"/>
          <w:sz w:val="20"/>
          <w:szCs w:val="2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4"/>
          <w:szCs w:val="14"/>
        </w:rPr>
      </w:pPr>
    </w:p>
    <w:p>
      <w:pPr>
        <w:tabs>
          <w:tab w:pos="1519" w:val="left" w:leader="none"/>
        </w:tabs>
        <w:spacing w:before="35"/>
        <w:ind w:left="245" w:right="0" w:firstLine="0"/>
        <w:jc w:val="left"/>
        <w:rPr>
          <w:rFonts w:ascii="宋体" w:hAnsi="宋体" w:cs="宋体" w:eastAsia="宋体" w:hint="default"/>
          <w:sz w:val="21"/>
          <w:szCs w:val="21"/>
        </w:rPr>
      </w:pPr>
      <w:r>
        <w:rPr>
          <w:rFonts w:ascii="宋体" w:hAnsi="宋体" w:cs="宋体" w:eastAsia="宋体" w:hint="default"/>
          <w:b/>
          <w:bCs/>
          <w:w w:val="95"/>
          <w:sz w:val="21"/>
          <w:szCs w:val="21"/>
        </w:rPr>
        <w:t>(三十四)</w:t>
        <w:tab/>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1677" w:lineRule="exact"/>
        <w:ind w:left="800"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399.3pt;height:83.9pt;mso-position-horizontal-relative:char;mso-position-vertical-relative:line" coordorigin="0,0" coordsize="7986,1678">
            <v:group style="position:absolute;left:29;top:15;width:4349;height:2" coordorigin="29,15" coordsize="4349,2">
              <v:shape style="position:absolute;left:29;top:15;width:4349;height:2" coordorigin="29,15" coordsize="4349,0" path="m29,15l4378,15e" filled="false" stroked="true" strokeweight="1.5pt" strokecolor="#000000">
                <v:path arrowok="t"/>
              </v:shape>
            </v:group>
            <v:group style="position:absolute;left:4378;top:15;width:1764;height:2" coordorigin="4378,15" coordsize="1764,2">
              <v:shape style="position:absolute;left:4378;top:15;width:1764;height:2" coordorigin="4378,15" coordsize="1764,0" path="m4378,15l6142,15e" filled="false" stroked="true" strokeweight="1.5pt" strokecolor="#000000">
                <v:path arrowok="t"/>
              </v:shape>
            </v:group>
            <v:group style="position:absolute;left:6142;top:15;width:1823;height:2" coordorigin="6142,15" coordsize="1823,2">
              <v:shape style="position:absolute;left:6142;top:15;width:1823;height:2" coordorigin="6142,15" coordsize="1823,0" path="m6142,15l7965,15e" filled="false" stroked="true" strokeweight="1.5pt" strokecolor="#000000">
                <v:path arrowok="t"/>
              </v:shape>
              <v:shape style="position:absolute;left:4328;top:10;width:1843;height:437" type="#_x0000_t75" stroked="false">
                <v:imagedata r:id="rId243" o:title=""/>
              </v:shape>
            </v:group>
            <v:group style="position:absolute;left:15;top:1663;width:4334;height:2" coordorigin="15,1663" coordsize="4334,2">
              <v:shape style="position:absolute;left:15;top:1663;width:4334;height:2" coordorigin="15,1663" coordsize="4334,0" path="m15,1663l4348,1663e" filled="false" stroked="true" strokeweight="1.5pt" strokecolor="#000000">
                <v:path arrowok="t"/>
              </v:shape>
            </v:group>
            <v:group style="position:absolute;left:4348;top:1663;width:30;height:2" coordorigin="4348,1663" coordsize="30,2">
              <v:shape style="position:absolute;left:4348;top:1663;width:30;height:2" coordorigin="4348,1663" coordsize="30,0" path="m4348,1663l4378,1663e" filled="false" stroked="true" strokeweight="1.5pt" strokecolor="#000000">
                <v:path arrowok="t"/>
              </v:shape>
            </v:group>
            <v:group style="position:absolute;left:4378;top:1663;width:1764;height:2" coordorigin="4378,1663" coordsize="1764,2">
              <v:shape style="position:absolute;left:4378;top:1663;width:1764;height:2" coordorigin="4378,1663" coordsize="1764,0" path="m4378,1663l6142,1663e" filled="false" stroked="true" strokeweight="1.5pt" strokecolor="#000000">
                <v:path arrowok="t"/>
              </v:shape>
              <v:shape style="position:absolute;left:1;top:407;width:7985;height:1240" type="#_x0000_t75" stroked="false">
                <v:imagedata r:id="rId244" o:title=""/>
              </v:shape>
            </v:group>
            <v:group style="position:absolute;left:6142;top:1663;width:1823;height:2" coordorigin="6142,1663" coordsize="1823,2">
              <v:shape style="position:absolute;left:6142;top:1663;width:1823;height:2" coordorigin="6142,1663" coordsize="1823,0" path="m6142,1663l7965,1663e" filled="false" stroked="true" strokeweight="1.5pt" strokecolor="#000000">
                <v:path arrowok="t"/>
              </v:shape>
              <v:shape style="position:absolute;left:2011;top:13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889;top:13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6695;top:13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137;top:54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坏账损失</w:t>
                      </w:r>
                    </w:p>
                  </w:txbxContent>
                </v:textbox>
                <w10:wrap type="none"/>
              </v:shape>
              <v:shape style="position:absolute;left:5228;top:55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729,723.48</w:t>
                      </w:r>
                    </w:p>
                  </w:txbxContent>
                </v:textbox>
                <w10:wrap type="none"/>
              </v:shape>
              <v:shape style="position:absolute;left:6913;top:55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4,820,055.26</w:t>
                      </w:r>
                    </w:p>
                  </w:txbxContent>
                </v:textbox>
                <w10:wrap type="none"/>
              </v:shape>
              <v:shape style="position:absolute;left:137;top:95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存货跌价损失</w:t>
                      </w:r>
                    </w:p>
                  </w:txbxContent>
                </v:textbox>
                <w10:wrap type="none"/>
              </v:shape>
              <v:shape style="position:absolute;left:5318;top:959;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42,810.13</w:t>
                      </w:r>
                    </w:p>
                  </w:txbxContent>
                </v:textbox>
                <w10:wrap type="none"/>
              </v:shape>
              <v:shape style="position:absolute;left:7677;top:959;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2011;top:136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5228;top:136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772,533.61</w:t>
                      </w:r>
                    </w:p>
                  </w:txbxContent>
                </v:textbox>
                <w10:wrap type="none"/>
              </v:shape>
              <v:shape style="position:absolute;left:6913;top:136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4,820,055.26</w:t>
                      </w:r>
                    </w:p>
                  </w:txbxContent>
                </v:textbox>
                <w10:wrap type="none"/>
              </v:shape>
            </v:group>
          </v:group>
        </w:pict>
      </w:r>
      <w:r>
        <w:rPr>
          <w:rFonts w:ascii="宋体" w:hAnsi="宋体" w:cs="宋体" w:eastAsia="宋体" w:hint="default"/>
          <w:position w:val="-33"/>
          <w:sz w:val="20"/>
          <w:szCs w:val="20"/>
        </w:rPr>
      </w:r>
    </w:p>
    <w:p>
      <w:pPr>
        <w:spacing w:after="0" w:line="1677" w:lineRule="exact"/>
        <w:rPr>
          <w:rFonts w:ascii="宋体" w:hAnsi="宋体" w:cs="宋体" w:eastAsia="宋体" w:hint="default"/>
          <w:sz w:val="20"/>
          <w:szCs w:val="20"/>
        </w:rPr>
        <w:sectPr>
          <w:pgSz w:w="11910" w:h="16840"/>
          <w:pgMar w:header="0" w:footer="1270" w:top="1360" w:bottom="1460" w:left="1540" w:right="1460"/>
        </w:sectPr>
      </w:pPr>
    </w:p>
    <w:p>
      <w:pPr>
        <w:spacing w:line="240" w:lineRule="auto" w:before="6"/>
        <w:rPr>
          <w:rFonts w:ascii="宋体" w:hAnsi="宋体" w:cs="宋体" w:eastAsia="宋体" w:hint="default"/>
          <w:b/>
          <w:bCs/>
          <w:sz w:val="8"/>
          <w:szCs w:val="8"/>
        </w:rPr>
      </w:pPr>
    </w:p>
    <w:p>
      <w:pPr>
        <w:tabs>
          <w:tab w:pos="1539" w:val="left" w:leader="none"/>
        </w:tabs>
        <w:spacing w:before="35"/>
        <w:ind w:left="265" w:right="415"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三十五</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营业外收入</w:t>
      </w:r>
      <w:r>
        <w:rPr>
          <w:rFonts w:ascii="宋体" w:hAnsi="宋体" w:cs="宋体" w:eastAsia="宋体" w:hint="default"/>
          <w:sz w:val="21"/>
          <w:szCs w:val="21"/>
        </w:rPr>
      </w:r>
    </w:p>
    <w:p>
      <w:pPr>
        <w:tabs>
          <w:tab w:pos="1434" w:val="left" w:leader="none"/>
        </w:tabs>
        <w:spacing w:before="110"/>
        <w:ind w:left="895" w:right="415" w:firstLine="0"/>
        <w:jc w:val="left"/>
        <w:rPr>
          <w:rFonts w:ascii="宋体" w:hAnsi="宋体" w:cs="宋体" w:eastAsia="宋体" w:hint="default"/>
          <w:sz w:val="21"/>
          <w:szCs w:val="21"/>
        </w:rPr>
      </w:pPr>
      <w:r>
        <w:rPr/>
        <w:pict>
          <v:group style="position:absolute;margin-left:83.160004pt;margin-top:20.823669pt;width:433.6pt;height:129.3pt;mso-position-horizontal-relative:page;mso-position-vertical-relative:paragraph;z-index:-774376" coordorigin="1663,416" coordsize="8672,2586">
            <v:group style="position:absolute;left:1692;top:431;width:8614;height:2" coordorigin="1692,431" coordsize="8614,2">
              <v:shape style="position:absolute;left:1692;top:431;width:8614;height:2" coordorigin="1692,431" coordsize="8614,0" path="m1692,431l10306,431e" filled="false" stroked="true" strokeweight="1.5pt" strokecolor="#000000">
                <v:path arrowok="t"/>
              </v:shape>
              <v:shape style="position:absolute;left:4432;top:418;width:3839;height:682" type="#_x0000_t75" stroked="false">
                <v:imagedata r:id="rId245" o:title=""/>
              </v:shape>
              <v:shape style="position:absolute;left:1663;top:1042;width:8671;height:1961" type="#_x0000_t75" stroked="false">
                <v:imagedata r:id="rId246" o:title=""/>
              </v:shape>
              <v:shape style="position:absolute;left:2898;top:66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5048;top:6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6934;top:6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8370;top:513;width:1800;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计入本年非经常性损益</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的金额</w:t>
                      </w:r>
                    </w:p>
                  </w:txbxContent>
                </v:textbox>
                <w10:wrap type="non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营业外收入分项目情况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9"/>
          <w:szCs w:val="29"/>
        </w:rPr>
      </w:pPr>
    </w:p>
    <w:tbl>
      <w:tblPr>
        <w:tblW w:w="0" w:type="auto"/>
        <w:jc w:val="left"/>
        <w:tblInd w:w="157" w:type="dxa"/>
        <w:tblLayout w:type="fixed"/>
        <w:tblCellMar>
          <w:top w:w="0" w:type="dxa"/>
          <w:left w:w="0" w:type="dxa"/>
          <w:bottom w:w="0" w:type="dxa"/>
          <w:right w:w="0" w:type="dxa"/>
        </w:tblCellMar>
        <w:tblLook w:val="01E0"/>
      </w:tblPr>
      <w:tblGrid>
        <w:gridCol w:w="2817"/>
        <w:gridCol w:w="2220"/>
        <w:gridCol w:w="1931"/>
        <w:gridCol w:w="1660"/>
      </w:tblGrid>
      <w:tr>
        <w:trPr>
          <w:trHeight w:val="355" w:hRule="exact"/>
        </w:trPr>
        <w:tc>
          <w:tcPr>
            <w:tcW w:w="281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非流动资产处置利得合计</w:t>
            </w: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467"/>
              <w:jc w:val="right"/>
              <w:rPr>
                <w:rFonts w:ascii="Times New Roman" w:hAnsi="Times New Roman" w:cs="Times New Roman" w:eastAsia="Times New Roman" w:hint="default"/>
                <w:sz w:val="18"/>
                <w:szCs w:val="18"/>
              </w:rPr>
            </w:pPr>
            <w:r>
              <w:rPr>
                <w:rFonts w:ascii="Times New Roman"/>
                <w:sz w:val="18"/>
              </w:rPr>
              <w:t>35,193.24</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513"/>
              <w:jc w:val="right"/>
              <w:rPr>
                <w:rFonts w:ascii="Times New Roman" w:hAnsi="Times New Roman" w:cs="Times New Roman" w:eastAsia="Times New Roman" w:hint="default"/>
                <w:sz w:val="18"/>
                <w:szCs w:val="18"/>
              </w:rPr>
            </w:pPr>
            <w:r>
              <w:rPr>
                <w:rFonts w:ascii="Times New Roman"/>
                <w:sz w:val="18"/>
              </w:rPr>
              <w:t>6,989.68</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6"/>
              <w:jc w:val="right"/>
              <w:rPr>
                <w:rFonts w:ascii="Times New Roman" w:hAnsi="Times New Roman" w:cs="Times New Roman" w:eastAsia="Times New Roman" w:hint="default"/>
                <w:sz w:val="18"/>
                <w:szCs w:val="18"/>
              </w:rPr>
            </w:pPr>
            <w:r>
              <w:rPr>
                <w:rFonts w:ascii="Times New Roman"/>
                <w:sz w:val="18"/>
              </w:rPr>
              <w:t>35,193.24</w:t>
            </w:r>
          </w:p>
        </w:tc>
      </w:tr>
      <w:tr>
        <w:trPr>
          <w:trHeight w:val="322" w:hRule="exact"/>
        </w:trPr>
        <w:tc>
          <w:tcPr>
            <w:tcW w:w="281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其中：处置固定资产利得</w:t>
            </w: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67"/>
              <w:jc w:val="right"/>
              <w:rPr>
                <w:rFonts w:ascii="Times New Roman" w:hAnsi="Times New Roman" w:cs="Times New Roman" w:eastAsia="Times New Roman" w:hint="default"/>
                <w:sz w:val="18"/>
                <w:szCs w:val="18"/>
              </w:rPr>
            </w:pPr>
            <w:r>
              <w:rPr>
                <w:rFonts w:ascii="Times New Roman"/>
                <w:sz w:val="18"/>
              </w:rPr>
              <w:t>35,193.24</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513"/>
              <w:jc w:val="right"/>
              <w:rPr>
                <w:rFonts w:ascii="Times New Roman" w:hAnsi="Times New Roman" w:cs="Times New Roman" w:eastAsia="Times New Roman" w:hint="default"/>
                <w:sz w:val="18"/>
                <w:szCs w:val="18"/>
              </w:rPr>
            </w:pPr>
            <w:r>
              <w:rPr>
                <w:rFonts w:ascii="Times New Roman"/>
                <w:sz w:val="18"/>
              </w:rPr>
              <w:t>6,989.68</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35,193.24</w:t>
            </w:r>
          </w:p>
        </w:tc>
      </w:tr>
      <w:tr>
        <w:trPr>
          <w:trHeight w:val="322" w:hRule="exact"/>
        </w:trPr>
        <w:tc>
          <w:tcPr>
            <w:tcW w:w="281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67"/>
              <w:jc w:val="right"/>
              <w:rPr>
                <w:rFonts w:ascii="Times New Roman" w:hAnsi="Times New Roman" w:cs="Times New Roman" w:eastAsia="Times New Roman" w:hint="default"/>
                <w:sz w:val="18"/>
                <w:szCs w:val="18"/>
              </w:rPr>
            </w:pPr>
            <w:r>
              <w:rPr>
                <w:rFonts w:ascii="Times New Roman"/>
                <w:spacing w:val="-1"/>
                <w:sz w:val="18"/>
              </w:rPr>
              <w:t>25,716,594.98</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514"/>
              <w:jc w:val="right"/>
              <w:rPr>
                <w:rFonts w:ascii="Times New Roman" w:hAnsi="Times New Roman" w:cs="Times New Roman" w:eastAsia="Times New Roman" w:hint="default"/>
                <w:sz w:val="18"/>
                <w:szCs w:val="18"/>
              </w:rPr>
            </w:pPr>
            <w:r>
              <w:rPr>
                <w:rFonts w:ascii="Times New Roman"/>
                <w:spacing w:val="-1"/>
                <w:sz w:val="18"/>
              </w:rPr>
              <w:t>3,389,885.02</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25,716,594.98</w:t>
            </w:r>
          </w:p>
        </w:tc>
      </w:tr>
      <w:tr>
        <w:trPr>
          <w:trHeight w:val="322" w:hRule="exact"/>
        </w:trPr>
        <w:tc>
          <w:tcPr>
            <w:tcW w:w="281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违约金收入</w:t>
            </w: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68"/>
              <w:jc w:val="right"/>
              <w:rPr>
                <w:rFonts w:ascii="Times New Roman" w:hAnsi="Times New Roman" w:cs="Times New Roman" w:eastAsia="Times New Roman" w:hint="default"/>
                <w:sz w:val="18"/>
                <w:szCs w:val="18"/>
              </w:rPr>
            </w:pPr>
            <w:r>
              <w:rPr>
                <w:rFonts w:ascii="Times New Roman"/>
                <w:spacing w:val="-1"/>
                <w:sz w:val="18"/>
              </w:rPr>
              <w:t>1,725,695.79</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515"/>
              <w:jc w:val="right"/>
              <w:rPr>
                <w:rFonts w:ascii="Times New Roman" w:hAnsi="Times New Roman" w:cs="Times New Roman" w:eastAsia="Times New Roman" w:hint="default"/>
                <w:sz w:val="18"/>
                <w:szCs w:val="18"/>
              </w:rPr>
            </w:pPr>
            <w:r>
              <w:rPr>
                <w:rFonts w:ascii="Times New Roman"/>
                <w:sz w:val="18"/>
              </w:rPr>
              <w:t>---</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1,725,695.79</w:t>
            </w:r>
          </w:p>
        </w:tc>
      </w:tr>
      <w:tr>
        <w:trPr>
          <w:trHeight w:val="322" w:hRule="exact"/>
        </w:trPr>
        <w:tc>
          <w:tcPr>
            <w:tcW w:w="281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67"/>
              <w:jc w:val="right"/>
              <w:rPr>
                <w:rFonts w:ascii="Times New Roman" w:hAnsi="Times New Roman" w:cs="Times New Roman" w:eastAsia="Times New Roman" w:hint="default"/>
                <w:sz w:val="18"/>
                <w:szCs w:val="18"/>
              </w:rPr>
            </w:pPr>
            <w:r>
              <w:rPr>
                <w:rFonts w:ascii="Times New Roman"/>
                <w:sz w:val="18"/>
              </w:rPr>
              <w:t>397,761.46</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513"/>
              <w:jc w:val="right"/>
              <w:rPr>
                <w:rFonts w:ascii="Times New Roman" w:hAnsi="Times New Roman" w:cs="Times New Roman" w:eastAsia="Times New Roman" w:hint="default"/>
                <w:sz w:val="18"/>
                <w:szCs w:val="18"/>
              </w:rPr>
            </w:pPr>
            <w:r>
              <w:rPr>
                <w:rFonts w:ascii="Times New Roman"/>
                <w:sz w:val="18"/>
              </w:rPr>
              <w:t>224,095.23</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397,761.46</w:t>
            </w:r>
          </w:p>
        </w:tc>
      </w:tr>
      <w:tr>
        <w:trPr>
          <w:trHeight w:val="328" w:hRule="exact"/>
        </w:trPr>
        <w:tc>
          <w:tcPr>
            <w:tcW w:w="2817"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14"/>
              <w:jc w:val="center"/>
              <w:rPr>
                <w:rFonts w:ascii="宋体" w:hAnsi="宋体" w:cs="宋体" w:eastAsia="宋体" w:hint="default"/>
                <w:sz w:val="18"/>
                <w:szCs w:val="18"/>
              </w:rPr>
            </w:pPr>
            <w:r>
              <w:rPr>
                <w:rFonts w:ascii="宋体" w:hAnsi="宋体" w:cs="宋体" w:eastAsia="宋体" w:hint="default"/>
                <w:sz w:val="18"/>
                <w:szCs w:val="18"/>
              </w:rPr>
              <w:t>合计</w:t>
            </w:r>
          </w:p>
        </w:tc>
        <w:tc>
          <w:tcPr>
            <w:tcW w:w="2220"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467"/>
              <w:jc w:val="right"/>
              <w:rPr>
                <w:rFonts w:ascii="Times New Roman" w:hAnsi="Times New Roman" w:cs="Times New Roman" w:eastAsia="Times New Roman" w:hint="default"/>
                <w:sz w:val="18"/>
                <w:szCs w:val="18"/>
              </w:rPr>
            </w:pPr>
            <w:r>
              <w:rPr>
                <w:rFonts w:ascii="Times New Roman"/>
                <w:spacing w:val="-1"/>
                <w:sz w:val="18"/>
              </w:rPr>
              <w:t>27,875,245.47</w:t>
            </w:r>
          </w:p>
        </w:tc>
        <w:tc>
          <w:tcPr>
            <w:tcW w:w="1931"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514"/>
              <w:jc w:val="right"/>
              <w:rPr>
                <w:rFonts w:ascii="Times New Roman" w:hAnsi="Times New Roman" w:cs="Times New Roman" w:eastAsia="Times New Roman" w:hint="default"/>
                <w:sz w:val="18"/>
                <w:szCs w:val="18"/>
              </w:rPr>
            </w:pPr>
            <w:r>
              <w:rPr>
                <w:rFonts w:ascii="Times New Roman"/>
                <w:spacing w:val="-1"/>
                <w:sz w:val="18"/>
              </w:rPr>
              <w:t>3,620,969.93</w:t>
            </w:r>
          </w:p>
        </w:tc>
        <w:tc>
          <w:tcPr>
            <w:tcW w:w="1660"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29,875,245.47</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434" w:val="left" w:leader="none"/>
        </w:tabs>
        <w:spacing w:before="35"/>
        <w:ind w:left="895" w:right="415" w:firstLine="0"/>
        <w:jc w:val="left"/>
        <w:rPr>
          <w:rFonts w:ascii="宋体" w:hAnsi="宋体" w:cs="宋体" w:eastAsia="宋体" w:hint="default"/>
          <w:sz w:val="21"/>
          <w:szCs w:val="21"/>
        </w:rPr>
      </w:pPr>
      <w:r>
        <w:rPr/>
        <w:pict>
          <v:group style="position:absolute;margin-left:81.449997pt;margin-top:17.133537pt;width:435.6pt;height:477.5pt;mso-position-horizontal-relative:page;mso-position-vertical-relative:paragraph;z-index:-774352" coordorigin="1629,343" coordsize="8712,9550">
            <v:group style="position:absolute;left:1658;top:358;width:5978;height:2" coordorigin="1658,358" coordsize="5978,2">
              <v:shape style="position:absolute;left:1658;top:358;width:5978;height:2" coordorigin="1658,358" coordsize="5978,0" path="m1658,358l7636,358e" filled="false" stroked="true" strokeweight="1.5pt" strokecolor="#000000">
                <v:path arrowok="t"/>
              </v:shape>
            </v:group>
            <v:group style="position:absolute;left:7636;top:358;width:1390;height:2" coordorigin="7636,358" coordsize="1390,2">
              <v:shape style="position:absolute;left:7636;top:358;width:1390;height:2" coordorigin="7636,358" coordsize="1390,0" path="m7636,358l9025,358e" filled="false" stroked="true" strokeweight="1.5pt" strokecolor="#000000">
                <v:path arrowok="t"/>
              </v:shape>
            </v:group>
            <v:group style="position:absolute;left:9025;top:358;width:1280;height:2" coordorigin="9025,358" coordsize="1280,2">
              <v:shape style="position:absolute;left:9025;top:358;width:1280;height:2" coordorigin="9025,358" coordsize="1280,0" path="m9025,358l10304,358e" filled="false" stroked="true" strokeweight="1.5pt" strokecolor="#000000">
                <v:path arrowok="t"/>
              </v:shape>
              <v:shape style="position:absolute;left:3763;top:344;width:5300;height:370" type="#_x0000_t75" stroked="false">
                <v:imagedata r:id="rId247" o:title=""/>
              </v:shape>
            </v:group>
            <v:group style="position:absolute;left:1644;top:9877;width:2148;height:2" coordorigin="1644,9877" coordsize="2148,2">
              <v:shape style="position:absolute;left:1644;top:9877;width:2148;height:2" coordorigin="1644,9877" coordsize="2148,0" path="m1644,9877l3792,9877e" filled="false" stroked="true" strokeweight="1.5pt" strokecolor="#000000">
                <v:path arrowok="t"/>
              </v:shape>
            </v:group>
            <v:group style="position:absolute;left:3792;top:9877;width:1727;height:2" coordorigin="3792,9877" coordsize="1727,2">
              <v:shape style="position:absolute;left:3792;top:9877;width:1727;height:2" coordorigin="3792,9877" coordsize="1727,0" path="m3792,9877l5519,9877e" filled="false" stroked="true" strokeweight="1.5pt" strokecolor="#000000">
                <v:path arrowok="t"/>
              </v:shape>
            </v:group>
            <v:group style="position:absolute;left:5519;top:9877;width:1094;height:2" coordorigin="5519,9877" coordsize="1094,2">
              <v:shape style="position:absolute;left:5519;top:9877;width:1094;height:2" coordorigin="5519,9877" coordsize="1094,0" path="m5519,9877l6612,9877e" filled="false" stroked="true" strokeweight="1.5pt" strokecolor="#000000">
                <v:path arrowok="t"/>
              </v:shape>
            </v:group>
            <v:group style="position:absolute;left:6612;top:9877;width:994;height:2" coordorigin="6612,9877" coordsize="994,2">
              <v:shape style="position:absolute;left:6612;top:9877;width:994;height:2" coordorigin="6612,9877" coordsize="994,0" path="m6612,9877l7606,9877e" filled="false" stroked="true" strokeweight="1.5pt" strokecolor="#000000">
                <v:path arrowok="t"/>
              </v:shape>
            </v:group>
            <v:group style="position:absolute;left:7606;top:9877;width:30;height:2" coordorigin="7606,9877" coordsize="30,2">
              <v:shape style="position:absolute;left:7606;top:9877;width:30;height:2" coordorigin="7606,9877" coordsize="30,0" path="m7606,9877l7636,9877e" filled="false" stroked="true" strokeweight="1.5pt" strokecolor="#000000">
                <v:path arrowok="t"/>
              </v:shape>
            </v:group>
            <v:group style="position:absolute;left:7636;top:9877;width:1390;height:2" coordorigin="7636,9877" coordsize="1390,2">
              <v:shape style="position:absolute;left:7636;top:9877;width:1390;height:2" coordorigin="7636,9877" coordsize="1390,0" path="m7636,9877l9025,9877e" filled="false" stroked="true" strokeweight="1.5pt" strokecolor="#000000">
                <v:path arrowok="t"/>
              </v:shape>
              <v:shape style="position:absolute;left:1630;top:663;width:8711;height:9199" type="#_x0000_t75" stroked="false">
                <v:imagedata r:id="rId248" o:title=""/>
              </v:shape>
            </v:group>
            <v:group style="position:absolute;left:9025;top:9877;width:1280;height:2" coordorigin="9025,9877" coordsize="1280,2">
              <v:shape style="position:absolute;left:9025;top:9877;width:1280;height:2" coordorigin="9025,9877" coordsize="1280,0" path="m9025,9877l10304,9877e" filled="false" stroked="true" strokeweight="1.5pt" strokecolor="#000000">
                <v:path arrowok="t"/>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政府补助明细</w:t>
      </w:r>
      <w:r>
        <w:rPr>
          <w:rFonts w:ascii="宋体" w:hAnsi="宋体" w:cs="宋体" w:eastAsia="宋体" w:hint="default"/>
          <w:sz w:val="21"/>
          <w:szCs w:val="21"/>
        </w:rPr>
      </w:r>
    </w:p>
    <w:p>
      <w:pPr>
        <w:tabs>
          <w:tab w:pos="2509" w:val="left" w:leader="none"/>
          <w:tab w:pos="4369" w:val="left" w:leader="none"/>
          <w:tab w:pos="5233" w:val="left" w:leader="none"/>
          <w:tab w:pos="6439" w:val="left" w:leader="none"/>
          <w:tab w:pos="7787" w:val="left" w:leader="none"/>
        </w:tabs>
        <w:spacing w:line="328" w:lineRule="auto" w:before="57"/>
        <w:ind w:left="2384" w:right="415" w:hanging="1358"/>
        <w:jc w:val="left"/>
        <w:rPr>
          <w:rFonts w:ascii="宋体" w:hAnsi="宋体" w:cs="宋体" w:eastAsia="宋体" w:hint="default"/>
          <w:sz w:val="18"/>
          <w:szCs w:val="18"/>
        </w:rPr>
      </w:pPr>
      <w:r>
        <w:rPr>
          <w:rFonts w:ascii="宋体" w:hAnsi="宋体" w:cs="宋体" w:eastAsia="宋体" w:hint="default"/>
          <w:sz w:val="18"/>
          <w:szCs w:val="18"/>
        </w:rPr>
        <w:t>项目</w:t>
        <w:tab/>
        <w:tab/>
        <w:t>具体性质和内容</w:t>
        <w:tab/>
        <w:t>形式</w:t>
        <w:tab/>
        <w:t>取得时间</w:t>
        <w:tab/>
        <w:t> 本年金额</w:t>
        <w:tab/>
        <w:t>上年金额</w:t>
      </w:r>
      <w:r>
        <w:rPr>
          <w:rFonts w:ascii="宋体" w:hAnsi="宋体" w:cs="宋体" w:eastAsia="宋体" w:hint="default"/>
          <w:spacing w:val="7"/>
          <w:sz w:val="18"/>
          <w:szCs w:val="18"/>
        </w:rPr>
        <w:t> </w:t>
      </w:r>
      <w:r>
        <w:rPr>
          <w:rFonts w:ascii="宋体" w:hAnsi="宋体" w:cs="宋体" w:eastAsia="宋体" w:hint="default"/>
          <w:spacing w:val="-3"/>
          <w:sz w:val="18"/>
          <w:szCs w:val="18"/>
        </w:rPr>
        <w:t>聚酰亚胺（新材料）</w:t>
      </w:r>
    </w:p>
    <w:p>
      <w:pPr>
        <w:spacing w:after="0" w:line="328" w:lineRule="auto"/>
        <w:jc w:val="left"/>
        <w:rPr>
          <w:rFonts w:ascii="宋体" w:hAnsi="宋体" w:cs="宋体" w:eastAsia="宋体" w:hint="default"/>
          <w:sz w:val="18"/>
          <w:szCs w:val="18"/>
        </w:rPr>
        <w:sectPr>
          <w:pgSz w:w="11910" w:h="16840"/>
          <w:pgMar w:header="0" w:footer="1270" w:top="1360" w:bottom="1460" w:left="1520" w:right="1460"/>
        </w:sectPr>
      </w:pPr>
    </w:p>
    <w:p>
      <w:pPr>
        <w:spacing w:before="10"/>
        <w:ind w:left="246" w:right="-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、科技研发资金</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3"/>
          <w:szCs w:val="23"/>
        </w:rPr>
      </w:pPr>
    </w:p>
    <w:p>
      <w:pPr>
        <w:spacing w:line="300" w:lineRule="auto" w:before="0"/>
        <w:ind w:left="246" w:right="-5" w:firstLine="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、企业研发中心项目资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金</w:t>
      </w:r>
    </w:p>
    <w:p>
      <w:pPr>
        <w:spacing w:line="240" w:lineRule="auto" w:before="0"/>
        <w:rPr>
          <w:rFonts w:ascii="宋体" w:hAnsi="宋体" w:cs="宋体" w:eastAsia="宋体" w:hint="default"/>
          <w:sz w:val="18"/>
          <w:szCs w:val="18"/>
        </w:rPr>
      </w:pPr>
    </w:p>
    <w:p>
      <w:pPr>
        <w:spacing w:before="118"/>
        <w:ind w:left="246" w:right="-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、科技研究经费</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3"/>
          <w:szCs w:val="23"/>
        </w:rPr>
      </w:pPr>
    </w:p>
    <w:p>
      <w:pPr>
        <w:spacing w:before="0"/>
        <w:ind w:left="246" w:right="-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、科技成果转化补助</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17"/>
          <w:szCs w:val="17"/>
        </w:rPr>
      </w:pPr>
    </w:p>
    <w:p>
      <w:pPr>
        <w:spacing w:before="0"/>
        <w:ind w:left="246" w:right="-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、技术改造专项资金</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23"/>
          <w:szCs w:val="23"/>
        </w:rPr>
      </w:pPr>
    </w:p>
    <w:p>
      <w:pPr>
        <w:spacing w:line="300" w:lineRule="auto" w:before="0"/>
        <w:ind w:left="246" w:right="-5" w:firstLine="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6</w:t>
      </w:r>
      <w:r>
        <w:rPr>
          <w:rFonts w:ascii="宋体" w:hAnsi="宋体" w:cs="宋体" w:eastAsia="宋体" w:hint="default"/>
          <w:spacing w:val="2"/>
          <w:sz w:val="18"/>
          <w:szCs w:val="18"/>
        </w:rPr>
        <w:t>、重大科技成果转化项</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目经费</w:t>
      </w:r>
    </w:p>
    <w:p>
      <w:pPr>
        <w:spacing w:line="240" w:lineRule="auto" w:before="13"/>
        <w:rPr>
          <w:rFonts w:ascii="宋体" w:hAnsi="宋体" w:cs="宋体" w:eastAsia="宋体" w:hint="default"/>
          <w:sz w:val="26"/>
          <w:szCs w:val="26"/>
        </w:rPr>
      </w:pPr>
    </w:p>
    <w:p>
      <w:pPr>
        <w:spacing w:before="0"/>
        <w:ind w:left="246" w:right="-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、产业发展专项资金</w:t>
      </w:r>
    </w:p>
    <w:p>
      <w:pPr>
        <w:spacing w:line="321" w:lineRule="auto" w:before="10"/>
        <w:ind w:left="171" w:right="-13" w:firstLine="0"/>
        <w:jc w:val="left"/>
        <w:rPr>
          <w:rFonts w:ascii="宋体" w:hAnsi="宋体" w:cs="宋体" w:eastAsia="宋体" w:hint="default"/>
          <w:sz w:val="18"/>
          <w:szCs w:val="18"/>
        </w:rPr>
      </w:pPr>
      <w:r>
        <w:rPr>
          <w:spacing w:val="8"/>
        </w:rPr>
        <w:br w:type="column"/>
      </w:r>
      <w:r>
        <w:rPr>
          <w:rFonts w:ascii="宋体" w:hAnsi="宋体" w:cs="宋体" w:eastAsia="宋体" w:hint="default"/>
          <w:spacing w:val="8"/>
          <w:sz w:val="18"/>
          <w:szCs w:val="18"/>
        </w:rPr>
        <w:t>科技研发中心建设</w:t>
      </w:r>
      <w:r>
        <w:rPr>
          <w:rFonts w:ascii="宋体" w:hAnsi="宋体" w:cs="宋体" w:eastAsia="宋体" w:hint="default"/>
          <w:sz w:val="18"/>
          <w:szCs w:val="18"/>
        </w:rPr>
        <w:t> 经费 </w:t>
      </w:r>
      <w:r>
        <w:rPr>
          <w:rFonts w:ascii="宋体" w:hAnsi="宋体" w:cs="宋体" w:eastAsia="宋体" w:hint="default"/>
          <w:spacing w:val="8"/>
          <w:sz w:val="18"/>
          <w:szCs w:val="18"/>
        </w:rPr>
        <w:t>用于建立深圳市新</w:t>
      </w:r>
      <w:r>
        <w:rPr>
          <w:rFonts w:ascii="宋体" w:hAnsi="宋体" w:cs="宋体" w:eastAsia="宋体" w:hint="default"/>
          <w:sz w:val="18"/>
          <w:szCs w:val="18"/>
        </w:rPr>
        <w:t> </w:t>
      </w:r>
      <w:r>
        <w:rPr>
          <w:rFonts w:ascii="宋体" w:hAnsi="宋体" w:cs="宋体" w:eastAsia="宋体" w:hint="default"/>
          <w:spacing w:val="8"/>
          <w:sz w:val="18"/>
          <w:szCs w:val="18"/>
        </w:rPr>
        <w:t>型电气绝缘材料及</w:t>
      </w:r>
      <w:r>
        <w:rPr>
          <w:rFonts w:ascii="宋体" w:hAnsi="宋体" w:cs="宋体" w:eastAsia="宋体" w:hint="default"/>
          <w:sz w:val="18"/>
          <w:szCs w:val="18"/>
        </w:rPr>
        <w:t> 产品研究开发中心 </w:t>
      </w:r>
      <w:r>
        <w:rPr>
          <w:rFonts w:ascii="宋体" w:hAnsi="宋体" w:cs="宋体" w:eastAsia="宋体" w:hint="default"/>
          <w:spacing w:val="8"/>
          <w:sz w:val="18"/>
          <w:szCs w:val="18"/>
        </w:rPr>
        <w:t>用于聚酰亚胺半互</w:t>
      </w:r>
      <w:r>
        <w:rPr>
          <w:rFonts w:ascii="宋体" w:hAnsi="宋体" w:cs="宋体" w:eastAsia="宋体" w:hint="default"/>
          <w:sz w:val="18"/>
          <w:szCs w:val="18"/>
        </w:rPr>
        <w:t> 穿网络材料中试 </w:t>
      </w:r>
      <w:r>
        <w:rPr>
          <w:rFonts w:ascii="宋体" w:hAnsi="宋体" w:cs="宋体" w:eastAsia="宋体" w:hint="default"/>
          <w:spacing w:val="8"/>
          <w:sz w:val="18"/>
          <w:szCs w:val="18"/>
        </w:rPr>
        <w:t>用于耐热聚酰亚胺</w:t>
      </w:r>
      <w:r>
        <w:rPr>
          <w:rFonts w:ascii="宋体" w:hAnsi="宋体" w:cs="宋体" w:eastAsia="宋体" w:hint="default"/>
          <w:sz w:val="18"/>
          <w:szCs w:val="18"/>
        </w:rPr>
        <w:t> </w:t>
      </w:r>
      <w:r>
        <w:rPr>
          <w:rFonts w:ascii="宋体" w:hAnsi="宋体" w:cs="宋体" w:eastAsia="宋体" w:hint="default"/>
          <w:spacing w:val="8"/>
          <w:sz w:val="18"/>
          <w:szCs w:val="18"/>
        </w:rPr>
        <w:t>纤维科技成果转化</w:t>
      </w:r>
      <w:r>
        <w:rPr>
          <w:rFonts w:ascii="宋体" w:hAnsi="宋体" w:cs="宋体" w:eastAsia="宋体" w:hint="default"/>
          <w:sz w:val="18"/>
          <w:szCs w:val="18"/>
        </w:rPr>
        <w:t> 补助 </w:t>
      </w:r>
      <w:r>
        <w:rPr>
          <w:rFonts w:ascii="宋体" w:hAnsi="宋体" w:cs="宋体" w:eastAsia="宋体" w:hint="default"/>
          <w:spacing w:val="8"/>
          <w:sz w:val="18"/>
          <w:szCs w:val="18"/>
        </w:rPr>
        <w:t>用于高性能耐热聚</w:t>
      </w:r>
      <w:r>
        <w:rPr>
          <w:rFonts w:ascii="宋体" w:hAnsi="宋体" w:cs="宋体" w:eastAsia="宋体" w:hint="default"/>
          <w:sz w:val="18"/>
          <w:szCs w:val="18"/>
        </w:rPr>
        <w:t> </w:t>
      </w:r>
      <w:r>
        <w:rPr>
          <w:rFonts w:ascii="宋体" w:hAnsi="宋体" w:cs="宋体" w:eastAsia="宋体" w:hint="default"/>
          <w:spacing w:val="8"/>
          <w:sz w:val="18"/>
          <w:szCs w:val="18"/>
        </w:rPr>
        <w:t>酰亚胺纤维产业化</w:t>
      </w:r>
      <w:r>
        <w:rPr>
          <w:rFonts w:ascii="宋体" w:hAnsi="宋体" w:cs="宋体" w:eastAsia="宋体" w:hint="default"/>
          <w:sz w:val="18"/>
          <w:szCs w:val="18"/>
        </w:rPr>
        <w:t> 项目</w:t>
      </w:r>
    </w:p>
    <w:p>
      <w:pPr>
        <w:spacing w:line="309" w:lineRule="auto" w:before="26"/>
        <w:ind w:left="171" w:right="0" w:firstLine="0"/>
        <w:jc w:val="both"/>
        <w:rPr>
          <w:rFonts w:ascii="宋体" w:hAnsi="宋体" w:cs="宋体" w:eastAsia="宋体" w:hint="default"/>
          <w:sz w:val="18"/>
          <w:szCs w:val="18"/>
        </w:rPr>
      </w:pPr>
      <w:r>
        <w:rPr>
          <w:rFonts w:ascii="宋体" w:hAnsi="宋体" w:cs="宋体" w:eastAsia="宋体" w:hint="default"/>
          <w:sz w:val="18"/>
          <w:szCs w:val="18"/>
        </w:rPr>
        <w:t>用于年产</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吨高 </w:t>
      </w:r>
      <w:r>
        <w:rPr>
          <w:rFonts w:ascii="宋体" w:hAnsi="宋体" w:cs="宋体" w:eastAsia="宋体" w:hint="default"/>
          <w:spacing w:val="8"/>
          <w:sz w:val="18"/>
          <w:szCs w:val="18"/>
        </w:rPr>
        <w:t>性能聚酰亚胺纤维</w:t>
      </w:r>
      <w:r>
        <w:rPr>
          <w:rFonts w:ascii="宋体" w:hAnsi="宋体" w:cs="宋体" w:eastAsia="宋体" w:hint="default"/>
          <w:sz w:val="18"/>
          <w:szCs w:val="18"/>
        </w:rPr>
        <w:t> 产业化开发</w:t>
      </w:r>
    </w:p>
    <w:p>
      <w:pPr>
        <w:spacing w:line="300" w:lineRule="auto" w:before="34"/>
        <w:ind w:left="171" w:right="-19" w:firstLine="0"/>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吨单氯代 苯酐产业化项目</w:t>
      </w:r>
    </w:p>
    <w:p>
      <w:pPr>
        <w:tabs>
          <w:tab w:pos="1365" w:val="left" w:leader="none"/>
          <w:tab w:pos="2655" w:val="left" w:leader="none"/>
          <w:tab w:pos="3930" w:val="left" w:leader="none"/>
        </w:tabs>
        <w:spacing w:before="10"/>
        <w:ind w:left="175" w:right="0"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sz w:val="18"/>
          <w:szCs w:val="18"/>
        </w:rPr>
        <w:t>财政拨款</w:t>
        <w:tab/>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350,000.00</w:t>
        <w:tab/>
        <w:t>350,000.00</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6"/>
        <w:rPr>
          <w:rFonts w:ascii="Times New Roman" w:hAnsi="Times New Roman" w:cs="Times New Roman" w:eastAsia="Times New Roman" w:hint="default"/>
          <w:sz w:val="24"/>
          <w:szCs w:val="24"/>
        </w:rPr>
      </w:pPr>
    </w:p>
    <w:p>
      <w:pPr>
        <w:tabs>
          <w:tab w:pos="1365" w:val="left" w:leader="none"/>
          <w:tab w:pos="3286" w:val="left" w:leader="none"/>
          <w:tab w:pos="3796" w:val="left" w:leader="none"/>
        </w:tabs>
        <w:spacing w:before="0"/>
        <w:ind w:left="175"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财政拨款</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w:t>
        <w:tab/>
        <w:t>1,000,000.00</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tabs>
          <w:tab w:pos="1365" w:val="left" w:leader="none"/>
          <w:tab w:pos="3286" w:val="left" w:leader="none"/>
          <w:tab w:pos="3930" w:val="left" w:leader="none"/>
        </w:tabs>
        <w:spacing w:before="127"/>
        <w:ind w:left="175"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财政拨款</w:t>
        <w:tab/>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w:t>
        <w:tab/>
        <w:t>129,848.14</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tabs>
          <w:tab w:pos="1365" w:val="left" w:leader="none"/>
          <w:tab w:pos="3286" w:val="left" w:leader="none"/>
          <w:tab w:pos="3930" w:val="left" w:leader="none"/>
        </w:tabs>
        <w:spacing w:before="126"/>
        <w:ind w:left="175"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财政拨款</w:t>
        <w:tab/>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w:t>
        <w:tab/>
        <w:t>308,022.78</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6"/>
        <w:rPr>
          <w:rFonts w:ascii="Times New Roman" w:hAnsi="Times New Roman" w:cs="Times New Roman" w:eastAsia="Times New Roman" w:hint="default"/>
          <w:sz w:val="24"/>
          <w:szCs w:val="24"/>
        </w:rPr>
      </w:pPr>
    </w:p>
    <w:p>
      <w:pPr>
        <w:tabs>
          <w:tab w:pos="1365" w:val="left" w:leader="none"/>
          <w:tab w:pos="2520" w:val="left" w:leader="none"/>
          <w:tab w:pos="3930" w:val="left" w:leader="none"/>
        </w:tabs>
        <w:spacing w:before="0"/>
        <w:ind w:left="175"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财政拨款</w:t>
        <w:tab/>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pacing w:val="-1"/>
          <w:sz w:val="18"/>
          <w:szCs w:val="18"/>
        </w:rPr>
        <w:t>1,400,000.00</w:t>
        <w:tab/>
      </w:r>
      <w:r>
        <w:rPr>
          <w:rFonts w:ascii="Times New Roman" w:hAnsi="Times New Roman" w:cs="Times New Roman" w:eastAsia="Times New Roman" w:hint="default"/>
          <w:sz w:val="18"/>
          <w:szCs w:val="18"/>
        </w:rPr>
        <w:t>533,333.33</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8"/>
        <w:rPr>
          <w:rFonts w:ascii="Times New Roman" w:hAnsi="Times New Roman" w:cs="Times New Roman" w:eastAsia="Times New Roman" w:hint="default"/>
          <w:sz w:val="24"/>
          <w:szCs w:val="24"/>
        </w:rPr>
      </w:pPr>
    </w:p>
    <w:p>
      <w:pPr>
        <w:tabs>
          <w:tab w:pos="1365" w:val="left" w:leader="none"/>
          <w:tab w:pos="2520" w:val="left" w:leader="none"/>
          <w:tab w:pos="3930" w:val="left" w:leader="none"/>
        </w:tabs>
        <w:spacing w:before="0"/>
        <w:ind w:left="175"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财政拨款</w:t>
        <w:tab/>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pacing w:val="-1"/>
          <w:sz w:val="18"/>
          <w:szCs w:val="18"/>
        </w:rPr>
        <w:t>4,615,384.62</w:t>
        <w:tab/>
      </w:r>
      <w:r>
        <w:rPr>
          <w:rFonts w:ascii="Times New Roman" w:hAnsi="Times New Roman" w:cs="Times New Roman" w:eastAsia="Times New Roman" w:hint="default"/>
          <w:sz w:val="18"/>
          <w:szCs w:val="18"/>
        </w:rPr>
        <w:t>769,230.77</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tabs>
          <w:tab w:pos="1365" w:val="left" w:leader="none"/>
          <w:tab w:pos="3286" w:val="left" w:leader="none"/>
          <w:tab w:pos="3930" w:val="left" w:leader="none"/>
        </w:tabs>
        <w:spacing w:before="126"/>
        <w:ind w:left="175"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财政拨款</w:t>
        <w:tab/>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w:t>
        <w:tab/>
        <w:t>200,000.00</w:t>
      </w:r>
    </w:p>
    <w:p>
      <w:pPr>
        <w:spacing w:after="0"/>
        <w:jc w:val="left"/>
        <w:rPr>
          <w:rFonts w:ascii="Times New Roman" w:hAnsi="Times New Roman" w:cs="Times New Roman" w:eastAsia="Times New Roman" w:hint="default"/>
          <w:sz w:val="18"/>
          <w:szCs w:val="18"/>
        </w:rPr>
        <w:sectPr>
          <w:type w:val="continuous"/>
          <w:pgSz w:w="11910" w:h="16840"/>
          <w:pgMar w:top="900" w:bottom="1460" w:left="1520" w:right="1460"/>
          <w:cols w:num="3" w:equalWidth="0">
            <w:col w:w="2174" w:space="40"/>
            <w:col w:w="1683" w:space="40"/>
            <w:col w:w="4993"/>
          </w:cols>
        </w:sectPr>
      </w:pPr>
    </w:p>
    <w:p>
      <w:pPr>
        <w:tabs>
          <w:tab w:pos="2384" w:val="left" w:leader="none"/>
          <w:tab w:pos="4111" w:val="left" w:leader="none"/>
          <w:tab w:pos="5300" w:val="left" w:leader="none"/>
          <w:tab w:pos="7221" w:val="left" w:leader="none"/>
          <w:tab w:pos="7956" w:val="left" w:leader="none"/>
        </w:tabs>
        <w:spacing w:before="41"/>
        <w:ind w:left="246"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、清洁生产奖励</w:t>
        <w:tab/>
        <w:t>清洁生产企业奖励</w:t>
        <w:tab/>
        <w:t>财政拨款</w:t>
        <w:tab/>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w:t>
        <w:tab/>
        <w:t>50,000.00</w:t>
      </w:r>
    </w:p>
    <w:p>
      <w:pPr>
        <w:tabs>
          <w:tab w:pos="2384" w:val="left" w:leader="none"/>
          <w:tab w:pos="4111" w:val="left" w:leader="none"/>
          <w:tab w:pos="5300" w:val="left" w:leader="none"/>
          <w:tab w:pos="7221" w:val="left" w:leader="none"/>
          <w:tab w:pos="7956" w:val="left" w:leader="none"/>
        </w:tabs>
        <w:spacing w:before="73"/>
        <w:ind w:left="246"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、展会补贴款</w:t>
        <w:tab/>
        <w:t>展会补贴款</w:t>
        <w:tab/>
        <w:t>财政拨款</w:t>
        <w:tab/>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w:t>
        <w:tab/>
        <w:t>29,450.00</w:t>
      </w:r>
    </w:p>
    <w:p>
      <w:pPr>
        <w:spacing w:before="72"/>
        <w:ind w:left="2384" w:right="415" w:firstLine="0"/>
        <w:jc w:val="left"/>
        <w:rPr>
          <w:rFonts w:ascii="宋体" w:hAnsi="宋体" w:cs="宋体" w:eastAsia="宋体" w:hint="default"/>
          <w:sz w:val="18"/>
          <w:szCs w:val="18"/>
        </w:rPr>
      </w:pPr>
      <w:r>
        <w:rPr>
          <w:rFonts w:ascii="宋体" w:hAnsi="宋体" w:cs="宋体" w:eastAsia="宋体" w:hint="default"/>
          <w:spacing w:val="8"/>
          <w:sz w:val="18"/>
          <w:szCs w:val="18"/>
        </w:rPr>
        <w:t>省科学技术奖、省</w:t>
      </w:r>
    </w:p>
    <w:p>
      <w:pPr>
        <w:spacing w:after="0"/>
        <w:jc w:val="left"/>
        <w:rPr>
          <w:rFonts w:ascii="宋体" w:hAnsi="宋体" w:cs="宋体" w:eastAsia="宋体" w:hint="default"/>
          <w:sz w:val="18"/>
          <w:szCs w:val="18"/>
        </w:rPr>
        <w:sectPr>
          <w:type w:val="continuous"/>
          <w:pgSz w:w="11910" w:h="16840"/>
          <w:pgMar w:top="900" w:bottom="1460" w:left="1520" w:right="1460"/>
        </w:sectPr>
      </w:pPr>
    </w:p>
    <w:p>
      <w:pPr>
        <w:spacing w:before="76"/>
        <w:ind w:left="246" w:right="-1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、省科技贡献奖</w:t>
      </w:r>
    </w:p>
    <w:p>
      <w:pPr>
        <w:spacing w:line="240" w:lineRule="auto" w:before="0"/>
        <w:rPr>
          <w:rFonts w:ascii="宋体" w:hAnsi="宋体" w:cs="宋体" w:eastAsia="宋体" w:hint="default"/>
          <w:sz w:val="18"/>
          <w:szCs w:val="18"/>
        </w:rPr>
      </w:pPr>
    </w:p>
    <w:p>
      <w:pPr>
        <w:spacing w:line="304" w:lineRule="auto" w:before="149"/>
        <w:ind w:left="246" w:right="-18" w:firstLine="0"/>
        <w:jc w:val="left"/>
        <w:rPr>
          <w:rFonts w:ascii="宋体" w:hAnsi="宋体" w:cs="宋体" w:eastAsia="宋体" w:hint="default"/>
          <w:sz w:val="18"/>
          <w:szCs w:val="18"/>
        </w:rPr>
      </w:pPr>
      <w:r>
        <w:rPr>
          <w:rFonts w:ascii="Times New Roman" w:hAnsi="Times New Roman" w:cs="Times New Roman" w:eastAsia="Times New Roman" w:hint="default"/>
          <w:spacing w:val="-5"/>
          <w:sz w:val="18"/>
          <w:szCs w:val="18"/>
        </w:rPr>
        <w:t>11</w:t>
      </w:r>
      <w:r>
        <w:rPr>
          <w:rFonts w:ascii="宋体" w:hAnsi="宋体" w:cs="宋体" w:eastAsia="宋体" w:hint="default"/>
          <w:spacing w:val="-5"/>
          <w:sz w:val="18"/>
          <w:szCs w:val="18"/>
        </w:rPr>
        <w:t>、高新技术产业专项补</w:t>
      </w:r>
      <w:r>
        <w:rPr>
          <w:rFonts w:ascii="宋体" w:hAnsi="宋体" w:cs="宋体" w:eastAsia="宋体" w:hint="default"/>
          <w:sz w:val="18"/>
          <w:szCs w:val="18"/>
        </w:rPr>
        <w:t> 助资金</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5"/>
          <w:sz w:val="18"/>
          <w:szCs w:val="18"/>
        </w:rPr>
        <w:t>12</w:t>
      </w:r>
      <w:r>
        <w:rPr>
          <w:rFonts w:ascii="宋体" w:hAnsi="宋体" w:cs="宋体" w:eastAsia="宋体" w:hint="default"/>
          <w:spacing w:val="-5"/>
          <w:sz w:val="18"/>
          <w:szCs w:val="18"/>
        </w:rPr>
        <w:t>、聚酰亚胺项目技术改</w:t>
      </w:r>
      <w:r>
        <w:rPr>
          <w:rFonts w:ascii="宋体" w:hAnsi="宋体" w:cs="宋体" w:eastAsia="宋体" w:hint="default"/>
          <w:sz w:val="18"/>
          <w:szCs w:val="18"/>
        </w:rPr>
        <w:t> 造财政补助</w:t>
      </w:r>
    </w:p>
    <w:p>
      <w:pPr>
        <w:spacing w:line="321" w:lineRule="auto" w:before="76"/>
        <w:ind w:left="175" w:right="-13" w:firstLine="0"/>
        <w:jc w:val="left"/>
        <w:rPr>
          <w:rFonts w:ascii="宋体" w:hAnsi="宋体" w:cs="宋体" w:eastAsia="宋体" w:hint="default"/>
          <w:sz w:val="18"/>
          <w:szCs w:val="18"/>
        </w:rPr>
      </w:pPr>
      <w:r>
        <w:rPr>
          <w:spacing w:val="8"/>
        </w:rPr>
        <w:br w:type="column"/>
      </w:r>
      <w:r>
        <w:rPr>
          <w:rFonts w:ascii="宋体" w:hAnsi="宋体" w:cs="宋体" w:eastAsia="宋体" w:hint="default"/>
          <w:spacing w:val="8"/>
          <w:sz w:val="18"/>
          <w:szCs w:val="18"/>
        </w:rPr>
        <w:t>科学技术突出贡献</w:t>
      </w:r>
      <w:r>
        <w:rPr>
          <w:rFonts w:ascii="宋体" w:hAnsi="宋体" w:cs="宋体" w:eastAsia="宋体" w:hint="default"/>
          <w:sz w:val="18"/>
          <w:szCs w:val="18"/>
        </w:rPr>
        <w:t> 奖 </w:t>
      </w:r>
      <w:r>
        <w:rPr>
          <w:rFonts w:ascii="宋体" w:hAnsi="宋体" w:cs="宋体" w:eastAsia="宋体" w:hint="default"/>
          <w:spacing w:val="8"/>
          <w:sz w:val="18"/>
          <w:szCs w:val="18"/>
        </w:rPr>
        <w:t>高新技术产业专项</w:t>
      </w:r>
      <w:r>
        <w:rPr>
          <w:rFonts w:ascii="宋体" w:hAnsi="宋体" w:cs="宋体" w:eastAsia="宋体" w:hint="default"/>
          <w:sz w:val="18"/>
          <w:szCs w:val="18"/>
        </w:rPr>
        <w:t> 补助资金 </w:t>
      </w:r>
      <w:r>
        <w:rPr>
          <w:rFonts w:ascii="宋体" w:hAnsi="宋体" w:cs="宋体" w:eastAsia="宋体" w:hint="default"/>
          <w:spacing w:val="8"/>
          <w:sz w:val="18"/>
          <w:szCs w:val="18"/>
        </w:rPr>
        <w:t>聚酰亚胺项目技术</w:t>
      </w:r>
      <w:r>
        <w:rPr>
          <w:rFonts w:ascii="宋体" w:hAnsi="宋体" w:cs="宋体" w:eastAsia="宋体" w:hint="default"/>
          <w:sz w:val="18"/>
          <w:szCs w:val="18"/>
        </w:rPr>
        <w:t> 改造财政补助</w:t>
      </w:r>
    </w:p>
    <w:p>
      <w:pPr>
        <w:tabs>
          <w:tab w:pos="1365" w:val="left" w:leader="none"/>
          <w:tab w:pos="3286" w:val="left" w:leader="none"/>
          <w:tab w:pos="4020" w:val="left" w:leader="none"/>
        </w:tabs>
        <w:spacing w:before="76"/>
        <w:ind w:left="176" w:right="0"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sz w:val="18"/>
          <w:szCs w:val="18"/>
        </w:rPr>
        <w:t>财政拨款</w:t>
        <w:tab/>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w:t>
        <w:tab/>
        <w:t>20,000.00</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tabs>
          <w:tab w:pos="1368" w:val="left" w:leader="none"/>
          <w:tab w:pos="2431" w:val="left" w:leader="none"/>
          <w:tab w:pos="4560" w:val="left" w:leader="none"/>
        </w:tabs>
        <w:spacing w:before="126"/>
        <w:ind w:left="176"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财政拨款</w:t>
        <w:tab/>
      </w:r>
      <w:r>
        <w:rPr>
          <w:rFonts w:ascii="Times New Roman" w:hAnsi="Times New Roman" w:cs="Times New Roman" w:eastAsia="Times New Roman" w:hint="default"/>
          <w:spacing w:val="-2"/>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pacing w:val="-1"/>
          <w:sz w:val="18"/>
          <w:szCs w:val="18"/>
        </w:rPr>
        <w:t>12,146,067.00</w:t>
        <w:tab/>
      </w:r>
      <w:r>
        <w:rPr>
          <w:rFonts w:ascii="Times New Roman" w:hAnsi="Times New Roman" w:cs="Times New Roman" w:eastAsia="Times New Roman" w:hint="default"/>
          <w:sz w:val="18"/>
          <w:szCs w:val="18"/>
        </w:rPr>
        <w:t>---</w:t>
      </w:r>
    </w:p>
    <w:p>
      <w:pPr>
        <w:spacing w:line="240" w:lineRule="auto" w:before="0"/>
        <w:rPr>
          <w:rFonts w:ascii="Times New Roman" w:hAnsi="Times New Roman" w:cs="Times New Roman" w:eastAsia="Times New Roman" w:hint="default"/>
          <w:sz w:val="18"/>
          <w:szCs w:val="18"/>
        </w:rPr>
      </w:pPr>
    </w:p>
    <w:p>
      <w:pPr>
        <w:spacing w:line="240" w:lineRule="auto" w:before="6"/>
        <w:rPr>
          <w:rFonts w:ascii="Times New Roman" w:hAnsi="Times New Roman" w:cs="Times New Roman" w:eastAsia="Times New Roman" w:hint="default"/>
          <w:sz w:val="15"/>
          <w:szCs w:val="15"/>
        </w:rPr>
      </w:pPr>
    </w:p>
    <w:p>
      <w:pPr>
        <w:tabs>
          <w:tab w:pos="1365" w:val="left" w:leader="none"/>
          <w:tab w:pos="2656" w:val="left" w:leader="none"/>
          <w:tab w:pos="4560" w:val="left" w:leader="none"/>
        </w:tabs>
        <w:spacing w:before="0"/>
        <w:ind w:left="176"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财政拨款</w:t>
        <w:tab/>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375,000.00</w:t>
        <w:tab/>
        <w:t>---</w:t>
      </w:r>
    </w:p>
    <w:p>
      <w:pPr>
        <w:spacing w:after="0"/>
        <w:jc w:val="left"/>
        <w:rPr>
          <w:rFonts w:ascii="Times New Roman" w:hAnsi="Times New Roman" w:cs="Times New Roman" w:eastAsia="Times New Roman" w:hint="default"/>
          <w:sz w:val="18"/>
          <w:szCs w:val="18"/>
        </w:rPr>
        <w:sectPr>
          <w:type w:val="continuous"/>
          <w:pgSz w:w="11910" w:h="16840"/>
          <w:pgMar w:top="900" w:bottom="1460" w:left="1520" w:right="1460"/>
          <w:cols w:num="3" w:equalWidth="0">
            <w:col w:w="2169" w:space="40"/>
            <w:col w:w="1687" w:space="40"/>
            <w:col w:w="4994"/>
          </w:cols>
        </w:sectPr>
      </w:pPr>
    </w:p>
    <w:p>
      <w:pPr>
        <w:tabs>
          <w:tab w:pos="2384" w:val="left" w:leader="none"/>
          <w:tab w:pos="4111" w:val="left" w:leader="none"/>
          <w:tab w:pos="5304" w:val="left" w:leader="none"/>
          <w:tab w:pos="8496" w:val="left" w:leader="none"/>
        </w:tabs>
        <w:spacing w:before="25"/>
        <w:ind w:left="246"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13</w:t>
      </w:r>
      <w:r>
        <w:rPr>
          <w:rFonts w:ascii="宋体" w:hAnsi="宋体" w:cs="宋体" w:eastAsia="宋体" w:hint="default"/>
          <w:sz w:val="18"/>
          <w:szCs w:val="18"/>
        </w:rPr>
        <w:t>、江西省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年产业</w:t>
        <w:tab/>
      </w:r>
      <w:r>
        <w:rPr>
          <w:rFonts w:ascii="宋体" w:hAnsi="宋体" w:cs="宋体" w:eastAsia="宋体" w:hint="default"/>
          <w:spacing w:val="8"/>
          <w:sz w:val="18"/>
          <w:szCs w:val="18"/>
        </w:rPr>
        <w:t>江西先材纳米纤维</w:t>
        <w:tab/>
      </w:r>
      <w:r>
        <w:rPr>
          <w:rFonts w:ascii="宋体" w:hAnsi="宋体" w:cs="宋体" w:eastAsia="宋体" w:hint="default"/>
          <w:sz w:val="18"/>
          <w:szCs w:val="18"/>
        </w:rPr>
        <w:t>财政拨款</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w:t>
      </w:r>
    </w:p>
    <w:p>
      <w:pPr>
        <w:spacing w:after="0"/>
        <w:jc w:val="left"/>
        <w:rPr>
          <w:rFonts w:ascii="Times New Roman" w:hAnsi="Times New Roman" w:cs="Times New Roman" w:eastAsia="Times New Roman" w:hint="default"/>
          <w:sz w:val="18"/>
          <w:szCs w:val="18"/>
        </w:rPr>
        <w:sectPr>
          <w:type w:val="continuous"/>
          <w:pgSz w:w="11910" w:h="16840"/>
          <w:pgMar w:top="900" w:bottom="1460" w:left="1520" w:right="1460"/>
        </w:sectPr>
      </w:pPr>
    </w:p>
    <w:p>
      <w:pPr>
        <w:spacing w:line="240" w:lineRule="auto" w:before="0"/>
        <w:rPr>
          <w:rFonts w:ascii="Times New Roman" w:hAnsi="Times New Roman" w:cs="Times New Roman" w:eastAsia="Times New Roman" w:hint="default"/>
          <w:sz w:val="20"/>
          <w:szCs w:val="20"/>
        </w:rPr>
      </w:pPr>
      <w:r>
        <w:rPr/>
        <w:pict>
          <v:group style="position:absolute;margin-left:83.160004pt;margin-top:657.659973pt;width:433.4pt;height:81.850pt;mso-position-horizontal-relative:page;mso-position-vertical-relative:page;z-index:-774016" coordorigin="1663,13153" coordsize="8668,1637">
            <v:shape style="position:absolute;left:5926;top:13153;width:2262;height:434" type="#_x0000_t75" stroked="false">
              <v:imagedata r:id="rId249" o:title=""/>
            </v:shape>
            <v:shape style="position:absolute;left:1663;top:13547;width:8668;height:1243" type="#_x0000_t75" stroked="false">
              <v:imagedata r:id="rId250" o:title=""/>
            </v:shape>
            <w10:wrap type="none"/>
          </v:group>
        </w:pict>
      </w:r>
    </w:p>
    <w:p>
      <w:pPr>
        <w:spacing w:line="240" w:lineRule="auto" w:before="4"/>
        <w:rPr>
          <w:rFonts w:ascii="Times New Roman" w:hAnsi="Times New Roman" w:cs="Times New Roman" w:eastAsia="Times New Roman" w:hint="default"/>
          <w:sz w:val="23"/>
          <w:szCs w:val="23"/>
        </w:rPr>
      </w:pPr>
    </w:p>
    <w:tbl>
      <w:tblPr>
        <w:tblW w:w="0" w:type="auto"/>
        <w:jc w:val="left"/>
        <w:tblInd w:w="123" w:type="dxa"/>
        <w:tblLayout w:type="fixed"/>
        <w:tblCellMar>
          <w:top w:w="0" w:type="dxa"/>
          <w:left w:w="0" w:type="dxa"/>
          <w:bottom w:w="0" w:type="dxa"/>
          <w:right w:w="0" w:type="dxa"/>
        </w:tblCellMar>
        <w:tblLook w:val="01E0"/>
      </w:tblPr>
      <w:tblGrid>
        <w:gridCol w:w="4944"/>
        <w:gridCol w:w="1057"/>
        <w:gridCol w:w="1443"/>
        <w:gridCol w:w="1217"/>
      </w:tblGrid>
      <w:tr>
        <w:trPr>
          <w:trHeight w:val="638" w:hRule="exact"/>
        </w:trPr>
        <w:tc>
          <w:tcPr>
            <w:tcW w:w="4944" w:type="dxa"/>
            <w:tcBorders>
              <w:top w:val="nil" w:sz="6" w:space="0" w:color="auto"/>
              <w:left w:val="nil" w:sz="6" w:space="0" w:color="auto"/>
              <w:bottom w:val="nil" w:sz="6" w:space="0" w:color="auto"/>
              <w:right w:val="nil" w:sz="6" w:space="0" w:color="auto"/>
            </w:tcBorders>
          </w:tcPr>
          <w:p>
            <w:pPr>
              <w:pStyle w:val="TableParagraph"/>
              <w:tabs>
                <w:tab w:pos="2260" w:val="left" w:leader="none"/>
              </w:tabs>
              <w:spacing w:line="186" w:lineRule="exact"/>
              <w:ind w:left="122" w:right="0"/>
              <w:jc w:val="left"/>
              <w:rPr>
                <w:rFonts w:ascii="宋体" w:hAnsi="宋体" w:cs="宋体" w:eastAsia="宋体" w:hint="default"/>
                <w:sz w:val="18"/>
                <w:szCs w:val="18"/>
              </w:rPr>
            </w:pPr>
            <w:r>
              <w:rPr>
                <w:rFonts w:ascii="宋体" w:hAnsi="宋体" w:cs="宋体" w:eastAsia="宋体" w:hint="default"/>
                <w:sz w:val="18"/>
                <w:szCs w:val="18"/>
              </w:rPr>
              <w:t>协调项目基建投资</w:t>
              <w:tab/>
              <w:t>科技有限公司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PI</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纳</w:t>
            </w:r>
          </w:p>
          <w:p>
            <w:pPr>
              <w:pStyle w:val="TableParagraph"/>
              <w:spacing w:line="240" w:lineRule="auto" w:before="63"/>
              <w:ind w:left="2260" w:right="0"/>
              <w:jc w:val="left"/>
              <w:rPr>
                <w:rFonts w:ascii="宋体" w:hAnsi="宋体" w:cs="宋体" w:eastAsia="宋体" w:hint="default"/>
                <w:sz w:val="18"/>
                <w:szCs w:val="18"/>
              </w:rPr>
            </w:pPr>
            <w:r>
              <w:rPr>
                <w:rFonts w:ascii="宋体" w:hAnsi="宋体" w:cs="宋体" w:eastAsia="宋体" w:hint="default"/>
                <w:spacing w:val="8"/>
                <w:sz w:val="18"/>
                <w:szCs w:val="18"/>
              </w:rPr>
              <w:t>米纤维电池隔膜研</w:t>
            </w:r>
          </w:p>
        </w:tc>
        <w:tc>
          <w:tcPr>
            <w:tcW w:w="1057"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Style w:val="TableParagraph"/>
              <w:spacing w:line="184" w:lineRule="exact"/>
              <w:ind w:right="163"/>
              <w:jc w:val="right"/>
              <w:rPr>
                <w:rFonts w:ascii="Times New Roman" w:hAnsi="Times New Roman" w:cs="Times New Roman" w:eastAsia="Times New Roman" w:hint="default"/>
                <w:sz w:val="18"/>
                <w:szCs w:val="18"/>
              </w:rPr>
            </w:pPr>
            <w:r>
              <w:rPr>
                <w:rFonts w:ascii="Times New Roman"/>
                <w:sz w:val="18"/>
              </w:rPr>
              <w:t>300,000.00</w:t>
            </w:r>
          </w:p>
        </w:tc>
        <w:tc>
          <w:tcPr>
            <w:tcW w:w="1217" w:type="dxa"/>
            <w:tcBorders>
              <w:top w:val="nil" w:sz="6" w:space="0" w:color="auto"/>
              <w:left w:val="nil" w:sz="6" w:space="0" w:color="auto"/>
              <w:bottom w:val="nil" w:sz="6" w:space="0" w:color="auto"/>
              <w:right w:val="nil" w:sz="6" w:space="0" w:color="auto"/>
            </w:tcBorders>
          </w:tcPr>
          <w:p>
            <w:pPr/>
          </w:p>
        </w:tc>
      </w:tr>
      <w:tr>
        <w:trPr>
          <w:trHeight w:val="947" w:hRule="exact"/>
        </w:trPr>
        <w:tc>
          <w:tcPr>
            <w:tcW w:w="4944" w:type="dxa"/>
            <w:tcBorders>
              <w:top w:val="nil" w:sz="6" w:space="0" w:color="auto"/>
              <w:left w:val="nil" w:sz="6" w:space="0" w:color="auto"/>
              <w:bottom w:val="nil" w:sz="6" w:space="0" w:color="auto"/>
              <w:right w:val="nil" w:sz="6" w:space="0" w:color="auto"/>
            </w:tcBorders>
          </w:tcPr>
          <w:p>
            <w:pPr>
              <w:pStyle w:val="TableParagraph"/>
              <w:spacing w:line="159" w:lineRule="exact"/>
              <w:ind w:left="2260" w:right="0"/>
              <w:jc w:val="left"/>
              <w:rPr>
                <w:rFonts w:ascii="宋体" w:hAnsi="宋体" w:cs="宋体" w:eastAsia="宋体" w:hint="default"/>
                <w:sz w:val="18"/>
                <w:szCs w:val="18"/>
              </w:rPr>
            </w:pPr>
            <w:r>
              <w:rPr>
                <w:rFonts w:ascii="宋体" w:hAnsi="宋体" w:cs="宋体" w:eastAsia="宋体" w:hint="default"/>
                <w:sz w:val="18"/>
                <w:szCs w:val="18"/>
              </w:rPr>
              <w:t>发服务平台建设</w:t>
            </w:r>
          </w:p>
          <w:p>
            <w:pPr>
              <w:pStyle w:val="TableParagraph"/>
              <w:spacing w:line="203" w:lineRule="exact" w:before="87"/>
              <w:ind w:left="2260" w:right="0"/>
              <w:jc w:val="left"/>
              <w:rPr>
                <w:rFonts w:ascii="宋体" w:hAnsi="宋体" w:cs="宋体" w:eastAsia="宋体" w:hint="default"/>
                <w:sz w:val="18"/>
                <w:szCs w:val="18"/>
              </w:rPr>
            </w:pPr>
            <w:r>
              <w:rPr>
                <w:rFonts w:ascii="宋体" w:hAnsi="宋体" w:cs="宋体" w:eastAsia="宋体" w:hint="default"/>
                <w:sz w:val="18"/>
                <w:szCs w:val="18"/>
              </w:rPr>
              <w:t>年产 </w:t>
            </w:r>
            <w:r>
              <w:rPr>
                <w:rFonts w:ascii="Times New Roman" w:hAnsi="Times New Roman" w:cs="Times New Roman" w:eastAsia="Times New Roman" w:hint="default"/>
                <w:sz w:val="18"/>
                <w:szCs w:val="18"/>
              </w:rPr>
              <w:t>300</w:t>
            </w:r>
            <w:r>
              <w:rPr>
                <w:rFonts w:ascii="Times New Roman" w:hAnsi="Times New Roman" w:cs="Times New Roman" w:eastAsia="Times New Roman" w:hint="default"/>
                <w:spacing w:val="25"/>
                <w:sz w:val="18"/>
                <w:szCs w:val="18"/>
              </w:rPr>
              <w:t> </w:t>
            </w:r>
            <w:r>
              <w:rPr>
                <w:rFonts w:ascii="宋体" w:hAnsi="宋体" w:cs="宋体" w:eastAsia="宋体" w:hint="default"/>
                <w:sz w:val="18"/>
                <w:szCs w:val="18"/>
              </w:rPr>
              <w:t>吨聚酰亚</w:t>
            </w:r>
          </w:p>
          <w:p>
            <w:pPr>
              <w:pStyle w:val="TableParagraph"/>
              <w:tabs>
                <w:tab w:pos="3987" w:val="left" w:leader="none"/>
              </w:tabs>
              <w:spacing w:line="203"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宋体" w:hAnsi="宋体" w:cs="宋体" w:eastAsia="宋体" w:hint="default"/>
                <w:sz w:val="18"/>
                <w:szCs w:val="18"/>
              </w:rPr>
              <w:t>、双十项目</w:t>
              <w:tab/>
              <w:t>财政拨款</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6"/>
                <w:szCs w:val="16"/>
              </w:rPr>
            </w:pPr>
          </w:p>
          <w:p>
            <w:pPr>
              <w:pStyle w:val="TableParagraph"/>
              <w:spacing w:line="240" w:lineRule="auto"/>
              <w:ind w:right="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z w:val="18"/>
              </w:rPr>
              <w:t>24,500.00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790" w:hRule="exact"/>
        </w:trPr>
        <w:tc>
          <w:tcPr>
            <w:tcW w:w="4944" w:type="dxa"/>
            <w:tcBorders>
              <w:top w:val="nil" w:sz="6" w:space="0" w:color="auto"/>
              <w:left w:val="nil" w:sz="6" w:space="0" w:color="auto"/>
              <w:bottom w:val="nil" w:sz="6" w:space="0" w:color="auto"/>
              <w:right w:val="nil" w:sz="6" w:space="0" w:color="auto"/>
            </w:tcBorders>
          </w:tcPr>
          <w:p>
            <w:pPr>
              <w:pStyle w:val="TableParagraph"/>
              <w:spacing w:line="168" w:lineRule="exact"/>
              <w:ind w:left="2260" w:right="0"/>
              <w:jc w:val="left"/>
              <w:rPr>
                <w:rFonts w:ascii="宋体" w:hAnsi="宋体" w:cs="宋体" w:eastAsia="宋体" w:hint="default"/>
                <w:sz w:val="18"/>
                <w:szCs w:val="18"/>
              </w:rPr>
            </w:pPr>
            <w:r>
              <w:rPr>
                <w:rFonts w:ascii="宋体" w:hAnsi="宋体" w:cs="宋体" w:eastAsia="宋体" w:hint="default"/>
                <w:spacing w:val="8"/>
                <w:sz w:val="18"/>
                <w:szCs w:val="18"/>
              </w:rPr>
              <w:t>聚酰亚胺阻燃纤维</w:t>
            </w:r>
          </w:p>
          <w:p>
            <w:pPr>
              <w:pStyle w:val="TableParagraph"/>
              <w:tabs>
                <w:tab w:pos="2260" w:val="left" w:leader="none"/>
                <w:tab w:pos="3987" w:val="left" w:leader="none"/>
              </w:tabs>
              <w:spacing w:line="300" w:lineRule="auto" w:before="76"/>
              <w:ind w:left="2260" w:right="234" w:hanging="2139"/>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、省校合作项目</w:t>
              <w:tab/>
            </w:r>
            <w:r>
              <w:rPr>
                <w:rFonts w:ascii="宋体" w:hAnsi="宋体" w:cs="宋体" w:eastAsia="宋体" w:hint="default"/>
                <w:spacing w:val="8"/>
                <w:sz w:val="18"/>
                <w:szCs w:val="18"/>
              </w:rPr>
              <w:t>与纺织品的开发与</w:t>
              <w:tab/>
            </w:r>
            <w:r>
              <w:rPr>
                <w:rFonts w:ascii="宋体" w:hAnsi="宋体" w:cs="宋体" w:eastAsia="宋体" w:hint="default"/>
                <w:sz w:val="18"/>
                <w:szCs w:val="18"/>
              </w:rPr>
              <w:t>财政拨款</w:t>
            </w:r>
            <w:r>
              <w:rPr>
                <w:rFonts w:ascii="宋体" w:hAnsi="宋体" w:cs="宋体" w:eastAsia="宋体" w:hint="default"/>
                <w:sz w:val="18"/>
                <w:szCs w:val="18"/>
              </w:rPr>
              <w:t> 研究</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z w:val="18"/>
              </w:rPr>
              <w:t>76,923.08</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712" w:hRule="exact"/>
        </w:trPr>
        <w:tc>
          <w:tcPr>
            <w:tcW w:w="4944" w:type="dxa"/>
            <w:tcBorders>
              <w:top w:val="nil" w:sz="6" w:space="0" w:color="auto"/>
              <w:left w:val="nil" w:sz="6" w:space="0" w:color="auto"/>
              <w:bottom w:val="nil" w:sz="6" w:space="0" w:color="auto"/>
              <w:right w:val="nil" w:sz="6" w:space="0" w:color="auto"/>
            </w:tcBorders>
          </w:tcPr>
          <w:p>
            <w:pPr>
              <w:pStyle w:val="TableParagraph"/>
              <w:tabs>
                <w:tab w:pos="2260" w:val="left" w:leader="none"/>
              </w:tabs>
              <w:spacing w:line="203" w:lineRule="exact" w:before="8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宋体" w:hAnsi="宋体" w:cs="宋体" w:eastAsia="宋体" w:hint="default"/>
                <w:sz w:val="18"/>
                <w:szCs w:val="18"/>
              </w:rPr>
              <w:t>、</w:t>
            </w:r>
            <w:r>
              <w:rPr>
                <w:rFonts w:ascii="Times New Roman" w:hAnsi="Times New Roman" w:cs="Times New Roman" w:eastAsia="Times New Roman" w:hint="default"/>
                <w:sz w:val="18"/>
                <w:szCs w:val="18"/>
              </w:rPr>
              <w:t>2011 </w:t>
            </w:r>
            <w:r>
              <w:rPr>
                <w:rFonts w:ascii="Times New Roman" w:hAnsi="Times New Roman" w:cs="Times New Roman" w:eastAsia="Times New Roman" w:hint="default"/>
                <w:spacing w:val="7"/>
                <w:sz w:val="18"/>
                <w:szCs w:val="18"/>
              </w:rPr>
              <w:t> </w:t>
            </w:r>
            <w:r>
              <w:rPr>
                <w:rFonts w:ascii="宋体" w:hAnsi="宋体" w:cs="宋体" w:eastAsia="宋体" w:hint="default"/>
                <w:spacing w:val="3"/>
                <w:sz w:val="18"/>
                <w:szCs w:val="18"/>
              </w:rPr>
              <w:t>年战略性新兴</w:t>
              <w:tab/>
            </w:r>
            <w:r>
              <w:rPr>
                <w:rFonts w:ascii="宋体" w:hAnsi="宋体" w:cs="宋体" w:eastAsia="宋体" w:hint="default"/>
                <w:spacing w:val="8"/>
                <w:sz w:val="18"/>
                <w:szCs w:val="18"/>
              </w:rPr>
              <w:t>耐热聚酰亚胺产业</w:t>
            </w:r>
          </w:p>
          <w:p>
            <w:pPr>
              <w:pStyle w:val="TableParagraph"/>
              <w:spacing w:line="149" w:lineRule="exact"/>
              <w:ind w:right="234"/>
              <w:jc w:val="right"/>
              <w:rPr>
                <w:rFonts w:ascii="宋体" w:hAnsi="宋体" w:cs="宋体" w:eastAsia="宋体" w:hint="default"/>
                <w:sz w:val="18"/>
                <w:szCs w:val="18"/>
              </w:rPr>
            </w:pPr>
            <w:r>
              <w:rPr>
                <w:rFonts w:ascii="宋体" w:hAnsi="宋体" w:cs="宋体" w:eastAsia="宋体" w:hint="default"/>
                <w:sz w:val="18"/>
                <w:szCs w:val="18"/>
              </w:rPr>
              <w:t>财政拨款</w:t>
            </w:r>
          </w:p>
          <w:p>
            <w:pPr>
              <w:pStyle w:val="TableParagraph"/>
              <w:tabs>
                <w:tab w:pos="2260" w:val="left" w:leader="none"/>
              </w:tabs>
              <w:spacing w:line="196" w:lineRule="exact"/>
              <w:ind w:left="122" w:right="0"/>
              <w:jc w:val="left"/>
              <w:rPr>
                <w:rFonts w:ascii="宋体" w:hAnsi="宋体" w:cs="宋体" w:eastAsia="宋体" w:hint="default"/>
                <w:sz w:val="18"/>
                <w:szCs w:val="18"/>
              </w:rPr>
            </w:pPr>
            <w:r>
              <w:rPr>
                <w:rFonts w:ascii="宋体" w:hAnsi="宋体" w:cs="宋体" w:eastAsia="宋体" w:hint="default"/>
                <w:sz w:val="18"/>
                <w:szCs w:val="18"/>
              </w:rPr>
              <w:t>产业发展专项项目</w:t>
              <w:tab/>
              <w:t>化项目</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64"/>
              <w:jc w:val="right"/>
              <w:rPr>
                <w:rFonts w:ascii="Times New Roman" w:hAnsi="Times New Roman" w:cs="Times New Roman" w:eastAsia="Times New Roman" w:hint="default"/>
                <w:sz w:val="18"/>
                <w:szCs w:val="18"/>
              </w:rPr>
            </w:pPr>
            <w:r>
              <w:rPr>
                <w:rFonts w:ascii="Times New Roman"/>
                <w:spacing w:val="-1"/>
                <w:sz w:val="18"/>
              </w:rPr>
              <w:t>1,200,000.00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412" w:hRule="exact"/>
        </w:trPr>
        <w:tc>
          <w:tcPr>
            <w:tcW w:w="4944" w:type="dxa"/>
            <w:tcBorders>
              <w:top w:val="nil" w:sz="6" w:space="0" w:color="auto"/>
              <w:left w:val="nil" w:sz="6" w:space="0" w:color="auto"/>
              <w:bottom w:val="nil" w:sz="6" w:space="0" w:color="auto"/>
              <w:right w:val="nil" w:sz="6" w:space="0" w:color="auto"/>
            </w:tcBorders>
          </w:tcPr>
          <w:p>
            <w:pPr>
              <w:pStyle w:val="TableParagraph"/>
              <w:tabs>
                <w:tab w:pos="2260" w:val="left" w:leader="none"/>
              </w:tabs>
              <w:spacing w:line="203" w:lineRule="exact" w:before="11"/>
              <w:ind w:left="122" w:right="0"/>
              <w:jc w:val="left"/>
              <w:rPr>
                <w:rFonts w:ascii="宋体" w:hAnsi="宋体" w:cs="宋体" w:eastAsia="宋体" w:hint="default"/>
                <w:sz w:val="18"/>
                <w:szCs w:val="18"/>
              </w:rPr>
            </w:pPr>
            <w:r>
              <w:rPr>
                <w:rFonts w:ascii="Times New Roman" w:hAnsi="Times New Roman" w:cs="Times New Roman" w:eastAsia="Times New Roman" w:hint="default"/>
                <w:spacing w:val="-5"/>
                <w:sz w:val="18"/>
                <w:szCs w:val="18"/>
              </w:rPr>
              <w:t>17</w:t>
            </w:r>
            <w:r>
              <w:rPr>
                <w:rFonts w:ascii="宋体" w:hAnsi="宋体" w:cs="宋体" w:eastAsia="宋体" w:hint="default"/>
                <w:spacing w:val="-5"/>
                <w:sz w:val="18"/>
                <w:szCs w:val="18"/>
              </w:rPr>
              <w:t>、老工业基地调整改造</w:t>
              <w:tab/>
            </w:r>
            <w:r>
              <w:rPr>
                <w:rFonts w:ascii="Times New Roman" w:hAnsi="Times New Roman" w:cs="Times New Roman" w:eastAsia="Times New Roman" w:hint="default"/>
                <w:sz w:val="18"/>
                <w:szCs w:val="18"/>
              </w:rPr>
              <w:t>300 </w:t>
            </w:r>
            <w:r>
              <w:rPr>
                <w:rFonts w:ascii="Times New Roman" w:hAnsi="Times New Roman" w:cs="Times New Roman" w:eastAsia="Times New Roman" w:hint="default"/>
                <w:spacing w:val="15"/>
                <w:sz w:val="18"/>
                <w:szCs w:val="18"/>
              </w:rPr>
              <w:t> </w:t>
            </w:r>
            <w:r>
              <w:rPr>
                <w:rFonts w:ascii="宋体" w:hAnsi="宋体" w:cs="宋体" w:eastAsia="宋体" w:hint="default"/>
                <w:spacing w:val="11"/>
                <w:sz w:val="18"/>
                <w:szCs w:val="18"/>
              </w:rPr>
              <w:t>吨聚酰亚胺纤</w:t>
            </w:r>
            <w:r>
              <w:rPr>
                <w:rFonts w:ascii="宋体" w:hAnsi="宋体" w:cs="宋体" w:eastAsia="宋体" w:hint="default"/>
                <w:sz w:val="18"/>
                <w:szCs w:val="18"/>
              </w:rPr>
            </w:r>
          </w:p>
          <w:p>
            <w:pPr>
              <w:pStyle w:val="TableParagraph"/>
              <w:spacing w:line="189" w:lineRule="exact"/>
              <w:ind w:right="234"/>
              <w:jc w:val="right"/>
              <w:rPr>
                <w:rFonts w:ascii="宋体" w:hAnsi="宋体" w:cs="宋体" w:eastAsia="宋体" w:hint="default"/>
                <w:sz w:val="18"/>
                <w:szCs w:val="18"/>
              </w:rPr>
            </w:pPr>
            <w:r>
              <w:rPr>
                <w:rFonts w:ascii="宋体" w:hAnsi="宋体" w:cs="宋体" w:eastAsia="宋体" w:hint="default"/>
                <w:sz w:val="18"/>
                <w:szCs w:val="18"/>
              </w:rPr>
              <w:t>财政拨款</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64"/>
              <w:jc w:val="right"/>
              <w:rPr>
                <w:rFonts w:ascii="Times New Roman" w:hAnsi="Times New Roman" w:cs="Times New Roman" w:eastAsia="Times New Roman" w:hint="default"/>
                <w:sz w:val="18"/>
                <w:szCs w:val="18"/>
              </w:rPr>
            </w:pPr>
            <w:r>
              <w:rPr>
                <w:rFonts w:ascii="Times New Roman"/>
                <w:spacing w:val="-1"/>
                <w:sz w:val="18"/>
              </w:rPr>
              <w:t>4,909,720.28</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34" w:hRule="exact"/>
        </w:trPr>
        <w:tc>
          <w:tcPr>
            <w:tcW w:w="4944" w:type="dxa"/>
            <w:tcBorders>
              <w:top w:val="nil" w:sz="6" w:space="0" w:color="auto"/>
              <w:left w:val="nil" w:sz="6" w:space="0" w:color="auto"/>
              <w:bottom w:val="nil" w:sz="6" w:space="0" w:color="auto"/>
              <w:right w:val="nil" w:sz="6" w:space="0" w:color="auto"/>
            </w:tcBorders>
          </w:tcPr>
          <w:p>
            <w:pPr>
              <w:pStyle w:val="TableParagraph"/>
              <w:tabs>
                <w:tab w:pos="2260" w:val="left" w:leader="none"/>
              </w:tabs>
              <w:spacing w:line="146" w:lineRule="exact"/>
              <w:ind w:left="122" w:right="0"/>
              <w:jc w:val="left"/>
              <w:rPr>
                <w:rFonts w:ascii="宋体" w:hAnsi="宋体" w:cs="宋体" w:eastAsia="宋体" w:hint="default"/>
                <w:sz w:val="18"/>
                <w:szCs w:val="18"/>
              </w:rPr>
            </w:pPr>
            <w:r>
              <w:rPr>
                <w:rFonts w:ascii="宋体" w:hAnsi="宋体" w:cs="宋体" w:eastAsia="宋体" w:hint="default"/>
                <w:sz w:val="18"/>
                <w:szCs w:val="18"/>
              </w:rPr>
              <w:t>资金</w:t>
              <w:tab/>
              <w:t>维项目</w:t>
            </w:r>
          </w:p>
          <w:p>
            <w:pPr>
              <w:pStyle w:val="TableParagraph"/>
              <w:spacing w:line="240" w:lineRule="auto" w:before="86"/>
              <w:ind w:left="2260" w:right="0"/>
              <w:jc w:val="left"/>
              <w:rPr>
                <w:rFonts w:ascii="宋体" w:hAnsi="宋体" w:cs="宋体" w:eastAsia="宋体" w:hint="default"/>
                <w:sz w:val="18"/>
                <w:szCs w:val="18"/>
              </w:rPr>
            </w:pPr>
            <w:r>
              <w:rPr>
                <w:rFonts w:ascii="宋体" w:hAnsi="宋体" w:cs="宋体" w:eastAsia="宋体" w:hint="default"/>
                <w:spacing w:val="8"/>
                <w:sz w:val="18"/>
                <w:szCs w:val="18"/>
              </w:rPr>
              <w:t>坪山新区创新创业</w:t>
            </w:r>
          </w:p>
        </w:tc>
        <w:tc>
          <w:tcPr>
            <w:tcW w:w="1057"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
        </w:tc>
      </w:tr>
      <w:tr>
        <w:trPr>
          <w:trHeight w:val="556" w:hRule="exact"/>
        </w:trPr>
        <w:tc>
          <w:tcPr>
            <w:tcW w:w="4944" w:type="dxa"/>
            <w:tcBorders>
              <w:top w:val="nil" w:sz="6" w:space="0" w:color="auto"/>
              <w:left w:val="nil" w:sz="6" w:space="0" w:color="auto"/>
              <w:bottom w:val="nil" w:sz="6" w:space="0" w:color="auto"/>
              <w:right w:val="nil" w:sz="6" w:space="0" w:color="auto"/>
            </w:tcBorders>
          </w:tcPr>
          <w:p>
            <w:pPr>
              <w:pStyle w:val="TableParagraph"/>
              <w:tabs>
                <w:tab w:pos="2260" w:val="left" w:leader="none"/>
                <w:tab w:pos="3987" w:val="left" w:leader="none"/>
              </w:tabs>
              <w:spacing w:line="300" w:lineRule="auto" w:before="10"/>
              <w:ind w:left="2260" w:right="234" w:hanging="2139"/>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宋体" w:hAnsi="宋体" w:cs="宋体" w:eastAsia="宋体" w:hint="default"/>
                <w:sz w:val="18"/>
                <w:szCs w:val="18"/>
              </w:rPr>
              <w:t>、创新创业专项资金</w:t>
              <w:tab/>
            </w:r>
            <w:r>
              <w:rPr>
                <w:rFonts w:ascii="宋体" w:hAnsi="宋体" w:cs="宋体" w:eastAsia="宋体" w:hint="default"/>
                <w:spacing w:val="8"/>
                <w:sz w:val="18"/>
                <w:szCs w:val="18"/>
              </w:rPr>
              <w:t>专项资金科技进步</w:t>
              <w:tab/>
            </w:r>
            <w:r>
              <w:rPr>
                <w:rFonts w:ascii="宋体" w:hAnsi="宋体" w:cs="宋体" w:eastAsia="宋体" w:hint="default"/>
                <w:sz w:val="18"/>
                <w:szCs w:val="18"/>
              </w:rPr>
              <w:t>财政拨款</w:t>
            </w:r>
            <w:r>
              <w:rPr>
                <w:rFonts w:ascii="宋体" w:hAnsi="宋体" w:cs="宋体" w:eastAsia="宋体" w:hint="default"/>
                <w:sz w:val="18"/>
                <w:szCs w:val="18"/>
              </w:rPr>
              <w:t> 奖励</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2"/>
              <w:jc w:val="right"/>
              <w:rPr>
                <w:rFonts w:ascii="Times New Roman" w:hAnsi="Times New Roman" w:cs="Times New Roman" w:eastAsia="Times New Roman" w:hint="default"/>
                <w:sz w:val="18"/>
                <w:szCs w:val="18"/>
              </w:rPr>
            </w:pPr>
            <w:r>
              <w:rPr>
                <w:rFonts w:ascii="Times New Roman"/>
                <w:sz w:val="18"/>
              </w:rPr>
              <w:t>300,000.00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z w:val="18"/>
              </w:rPr>
              <w:t>---</w:t>
            </w:r>
          </w:p>
        </w:tc>
      </w:tr>
      <w:tr>
        <w:trPr>
          <w:trHeight w:val="638" w:hRule="exact"/>
        </w:trPr>
        <w:tc>
          <w:tcPr>
            <w:tcW w:w="4944" w:type="dxa"/>
            <w:tcBorders>
              <w:top w:val="nil" w:sz="6" w:space="0" w:color="auto"/>
              <w:left w:val="nil" w:sz="6" w:space="0" w:color="auto"/>
              <w:bottom w:val="nil" w:sz="6" w:space="0" w:color="auto"/>
              <w:right w:val="nil" w:sz="6" w:space="0" w:color="auto"/>
            </w:tcBorders>
          </w:tcPr>
          <w:p>
            <w:pPr>
              <w:pStyle w:val="TableParagraph"/>
              <w:tabs>
                <w:tab w:pos="2260" w:val="left" w:leader="none"/>
              </w:tabs>
              <w:spacing w:line="203" w:lineRule="exact" w:before="88"/>
              <w:ind w:left="122" w:right="0"/>
              <w:jc w:val="left"/>
              <w:rPr>
                <w:rFonts w:ascii="宋体" w:hAnsi="宋体" w:cs="宋体" w:eastAsia="宋体" w:hint="default"/>
                <w:sz w:val="18"/>
                <w:szCs w:val="18"/>
              </w:rPr>
            </w:pPr>
            <w:r>
              <w:rPr>
                <w:rFonts w:ascii="Times New Roman" w:hAnsi="Times New Roman" w:cs="Times New Roman" w:eastAsia="Times New Roman" w:hint="default"/>
                <w:spacing w:val="-5"/>
                <w:sz w:val="18"/>
                <w:szCs w:val="18"/>
              </w:rPr>
              <w:t>19</w:t>
            </w:r>
            <w:r>
              <w:rPr>
                <w:rFonts w:ascii="宋体" w:hAnsi="宋体" w:cs="宋体" w:eastAsia="宋体" w:hint="default"/>
                <w:spacing w:val="-5"/>
                <w:sz w:val="18"/>
                <w:szCs w:val="18"/>
              </w:rPr>
              <w:t>、大学生就业见习补贴</w:t>
              <w:tab/>
            </w:r>
            <w:r>
              <w:rPr>
                <w:rFonts w:ascii="宋体" w:hAnsi="宋体" w:cs="宋体" w:eastAsia="宋体" w:hint="default"/>
                <w:spacing w:val="8"/>
                <w:sz w:val="18"/>
                <w:szCs w:val="18"/>
              </w:rPr>
              <w:t>大学生就业见习补</w:t>
            </w:r>
          </w:p>
          <w:p>
            <w:pPr>
              <w:pStyle w:val="TableParagraph"/>
              <w:spacing w:line="149" w:lineRule="exact"/>
              <w:ind w:right="234"/>
              <w:jc w:val="right"/>
              <w:rPr>
                <w:rFonts w:ascii="宋体" w:hAnsi="宋体" w:cs="宋体" w:eastAsia="宋体" w:hint="default"/>
                <w:sz w:val="18"/>
                <w:szCs w:val="18"/>
              </w:rPr>
            </w:pPr>
            <w:r>
              <w:rPr>
                <w:rFonts w:ascii="宋体" w:hAnsi="宋体" w:cs="宋体" w:eastAsia="宋体" w:hint="default"/>
                <w:sz w:val="18"/>
                <w:szCs w:val="18"/>
              </w:rPr>
              <w:t>财政拨款</w:t>
            </w:r>
          </w:p>
          <w:p>
            <w:pPr>
              <w:pStyle w:val="TableParagraph"/>
              <w:tabs>
                <w:tab w:pos="2260" w:val="left" w:leader="none"/>
              </w:tabs>
              <w:spacing w:line="196" w:lineRule="exact"/>
              <w:ind w:left="122" w:right="0"/>
              <w:jc w:val="left"/>
              <w:rPr>
                <w:rFonts w:ascii="宋体" w:hAnsi="宋体" w:cs="宋体" w:eastAsia="宋体" w:hint="default"/>
                <w:sz w:val="18"/>
                <w:szCs w:val="18"/>
              </w:rPr>
            </w:pPr>
            <w:r>
              <w:rPr>
                <w:rFonts w:ascii="宋体" w:hAnsi="宋体" w:cs="宋体" w:eastAsia="宋体" w:hint="default"/>
                <w:sz w:val="18"/>
                <w:szCs w:val="18"/>
              </w:rPr>
              <w:t>款项</w:t>
              <w:tab/>
              <w:t>贴款项</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z w:val="18"/>
              </w:rPr>
              <w:t>19,000.00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44" w:type="dxa"/>
            <w:tcBorders>
              <w:top w:val="nil" w:sz="6" w:space="0" w:color="auto"/>
              <w:left w:val="nil" w:sz="6" w:space="0" w:color="auto"/>
              <w:bottom w:val="single" w:sz="12" w:space="0" w:color="000000"/>
              <w:right w:val="nil" w:sz="6" w:space="0" w:color="auto"/>
            </w:tcBorders>
          </w:tcPr>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57" w:type="dxa"/>
            <w:tcBorders>
              <w:top w:val="nil" w:sz="6" w:space="0" w:color="auto"/>
              <w:left w:val="nil" w:sz="6" w:space="0" w:color="auto"/>
              <w:bottom w:val="single" w:sz="12" w:space="0" w:color="000000"/>
              <w:right w:val="nil" w:sz="6" w:space="0" w:color="auto"/>
            </w:tcBorders>
          </w:tcPr>
          <w:p>
            <w:pPr/>
          </w:p>
        </w:tc>
        <w:tc>
          <w:tcPr>
            <w:tcW w:w="1443" w:type="dxa"/>
            <w:tcBorders>
              <w:top w:val="nil" w:sz="6" w:space="0" w:color="auto"/>
              <w:left w:val="nil" w:sz="6" w:space="0" w:color="auto"/>
              <w:bottom w:val="single" w:sz="12" w:space="0" w:color="000000"/>
              <w:right w:val="nil" w:sz="6" w:space="0" w:color="auto"/>
            </w:tcBorders>
          </w:tcPr>
          <w:p>
            <w:pPr>
              <w:pStyle w:val="TableParagraph"/>
              <w:spacing w:line="240" w:lineRule="auto" w:before="125"/>
              <w:ind w:right="162"/>
              <w:jc w:val="right"/>
              <w:rPr>
                <w:rFonts w:ascii="Times New Roman" w:hAnsi="Times New Roman" w:cs="Times New Roman" w:eastAsia="Times New Roman" w:hint="default"/>
                <w:sz w:val="18"/>
                <w:szCs w:val="18"/>
              </w:rPr>
            </w:pPr>
            <w:r>
              <w:rPr>
                <w:rFonts w:ascii="Times New Roman"/>
                <w:spacing w:val="-1"/>
                <w:sz w:val="18"/>
              </w:rPr>
              <w:t>25,716,594.98</w:t>
            </w:r>
          </w:p>
        </w:tc>
        <w:tc>
          <w:tcPr>
            <w:tcW w:w="1217" w:type="dxa"/>
            <w:tcBorders>
              <w:top w:val="nil" w:sz="6" w:space="0" w:color="auto"/>
              <w:left w:val="nil" w:sz="6" w:space="0" w:color="auto"/>
              <w:bottom w:val="single" w:sz="12" w:space="0" w:color="000000"/>
              <w:right w:val="nil" w:sz="6" w:space="0" w:color="auto"/>
            </w:tcBorders>
          </w:tcPr>
          <w:p>
            <w:pPr>
              <w:pStyle w:val="TableParagraph"/>
              <w:spacing w:line="240" w:lineRule="auto" w:before="125"/>
              <w:ind w:right="104"/>
              <w:jc w:val="right"/>
              <w:rPr>
                <w:rFonts w:ascii="Times New Roman" w:hAnsi="Times New Roman" w:cs="Times New Roman" w:eastAsia="Times New Roman" w:hint="default"/>
                <w:sz w:val="18"/>
                <w:szCs w:val="18"/>
              </w:rPr>
            </w:pPr>
            <w:r>
              <w:rPr>
                <w:rFonts w:ascii="Times New Roman"/>
                <w:spacing w:val="-1"/>
                <w:sz w:val="18"/>
              </w:rPr>
              <w:t>3,389,885.02</w:t>
            </w:r>
          </w:p>
        </w:tc>
      </w:tr>
    </w:tbl>
    <w:p>
      <w:pPr>
        <w:spacing w:before="78"/>
        <w:ind w:left="700" w:right="0" w:firstLine="0"/>
        <w:jc w:val="left"/>
        <w:rPr>
          <w:rFonts w:ascii="宋体" w:hAnsi="宋体" w:cs="宋体" w:eastAsia="宋体" w:hint="default"/>
          <w:sz w:val="21"/>
          <w:szCs w:val="21"/>
        </w:rPr>
      </w:pPr>
      <w:r>
        <w:rPr/>
        <w:pict>
          <v:group style="position:absolute;margin-left:81.480003pt;margin-top:-304.176025pt;width:435.55pt;height:301.95pt;mso-position-horizontal-relative:page;mso-position-vertical-relative:paragraph;z-index:-774160" coordorigin="1630,-6084" coordsize="8711,6039">
            <v:group style="position:absolute;left:1658;top:-6069;width:5978;height:2" coordorigin="1658,-6069" coordsize="5978,2">
              <v:shape style="position:absolute;left:1658;top:-6069;width:5978;height:2" coordorigin="1658,-6069" coordsize="5978,0" path="m1658,-6069l7636,-6069e" filled="false" stroked="true" strokeweight="1.5pt" strokecolor="#000000">
                <v:path arrowok="t"/>
              </v:shape>
            </v:group>
            <v:group style="position:absolute;left:7636;top:-6069;width:1390;height:2" coordorigin="7636,-6069" coordsize="1390,2">
              <v:shape style="position:absolute;left:7636;top:-6069;width:1390;height:2" coordorigin="7636,-6069" coordsize="1390,0" path="m7636,-6069l9025,-6069e" filled="false" stroked="true" strokeweight="1.5pt" strokecolor="#000000">
                <v:path arrowok="t"/>
              </v:shape>
            </v:group>
            <v:group style="position:absolute;left:9025;top:-6069;width:1280;height:2" coordorigin="9025,-6069" coordsize="1280,2">
              <v:shape style="position:absolute;left:9025;top:-6069;width:1280;height:2" coordorigin="9025,-6069" coordsize="1280,0" path="m9025,-6069l10304,-6069e" filled="false" stroked="true" strokeweight="1.5pt" strokecolor="#000000">
                <v:path arrowok="t"/>
              </v:shape>
              <v:shape style="position:absolute;left:3763;top:-6082;width:5300;height:370" type="#_x0000_t75" stroked="false">
                <v:imagedata r:id="rId251" o:title=""/>
              </v:shape>
              <v:shape style="position:absolute;left:1630;top:-5763;width:8711;height:5718" type="#_x0000_t75" stroked="false">
                <v:imagedata r:id="rId252" o:title=""/>
              </v:shape>
              <v:shape style="position:absolute;left:2548;top:-598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030;top:-5987;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具体性质和内容</w:t>
                      </w:r>
                    </w:p>
                  </w:txbxContent>
                </v:textbox>
                <w10:wrap type="none"/>
              </v:shape>
              <v:shape style="position:absolute;left:5890;top:-598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形式</w:t>
                      </w:r>
                    </w:p>
                  </w:txbxContent>
                </v:textbox>
                <w10:wrap type="none"/>
              </v:shape>
              <v:shape style="position:absolute;left:6754;top:-598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取得时间</w:t>
                      </w:r>
                    </w:p>
                  </w:txbxContent>
                </v:textbox>
                <w10:wrap type="none"/>
              </v:shape>
              <v:shape style="position:absolute;left:7960;top:-598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9307;top:-598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3905;top:-440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胺纤维项目</w:t>
                      </w:r>
                    </w:p>
                  </w:txbxContent>
                </v:textbox>
                <w10:wrap type="none"/>
              </v:shape>
            </v:group>
            <w10:wrap type="none"/>
          </v:group>
        </w:pict>
      </w:r>
      <w:r>
        <w:rPr>
          <w:rFonts w:ascii="Times New Roman" w:hAnsi="Times New Roman" w:cs="Times New Roman" w:eastAsia="Times New Roman" w:hint="default"/>
          <w:spacing w:val="-10"/>
          <w:sz w:val="21"/>
          <w:szCs w:val="21"/>
        </w:rPr>
        <w:t>*</w:t>
      </w:r>
      <w:r>
        <w:rPr>
          <w:rFonts w:ascii="宋体" w:hAnsi="宋体" w:cs="宋体" w:eastAsia="宋体" w:hint="default"/>
          <w:spacing w:val="-10"/>
          <w:sz w:val="21"/>
          <w:szCs w:val="21"/>
        </w:rPr>
        <w:t>根据深财科〔</w:t>
      </w:r>
      <w:r>
        <w:rPr>
          <w:rFonts w:ascii="Times New Roman" w:hAnsi="Times New Roman" w:cs="Times New Roman" w:eastAsia="Times New Roman" w:hint="default"/>
          <w:spacing w:val="-10"/>
          <w:sz w:val="21"/>
          <w:szCs w:val="21"/>
        </w:rPr>
        <w:t>2011</w:t>
      </w:r>
      <w:r>
        <w:rPr>
          <w:rFonts w:ascii="宋体" w:hAnsi="宋体" w:cs="宋体" w:eastAsia="宋体" w:hint="default"/>
          <w:spacing w:val="-10"/>
          <w:sz w:val="21"/>
          <w:szCs w:val="21"/>
        </w:rPr>
        <w:t>〕</w:t>
      </w:r>
      <w:r>
        <w:rPr>
          <w:rFonts w:ascii="Times New Roman" w:hAnsi="Times New Roman" w:cs="Times New Roman" w:eastAsia="Times New Roman" w:hint="default"/>
          <w:spacing w:val="-10"/>
          <w:sz w:val="21"/>
          <w:szCs w:val="21"/>
        </w:rPr>
        <w:t>169 </w:t>
      </w:r>
      <w:r>
        <w:rPr>
          <w:rFonts w:ascii="宋体" w:hAnsi="宋体" w:cs="宋体" w:eastAsia="宋体" w:hint="default"/>
          <w:spacing w:val="-11"/>
          <w:sz w:val="21"/>
          <w:szCs w:val="21"/>
        </w:rPr>
        <w:t>号《关于下达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pacing w:val="-4"/>
          <w:sz w:val="21"/>
          <w:szCs w:val="21"/>
        </w:rPr>
        <w:t>年度深圳市高新技术产业专项补助资金（新</w:t>
      </w:r>
      <w:r>
        <w:rPr>
          <w:rFonts w:ascii="宋体" w:hAnsi="宋体" w:cs="宋体" w:eastAsia="宋体" w:hint="default"/>
          <w:sz w:val="21"/>
          <w:szCs w:val="21"/>
        </w:rPr>
      </w:r>
    </w:p>
    <w:p>
      <w:pPr>
        <w:spacing w:line="331" w:lineRule="auto" w:before="109"/>
        <w:ind w:left="280" w:right="231" w:hanging="1"/>
        <w:jc w:val="both"/>
        <w:rPr>
          <w:rFonts w:ascii="宋体" w:hAnsi="宋体" w:cs="宋体" w:eastAsia="宋体" w:hint="default"/>
          <w:sz w:val="21"/>
          <w:szCs w:val="21"/>
        </w:rPr>
      </w:pPr>
      <w:r>
        <w:rPr>
          <w:rFonts w:ascii="宋体" w:hAnsi="宋体" w:cs="宋体" w:eastAsia="宋体" w:hint="default"/>
          <w:spacing w:val="-7"/>
          <w:sz w:val="21"/>
          <w:szCs w:val="21"/>
        </w:rPr>
        <w:t>政策第一批）的通知》</w:t>
      </w:r>
      <w:r>
        <w:rPr>
          <w:rFonts w:ascii="宋体" w:hAnsi="宋体" w:cs="宋体" w:eastAsia="宋体" w:hint="default"/>
          <w:spacing w:val="-68"/>
          <w:sz w:val="21"/>
          <w:szCs w:val="21"/>
        </w:rPr>
        <w:t> </w:t>
      </w:r>
      <w:r>
        <w:rPr>
          <w:rFonts w:ascii="宋体" w:hAnsi="宋体" w:cs="宋体" w:eastAsia="宋体" w:hint="default"/>
          <w:spacing w:val="-14"/>
          <w:sz w:val="21"/>
          <w:szCs w:val="21"/>
        </w:rPr>
        <w:t>，本公司于</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年收到补助资金</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5,165,485.00</w:t>
      </w:r>
      <w:r>
        <w:rPr>
          <w:rFonts w:ascii="Times New Roman" w:hAnsi="Times New Roman" w:cs="Times New Roman" w:eastAsia="Times New Roman" w:hint="default"/>
          <w:spacing w:val="1"/>
          <w:sz w:val="21"/>
          <w:szCs w:val="21"/>
        </w:rPr>
        <w:t> </w:t>
      </w:r>
      <w:r>
        <w:rPr>
          <w:rFonts w:ascii="宋体" w:hAnsi="宋体" w:cs="宋体" w:eastAsia="宋体" w:hint="default"/>
          <w:spacing w:val="-12"/>
          <w:sz w:val="21"/>
          <w:szCs w:val="21"/>
        </w:rPr>
        <w:t>元。根据深财科〔</w:t>
      </w:r>
      <w:r>
        <w:rPr>
          <w:rFonts w:ascii="Times New Roman" w:hAnsi="Times New Roman" w:cs="Times New Roman" w:eastAsia="Times New Roman" w:hint="default"/>
          <w:spacing w:val="-12"/>
          <w:sz w:val="21"/>
          <w:szCs w:val="21"/>
        </w:rPr>
        <w:t>2011</w:t>
      </w:r>
      <w:r>
        <w:rPr>
          <w:rFonts w:ascii="宋体" w:hAnsi="宋体" w:cs="宋体" w:eastAsia="宋体" w:hint="default"/>
          <w:spacing w:val="-12"/>
          <w:sz w:val="21"/>
          <w:szCs w:val="21"/>
        </w:rPr>
        <w:t>〕</w:t>
      </w:r>
      <w:r>
        <w:rPr>
          <w:rFonts w:ascii="宋体" w:hAnsi="宋体" w:cs="宋体" w:eastAsia="宋体" w:hint="default"/>
          <w:sz w:val="21"/>
          <w:szCs w:val="21"/>
        </w:rPr>
        <w:t> </w:t>
      </w:r>
      <w:r>
        <w:rPr>
          <w:rFonts w:ascii="Times New Roman" w:hAnsi="Times New Roman" w:cs="Times New Roman" w:eastAsia="Times New Roman" w:hint="default"/>
          <w:sz w:val="21"/>
          <w:szCs w:val="21"/>
        </w:rPr>
        <w:t>170 </w:t>
      </w:r>
      <w:r>
        <w:rPr>
          <w:rFonts w:ascii="宋体" w:hAnsi="宋体" w:cs="宋体" w:eastAsia="宋体" w:hint="default"/>
          <w:spacing w:val="-7"/>
          <w:sz w:val="21"/>
          <w:szCs w:val="21"/>
        </w:rPr>
        <w:t>号《关于下达 </w:t>
      </w:r>
      <w:r>
        <w:rPr>
          <w:rFonts w:ascii="Times New Roman" w:hAnsi="Times New Roman" w:cs="Times New Roman" w:eastAsia="Times New Roman" w:hint="default"/>
          <w:sz w:val="21"/>
          <w:szCs w:val="21"/>
        </w:rPr>
        <w:t>2009 </w:t>
      </w:r>
      <w:r>
        <w:rPr>
          <w:rFonts w:ascii="宋体" w:hAnsi="宋体" w:cs="宋体" w:eastAsia="宋体" w:hint="default"/>
          <w:spacing w:val="-3"/>
          <w:sz w:val="21"/>
          <w:szCs w:val="21"/>
        </w:rPr>
        <w:t>年度深圳市高新技术产业专项补助资金（新政策第一批）的通知》</w:t>
      </w:r>
      <w:r>
        <w:rPr>
          <w:rFonts w:ascii="宋体" w:hAnsi="宋体" w:cs="宋体" w:eastAsia="宋体" w:hint="default"/>
          <w:spacing w:val="-73"/>
          <w:sz w:val="21"/>
          <w:szCs w:val="21"/>
        </w:rPr>
        <w:t> </w:t>
      </w:r>
      <w:r>
        <w:rPr>
          <w:rFonts w:ascii="宋体" w:hAnsi="宋体" w:cs="宋体" w:eastAsia="宋体" w:hint="default"/>
          <w:sz w:val="21"/>
          <w:szCs w:val="21"/>
        </w:rPr>
        <w:t>，</w:t>
      </w:r>
      <w:r>
        <w:rPr>
          <w:rFonts w:ascii="宋体" w:hAnsi="宋体" w:cs="宋体" w:eastAsia="宋体" w:hint="default"/>
          <w:sz w:val="21"/>
          <w:szCs w:val="21"/>
        </w:rPr>
        <w:t> 本公司于</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年收到补助资金</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6,980,582.00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p>
    <w:p>
      <w:pPr>
        <w:spacing w:line="240" w:lineRule="auto" w:before="1"/>
        <w:rPr>
          <w:rFonts w:ascii="宋体" w:hAnsi="宋体" w:cs="宋体" w:eastAsia="宋体" w:hint="default"/>
          <w:sz w:val="32"/>
          <w:szCs w:val="32"/>
        </w:rPr>
      </w:pPr>
    </w:p>
    <w:p>
      <w:pPr>
        <w:spacing w:before="0"/>
        <w:ind w:left="265" w:right="0" w:firstLine="0"/>
        <w:jc w:val="both"/>
        <w:rPr>
          <w:rFonts w:ascii="宋体" w:hAnsi="宋体" w:cs="宋体" w:eastAsia="宋体" w:hint="default"/>
          <w:sz w:val="21"/>
          <w:szCs w:val="21"/>
        </w:rPr>
      </w:pPr>
      <w:r>
        <w:rPr/>
        <w:pict>
          <v:group style="position:absolute;margin-left:83.160004pt;margin-top:15.382921pt;width:433.35pt;height:120.2pt;mso-position-horizontal-relative:page;mso-position-vertical-relative:paragraph;z-index:-774040" coordorigin="1663,308" coordsize="8667,2404">
            <v:group style="position:absolute;left:1692;top:323;width:8614;height:2" coordorigin="1692,323" coordsize="8614,2">
              <v:shape style="position:absolute;left:1692;top:323;width:8614;height:2" coordorigin="1692,323" coordsize="8614,0" path="m1692,323l10306,323e" filled="false" stroked="true" strokeweight="1.5pt" strokecolor="#000000">
                <v:path arrowok="t"/>
              </v:shape>
              <v:shape style="position:absolute;left:4596;top:309;width:3763;height:682" type="#_x0000_t75" stroked="false">
                <v:imagedata r:id="rId253" o:title=""/>
              </v:shape>
              <v:shape style="position:absolute;left:1663;top:942;width:8666;height:1769" type="#_x0000_t75" stroked="false">
                <v:imagedata r:id="rId254" o:title=""/>
              </v:shape>
              <v:shape style="position:absolute;left:2981;top:56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5192;top:56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7042;top:56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8504;top:404;width:1620;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计入本年非经常性损</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益的金额</w:t>
                      </w:r>
                    </w:p>
                  </w:txbxContent>
                </v:textbox>
                <w10:wrap type="none"/>
              </v:shape>
            </v:group>
            <w10:wrap type="none"/>
          </v:group>
        </w:pict>
      </w:r>
      <w:r>
        <w:rPr>
          <w:rFonts w:ascii="宋体" w:hAnsi="宋体" w:cs="宋体" w:eastAsia="宋体" w:hint="default"/>
          <w:b/>
          <w:bCs/>
          <w:sz w:val="21"/>
          <w:szCs w:val="21"/>
        </w:rPr>
        <w:t>(三十六)   </w:t>
      </w:r>
      <w:r>
        <w:rPr>
          <w:rFonts w:ascii="宋体" w:hAnsi="宋体" w:cs="宋体" w:eastAsia="宋体" w:hint="default"/>
          <w:b/>
          <w:bCs/>
          <w:spacing w:val="3"/>
          <w:sz w:val="21"/>
          <w:szCs w:val="21"/>
        </w:rPr>
        <w:t> </w:t>
      </w:r>
      <w:r>
        <w:rPr>
          <w:rFonts w:ascii="宋体" w:hAnsi="宋体" w:cs="宋体" w:eastAsia="宋体" w:hint="default"/>
          <w:b/>
          <w:bCs/>
          <w:sz w:val="21"/>
          <w:szCs w:val="21"/>
        </w:rPr>
        <w:t>营业外支出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245" w:type="dxa"/>
        <w:tblLayout w:type="fixed"/>
        <w:tblCellMar>
          <w:top w:w="0" w:type="dxa"/>
          <w:left w:w="0" w:type="dxa"/>
          <w:bottom w:w="0" w:type="dxa"/>
          <w:right w:w="0" w:type="dxa"/>
        </w:tblCellMar>
        <w:tblLook w:val="01E0"/>
      </w:tblPr>
      <w:tblGrid>
        <w:gridCol w:w="2904"/>
        <w:gridCol w:w="2264"/>
        <w:gridCol w:w="1869"/>
        <w:gridCol w:w="1430"/>
      </w:tblGrid>
      <w:tr>
        <w:trPr>
          <w:trHeight w:val="368"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非流动资产处置损失合计</w:t>
            </w: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561"/>
              <w:jc w:val="right"/>
              <w:rPr>
                <w:rFonts w:ascii="Times New Roman" w:hAnsi="Times New Roman" w:cs="Times New Roman" w:eastAsia="Times New Roman" w:hint="default"/>
                <w:sz w:val="18"/>
                <w:szCs w:val="18"/>
              </w:rPr>
            </w:pPr>
            <w:r>
              <w:rPr>
                <w:rFonts w:ascii="Times New Roman"/>
                <w:sz w:val="18"/>
              </w:rPr>
              <w:t>364,223.42</w:t>
            </w:r>
          </w:p>
        </w:tc>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7"/>
              <w:jc w:val="center"/>
              <w:rPr>
                <w:rFonts w:ascii="Times New Roman" w:hAnsi="Times New Roman" w:cs="Times New Roman" w:eastAsia="Times New Roman" w:hint="default"/>
                <w:sz w:val="18"/>
                <w:szCs w:val="18"/>
              </w:rPr>
            </w:pPr>
            <w:r>
              <w:rPr>
                <w:rFonts w:ascii="Times New Roman"/>
                <w:sz w:val="18"/>
              </w:rPr>
              <w:t>35,484.93</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Times New Roman" w:hAnsi="Times New Roman" w:cs="Times New Roman" w:eastAsia="Times New Roman" w:hint="default"/>
                <w:sz w:val="18"/>
                <w:szCs w:val="18"/>
              </w:rPr>
            </w:pPr>
            <w:r>
              <w:rPr>
                <w:rFonts w:ascii="Times New Roman"/>
                <w:sz w:val="18"/>
              </w:rPr>
              <w:t>364,223.42</w:t>
            </w:r>
          </w:p>
        </w:tc>
      </w:tr>
      <w:tr>
        <w:trPr>
          <w:trHeight w:val="350"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561"/>
              <w:jc w:val="right"/>
              <w:rPr>
                <w:rFonts w:ascii="Times New Roman" w:hAnsi="Times New Roman" w:cs="Times New Roman" w:eastAsia="Times New Roman" w:hint="default"/>
                <w:sz w:val="18"/>
                <w:szCs w:val="18"/>
              </w:rPr>
            </w:pPr>
            <w:r>
              <w:rPr>
                <w:rFonts w:ascii="Times New Roman"/>
                <w:sz w:val="18"/>
              </w:rPr>
              <w:t>364,223.42</w:t>
            </w:r>
          </w:p>
        </w:tc>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7"/>
              <w:jc w:val="center"/>
              <w:rPr>
                <w:rFonts w:ascii="Times New Roman" w:hAnsi="Times New Roman" w:cs="Times New Roman" w:eastAsia="Times New Roman" w:hint="default"/>
                <w:sz w:val="18"/>
                <w:szCs w:val="18"/>
              </w:rPr>
            </w:pPr>
            <w:r>
              <w:rPr>
                <w:rFonts w:ascii="Times New Roman"/>
                <w:sz w:val="18"/>
              </w:rPr>
              <w:t>35,484.93</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z w:val="18"/>
              </w:rPr>
              <w:t>364,223.42</w:t>
            </w:r>
          </w:p>
        </w:tc>
      </w:tr>
      <w:tr>
        <w:trPr>
          <w:trHeight w:val="350"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sz w:val="18"/>
                <w:szCs w:val="18"/>
              </w:rPr>
              <w:t>捐赠支出</w:t>
            </w: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56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7"/>
              <w:jc w:val="center"/>
              <w:rPr>
                <w:rFonts w:ascii="Times New Roman" w:hAnsi="Times New Roman" w:cs="Times New Roman" w:eastAsia="Times New Roman" w:hint="default"/>
                <w:sz w:val="18"/>
                <w:szCs w:val="18"/>
              </w:rPr>
            </w:pPr>
            <w:r>
              <w:rPr>
                <w:rFonts w:ascii="Times New Roman"/>
                <w:sz w:val="18"/>
              </w:rPr>
              <w:t>20,000.00</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4"/>
              <w:jc w:val="right"/>
              <w:rPr>
                <w:rFonts w:ascii="Times New Roman" w:hAnsi="Times New Roman" w:cs="Times New Roman" w:eastAsia="Times New Roman" w:hint="default"/>
                <w:sz w:val="18"/>
                <w:szCs w:val="18"/>
              </w:rPr>
            </w:pPr>
            <w:r>
              <w:rPr>
                <w:rFonts w:ascii="Times New Roman"/>
                <w:sz w:val="18"/>
              </w:rPr>
              <w:t>---</w:t>
            </w:r>
          </w:p>
        </w:tc>
      </w:tr>
      <w:tr>
        <w:trPr>
          <w:trHeight w:val="350"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561"/>
              <w:jc w:val="right"/>
              <w:rPr>
                <w:rFonts w:ascii="Times New Roman" w:hAnsi="Times New Roman" w:cs="Times New Roman" w:eastAsia="Times New Roman" w:hint="default"/>
                <w:sz w:val="18"/>
                <w:szCs w:val="18"/>
              </w:rPr>
            </w:pPr>
            <w:r>
              <w:rPr>
                <w:rFonts w:ascii="Times New Roman"/>
                <w:sz w:val="18"/>
              </w:rPr>
              <w:t>125,399.00</w:t>
            </w:r>
          </w:p>
        </w:tc>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7"/>
              <w:jc w:val="center"/>
              <w:rPr>
                <w:rFonts w:ascii="Times New Roman" w:hAnsi="Times New Roman" w:cs="Times New Roman" w:eastAsia="Times New Roman" w:hint="default"/>
                <w:sz w:val="18"/>
                <w:szCs w:val="18"/>
              </w:rPr>
            </w:pPr>
            <w:r>
              <w:rPr>
                <w:rFonts w:ascii="Times New Roman"/>
                <w:sz w:val="18"/>
              </w:rPr>
              <w:t>10,345.00</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z w:val="18"/>
              </w:rPr>
              <w:t>125,399.00</w:t>
            </w:r>
          </w:p>
        </w:tc>
      </w:tr>
      <w:tr>
        <w:trPr>
          <w:trHeight w:val="356" w:hRule="exact"/>
        </w:trPr>
        <w:tc>
          <w:tcPr>
            <w:tcW w:w="2904"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110"/>
              <w:jc w:val="center"/>
              <w:rPr>
                <w:rFonts w:ascii="宋体" w:hAnsi="宋体" w:cs="宋体" w:eastAsia="宋体" w:hint="default"/>
                <w:sz w:val="18"/>
                <w:szCs w:val="18"/>
              </w:rPr>
            </w:pPr>
            <w:r>
              <w:rPr>
                <w:rFonts w:ascii="宋体" w:hAnsi="宋体" w:cs="宋体" w:eastAsia="宋体" w:hint="default"/>
                <w:sz w:val="18"/>
                <w:szCs w:val="18"/>
              </w:rPr>
              <w:t>合计</w:t>
            </w:r>
          </w:p>
        </w:tc>
        <w:tc>
          <w:tcPr>
            <w:tcW w:w="2264"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561"/>
              <w:jc w:val="right"/>
              <w:rPr>
                <w:rFonts w:ascii="Times New Roman" w:hAnsi="Times New Roman" w:cs="Times New Roman" w:eastAsia="Times New Roman" w:hint="default"/>
                <w:sz w:val="18"/>
                <w:szCs w:val="18"/>
              </w:rPr>
            </w:pPr>
            <w:r>
              <w:rPr>
                <w:rFonts w:ascii="Times New Roman"/>
                <w:sz w:val="18"/>
              </w:rPr>
              <w:t>489,622.42</w:t>
            </w:r>
          </w:p>
        </w:tc>
        <w:tc>
          <w:tcPr>
            <w:tcW w:w="1869"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7"/>
              <w:jc w:val="center"/>
              <w:rPr>
                <w:rFonts w:ascii="Times New Roman" w:hAnsi="Times New Roman" w:cs="Times New Roman" w:eastAsia="Times New Roman" w:hint="default"/>
                <w:sz w:val="18"/>
                <w:szCs w:val="18"/>
              </w:rPr>
            </w:pPr>
            <w:r>
              <w:rPr>
                <w:rFonts w:ascii="Times New Roman"/>
                <w:sz w:val="18"/>
              </w:rPr>
              <w:t>65,829.93</w:t>
            </w:r>
          </w:p>
        </w:tc>
        <w:tc>
          <w:tcPr>
            <w:tcW w:w="1430"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18"/>
                <w:szCs w:val="18"/>
              </w:rPr>
            </w:pPr>
            <w:r>
              <w:rPr>
                <w:rFonts w:ascii="Times New Roman"/>
                <w:sz w:val="18"/>
              </w:rPr>
              <w:t>489,622.42</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tbl>
      <w:tblPr>
        <w:tblW w:w="0" w:type="auto"/>
        <w:jc w:val="left"/>
        <w:tblInd w:w="172" w:type="dxa"/>
        <w:tblLayout w:type="fixed"/>
        <w:tblCellMar>
          <w:top w:w="0" w:type="dxa"/>
          <w:left w:w="0" w:type="dxa"/>
          <w:bottom w:w="0" w:type="dxa"/>
          <w:right w:w="0" w:type="dxa"/>
        </w:tblCellMar>
        <w:tblLook w:val="01E0"/>
      </w:tblPr>
      <w:tblGrid>
        <w:gridCol w:w="3995"/>
        <w:gridCol w:w="2777"/>
        <w:gridCol w:w="1841"/>
      </w:tblGrid>
      <w:tr>
        <w:trPr>
          <w:trHeight w:val="358" w:hRule="exact"/>
        </w:trPr>
        <w:tc>
          <w:tcPr>
            <w:tcW w:w="3995" w:type="dxa"/>
            <w:tcBorders>
              <w:top w:val="nil" w:sz="6" w:space="0" w:color="auto"/>
              <w:left w:val="nil" w:sz="6" w:space="0" w:color="auto"/>
              <w:bottom w:val="single" w:sz="12" w:space="0" w:color="000000"/>
              <w:right w:val="nil" w:sz="6" w:space="0" w:color="auto"/>
            </w:tcBorders>
          </w:tcPr>
          <w:p>
            <w:pPr>
              <w:pStyle w:val="TableParagraph"/>
              <w:tabs>
                <w:tab w:pos="1367" w:val="left" w:leader="none"/>
              </w:tabs>
              <w:spacing w:line="240" w:lineRule="auto" w:before="35"/>
              <w:ind w:left="93" w:right="0"/>
              <w:jc w:val="left"/>
              <w:rPr>
                <w:rFonts w:ascii="宋体" w:hAnsi="宋体" w:cs="宋体" w:eastAsia="宋体" w:hint="default"/>
                <w:sz w:val="21"/>
                <w:szCs w:val="21"/>
              </w:rPr>
            </w:pPr>
            <w:r>
              <w:rPr>
                <w:rFonts w:ascii="宋体" w:hAnsi="宋体" w:cs="宋体" w:eastAsia="宋体" w:hint="default"/>
                <w:b/>
                <w:bCs/>
                <w:w w:val="95"/>
                <w:sz w:val="21"/>
                <w:szCs w:val="21"/>
              </w:rPr>
              <w:t>(三十七)</w:t>
              <w:tab/>
            </w:r>
            <w:r>
              <w:rPr>
                <w:rFonts w:ascii="宋体" w:hAnsi="宋体" w:cs="宋体" w:eastAsia="宋体" w:hint="default"/>
                <w:b/>
                <w:bCs/>
                <w:sz w:val="21"/>
                <w:szCs w:val="21"/>
              </w:rPr>
              <w:t>所得税费用</w:t>
            </w:r>
            <w:r>
              <w:rPr>
                <w:rFonts w:ascii="宋体" w:hAnsi="宋体" w:cs="宋体" w:eastAsia="宋体" w:hint="default"/>
                <w:sz w:val="21"/>
                <w:szCs w:val="21"/>
              </w:rPr>
            </w:r>
          </w:p>
        </w:tc>
        <w:tc>
          <w:tcPr>
            <w:tcW w:w="4618" w:type="dxa"/>
            <w:gridSpan w:val="2"/>
            <w:tcBorders>
              <w:top w:val="nil" w:sz="6" w:space="0" w:color="auto"/>
              <w:left w:val="nil" w:sz="6" w:space="0" w:color="auto"/>
              <w:bottom w:val="single" w:sz="12" w:space="0" w:color="000000"/>
              <w:right w:val="nil" w:sz="6" w:space="0" w:color="auto"/>
            </w:tcBorders>
          </w:tcPr>
          <w:p>
            <w:pPr/>
          </w:p>
        </w:tc>
      </w:tr>
      <w:tr>
        <w:trPr>
          <w:trHeight w:val="417" w:hRule="exact"/>
        </w:trPr>
        <w:tc>
          <w:tcPr>
            <w:tcW w:w="3995" w:type="dxa"/>
            <w:tcBorders>
              <w:top w:val="single" w:sz="12" w:space="0" w:color="000000"/>
              <w:left w:val="nil" w:sz="6" w:space="0" w:color="auto"/>
              <w:bottom w:val="nil" w:sz="6" w:space="0" w:color="auto"/>
              <w:right w:val="nil" w:sz="6" w:space="0" w:color="auto"/>
            </w:tcBorders>
          </w:tcPr>
          <w:p>
            <w:pPr>
              <w:pStyle w:val="TableParagraph"/>
              <w:spacing w:line="240" w:lineRule="auto" w:before="52"/>
              <w:ind w:left="26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77" w:type="dxa"/>
            <w:tcBorders>
              <w:top w:val="single" w:sz="12" w:space="0" w:color="000000"/>
              <w:left w:val="nil" w:sz="6" w:space="0" w:color="auto"/>
              <w:bottom w:val="nil" w:sz="6" w:space="0" w:color="auto"/>
              <w:right w:val="nil" w:sz="6" w:space="0" w:color="auto"/>
            </w:tcBorders>
          </w:tcPr>
          <w:p>
            <w:pPr>
              <w:pStyle w:val="TableParagraph"/>
              <w:spacing w:line="240" w:lineRule="auto" w:before="52"/>
              <w:ind w:right="40"/>
              <w:jc w:val="center"/>
              <w:rPr>
                <w:rFonts w:ascii="宋体" w:hAnsi="宋体" w:cs="宋体" w:eastAsia="宋体" w:hint="default"/>
                <w:sz w:val="18"/>
                <w:szCs w:val="18"/>
              </w:rPr>
            </w:pPr>
            <w:r>
              <w:rPr>
                <w:rFonts w:ascii="宋体" w:hAnsi="宋体" w:cs="宋体" w:eastAsia="宋体" w:hint="default"/>
                <w:sz w:val="18"/>
                <w:szCs w:val="18"/>
              </w:rPr>
              <w:t>本年金额</w:t>
            </w:r>
          </w:p>
        </w:tc>
        <w:tc>
          <w:tcPr>
            <w:tcW w:w="1841" w:type="dxa"/>
            <w:tcBorders>
              <w:top w:val="single" w:sz="12" w:space="0" w:color="000000"/>
              <w:left w:val="nil" w:sz="6" w:space="0" w:color="auto"/>
              <w:bottom w:val="nil" w:sz="6" w:space="0" w:color="auto"/>
              <w:right w:val="nil" w:sz="6" w:space="0" w:color="auto"/>
            </w:tcBorders>
          </w:tcPr>
          <w:p>
            <w:pPr>
              <w:pStyle w:val="TableParagraph"/>
              <w:spacing w:line="240" w:lineRule="auto" w:before="52"/>
              <w:ind w:left="408"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411" w:hRule="exact"/>
        </w:trPr>
        <w:tc>
          <w:tcPr>
            <w:tcW w:w="3995"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08" w:right="0"/>
              <w:jc w:val="left"/>
              <w:rPr>
                <w:rFonts w:ascii="宋体" w:hAnsi="宋体" w:cs="宋体" w:eastAsia="宋体" w:hint="default"/>
                <w:sz w:val="18"/>
                <w:szCs w:val="18"/>
              </w:rPr>
            </w:pPr>
            <w:r>
              <w:rPr>
                <w:rFonts w:ascii="宋体" w:hAnsi="宋体" w:cs="宋体" w:eastAsia="宋体" w:hint="default"/>
                <w:sz w:val="18"/>
                <w:szCs w:val="18"/>
              </w:rPr>
              <w:t>按税法及相关规定计算的当期所得税</w:t>
            </w:r>
          </w:p>
        </w:tc>
        <w:tc>
          <w:tcPr>
            <w:tcW w:w="277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07"/>
              <w:jc w:val="right"/>
              <w:rPr>
                <w:rFonts w:ascii="Times New Roman" w:hAnsi="Times New Roman" w:cs="Times New Roman" w:eastAsia="Times New Roman" w:hint="default"/>
                <w:sz w:val="18"/>
                <w:szCs w:val="18"/>
              </w:rPr>
            </w:pPr>
            <w:r>
              <w:rPr>
                <w:rFonts w:ascii="Times New Roman"/>
                <w:spacing w:val="-1"/>
                <w:sz w:val="18"/>
              </w:rPr>
              <w:t>13,239,454.48</w:t>
            </w:r>
          </w:p>
        </w:tc>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pacing w:val="-1"/>
                <w:sz w:val="18"/>
              </w:rPr>
              <w:t>13,493,143.94</w:t>
            </w:r>
          </w:p>
        </w:tc>
      </w:tr>
      <w:tr>
        <w:trPr>
          <w:trHeight w:val="407" w:hRule="exact"/>
        </w:trPr>
        <w:tc>
          <w:tcPr>
            <w:tcW w:w="399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递延所得税调整</w:t>
            </w:r>
          </w:p>
        </w:tc>
        <w:tc>
          <w:tcPr>
            <w:tcW w:w="2777"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406"/>
              <w:jc w:val="right"/>
              <w:rPr>
                <w:rFonts w:ascii="Times New Roman" w:hAnsi="Times New Roman" w:cs="Times New Roman" w:eastAsia="Times New Roman" w:hint="default"/>
                <w:sz w:val="18"/>
                <w:szCs w:val="18"/>
              </w:rPr>
            </w:pPr>
            <w:r>
              <w:rPr>
                <w:rFonts w:ascii="Times New Roman"/>
                <w:spacing w:val="-1"/>
                <w:sz w:val="18"/>
              </w:rPr>
              <w:t>-1,254,802.13</w:t>
            </w:r>
          </w:p>
        </w:tc>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06"/>
              <w:jc w:val="right"/>
              <w:rPr>
                <w:rFonts w:ascii="Times New Roman" w:hAnsi="Times New Roman" w:cs="Times New Roman" w:eastAsia="Times New Roman" w:hint="default"/>
                <w:sz w:val="18"/>
                <w:szCs w:val="18"/>
              </w:rPr>
            </w:pPr>
            <w:r>
              <w:rPr>
                <w:rFonts w:ascii="Times New Roman"/>
                <w:spacing w:val="-1"/>
                <w:sz w:val="18"/>
              </w:rPr>
              <w:t>-1,196,792.20</w:t>
            </w:r>
          </w:p>
        </w:tc>
      </w:tr>
      <w:tr>
        <w:trPr>
          <w:trHeight w:val="413" w:hRule="exact"/>
        </w:trPr>
        <w:tc>
          <w:tcPr>
            <w:tcW w:w="3995"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262"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777" w:type="dxa"/>
            <w:tcBorders>
              <w:top w:val="nil" w:sz="6" w:space="0" w:color="auto"/>
              <w:left w:val="nil" w:sz="6" w:space="0" w:color="auto"/>
              <w:bottom w:val="single" w:sz="12" w:space="0" w:color="000000"/>
              <w:right w:val="nil" w:sz="6" w:space="0" w:color="auto"/>
            </w:tcBorders>
          </w:tcPr>
          <w:p>
            <w:pPr>
              <w:pStyle w:val="TableParagraph"/>
              <w:spacing w:line="240" w:lineRule="auto" w:before="94"/>
              <w:ind w:right="408"/>
              <w:jc w:val="right"/>
              <w:rPr>
                <w:rFonts w:ascii="Times New Roman" w:hAnsi="Times New Roman" w:cs="Times New Roman" w:eastAsia="Times New Roman" w:hint="default"/>
                <w:sz w:val="18"/>
                <w:szCs w:val="18"/>
              </w:rPr>
            </w:pPr>
            <w:r>
              <w:rPr>
                <w:rFonts w:ascii="Times New Roman"/>
                <w:spacing w:val="-1"/>
                <w:sz w:val="18"/>
              </w:rPr>
              <w:t>11,984,652.35</w:t>
            </w:r>
          </w:p>
        </w:tc>
        <w:tc>
          <w:tcPr>
            <w:tcW w:w="1841" w:type="dxa"/>
            <w:tcBorders>
              <w:top w:val="nil" w:sz="6" w:space="0" w:color="auto"/>
              <w:left w:val="nil" w:sz="6" w:space="0" w:color="auto"/>
              <w:bottom w:val="single" w:sz="12" w:space="0" w:color="000000"/>
              <w:right w:val="nil" w:sz="6" w:space="0" w:color="auto"/>
            </w:tcBorders>
          </w:tcPr>
          <w:p>
            <w:pPr>
              <w:pStyle w:val="TableParagraph"/>
              <w:spacing w:line="240" w:lineRule="auto" w:before="94"/>
              <w:ind w:right="106"/>
              <w:jc w:val="right"/>
              <w:rPr>
                <w:rFonts w:ascii="Times New Roman" w:hAnsi="Times New Roman" w:cs="Times New Roman" w:eastAsia="Times New Roman" w:hint="default"/>
                <w:sz w:val="18"/>
                <w:szCs w:val="18"/>
              </w:rPr>
            </w:pPr>
            <w:r>
              <w:rPr>
                <w:rFonts w:ascii="Times New Roman"/>
                <w:spacing w:val="-1"/>
                <w:sz w:val="18"/>
              </w:rPr>
              <w:t>12,296,351.74</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270" w:top="1360" w:bottom="1460" w:left="1520" w:right="1460"/>
        </w:sectPr>
      </w:pPr>
    </w:p>
    <w:p>
      <w:pPr>
        <w:spacing w:line="240" w:lineRule="auto" w:before="0"/>
        <w:rPr>
          <w:rFonts w:ascii="宋体" w:hAnsi="宋体" w:cs="宋体" w:eastAsia="宋体" w:hint="default"/>
          <w:b/>
          <w:bCs/>
          <w:sz w:val="10"/>
          <w:szCs w:val="10"/>
        </w:rPr>
      </w:pPr>
    </w:p>
    <w:p>
      <w:pPr>
        <w:tabs>
          <w:tab w:pos="1519" w:val="left" w:leader="none"/>
        </w:tabs>
        <w:spacing w:line="328" w:lineRule="auto" w:before="35"/>
        <w:ind w:left="875" w:right="3448" w:hanging="63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三十八</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基本每股收益和稀释每股收益的计算过程</w:t>
      </w:r>
      <w:r>
        <w:rPr>
          <w:rFonts w:ascii="宋体" w:hAnsi="宋体" w:cs="宋体" w:eastAsia="宋体" w:hint="default"/>
          <w:b/>
          <w:bCs/>
          <w:spacing w:val="1"/>
          <w:w w:val="99"/>
          <w:sz w:val="21"/>
          <w:szCs w:val="21"/>
        </w:rPr>
        <w:t> </w:t>
      </w:r>
      <w:r>
        <w:rPr>
          <w:rFonts w:ascii="宋体" w:hAnsi="宋体" w:cs="宋体" w:eastAsia="宋体" w:hint="default"/>
          <w:sz w:val="21"/>
          <w:szCs w:val="21"/>
        </w:rPr>
        <w:t>计算公式：</w:t>
      </w:r>
    </w:p>
    <w:p>
      <w:pPr>
        <w:spacing w:line="328" w:lineRule="auto" w:before="48"/>
        <w:ind w:left="875" w:right="6037" w:hanging="1"/>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、基本每股收益 基本每股收益</w:t>
      </w:r>
      <w:r>
        <w:rPr>
          <w:rFonts w:ascii="Times New Roman" w:hAnsi="Times New Roman" w:cs="Times New Roman" w:eastAsia="Times New Roman" w:hint="default"/>
          <w:sz w:val="21"/>
          <w:szCs w:val="21"/>
        </w:rPr>
        <w:t>=P0÷S</w:t>
      </w:r>
    </w:p>
    <w:p>
      <w:pPr>
        <w:spacing w:before="23"/>
        <w:ind w:left="875" w:right="194"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S=</w:t>
      </w:r>
      <w:r>
        <w:rPr>
          <w:rFonts w:ascii="Times New Roman" w:hAnsi="Times New Roman" w:cs="Times New Roman" w:eastAsia="Times New Roman" w:hint="default"/>
          <w:spacing w:val="-13"/>
          <w:sz w:val="21"/>
          <w:szCs w:val="21"/>
        </w:rPr>
        <w:t> </w:t>
      </w:r>
      <w:r>
        <w:rPr>
          <w:rFonts w:ascii="Times New Roman" w:hAnsi="Times New Roman" w:cs="Times New Roman" w:eastAsia="Times New Roman" w:hint="default"/>
          <w:sz w:val="21"/>
          <w:szCs w:val="21"/>
        </w:rPr>
        <w:t>S0</w:t>
      </w:r>
      <w:r>
        <w:rPr>
          <w:rFonts w:ascii="宋体" w:hAnsi="宋体" w:cs="宋体" w:eastAsia="宋体" w:hint="default"/>
          <w:sz w:val="21"/>
          <w:szCs w:val="21"/>
        </w:rPr>
        <w:t>＋</w:t>
      </w:r>
      <w:r>
        <w:rPr>
          <w:rFonts w:ascii="Times New Roman" w:hAnsi="Times New Roman" w:cs="Times New Roman" w:eastAsia="Times New Roman" w:hint="default"/>
          <w:sz w:val="21"/>
          <w:szCs w:val="21"/>
        </w:rPr>
        <w:t>S1</w:t>
      </w:r>
      <w:r>
        <w:rPr>
          <w:rFonts w:ascii="宋体" w:hAnsi="宋体" w:cs="宋体" w:eastAsia="宋体" w:hint="default"/>
          <w:sz w:val="21"/>
          <w:szCs w:val="21"/>
        </w:rPr>
        <w:t>＋</w:t>
      </w:r>
      <w:r>
        <w:rPr>
          <w:rFonts w:ascii="Times New Roman" w:hAnsi="Times New Roman" w:cs="Times New Roman" w:eastAsia="Times New Roman" w:hint="default"/>
          <w:sz w:val="21"/>
          <w:szCs w:val="21"/>
        </w:rPr>
        <w:t>Si×Mi÷M0–Sj×Mj÷M0–Sk</w:t>
      </w:r>
    </w:p>
    <w:p>
      <w:pPr>
        <w:spacing w:line="331" w:lineRule="auto" w:before="110"/>
        <w:ind w:left="875" w:right="194" w:firstLine="0"/>
        <w:jc w:val="both"/>
        <w:rPr>
          <w:rFonts w:ascii="宋体" w:hAnsi="宋体" w:cs="宋体" w:eastAsia="宋体" w:hint="default"/>
          <w:sz w:val="21"/>
          <w:szCs w:val="21"/>
        </w:rPr>
      </w:pPr>
      <w:r>
        <w:rPr>
          <w:rFonts w:ascii="宋体" w:hAnsi="宋体" w:cs="宋体" w:eastAsia="宋体" w:hint="default"/>
          <w:sz w:val="21"/>
          <w:szCs w:val="21"/>
        </w:rPr>
        <w:t>其中：</w:t>
      </w:r>
      <w:r>
        <w:rPr>
          <w:rFonts w:ascii="Times New Roman" w:hAnsi="Times New Roman" w:cs="Times New Roman" w:eastAsia="Times New Roman" w:hint="default"/>
          <w:sz w:val="21"/>
          <w:szCs w:val="21"/>
        </w:rPr>
        <w:t>P0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为归属于公司普通股股东的净利润或扣除非经常性损益后归属于普通股股 东的净利润；</w:t>
      </w:r>
      <w:r>
        <w:rPr>
          <w:rFonts w:ascii="Times New Roman" w:hAnsi="Times New Roman" w:cs="Times New Roman" w:eastAsia="Times New Roman" w:hint="default"/>
          <w:sz w:val="21"/>
          <w:szCs w:val="21"/>
        </w:rPr>
        <w:t>S </w:t>
      </w:r>
      <w:r>
        <w:rPr>
          <w:rFonts w:ascii="宋体" w:hAnsi="宋体" w:cs="宋体" w:eastAsia="宋体" w:hint="default"/>
          <w:sz w:val="21"/>
          <w:szCs w:val="21"/>
        </w:rPr>
        <w:t>为发行在外的普通股加权平均数；</w:t>
      </w:r>
      <w:r>
        <w:rPr>
          <w:rFonts w:ascii="Times New Roman" w:hAnsi="Times New Roman" w:cs="Times New Roman" w:eastAsia="Times New Roman" w:hint="default"/>
          <w:sz w:val="21"/>
          <w:szCs w:val="21"/>
        </w:rPr>
        <w:t>S0 </w:t>
      </w:r>
      <w:r>
        <w:rPr>
          <w:rFonts w:ascii="宋体" w:hAnsi="宋体" w:cs="宋体" w:eastAsia="宋体" w:hint="default"/>
          <w:sz w:val="21"/>
          <w:szCs w:val="21"/>
        </w:rPr>
        <w:t>为期初股份总数；</w:t>
      </w:r>
      <w:r>
        <w:rPr>
          <w:rFonts w:ascii="Times New Roman" w:hAnsi="Times New Roman" w:cs="Times New Roman" w:eastAsia="Times New Roman" w:hint="default"/>
          <w:sz w:val="21"/>
          <w:szCs w:val="21"/>
        </w:rPr>
        <w:t>S1</w:t>
      </w:r>
      <w:r>
        <w:rPr>
          <w:rFonts w:ascii="Times New Roman" w:hAnsi="Times New Roman" w:cs="Times New Roman" w:eastAsia="Times New Roman" w:hint="default"/>
          <w:spacing w:val="39"/>
          <w:sz w:val="21"/>
          <w:szCs w:val="21"/>
        </w:rPr>
        <w:t> </w:t>
      </w:r>
      <w:r>
        <w:rPr>
          <w:rFonts w:ascii="宋体" w:hAnsi="宋体" w:cs="宋体" w:eastAsia="宋体" w:hint="default"/>
          <w:sz w:val="21"/>
          <w:szCs w:val="21"/>
        </w:rPr>
        <w:t>为报告期 </w:t>
      </w:r>
      <w:r>
        <w:rPr>
          <w:rFonts w:ascii="宋体" w:hAnsi="宋体" w:cs="宋体" w:eastAsia="宋体" w:hint="default"/>
          <w:spacing w:val="-5"/>
          <w:w w:val="99"/>
          <w:sz w:val="21"/>
          <w:szCs w:val="21"/>
        </w:rPr>
        <w:t>因公积金转增股本或股票股利分配等增加股份数；</w:t>
      </w:r>
      <w:r>
        <w:rPr>
          <w:rFonts w:ascii="Times New Roman" w:hAnsi="Times New Roman" w:cs="Times New Roman" w:eastAsia="Times New Roman" w:hint="default"/>
          <w:spacing w:val="-5"/>
          <w:w w:val="99"/>
          <w:sz w:val="21"/>
          <w:szCs w:val="21"/>
        </w:rPr>
        <w:t>Si</w:t>
      </w:r>
      <w:r>
        <w:rPr>
          <w:rFonts w:ascii="Times New Roman" w:hAnsi="Times New Roman" w:cs="Times New Roman" w:eastAsia="Times New Roman" w:hint="default"/>
          <w:spacing w:val="25"/>
          <w:w w:val="99"/>
          <w:sz w:val="21"/>
          <w:szCs w:val="21"/>
        </w:rPr>
        <w:t> </w:t>
      </w:r>
      <w:r>
        <w:rPr>
          <w:rFonts w:ascii="宋体" w:hAnsi="宋体" w:cs="宋体" w:eastAsia="宋体" w:hint="default"/>
          <w:spacing w:val="-1"/>
          <w:sz w:val="21"/>
          <w:szCs w:val="21"/>
        </w:rPr>
        <w:t>为报告期因发行新股或债转股等</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4"/>
          <w:sz w:val="21"/>
          <w:szCs w:val="21"/>
        </w:rPr>
        <w:t>增加股份数；</w:t>
      </w:r>
      <w:r>
        <w:rPr>
          <w:rFonts w:ascii="Times New Roman" w:hAnsi="Times New Roman" w:cs="Times New Roman" w:eastAsia="Times New Roman" w:hint="default"/>
          <w:spacing w:val="-4"/>
          <w:sz w:val="21"/>
          <w:szCs w:val="21"/>
        </w:rPr>
        <w:t>Sj </w:t>
      </w:r>
      <w:r>
        <w:rPr>
          <w:rFonts w:ascii="宋体" w:hAnsi="宋体" w:cs="宋体" w:eastAsia="宋体" w:hint="default"/>
          <w:sz w:val="21"/>
          <w:szCs w:val="21"/>
        </w:rPr>
        <w:t>为报告期因回购等减少股份数；</w:t>
      </w:r>
      <w:r>
        <w:rPr>
          <w:rFonts w:ascii="Times New Roman" w:hAnsi="Times New Roman" w:cs="Times New Roman" w:eastAsia="Times New Roman" w:hint="default"/>
          <w:sz w:val="21"/>
          <w:szCs w:val="21"/>
        </w:rPr>
        <w:t>Sk </w:t>
      </w:r>
      <w:r>
        <w:rPr>
          <w:rFonts w:ascii="宋体" w:hAnsi="宋体" w:cs="宋体" w:eastAsia="宋体" w:hint="default"/>
          <w:spacing w:val="-3"/>
          <w:sz w:val="21"/>
          <w:szCs w:val="21"/>
        </w:rPr>
        <w:t>为报告期缩股数；</w:t>
      </w:r>
      <w:r>
        <w:rPr>
          <w:rFonts w:ascii="Times New Roman" w:hAnsi="Times New Roman" w:cs="Times New Roman" w:eastAsia="Times New Roman" w:hint="default"/>
          <w:spacing w:val="-3"/>
          <w:sz w:val="21"/>
          <w:szCs w:val="21"/>
        </w:rPr>
        <w:t>M0</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报告期月份 </w:t>
      </w:r>
      <w:r>
        <w:rPr>
          <w:rFonts w:ascii="宋体" w:hAnsi="宋体" w:cs="宋体" w:eastAsia="宋体" w:hint="default"/>
          <w:spacing w:val="-6"/>
          <w:sz w:val="21"/>
          <w:szCs w:val="21"/>
        </w:rPr>
        <w:t>数；</w:t>
      </w:r>
      <w:r>
        <w:rPr>
          <w:rFonts w:ascii="Times New Roman" w:hAnsi="Times New Roman" w:cs="Times New Roman" w:eastAsia="Times New Roman" w:hint="default"/>
          <w:spacing w:val="-6"/>
          <w:sz w:val="21"/>
          <w:szCs w:val="21"/>
        </w:rPr>
        <w:t>Mi </w:t>
      </w:r>
      <w:r>
        <w:rPr>
          <w:rFonts w:ascii="宋体" w:hAnsi="宋体" w:cs="宋体" w:eastAsia="宋体" w:hint="default"/>
          <w:sz w:val="21"/>
          <w:szCs w:val="21"/>
        </w:rPr>
        <w:t>为增加股份次月起至报告期期末的累计月数；</w:t>
      </w:r>
      <w:r>
        <w:rPr>
          <w:rFonts w:ascii="Times New Roman" w:hAnsi="Times New Roman" w:cs="Times New Roman" w:eastAsia="Times New Roman" w:hint="default"/>
          <w:sz w:val="21"/>
          <w:szCs w:val="21"/>
        </w:rPr>
        <w:t>Mj</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为减少股份次月起至报告期 期末的累计月数。</w:t>
      </w:r>
    </w:p>
    <w:p>
      <w:pPr>
        <w:spacing w:line="328" w:lineRule="auto" w:before="46"/>
        <w:ind w:left="875" w:right="194" w:hanging="1"/>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、稀释每股收益 </w:t>
      </w:r>
      <w:r>
        <w:rPr>
          <w:rFonts w:ascii="宋体" w:hAnsi="宋体" w:cs="宋体" w:eastAsia="宋体" w:hint="default"/>
          <w:spacing w:val="-2"/>
          <w:sz w:val="21"/>
          <w:szCs w:val="21"/>
        </w:rPr>
        <w:t>稀释每股收益</w:t>
      </w:r>
      <w:r>
        <w:rPr>
          <w:rFonts w:ascii="Times New Roman" w:hAnsi="Times New Roman" w:cs="Times New Roman" w:eastAsia="Times New Roman" w:hint="default"/>
          <w:spacing w:val="-2"/>
          <w:sz w:val="21"/>
          <w:szCs w:val="21"/>
        </w:rPr>
        <w:t>=P1/(S0</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S1</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Si×Mi÷M0–Sj×Mj÷M0–Sk+</w:t>
      </w:r>
      <w:r>
        <w:rPr>
          <w:rFonts w:ascii="宋体" w:hAnsi="宋体" w:cs="宋体" w:eastAsia="宋体" w:hint="default"/>
          <w:spacing w:val="-2"/>
          <w:sz w:val="21"/>
          <w:szCs w:val="21"/>
        </w:rPr>
        <w:t>认股权证、股份期权、可转换</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债券等增加的普通股加权平均数</w:t>
      </w:r>
      <w:r>
        <w:rPr>
          <w:rFonts w:ascii="Times New Roman" w:hAnsi="Times New Roman" w:cs="Times New Roman" w:eastAsia="Times New Roman" w:hint="default"/>
          <w:sz w:val="21"/>
          <w:szCs w:val="21"/>
        </w:rPr>
        <w:t>)</w:t>
      </w:r>
    </w:p>
    <w:p>
      <w:pPr>
        <w:spacing w:line="345" w:lineRule="auto" w:before="24"/>
        <w:ind w:left="875" w:right="192" w:firstLine="0"/>
        <w:jc w:val="both"/>
        <w:rPr>
          <w:rFonts w:ascii="宋体" w:hAnsi="宋体" w:cs="宋体" w:eastAsia="宋体" w:hint="default"/>
          <w:sz w:val="21"/>
          <w:szCs w:val="21"/>
        </w:rPr>
      </w:pPr>
      <w:r>
        <w:rPr>
          <w:rFonts w:ascii="宋体" w:hAnsi="宋体" w:cs="宋体" w:eastAsia="宋体" w:hint="default"/>
          <w:sz w:val="21"/>
          <w:szCs w:val="21"/>
        </w:rPr>
        <w:t>其中，</w:t>
      </w:r>
      <w:r>
        <w:rPr>
          <w:rFonts w:ascii="Times New Roman" w:hAnsi="Times New Roman" w:cs="Times New Roman" w:eastAsia="Times New Roman" w:hint="default"/>
          <w:sz w:val="21"/>
          <w:szCs w:val="21"/>
        </w:rPr>
        <w:t>P1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为归属于公司普通股股东的净利润或扣除非经常性损益后归属于公司普通 </w:t>
      </w:r>
      <w:r>
        <w:rPr>
          <w:rFonts w:ascii="宋体" w:hAnsi="宋体" w:cs="宋体" w:eastAsia="宋体" w:hint="default"/>
          <w:spacing w:val="-3"/>
          <w:sz w:val="21"/>
          <w:szCs w:val="21"/>
        </w:rPr>
        <w:t>股股东的净利润，并考虑稀释性潜在普通股对其影响，按《企业会计准则》及有关规</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pacing w:val="-3"/>
          <w:sz w:val="21"/>
          <w:szCs w:val="21"/>
        </w:rPr>
        <w:t>定进行调整。公司在计算稀释每股收益时，应考虑所有稀释性潜在普通股对归属于公</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司普通股股东的净利润或扣除非经常性损益后归属于公司普通股股东的净利润和加</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3"/>
          <w:sz w:val="21"/>
          <w:szCs w:val="21"/>
        </w:rPr>
        <w:t>权平均股数的影响，按照其稀释程度从大到小的顺序计入稀释每股收益，直至稀释每</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股收益达到最小值。</w:t>
      </w:r>
    </w:p>
    <w:p>
      <w:pPr>
        <w:spacing w:before="33"/>
        <w:ind w:left="875" w:right="194" w:firstLine="0"/>
        <w:jc w:val="left"/>
        <w:rPr>
          <w:rFonts w:ascii="宋体" w:hAnsi="宋体" w:cs="宋体" w:eastAsia="宋体" w:hint="default"/>
          <w:sz w:val="21"/>
          <w:szCs w:val="21"/>
        </w:rPr>
      </w:pPr>
      <w:r>
        <w:rPr>
          <w:rFonts w:ascii="宋体" w:hAnsi="宋体" w:cs="宋体" w:eastAsia="宋体" w:hint="default"/>
          <w:sz w:val="21"/>
          <w:szCs w:val="21"/>
        </w:rPr>
        <w:t>计算过程：</w:t>
      </w:r>
    </w:p>
    <w:p>
      <w:pPr>
        <w:spacing w:line="340" w:lineRule="auto" w:before="125"/>
        <w:ind w:left="875" w:right="108" w:hanging="1"/>
        <w:jc w:val="left"/>
        <w:rPr>
          <w:rFonts w:ascii="宋体" w:hAnsi="宋体" w:cs="宋体" w:eastAsia="宋体" w:hint="default"/>
          <w:sz w:val="21"/>
          <w:szCs w:val="21"/>
        </w:rPr>
      </w:pPr>
      <w:r>
        <w:rPr/>
        <w:pict>
          <v:group style="position:absolute;margin-left:117.540001pt;margin-top:61.645573pt;width:392.5pt;height:65.3500pt;mso-position-horizontal-relative:page;mso-position-vertical-relative:paragraph;z-index:-773992" coordorigin="2351,1233" coordsize="7850,1307">
            <v:shape style="position:absolute;left:6694;top:1233;width:1788;height:370" type="#_x0000_t75" stroked="false">
              <v:imagedata r:id="rId255" o:title=""/>
            </v:shape>
            <v:shape style="position:absolute;left:2351;top:1545;width:7849;height:995" type="#_x0000_t75" stroked="false">
              <v:imagedata r:id="rId256" o:title=""/>
            </v:shape>
            <w10:wrap type="none"/>
          </v:group>
        </w:pict>
      </w:r>
      <w:r>
        <w:rPr/>
        <w:pict>
          <v:shape style="position:absolute;margin-left:118.980003pt;margin-top:62.335571pt;width:389.5pt;height:66.9pt;mso-position-horizontal-relative:page;mso-position-vertical-relative:paragraph;z-index:164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02"/>
                    <w:gridCol w:w="2257"/>
                    <w:gridCol w:w="1530"/>
                  </w:tblGrid>
                  <w:tr>
                    <w:trPr>
                      <w:trHeight w:val="332" w:hRule="exact"/>
                    </w:trPr>
                    <w:tc>
                      <w:tcPr>
                        <w:tcW w:w="4002"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34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5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845"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530"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309"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326" w:hRule="exact"/>
                    </w:trPr>
                    <w:tc>
                      <w:tcPr>
                        <w:tcW w:w="400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7" w:right="0"/>
                          <w:jc w:val="left"/>
                          <w:rPr>
                            <w:rFonts w:ascii="宋体" w:hAnsi="宋体" w:cs="宋体" w:eastAsia="宋体" w:hint="default"/>
                            <w:sz w:val="18"/>
                            <w:szCs w:val="18"/>
                          </w:rPr>
                        </w:pPr>
                        <w:r>
                          <w:rPr>
                            <w:rFonts w:ascii="宋体" w:hAnsi="宋体" w:cs="宋体" w:eastAsia="宋体" w:hint="default"/>
                            <w:sz w:val="18"/>
                            <w:szCs w:val="18"/>
                          </w:rPr>
                          <w:t>归属于本公司普通股股东的合并净利润</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95"/>
                          <w:jc w:val="right"/>
                          <w:rPr>
                            <w:rFonts w:ascii="Times New Roman" w:hAnsi="Times New Roman" w:cs="Times New Roman" w:eastAsia="Times New Roman" w:hint="default"/>
                            <w:sz w:val="18"/>
                            <w:szCs w:val="18"/>
                          </w:rPr>
                        </w:pPr>
                        <w:r>
                          <w:rPr>
                            <w:rFonts w:ascii="Times New Roman"/>
                            <w:spacing w:val="-1"/>
                            <w:sz w:val="18"/>
                          </w:rPr>
                          <w:t>70,590,817.47</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70,257,925.69</w:t>
                        </w:r>
                      </w:p>
                    </w:tc>
                  </w:tr>
                  <w:tr>
                    <w:trPr>
                      <w:trHeight w:val="322" w:hRule="exact"/>
                    </w:trPr>
                    <w:tc>
                      <w:tcPr>
                        <w:tcW w:w="400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宋体" w:hAnsi="宋体" w:cs="宋体" w:eastAsia="宋体" w:hint="default"/>
                            <w:sz w:val="18"/>
                            <w:szCs w:val="18"/>
                          </w:rPr>
                          <w:t>本公司发行在外普通股的加权平均数</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95"/>
                          <w:jc w:val="right"/>
                          <w:rPr>
                            <w:rFonts w:ascii="Times New Roman" w:hAnsi="Times New Roman" w:cs="Times New Roman" w:eastAsia="Times New Roman" w:hint="default"/>
                            <w:sz w:val="18"/>
                            <w:szCs w:val="18"/>
                          </w:rPr>
                        </w:pPr>
                        <w:r>
                          <w:rPr>
                            <w:rFonts w:ascii="Times New Roman"/>
                            <w:spacing w:val="-1"/>
                            <w:sz w:val="18"/>
                          </w:rPr>
                          <w:t>630,920,640.00</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600,877,440.00</w:t>
                        </w:r>
                      </w:p>
                    </w:tc>
                  </w:tr>
                  <w:tr>
                    <w:trPr>
                      <w:trHeight w:val="328" w:hRule="exact"/>
                    </w:trPr>
                    <w:tc>
                      <w:tcPr>
                        <w:tcW w:w="4002"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2257"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297"/>
                          <w:jc w:val="right"/>
                          <w:rPr>
                            <w:rFonts w:ascii="Times New Roman" w:hAnsi="Times New Roman" w:cs="Times New Roman" w:eastAsia="Times New Roman" w:hint="default"/>
                            <w:sz w:val="18"/>
                            <w:szCs w:val="18"/>
                          </w:rPr>
                        </w:pPr>
                        <w:r>
                          <w:rPr>
                            <w:rFonts w:ascii="Times New Roman"/>
                            <w:spacing w:val="-2"/>
                            <w:w w:val="95"/>
                            <w:sz w:val="18"/>
                          </w:rPr>
                          <w:t>0.11</w:t>
                        </w:r>
                      </w:p>
                    </w:tc>
                    <w:tc>
                      <w:tcPr>
                        <w:tcW w:w="1530"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0.12</w:t>
                        </w:r>
                      </w:p>
                    </w:tc>
                  </w:tr>
                </w:tbl>
                <w:p>
                  <w:pPr/>
                </w:p>
              </w:txbxContent>
            </v:textbox>
            <w10:wrap type="none"/>
          </v:shape>
        </w:pic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）基本每股收益 </w:t>
      </w:r>
      <w:r>
        <w:rPr>
          <w:rFonts w:ascii="宋体" w:hAnsi="宋体" w:cs="宋体" w:eastAsia="宋体" w:hint="default"/>
          <w:spacing w:val="3"/>
          <w:sz w:val="21"/>
          <w:szCs w:val="21"/>
        </w:rPr>
        <w:t>基本每股收益以归属于本公司普通股股东的合并净利润除以本公司发行在外普通股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的加权平均数计算</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7"/>
          <w:szCs w:val="27"/>
        </w:rPr>
      </w:pPr>
    </w:p>
    <w:tbl>
      <w:tblPr>
        <w:tblW w:w="0" w:type="auto"/>
        <w:jc w:val="left"/>
        <w:tblInd w:w="837" w:type="dxa"/>
        <w:tblLayout w:type="fixed"/>
        <w:tblCellMar>
          <w:top w:w="0" w:type="dxa"/>
          <w:left w:w="0" w:type="dxa"/>
          <w:bottom w:w="0" w:type="dxa"/>
          <w:right w:w="0" w:type="dxa"/>
        </w:tblCellMar>
        <w:tblLook w:val="01E0"/>
      </w:tblPr>
      <w:tblGrid>
        <w:gridCol w:w="4104"/>
        <w:gridCol w:w="2186"/>
        <w:gridCol w:w="1497"/>
      </w:tblGrid>
      <w:tr>
        <w:trPr>
          <w:trHeight w:val="396" w:hRule="exact"/>
        </w:trPr>
        <w:tc>
          <w:tcPr>
            <w:tcW w:w="4104"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58" w:right="0"/>
              <w:jc w:val="left"/>
              <w:rPr>
                <w:rFonts w:ascii="宋体" w:hAnsi="宋体" w:cs="宋体" w:eastAsia="宋体" w:hint="default"/>
                <w:sz w:val="21"/>
                <w:szCs w:val="21"/>
              </w:rPr>
            </w:pPr>
            <w:r>
              <w:rPr>
                <w:rFonts w:ascii="宋体" w:hAnsi="宋体" w:cs="宋体" w:eastAsia="宋体" w:hint="default"/>
                <w:sz w:val="21"/>
                <w:szCs w:val="21"/>
              </w:rPr>
              <w:t>普通股的加权平均数计算过程如下</w:t>
            </w:r>
          </w:p>
        </w:tc>
        <w:tc>
          <w:tcPr>
            <w:tcW w:w="3683" w:type="dxa"/>
            <w:gridSpan w:val="2"/>
            <w:tcBorders>
              <w:top w:val="nil" w:sz="6" w:space="0" w:color="auto"/>
              <w:left w:val="nil" w:sz="6" w:space="0" w:color="auto"/>
              <w:bottom w:val="single" w:sz="12" w:space="0" w:color="000000"/>
              <w:right w:val="nil" w:sz="6" w:space="0" w:color="auto"/>
            </w:tcBorders>
          </w:tcPr>
          <w:p>
            <w:pPr/>
          </w:p>
        </w:tc>
      </w:tr>
      <w:tr>
        <w:trPr>
          <w:trHeight w:val="337" w:hRule="exact"/>
        </w:trPr>
        <w:tc>
          <w:tcPr>
            <w:tcW w:w="4104"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9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186"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798"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49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6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上年金额</w:t>
            </w:r>
            <w:r>
              <w:rPr>
                <w:rFonts w:ascii="Times New Roman" w:hAnsi="Times New Roman" w:cs="Times New Roman" w:eastAsia="Times New Roman" w:hint="default"/>
                <w:sz w:val="18"/>
                <w:szCs w:val="18"/>
              </w:rPr>
              <w:t>*</w:t>
            </w:r>
          </w:p>
        </w:tc>
      </w:tr>
      <w:tr>
        <w:trPr>
          <w:trHeight w:val="320" w:hRule="exact"/>
        </w:trPr>
        <w:tc>
          <w:tcPr>
            <w:tcW w:w="410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18"/>
                <w:szCs w:val="18"/>
              </w:rPr>
            </w:pPr>
            <w:r>
              <w:rPr>
                <w:rFonts w:ascii="宋体" w:hAnsi="宋体" w:cs="宋体" w:eastAsia="宋体" w:hint="default"/>
                <w:sz w:val="18"/>
                <w:szCs w:val="18"/>
              </w:rPr>
              <w:t>年初已发行普通股股数</w:t>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62"/>
              <w:jc w:val="right"/>
              <w:rPr>
                <w:rFonts w:ascii="Times New Roman" w:hAnsi="Times New Roman" w:cs="Times New Roman" w:eastAsia="Times New Roman" w:hint="default"/>
                <w:sz w:val="18"/>
                <w:szCs w:val="18"/>
              </w:rPr>
            </w:pPr>
            <w:r>
              <w:rPr>
                <w:rFonts w:ascii="Times New Roman"/>
                <w:spacing w:val="-1"/>
                <w:sz w:val="18"/>
              </w:rPr>
              <w:t>630,920,640.00</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600,877,440.00</w:t>
            </w:r>
          </w:p>
        </w:tc>
      </w:tr>
      <w:tr>
        <w:trPr>
          <w:trHeight w:val="322" w:hRule="exact"/>
        </w:trPr>
        <w:tc>
          <w:tcPr>
            <w:tcW w:w="410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加：本年发行的普通股加权数</w:t>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6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w:t>
            </w:r>
          </w:p>
        </w:tc>
      </w:tr>
      <w:tr>
        <w:trPr>
          <w:trHeight w:val="322" w:hRule="exact"/>
        </w:trPr>
        <w:tc>
          <w:tcPr>
            <w:tcW w:w="410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8" w:right="0"/>
              <w:jc w:val="left"/>
              <w:rPr>
                <w:rFonts w:ascii="宋体" w:hAnsi="宋体" w:cs="宋体" w:eastAsia="宋体" w:hint="default"/>
                <w:sz w:val="18"/>
                <w:szCs w:val="18"/>
              </w:rPr>
            </w:pPr>
            <w:r>
              <w:rPr>
                <w:rFonts w:ascii="宋体" w:hAnsi="宋体" w:cs="宋体" w:eastAsia="宋体" w:hint="default"/>
                <w:sz w:val="18"/>
                <w:szCs w:val="18"/>
              </w:rPr>
              <w:t>减：本年回购的普通股加权数</w:t>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6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w:t>
            </w:r>
          </w:p>
        </w:tc>
      </w:tr>
      <w:tr>
        <w:trPr>
          <w:trHeight w:val="328" w:hRule="exact"/>
        </w:trPr>
        <w:tc>
          <w:tcPr>
            <w:tcW w:w="4104"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年末发行在外的普通股加权数</w:t>
            </w:r>
          </w:p>
        </w:tc>
        <w:tc>
          <w:tcPr>
            <w:tcW w:w="2186"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262"/>
              <w:jc w:val="right"/>
              <w:rPr>
                <w:rFonts w:ascii="Times New Roman" w:hAnsi="Times New Roman" w:cs="Times New Roman" w:eastAsia="Times New Roman" w:hint="default"/>
                <w:sz w:val="18"/>
                <w:szCs w:val="18"/>
              </w:rPr>
            </w:pPr>
            <w:r>
              <w:rPr>
                <w:rFonts w:ascii="Times New Roman"/>
                <w:spacing w:val="-1"/>
                <w:sz w:val="18"/>
              </w:rPr>
              <w:t>630,920,640.00</w:t>
            </w:r>
          </w:p>
        </w:tc>
        <w:tc>
          <w:tcPr>
            <w:tcW w:w="1497"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600,877,440.00</w:t>
            </w:r>
          </w:p>
        </w:tc>
      </w:tr>
    </w:tbl>
    <w:p>
      <w:pPr>
        <w:spacing w:line="240" w:lineRule="auto" w:before="13"/>
        <w:rPr>
          <w:rFonts w:ascii="宋体" w:hAnsi="宋体" w:cs="宋体" w:eastAsia="宋体" w:hint="default"/>
          <w:sz w:val="7"/>
          <w:szCs w:val="7"/>
        </w:rPr>
      </w:pPr>
    </w:p>
    <w:p>
      <w:pPr>
        <w:spacing w:before="35"/>
        <w:ind w:left="995" w:right="194" w:firstLine="0"/>
        <w:jc w:val="left"/>
        <w:rPr>
          <w:rFonts w:ascii="宋体" w:hAnsi="宋体" w:cs="宋体" w:eastAsia="宋体" w:hint="default"/>
          <w:sz w:val="21"/>
          <w:szCs w:val="21"/>
        </w:rPr>
      </w:pPr>
      <w:r>
        <w:rPr/>
        <w:pict>
          <v:group style="position:absolute;margin-left:117.900002pt;margin-top:-88.886032pt;width:391.4pt;height:81.45pt;mso-position-horizontal-relative:page;mso-position-vertical-relative:paragraph;z-index:-773968" coordorigin="2358,-1778" coordsize="7828,1629">
            <v:shape style="position:absolute;left:6738;top:-1778;width:1806;height:370" type="#_x0000_t75" stroked="false">
              <v:imagedata r:id="rId257" o:title=""/>
            </v:shape>
            <v:shape style="position:absolute;left:2358;top:-1456;width:7828;height:1307" type="#_x0000_t75" stroked="false">
              <v:imagedata r:id="rId258" o:title=""/>
            </v:shape>
            <w10:wrap type="none"/>
          </v:group>
        </w:pict>
      </w:r>
      <w:r>
        <w:rPr>
          <w:rFonts w:ascii="Times New Roman" w:hAnsi="Times New Roman" w:cs="Times New Roman" w:eastAsia="Times New Roman" w:hint="default"/>
          <w:sz w:val="21"/>
          <w:szCs w:val="21"/>
        </w:rPr>
        <w:t>*</w:t>
      </w:r>
      <w:r>
        <w:rPr>
          <w:rFonts w:ascii="宋体" w:hAnsi="宋体" w:cs="宋体" w:eastAsia="宋体" w:hint="default"/>
          <w:sz w:val="21"/>
          <w:szCs w:val="21"/>
        </w:rPr>
        <w:t>上年金额已按《企业会计准则第</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r>
        <w:rPr>
          <w:rFonts w:ascii="宋体" w:hAnsi="宋体" w:cs="宋体" w:eastAsia="宋体" w:hint="default"/>
          <w:sz w:val="21"/>
          <w:szCs w:val="21"/>
        </w:rPr>
        <w:t>每股收益》的要求进行了调整。</w:t>
      </w:r>
    </w:p>
    <w:p>
      <w:pPr>
        <w:spacing w:after="0"/>
        <w:jc w:val="left"/>
        <w:rPr>
          <w:rFonts w:ascii="宋体" w:hAnsi="宋体" w:cs="宋体" w:eastAsia="宋体" w:hint="default"/>
          <w:sz w:val="21"/>
          <w:szCs w:val="21"/>
        </w:rPr>
        <w:sectPr>
          <w:pgSz w:w="11910" w:h="16840"/>
          <w:pgMar w:header="0" w:footer="1270" w:top="1360" w:bottom="1460" w:left="1540" w:right="1600"/>
        </w:sectPr>
      </w:pPr>
    </w:p>
    <w:p>
      <w:pPr>
        <w:spacing w:line="240" w:lineRule="auto" w:before="9"/>
        <w:rPr>
          <w:rFonts w:ascii="宋体" w:hAnsi="宋体" w:cs="宋体" w:eastAsia="宋体" w:hint="default"/>
          <w:sz w:val="14"/>
          <w:szCs w:val="14"/>
        </w:rPr>
      </w:pPr>
    </w:p>
    <w:p>
      <w:pPr>
        <w:spacing w:line="355" w:lineRule="auto" w:before="35"/>
        <w:ind w:left="875" w:right="0" w:firstLine="120"/>
        <w:jc w:val="left"/>
        <w:rPr>
          <w:rFonts w:ascii="宋体" w:hAnsi="宋体" w:cs="宋体" w:eastAsia="宋体" w:hint="default"/>
          <w:sz w:val="21"/>
          <w:szCs w:val="21"/>
        </w:rPr>
      </w:pPr>
      <w:r>
        <w:rPr/>
        <w:pict>
          <v:group style="position:absolute;margin-left:117.419998pt;margin-top:59.013996pt;width:389.3pt;height:96.6pt;mso-position-horizontal-relative:page;mso-position-vertical-relative:paragraph;z-index:-773632" coordorigin="2348,1180" coordsize="7786,1932">
            <v:group style="position:absolute;left:2377;top:1195;width:7721;height:2" coordorigin="2377,1195" coordsize="7721,2">
              <v:shape style="position:absolute;left:2377;top:1195;width:7721;height:2" coordorigin="2377,1195" coordsize="7721,0" path="m2377,1195l10098,1195e" filled="false" stroked="true" strokeweight="1.5pt" strokecolor="#000000">
                <v:path arrowok="t"/>
              </v:shape>
              <v:shape style="position:absolute;left:6653;top:1181;width:1772;height:370" type="#_x0000_t75" stroked="false">
                <v:imagedata r:id="rId259" o:title=""/>
              </v:shape>
              <v:shape style="position:absolute;left:2348;top:1503;width:7786;height:1609" type="#_x0000_t75" stroked="false">
                <v:imagedata r:id="rId260" o:title=""/>
              </v:shape>
              <v:shape style="position:absolute;left:2485;top:1260;width:4101;height:845" type="#_x0000_t202" filled="false" stroked="false">
                <v:textbox inset="0,0,0,0">
                  <w:txbxContent>
                    <w:p>
                      <w:pPr>
                        <w:spacing w:line="210" w:lineRule="exact" w:before="0"/>
                        <w:ind w:left="0" w:right="0" w:firstLine="1836"/>
                        <w:jc w:val="left"/>
                        <w:rPr>
                          <w:rFonts w:ascii="宋体" w:hAnsi="宋体" w:cs="宋体" w:eastAsia="宋体" w:hint="default"/>
                          <w:sz w:val="21"/>
                          <w:szCs w:val="21"/>
                        </w:rPr>
                      </w:pPr>
                      <w:r>
                        <w:rPr>
                          <w:rFonts w:ascii="宋体" w:hAnsi="宋体" w:cs="宋体" w:eastAsia="宋体" w:hint="default"/>
                          <w:sz w:val="21"/>
                          <w:szCs w:val="21"/>
                        </w:rPr>
                        <w:t>项目</w:t>
                      </w:r>
                    </w:p>
                    <w:p>
                      <w:pPr>
                        <w:spacing w:line="310" w:lineRule="atLeast" w:before="13"/>
                        <w:ind w:left="0" w:right="0" w:firstLine="0"/>
                        <w:jc w:val="left"/>
                        <w:rPr>
                          <w:rFonts w:ascii="宋体" w:hAnsi="宋体" w:cs="宋体" w:eastAsia="宋体" w:hint="default"/>
                          <w:sz w:val="21"/>
                          <w:szCs w:val="21"/>
                        </w:rPr>
                      </w:pPr>
                      <w:r>
                        <w:rPr>
                          <w:rFonts w:ascii="宋体" w:hAnsi="宋体" w:cs="宋体" w:eastAsia="宋体" w:hint="default"/>
                          <w:spacing w:val="5"/>
                          <w:sz w:val="21"/>
                          <w:szCs w:val="21"/>
                        </w:rPr>
                        <w:t>归属于本公司普通股股东的合并净利润（稀</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释）</w:t>
                      </w:r>
                    </w:p>
                  </w:txbxContent>
                </v:textbox>
                <w10:wrap type="none"/>
              </v:shape>
              <v:shape style="position:absolute;left:7120;top:126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本年金额</w:t>
                      </w:r>
                    </w:p>
                  </w:txbxContent>
                </v:textbox>
                <w10:wrap type="none"/>
              </v:shape>
              <v:shape style="position:absolute;left:8825;top:126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上年金额</w:t>
                      </w:r>
                    </w:p>
                  </w:txbxContent>
                </v:textbox>
                <w10:wrap type="none"/>
              </v:shape>
              <v:shape style="position:absolute;left:2485;top:2529;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释）</w:t>
                      </w:r>
                    </w:p>
                  </w:txbxContent>
                </v:textbox>
                <w10:wrap type="non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）稀释每股收益 </w:t>
      </w:r>
      <w:r>
        <w:rPr>
          <w:rFonts w:ascii="宋体" w:hAnsi="宋体" w:cs="宋体" w:eastAsia="宋体" w:hint="default"/>
          <w:spacing w:val="3"/>
          <w:sz w:val="21"/>
          <w:szCs w:val="21"/>
        </w:rPr>
        <w:t>稀释每股收益以调整后的归属于本公司普通股股东的合并净利润除以调整后的本公</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司发行在外普通股的加权平均数计算</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tbl>
      <w:tblPr>
        <w:tblW w:w="0" w:type="auto"/>
        <w:jc w:val="left"/>
        <w:tblInd w:w="822" w:type="dxa"/>
        <w:tblLayout w:type="fixed"/>
        <w:tblCellMar>
          <w:top w:w="0" w:type="dxa"/>
          <w:left w:w="0" w:type="dxa"/>
          <w:bottom w:w="0" w:type="dxa"/>
          <w:right w:w="0" w:type="dxa"/>
        </w:tblCellMar>
        <w:tblLook w:val="01E0"/>
      </w:tblPr>
      <w:tblGrid>
        <w:gridCol w:w="6213"/>
        <w:gridCol w:w="1522"/>
      </w:tblGrid>
      <w:tr>
        <w:trPr>
          <w:trHeight w:val="407" w:hRule="exact"/>
        </w:trPr>
        <w:tc>
          <w:tcPr>
            <w:tcW w:w="6213" w:type="dxa"/>
            <w:tcBorders>
              <w:top w:val="nil" w:sz="6" w:space="0" w:color="auto"/>
              <w:left w:val="nil" w:sz="6" w:space="0" w:color="auto"/>
              <w:bottom w:val="nil" w:sz="6" w:space="0" w:color="auto"/>
              <w:right w:val="nil" w:sz="6" w:space="0" w:color="auto"/>
            </w:tcBorders>
          </w:tcPr>
          <w:p>
            <w:pPr>
              <w:pStyle w:val="TableParagraph"/>
              <w:spacing w:line="184" w:lineRule="exact"/>
              <w:ind w:right="287"/>
              <w:jc w:val="right"/>
              <w:rPr>
                <w:rFonts w:ascii="Times New Roman" w:hAnsi="Times New Roman" w:cs="Times New Roman" w:eastAsia="Times New Roman" w:hint="default"/>
                <w:sz w:val="18"/>
                <w:szCs w:val="18"/>
              </w:rPr>
            </w:pPr>
            <w:r>
              <w:rPr>
                <w:rFonts w:ascii="Times New Roman"/>
                <w:spacing w:val="-1"/>
                <w:sz w:val="18"/>
              </w:rPr>
              <w:t>70,590,817.47</w:t>
            </w:r>
          </w:p>
        </w:tc>
        <w:tc>
          <w:tcPr>
            <w:tcW w:w="1522" w:type="dxa"/>
            <w:tcBorders>
              <w:top w:val="nil" w:sz="6" w:space="0" w:color="auto"/>
              <w:left w:val="nil" w:sz="6" w:space="0" w:color="auto"/>
              <w:bottom w:val="nil" w:sz="6" w:space="0" w:color="auto"/>
              <w:right w:val="nil" w:sz="6" w:space="0" w:color="auto"/>
            </w:tcBorders>
          </w:tcPr>
          <w:p>
            <w:pPr>
              <w:pStyle w:val="TableParagraph"/>
              <w:spacing w:line="184" w:lineRule="exact"/>
              <w:ind w:right="105"/>
              <w:jc w:val="right"/>
              <w:rPr>
                <w:rFonts w:ascii="Times New Roman" w:hAnsi="Times New Roman" w:cs="Times New Roman" w:eastAsia="Times New Roman" w:hint="default"/>
                <w:sz w:val="18"/>
                <w:szCs w:val="18"/>
              </w:rPr>
            </w:pPr>
            <w:r>
              <w:rPr>
                <w:rFonts w:ascii="Times New Roman"/>
                <w:spacing w:val="-1"/>
                <w:sz w:val="18"/>
              </w:rPr>
              <w:t>70,257,925.69</w:t>
            </w:r>
          </w:p>
        </w:tc>
      </w:tr>
      <w:tr>
        <w:trPr>
          <w:trHeight w:val="556" w:hRule="exact"/>
        </w:trPr>
        <w:tc>
          <w:tcPr>
            <w:tcW w:w="6213" w:type="dxa"/>
            <w:tcBorders>
              <w:top w:val="nil" w:sz="6" w:space="0" w:color="auto"/>
              <w:left w:val="nil" w:sz="6" w:space="0" w:color="auto"/>
              <w:bottom w:val="nil" w:sz="6" w:space="0" w:color="auto"/>
              <w:right w:val="nil" w:sz="6" w:space="0" w:color="auto"/>
            </w:tcBorders>
          </w:tcPr>
          <w:p>
            <w:pPr>
              <w:pStyle w:val="TableParagraph"/>
              <w:spacing w:line="230" w:lineRule="exact"/>
              <w:ind w:left="122" w:right="0"/>
              <w:jc w:val="left"/>
              <w:rPr>
                <w:rFonts w:ascii="宋体" w:hAnsi="宋体" w:cs="宋体" w:eastAsia="宋体" w:hint="default"/>
                <w:sz w:val="21"/>
                <w:szCs w:val="21"/>
              </w:rPr>
            </w:pPr>
            <w:r>
              <w:rPr>
                <w:rFonts w:ascii="宋体" w:hAnsi="宋体" w:cs="宋体" w:eastAsia="宋体" w:hint="default"/>
                <w:spacing w:val="10"/>
                <w:sz w:val="21"/>
                <w:szCs w:val="21"/>
              </w:rPr>
              <w:t>本公司发行在外普通股的加权平均数</w:t>
            </w:r>
            <w:r>
              <w:rPr>
                <w:rFonts w:ascii="宋体" w:hAnsi="宋体" w:cs="宋体" w:eastAsia="宋体" w:hint="default"/>
                <w:spacing w:val="30"/>
                <w:sz w:val="21"/>
                <w:szCs w:val="21"/>
              </w:rPr>
              <w:t> </w:t>
            </w:r>
            <w:r>
              <w:rPr>
                <w:rFonts w:ascii="宋体" w:hAnsi="宋体" w:cs="宋体" w:eastAsia="宋体" w:hint="default"/>
                <w:spacing w:val="12"/>
                <w:sz w:val="21"/>
                <w:szCs w:val="21"/>
              </w:rPr>
              <w:t>（稀</w:t>
            </w:r>
            <w:r>
              <w:rPr>
                <w:rFonts w:ascii="宋体" w:hAnsi="宋体" w:cs="宋体" w:eastAsia="宋体" w:hint="default"/>
                <w:sz w:val="21"/>
                <w:szCs w:val="21"/>
              </w:rPr>
            </w:r>
          </w:p>
          <w:p>
            <w:pPr>
              <w:pStyle w:val="TableParagraph"/>
              <w:spacing w:line="180" w:lineRule="exact"/>
              <w:ind w:right="287"/>
              <w:jc w:val="right"/>
              <w:rPr>
                <w:rFonts w:ascii="Times New Roman" w:hAnsi="Times New Roman" w:cs="Times New Roman" w:eastAsia="Times New Roman" w:hint="default"/>
                <w:sz w:val="18"/>
                <w:szCs w:val="18"/>
              </w:rPr>
            </w:pPr>
            <w:r>
              <w:rPr>
                <w:rFonts w:ascii="Times New Roman"/>
                <w:spacing w:val="-1"/>
                <w:sz w:val="18"/>
              </w:rPr>
              <w:t>630,920,640.00</w:t>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600,877,440.00</w:t>
            </w:r>
          </w:p>
        </w:tc>
      </w:tr>
      <w:tr>
        <w:trPr>
          <w:trHeight w:val="402" w:hRule="exact"/>
        </w:trPr>
        <w:tc>
          <w:tcPr>
            <w:tcW w:w="6213" w:type="dxa"/>
            <w:tcBorders>
              <w:top w:val="nil" w:sz="6" w:space="0" w:color="auto"/>
              <w:left w:val="nil" w:sz="6" w:space="0" w:color="auto"/>
              <w:bottom w:val="single" w:sz="12" w:space="0" w:color="000000"/>
              <w:right w:val="nil" w:sz="6" w:space="0" w:color="auto"/>
            </w:tcBorders>
          </w:tcPr>
          <w:p>
            <w:pPr>
              <w:pStyle w:val="TableParagraph"/>
              <w:tabs>
                <w:tab w:pos="5799" w:val="right" w:leader="none"/>
              </w:tabs>
              <w:spacing w:line="240" w:lineRule="auto" w:before="60"/>
              <w:ind w:right="289"/>
              <w:jc w:val="right"/>
              <w:rPr>
                <w:rFonts w:ascii="Times New Roman" w:hAnsi="Times New Roman" w:cs="Times New Roman" w:eastAsia="Times New Roman" w:hint="default"/>
                <w:sz w:val="18"/>
                <w:szCs w:val="18"/>
              </w:rPr>
            </w:pPr>
            <w:r>
              <w:rPr>
                <w:rFonts w:ascii="宋体" w:hAnsi="宋体" w:cs="宋体" w:eastAsia="宋体" w:hint="default"/>
                <w:sz w:val="21"/>
                <w:szCs w:val="21"/>
              </w:rPr>
              <w:t>稀释每股收益（元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r>
              <w:rPr>
                <w:rFonts w:ascii="Times New Roman" w:hAnsi="Times New Roman" w:cs="Times New Roman" w:eastAsia="Times New Roman" w:hint="default"/>
                <w:position w:val="1"/>
                <w:sz w:val="18"/>
                <w:szCs w:val="18"/>
              </w:rPr>
              <w:tab/>
              <w:t>0.11</w:t>
            </w:r>
            <w:r>
              <w:rPr>
                <w:rFonts w:ascii="Times New Roman" w:hAnsi="Times New Roman" w:cs="Times New Roman" w:eastAsia="Times New Roman" w:hint="default"/>
                <w:sz w:val="18"/>
                <w:szCs w:val="18"/>
              </w:rPr>
            </w:r>
          </w:p>
        </w:tc>
        <w:tc>
          <w:tcPr>
            <w:tcW w:w="1522" w:type="dxa"/>
            <w:tcBorders>
              <w:top w:val="nil" w:sz="6" w:space="0" w:color="auto"/>
              <w:left w:val="nil" w:sz="6" w:space="0" w:color="auto"/>
              <w:bottom w:val="single" w:sz="12" w:space="0" w:color="000000"/>
              <w:right w:val="nil" w:sz="6" w:space="0" w:color="auto"/>
            </w:tcBorders>
          </w:tcPr>
          <w:p>
            <w:pPr>
              <w:pStyle w:val="TableParagraph"/>
              <w:spacing w:line="240" w:lineRule="auto" w:before="125"/>
              <w:ind w:right="104"/>
              <w:jc w:val="right"/>
              <w:rPr>
                <w:rFonts w:ascii="Times New Roman" w:hAnsi="Times New Roman" w:cs="Times New Roman" w:eastAsia="Times New Roman" w:hint="default"/>
                <w:sz w:val="18"/>
                <w:szCs w:val="18"/>
              </w:rPr>
            </w:pPr>
            <w:r>
              <w:rPr>
                <w:rFonts w:ascii="Times New Roman"/>
                <w:sz w:val="18"/>
              </w:rPr>
              <w:t>0.12</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spacing w:before="35"/>
        <w:ind w:left="875" w:right="0" w:firstLine="0"/>
        <w:jc w:val="left"/>
        <w:rPr>
          <w:rFonts w:ascii="宋体" w:hAnsi="宋体" w:cs="宋体" w:eastAsia="宋体" w:hint="default"/>
          <w:sz w:val="21"/>
          <w:szCs w:val="21"/>
        </w:rPr>
      </w:pPr>
      <w:r>
        <w:rPr>
          <w:rFonts w:ascii="宋体" w:hAnsi="宋体" w:cs="宋体" w:eastAsia="宋体" w:hint="default"/>
          <w:sz w:val="21"/>
          <w:szCs w:val="21"/>
        </w:rPr>
        <w:t>普通股的加权平均数（稀释）计算过程如下</w:t>
      </w:r>
    </w:p>
    <w:p>
      <w:pPr>
        <w:spacing w:line="240" w:lineRule="auto" w:before="5"/>
        <w:rPr>
          <w:rFonts w:ascii="宋体" w:hAnsi="宋体" w:cs="宋体" w:eastAsia="宋体" w:hint="default"/>
          <w:sz w:val="2"/>
          <w:szCs w:val="2"/>
        </w:rPr>
      </w:pPr>
    </w:p>
    <w:p>
      <w:pPr>
        <w:spacing w:line="1971" w:lineRule="exact"/>
        <w:ind w:left="807"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389.35pt;height:98.6pt;mso-position-horizontal-relative:char;mso-position-vertical-relative:line" coordorigin="0,0" coordsize="7787,1972">
            <v:group style="position:absolute;left:29;top:15;width:7721;height:2" coordorigin="29,15" coordsize="7721,2">
              <v:shape style="position:absolute;left:29;top:15;width:7721;height:2" coordorigin="29,15" coordsize="7721,0" path="m29,15l7750,15e" filled="false" stroked="true" strokeweight="1.5pt" strokecolor="#000000">
                <v:path arrowok="t"/>
              </v:shape>
              <v:shape style="position:absolute;left:4305;top:1;width:1772;height:370" type="#_x0000_t75" stroked="false">
                <v:imagedata r:id="rId261" o:title=""/>
              </v:shape>
            </v:group>
            <v:group style="position:absolute;left:15;top:1957;width:4319;height:2" coordorigin="15,1957" coordsize="4319,2">
              <v:shape style="position:absolute;left:15;top:1957;width:4319;height:2" coordorigin="15,1957" coordsize="4319,0" path="m15,1957l4334,1957e" filled="false" stroked="true" strokeweight="1.5pt" strokecolor="#000000">
                <v:path arrowok="t"/>
              </v:shape>
            </v:group>
            <v:group style="position:absolute;left:4334;top:1957;width:1706;height:2" coordorigin="4334,1957" coordsize="1706,2">
              <v:shape style="position:absolute;left:4334;top:1957;width:1706;height:2" coordorigin="4334,1957" coordsize="1706,0" path="m4334,1957l6039,1957e" filled="false" stroked="true" strokeweight="1.5pt" strokecolor="#000000">
                <v:path arrowok="t"/>
              </v:shape>
              <v:shape style="position:absolute;left:1;top:313;width:7786;height:1628" type="#_x0000_t75" stroked="false">
                <v:imagedata r:id="rId262" o:title=""/>
              </v:shape>
            </v:group>
            <v:group style="position:absolute;left:6039;top:1957;width:1712;height:2" coordorigin="6039,1957" coordsize="1712,2">
              <v:shape style="position:absolute;left:6039;top:1957;width:1712;height:2" coordorigin="6039,1957" coordsize="1712,0" path="m6039,1957l7750,1957e" filled="false" stroked="true" strokeweight="1.5pt" strokecolor="#000000">
                <v:path arrowok="t"/>
              </v:shape>
              <v:shape style="position:absolute;left:137;top:80;width:4101;height:1810" type="#_x0000_t202" filled="false" stroked="false">
                <v:textbox inset="0,0,0,0">
                  <w:txbxContent>
                    <w:p>
                      <w:pPr>
                        <w:spacing w:line="210" w:lineRule="exact" w:before="0"/>
                        <w:ind w:left="0" w:right="0" w:firstLine="1836"/>
                        <w:jc w:val="left"/>
                        <w:rPr>
                          <w:rFonts w:ascii="宋体" w:hAnsi="宋体" w:cs="宋体" w:eastAsia="宋体" w:hint="default"/>
                          <w:sz w:val="21"/>
                          <w:szCs w:val="21"/>
                        </w:rPr>
                      </w:pPr>
                      <w:r>
                        <w:rPr>
                          <w:rFonts w:ascii="宋体" w:hAnsi="宋体" w:cs="宋体" w:eastAsia="宋体" w:hint="default"/>
                          <w:sz w:val="21"/>
                          <w:szCs w:val="21"/>
                        </w:rPr>
                        <w:t>项目</w:t>
                      </w:r>
                    </w:p>
                    <w:p>
                      <w:pPr>
                        <w:spacing w:line="273" w:lineRule="auto" w:before="46"/>
                        <w:ind w:left="0" w:right="0" w:firstLine="0"/>
                        <w:jc w:val="left"/>
                        <w:rPr>
                          <w:rFonts w:ascii="宋体" w:hAnsi="宋体" w:cs="宋体" w:eastAsia="宋体" w:hint="default"/>
                          <w:sz w:val="21"/>
                          <w:szCs w:val="21"/>
                        </w:rPr>
                      </w:pPr>
                      <w:r>
                        <w:rPr>
                          <w:rFonts w:ascii="宋体" w:hAnsi="宋体" w:cs="宋体" w:eastAsia="宋体" w:hint="default"/>
                          <w:spacing w:val="5"/>
                          <w:sz w:val="21"/>
                          <w:szCs w:val="21"/>
                        </w:rPr>
                        <w:t>计算基本每股收益时年末发行在外的普通股</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加权平均数</w:t>
                      </w:r>
                    </w:p>
                    <w:p>
                      <w:pPr>
                        <w:spacing w:line="266" w:lineRule="auto" w:before="18"/>
                        <w:ind w:left="0" w:right="94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可转换债券的影响</w:t>
                      </w:r>
                      <w:r>
                        <w:rPr>
                          <w:rFonts w:ascii="Times New Roman" w:hAnsi="Times New Roman" w:cs="Times New Roman" w:eastAsia="Times New Roman" w:hint="default"/>
                          <w:sz w:val="21"/>
                          <w:szCs w:val="21"/>
                        </w:rPr>
                        <w:t>]</w:t>
                      </w:r>
                      <w:r>
                        <w:rPr>
                          <w:rFonts w:ascii="Times New Roman" w:hAnsi="Times New Roman" w:cs="Times New Roman" w:eastAsia="Times New Roman" w:hint="default"/>
                          <w:w w:val="99"/>
                          <w:sz w:val="21"/>
                          <w:szCs w:val="21"/>
                        </w:rPr>
                        <w:t> </w:t>
                      </w:r>
                      <w:r>
                        <w:rPr>
                          <w:rFonts w:ascii="Times New Roman" w:hAnsi="Times New Roman" w:cs="Times New Roman" w:eastAsia="Times New Roman" w:hint="default"/>
                          <w:sz w:val="21"/>
                          <w:szCs w:val="21"/>
                        </w:rPr>
                        <w:t>[</w:t>
                      </w:r>
                      <w:r>
                        <w:rPr>
                          <w:rFonts w:ascii="宋体" w:hAnsi="宋体" w:cs="宋体" w:eastAsia="宋体" w:hint="default"/>
                          <w:sz w:val="21"/>
                          <w:szCs w:val="21"/>
                        </w:rPr>
                        <w:t>股份期权的影响</w:t>
                      </w:r>
                      <w:r>
                        <w:rPr>
                          <w:rFonts w:ascii="Times New Roman" w:hAnsi="Times New Roman" w:cs="Times New Roman" w:eastAsia="Times New Roman" w:hint="default"/>
                          <w:sz w:val="21"/>
                          <w:szCs w:val="21"/>
                        </w:rPr>
                        <w:t>]</w:t>
                      </w:r>
                      <w:r>
                        <w:rPr>
                          <w:rFonts w:ascii="Times New Roman" w:hAnsi="Times New Roman" w:cs="Times New Roman" w:eastAsia="Times New Roman" w:hint="default"/>
                          <w:w w:val="99"/>
                          <w:sz w:val="21"/>
                          <w:szCs w:val="21"/>
                        </w:rPr>
                        <w:t> </w:t>
                      </w:r>
                      <w:r>
                        <w:rPr>
                          <w:rFonts w:ascii="宋体" w:hAnsi="宋体" w:cs="宋体" w:eastAsia="宋体" w:hint="default"/>
                          <w:sz w:val="21"/>
                          <w:szCs w:val="21"/>
                        </w:rPr>
                        <w:t>年末普通股的加权平均数（稀释）</w:t>
                      </w:r>
                    </w:p>
                  </w:txbxContent>
                </v:textbox>
                <w10:wrap type="none"/>
              </v:shape>
              <v:shape style="position:absolute;left:4772;top:8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本年金额</w:t>
                      </w:r>
                    </w:p>
                  </w:txbxContent>
                </v:textbox>
                <w10:wrap type="none"/>
              </v:shape>
              <v:shape style="position:absolute;left:6477;top:8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上年金额</w:t>
                      </w:r>
                    </w:p>
                  </w:txbxContent>
                </v:textbox>
                <w10:wrap type="none"/>
              </v:shape>
              <v:shape style="position:absolute;left:4813;top:58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630,920,640.00</w:t>
                      </w:r>
                    </w:p>
                  </w:txbxContent>
                </v:textbox>
                <w10:wrap type="none"/>
              </v:shape>
              <v:shape style="position:absolute;left:6518;top:58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600,877,440.00</w:t>
                      </w:r>
                    </w:p>
                  </w:txbxContent>
                </v:textbox>
                <w10:wrap type="none"/>
              </v:shape>
              <v:shape style="position:absolute;left:4813;top:1060;width:1126;height:824" type="#_x0000_t202" filled="false" stroked="false">
                <v:textbox inset="0,0,0,0">
                  <w:txbxContent>
                    <w:p>
                      <w:pPr>
                        <w:spacing w:line="184" w:lineRule="exact" w:before="0"/>
                        <w:ind w:left="0" w:right="1" w:firstLine="0"/>
                        <w:jc w:val="right"/>
                        <w:rPr>
                          <w:rFonts w:ascii="Times New Roman" w:hAnsi="Times New Roman" w:cs="Times New Roman" w:eastAsia="Times New Roman" w:hint="default"/>
                          <w:sz w:val="18"/>
                          <w:szCs w:val="18"/>
                        </w:rPr>
                      </w:pPr>
                      <w:r>
                        <w:rPr>
                          <w:rFonts w:ascii="Times New Roman"/>
                          <w:sz w:val="18"/>
                        </w:rPr>
                        <w:t>---</w:t>
                      </w:r>
                    </w:p>
                    <w:p>
                      <w:pPr>
                        <w:spacing w:line="320" w:lineRule="atLeast" w:before="1"/>
                        <w:ind w:left="0" w:right="0" w:firstLine="944"/>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630,920,640.00</w:t>
                      </w:r>
                    </w:p>
                  </w:txbxContent>
                </v:textbox>
                <w10:wrap type="none"/>
              </v:shape>
              <v:shape style="position:absolute;left:6518;top:1060;width:1126;height:824" type="#_x0000_t202" filled="false" stroked="false">
                <v:textbox inset="0,0,0,0">
                  <w:txbxContent>
                    <w:p>
                      <w:pPr>
                        <w:spacing w:line="184" w:lineRule="exact" w:before="0"/>
                        <w:ind w:left="0" w:right="1" w:firstLine="0"/>
                        <w:jc w:val="right"/>
                        <w:rPr>
                          <w:rFonts w:ascii="Times New Roman" w:hAnsi="Times New Roman" w:cs="Times New Roman" w:eastAsia="Times New Roman" w:hint="default"/>
                          <w:sz w:val="18"/>
                          <w:szCs w:val="18"/>
                        </w:rPr>
                      </w:pPr>
                      <w:r>
                        <w:rPr>
                          <w:rFonts w:ascii="Times New Roman"/>
                          <w:sz w:val="18"/>
                        </w:rPr>
                        <w:t>---</w:t>
                      </w:r>
                    </w:p>
                    <w:p>
                      <w:pPr>
                        <w:spacing w:line="320" w:lineRule="atLeast" w:before="1"/>
                        <w:ind w:left="0" w:right="0" w:firstLine="944"/>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600,877,440.00</w:t>
                      </w:r>
                    </w:p>
                  </w:txbxContent>
                </v:textbox>
                <w10:wrap type="none"/>
              </v:shape>
            </v:group>
          </v:group>
        </w:pict>
      </w:r>
      <w:r>
        <w:rPr>
          <w:rFonts w:ascii="宋体" w:hAnsi="宋体" w:cs="宋体" w:eastAsia="宋体" w:hint="default"/>
          <w:position w:val="-38"/>
          <w:sz w:val="20"/>
          <w:szCs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tbl>
      <w:tblPr>
        <w:tblW w:w="0" w:type="auto"/>
        <w:jc w:val="left"/>
        <w:tblInd w:w="210" w:type="dxa"/>
        <w:tblLayout w:type="fixed"/>
        <w:tblCellMar>
          <w:top w:w="0" w:type="dxa"/>
          <w:left w:w="0" w:type="dxa"/>
          <w:bottom w:w="0" w:type="dxa"/>
          <w:right w:w="0" w:type="dxa"/>
        </w:tblCellMar>
        <w:tblLook w:val="01E0"/>
      </w:tblPr>
      <w:tblGrid>
        <w:gridCol w:w="4998"/>
        <w:gridCol w:w="2239"/>
        <w:gridCol w:w="1336"/>
      </w:tblGrid>
      <w:tr>
        <w:trPr>
          <w:trHeight w:val="357" w:hRule="exact"/>
        </w:trPr>
        <w:tc>
          <w:tcPr>
            <w:tcW w:w="4998" w:type="dxa"/>
            <w:tcBorders>
              <w:top w:val="nil" w:sz="6" w:space="0" w:color="auto"/>
              <w:left w:val="nil" w:sz="6" w:space="0" w:color="auto"/>
              <w:bottom w:val="single" w:sz="12" w:space="0" w:color="000000"/>
              <w:right w:val="nil" w:sz="6" w:space="0" w:color="auto"/>
            </w:tcBorders>
          </w:tcPr>
          <w:p>
            <w:pPr>
              <w:pStyle w:val="TableParagraph"/>
              <w:tabs>
                <w:tab w:pos="1309" w:val="left" w:leader="none"/>
              </w:tabs>
              <w:spacing w:line="240" w:lineRule="auto" w:before="35"/>
              <w:ind w:left="35" w:right="0"/>
              <w:jc w:val="left"/>
              <w:rPr>
                <w:rFonts w:ascii="宋体" w:hAnsi="宋体" w:cs="宋体" w:eastAsia="宋体" w:hint="default"/>
                <w:sz w:val="21"/>
                <w:szCs w:val="21"/>
              </w:rPr>
            </w:pPr>
            <w:r>
              <w:rPr>
                <w:rFonts w:ascii="宋体" w:hAnsi="宋体" w:cs="宋体" w:eastAsia="宋体" w:hint="default"/>
                <w:b/>
                <w:bCs/>
                <w:w w:val="95"/>
                <w:sz w:val="21"/>
                <w:szCs w:val="21"/>
              </w:rPr>
              <w:t>(三十九)</w:t>
              <w:tab/>
            </w:r>
            <w:r>
              <w:rPr>
                <w:rFonts w:ascii="宋体" w:hAnsi="宋体" w:cs="宋体" w:eastAsia="宋体" w:hint="default"/>
                <w:b/>
                <w:bCs/>
                <w:sz w:val="21"/>
                <w:szCs w:val="21"/>
              </w:rPr>
              <w:t>其他综合收益</w:t>
            </w:r>
            <w:r>
              <w:rPr>
                <w:rFonts w:ascii="宋体" w:hAnsi="宋体" w:cs="宋体" w:eastAsia="宋体" w:hint="default"/>
                <w:sz w:val="21"/>
                <w:szCs w:val="21"/>
              </w:rPr>
            </w:r>
          </w:p>
        </w:tc>
        <w:tc>
          <w:tcPr>
            <w:tcW w:w="3575" w:type="dxa"/>
            <w:gridSpan w:val="2"/>
            <w:tcBorders>
              <w:top w:val="nil" w:sz="6" w:space="0" w:color="auto"/>
              <w:left w:val="nil" w:sz="6" w:space="0" w:color="auto"/>
              <w:bottom w:val="single" w:sz="12" w:space="0" w:color="000000"/>
              <w:right w:val="nil" w:sz="6" w:space="0" w:color="auto"/>
            </w:tcBorders>
          </w:tcPr>
          <w:p>
            <w:pPr/>
          </w:p>
        </w:tc>
      </w:tr>
      <w:tr>
        <w:trPr>
          <w:trHeight w:val="332" w:hRule="exact"/>
        </w:trPr>
        <w:tc>
          <w:tcPr>
            <w:tcW w:w="4998"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2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39"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940"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336"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26"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327" w:hRule="exact"/>
        </w:trPr>
        <w:tc>
          <w:tcPr>
            <w:tcW w:w="499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外币财务报表折算差额</w:t>
            </w:r>
          </w:p>
        </w:tc>
        <w:tc>
          <w:tcPr>
            <w:tcW w:w="223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4"/>
              <w:jc w:val="right"/>
              <w:rPr>
                <w:rFonts w:ascii="Times New Roman" w:hAnsi="Times New Roman" w:cs="Times New Roman" w:eastAsia="Times New Roman" w:hint="default"/>
                <w:sz w:val="18"/>
                <w:szCs w:val="18"/>
              </w:rPr>
            </w:pPr>
            <w:r>
              <w:rPr>
                <w:rFonts w:ascii="Times New Roman"/>
                <w:w w:val="95"/>
                <w:sz w:val="18"/>
              </w:rPr>
              <w:t>-22,757.86</w:t>
            </w:r>
            <w:r>
              <w:rPr>
                <w:rFonts w:ascii="Times New Roman"/>
                <w:sz w:val="18"/>
              </w:rPr>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pacing w:val="-1"/>
                <w:sz w:val="18"/>
              </w:rPr>
              <w:t>-30,711.66</w:t>
            </w:r>
          </w:p>
        </w:tc>
      </w:tr>
      <w:tr>
        <w:trPr>
          <w:trHeight w:val="321" w:hRule="exact"/>
        </w:trPr>
        <w:tc>
          <w:tcPr>
            <w:tcW w:w="499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997" w:right="0"/>
              <w:jc w:val="left"/>
              <w:rPr>
                <w:rFonts w:ascii="宋体" w:hAnsi="宋体" w:cs="宋体" w:eastAsia="宋体" w:hint="default"/>
                <w:sz w:val="18"/>
                <w:szCs w:val="18"/>
              </w:rPr>
            </w:pPr>
            <w:r>
              <w:rPr>
                <w:rFonts w:ascii="宋体" w:hAnsi="宋体" w:cs="宋体" w:eastAsia="宋体" w:hint="default"/>
                <w:sz w:val="18"/>
                <w:szCs w:val="18"/>
              </w:rPr>
              <w:t>减：处置境外经营当期转入损益的净额</w:t>
            </w:r>
          </w:p>
        </w:tc>
        <w:tc>
          <w:tcPr>
            <w:tcW w:w="223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5"/>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5"/>
              <w:jc w:val="right"/>
              <w:rPr>
                <w:rFonts w:ascii="Times New Roman" w:hAnsi="Times New Roman" w:cs="Times New Roman" w:eastAsia="Times New Roman" w:hint="default"/>
                <w:sz w:val="18"/>
                <w:szCs w:val="18"/>
              </w:rPr>
            </w:pPr>
            <w:r>
              <w:rPr>
                <w:rFonts w:ascii="Times New Roman"/>
                <w:sz w:val="18"/>
              </w:rPr>
              <w:t>---</w:t>
            </w:r>
          </w:p>
        </w:tc>
      </w:tr>
      <w:tr>
        <w:trPr>
          <w:trHeight w:val="322" w:hRule="exact"/>
        </w:trPr>
        <w:tc>
          <w:tcPr>
            <w:tcW w:w="499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16"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223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24"/>
              <w:jc w:val="right"/>
              <w:rPr>
                <w:rFonts w:ascii="Times New Roman" w:hAnsi="Times New Roman" w:cs="Times New Roman" w:eastAsia="Times New Roman" w:hint="default"/>
                <w:sz w:val="18"/>
                <w:szCs w:val="18"/>
              </w:rPr>
            </w:pPr>
            <w:r>
              <w:rPr>
                <w:rFonts w:ascii="Times New Roman"/>
                <w:w w:val="95"/>
                <w:sz w:val="18"/>
              </w:rPr>
              <w:t>-22,757.86</w:t>
            </w:r>
            <w:r>
              <w:rPr>
                <w:rFonts w:ascii="Times New Roman"/>
                <w:sz w:val="18"/>
              </w:rPr>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pacing w:val="-1"/>
                <w:sz w:val="18"/>
              </w:rPr>
              <w:t>-30,711.66</w:t>
            </w:r>
          </w:p>
        </w:tc>
      </w:tr>
      <w:tr>
        <w:trPr>
          <w:trHeight w:val="328" w:hRule="exact"/>
        </w:trPr>
        <w:tc>
          <w:tcPr>
            <w:tcW w:w="4998"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12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39"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224"/>
              <w:jc w:val="right"/>
              <w:rPr>
                <w:rFonts w:ascii="Times New Roman" w:hAnsi="Times New Roman" w:cs="Times New Roman" w:eastAsia="Times New Roman" w:hint="default"/>
                <w:sz w:val="18"/>
                <w:szCs w:val="18"/>
              </w:rPr>
            </w:pPr>
            <w:r>
              <w:rPr>
                <w:rFonts w:ascii="Times New Roman"/>
                <w:w w:val="95"/>
                <w:sz w:val="18"/>
              </w:rPr>
              <w:t>-22,757.86</w:t>
            </w:r>
            <w:r>
              <w:rPr>
                <w:rFonts w:ascii="Times New Roman"/>
                <w:sz w:val="18"/>
              </w:rPr>
            </w:r>
          </w:p>
        </w:tc>
        <w:tc>
          <w:tcPr>
            <w:tcW w:w="1336"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pacing w:val="-1"/>
                <w:sz w:val="18"/>
              </w:rPr>
              <w:t>-30,711.66</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spacing w:before="35"/>
        <w:ind w:left="245" w:right="0" w:firstLine="0"/>
        <w:jc w:val="left"/>
        <w:rPr>
          <w:rFonts w:ascii="宋体" w:hAnsi="宋体" w:cs="宋体" w:eastAsia="宋体" w:hint="default"/>
          <w:sz w:val="21"/>
          <w:szCs w:val="21"/>
        </w:rPr>
      </w:pPr>
      <w:r>
        <w:rPr/>
        <w:pict>
          <v:group style="position:absolute;margin-left:122.459999pt;margin-top:-105.866341pt;width:393.3pt;height:81.45pt;mso-position-horizontal-relative:page;mso-position-vertical-relative:paragraph;z-index:-773608" coordorigin="2449,-2117" coordsize="7866,1629">
            <v:shape style="position:absolute;left:7210;top:-2117;width:1589;height:370" type="#_x0000_t75" stroked="false">
              <v:imagedata r:id="rId263" o:title=""/>
            </v:shape>
            <v:shape style="position:absolute;left:2449;top:-1796;width:7866;height:1307" type="#_x0000_t75" stroked="false">
              <v:imagedata r:id="rId26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6"/>
          <w:sz w:val="21"/>
          <w:szCs w:val="21"/>
        </w:rPr>
        <w:t> </w:t>
      </w:r>
      <w:r>
        <w:rPr>
          <w:rFonts w:ascii="宋体" w:hAnsi="宋体" w:cs="宋体" w:eastAsia="宋体" w:hint="default"/>
          <w:b/>
          <w:bCs/>
          <w:sz w:val="21"/>
          <w:szCs w:val="21"/>
        </w:rPr>
        <w:t>现金流量表项目注释</w:t>
      </w:r>
      <w:r>
        <w:rPr>
          <w:rFonts w:ascii="宋体" w:hAnsi="宋体" w:cs="宋体" w:eastAsia="宋体" w:hint="default"/>
          <w:sz w:val="21"/>
          <w:szCs w:val="21"/>
        </w:rPr>
      </w:r>
    </w:p>
    <w:p>
      <w:pPr>
        <w:tabs>
          <w:tab w:pos="1414" w:val="left" w:leader="none"/>
        </w:tabs>
        <w:spacing w:before="109"/>
        <w:ind w:left="875" w:right="0" w:firstLine="0"/>
        <w:jc w:val="left"/>
        <w:rPr>
          <w:rFonts w:ascii="宋体" w:hAnsi="宋体" w:cs="宋体" w:eastAsia="宋体" w:hint="default"/>
          <w:sz w:val="21"/>
          <w:szCs w:val="21"/>
        </w:rPr>
      </w:pPr>
      <w:r>
        <w:rPr/>
        <w:pict>
          <v:group style="position:absolute;margin-left:117.540001pt;margin-top:22.273218pt;width:390.9pt;height:96.15pt;mso-position-horizontal-relative:page;mso-position-vertical-relative:paragraph;z-index:-773584" coordorigin="2351,445" coordsize="7818,1923">
            <v:shape style="position:absolute;left:7721;top:445;width:10;height:312" type="#_x0000_t75" stroked="false">
              <v:imagedata r:id="rId265" o:title=""/>
            </v:shape>
            <v:shape style="position:absolute;left:2351;top:729;width:7818;height:1639" type="#_x0000_t75" stroked="false">
              <v:imagedata r:id="rId266" o:title=""/>
            </v:shape>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收到的其他与经营活动有关的现金</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839" w:type="dxa"/>
        <w:tblLayout w:type="fixed"/>
        <w:tblCellMar>
          <w:top w:w="0" w:type="dxa"/>
          <w:left w:w="0" w:type="dxa"/>
          <w:bottom w:w="0" w:type="dxa"/>
          <w:right w:w="0" w:type="dxa"/>
        </w:tblCellMar>
        <w:tblLook w:val="01E0"/>
      </w:tblPr>
      <w:tblGrid>
        <w:gridCol w:w="2110"/>
        <w:gridCol w:w="2410"/>
        <w:gridCol w:w="3233"/>
      </w:tblGrid>
      <w:tr>
        <w:trPr>
          <w:trHeight w:val="658" w:hRule="exact"/>
        </w:trPr>
        <w:tc>
          <w:tcPr>
            <w:tcW w:w="2110"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收到收益性政府补助</w:t>
            </w:r>
          </w:p>
        </w:tc>
        <w:tc>
          <w:tcPr>
            <w:tcW w:w="2410"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382"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3233"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667" w:right="0"/>
              <w:jc w:val="left"/>
              <w:rPr>
                <w:rFonts w:ascii="宋体" w:hAnsi="宋体" w:cs="宋体" w:eastAsia="宋体" w:hint="default"/>
                <w:sz w:val="18"/>
                <w:szCs w:val="18"/>
              </w:rPr>
            </w:pPr>
            <w:r>
              <w:rPr>
                <w:rFonts w:ascii="宋体" w:hAnsi="宋体" w:cs="宋体" w:eastAsia="宋体" w:hint="default"/>
                <w:sz w:val="18"/>
                <w:szCs w:val="18"/>
              </w:rPr>
              <w:t>本年金额</w:t>
            </w:r>
          </w:p>
          <w:p>
            <w:pPr>
              <w:pStyle w:val="TableParagraph"/>
              <w:spacing w:line="240" w:lineRule="auto" w:before="127"/>
              <w:ind w:left="2090" w:right="0"/>
              <w:jc w:val="left"/>
              <w:rPr>
                <w:rFonts w:ascii="Times New Roman" w:hAnsi="Times New Roman" w:cs="Times New Roman" w:eastAsia="Times New Roman" w:hint="default"/>
                <w:sz w:val="18"/>
                <w:szCs w:val="18"/>
              </w:rPr>
            </w:pPr>
            <w:r>
              <w:rPr>
                <w:rFonts w:ascii="Times New Roman"/>
                <w:sz w:val="18"/>
              </w:rPr>
              <w:t>27,495,067.00</w:t>
            </w:r>
          </w:p>
        </w:tc>
      </w:tr>
      <w:tr>
        <w:trPr>
          <w:trHeight w:val="322"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违约金、其他</w:t>
            </w:r>
          </w:p>
        </w:tc>
        <w:tc>
          <w:tcPr>
            <w:tcW w:w="2410" w:type="dxa"/>
            <w:tcBorders>
              <w:top w:val="nil" w:sz="6" w:space="0" w:color="auto"/>
              <w:left w:val="nil" w:sz="6" w:space="0" w:color="auto"/>
              <w:bottom w:val="nil" w:sz="6" w:space="0" w:color="auto"/>
              <w:right w:val="nil" w:sz="6" w:space="0" w:color="auto"/>
            </w:tcBorders>
          </w:tcPr>
          <w:p>
            <w:pPr/>
          </w:p>
        </w:tc>
        <w:tc>
          <w:tcPr>
            <w:tcW w:w="323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2,222,145.12</w:t>
            </w:r>
          </w:p>
        </w:tc>
      </w:tr>
      <w:tr>
        <w:trPr>
          <w:trHeight w:val="322"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2410" w:type="dxa"/>
            <w:tcBorders>
              <w:top w:val="nil" w:sz="6" w:space="0" w:color="auto"/>
              <w:left w:val="nil" w:sz="6" w:space="0" w:color="auto"/>
              <w:bottom w:val="nil" w:sz="6" w:space="0" w:color="auto"/>
              <w:right w:val="nil" w:sz="6" w:space="0" w:color="auto"/>
            </w:tcBorders>
          </w:tcPr>
          <w:p>
            <w:pPr/>
          </w:p>
        </w:tc>
        <w:tc>
          <w:tcPr>
            <w:tcW w:w="323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3,116,417.12</w:t>
            </w:r>
          </w:p>
        </w:tc>
      </w:tr>
      <w:tr>
        <w:trPr>
          <w:trHeight w:val="322"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宋体" w:hAnsi="宋体" w:cs="宋体" w:eastAsia="宋体" w:hint="default"/>
                <w:sz w:val="18"/>
                <w:szCs w:val="18"/>
              </w:rPr>
              <w:t>租金收入</w:t>
            </w:r>
          </w:p>
        </w:tc>
        <w:tc>
          <w:tcPr>
            <w:tcW w:w="2410" w:type="dxa"/>
            <w:tcBorders>
              <w:top w:val="nil" w:sz="6" w:space="0" w:color="auto"/>
              <w:left w:val="nil" w:sz="6" w:space="0" w:color="auto"/>
              <w:bottom w:val="nil" w:sz="6" w:space="0" w:color="auto"/>
              <w:right w:val="nil" w:sz="6" w:space="0" w:color="auto"/>
            </w:tcBorders>
          </w:tcPr>
          <w:p>
            <w:pPr/>
          </w:p>
        </w:tc>
        <w:tc>
          <w:tcPr>
            <w:tcW w:w="323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z w:val="18"/>
              </w:rPr>
              <w:t>783,205.68</w:t>
            </w:r>
          </w:p>
        </w:tc>
      </w:tr>
      <w:tr>
        <w:trPr>
          <w:trHeight w:val="328" w:hRule="exact"/>
        </w:trPr>
        <w:tc>
          <w:tcPr>
            <w:tcW w:w="2110" w:type="dxa"/>
            <w:tcBorders>
              <w:top w:val="nil" w:sz="6" w:space="0" w:color="auto"/>
              <w:left w:val="nil" w:sz="6" w:space="0" w:color="auto"/>
              <w:bottom w:val="single" w:sz="12" w:space="0" w:color="000000"/>
              <w:right w:val="nil" w:sz="6" w:space="0" w:color="auto"/>
            </w:tcBorders>
          </w:tcPr>
          <w:p>
            <w:pPr/>
          </w:p>
        </w:tc>
        <w:tc>
          <w:tcPr>
            <w:tcW w:w="2410"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38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33"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33,616,834.92</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414" w:val="left" w:leader="none"/>
        </w:tabs>
        <w:spacing w:before="35"/>
        <w:ind w:left="875" w:right="0" w:firstLine="0"/>
        <w:jc w:val="left"/>
        <w:rPr>
          <w:rFonts w:ascii="宋体" w:hAnsi="宋体" w:cs="宋体" w:eastAsia="宋体" w:hint="default"/>
          <w:sz w:val="21"/>
          <w:szCs w:val="21"/>
        </w:rPr>
      </w:pPr>
      <w:r>
        <w:rPr/>
        <w:pict>
          <v:group style="position:absolute;margin-left:118.019997pt;margin-top:18.633522pt;width:389.85pt;height:63.9pt;mso-position-horizontal-relative:page;mso-position-vertical-relative:paragraph;z-index:-773560" coordorigin="2360,373" coordsize="7797,1278">
            <v:shape style="position:absolute;left:7718;top:373;width:10;height:312" type="#_x0000_t75" stroked="false">
              <v:imagedata r:id="rId267" o:title=""/>
            </v:shape>
            <v:shape style="position:absolute;left:2360;top:665;width:7796;height:985" type="#_x0000_t75" stroked="false">
              <v:imagedata r:id="rId268" o:title=""/>
            </v:shape>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支付的其他与经营活动有关的现金</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tbl>
      <w:tblPr>
        <w:tblW w:w="0" w:type="auto"/>
        <w:jc w:val="left"/>
        <w:tblInd w:w="839" w:type="dxa"/>
        <w:tblLayout w:type="fixed"/>
        <w:tblCellMar>
          <w:top w:w="0" w:type="dxa"/>
          <w:left w:w="0" w:type="dxa"/>
          <w:bottom w:w="0" w:type="dxa"/>
          <w:right w:w="0" w:type="dxa"/>
        </w:tblCellMar>
        <w:tblLook w:val="01E0"/>
      </w:tblPr>
      <w:tblGrid>
        <w:gridCol w:w="1660"/>
        <w:gridCol w:w="2860"/>
        <w:gridCol w:w="3233"/>
      </w:tblGrid>
      <w:tr>
        <w:trPr>
          <w:trHeight w:val="657" w:hRule="exact"/>
        </w:trPr>
        <w:tc>
          <w:tcPr>
            <w:tcW w:w="1660" w:type="dxa"/>
            <w:tcBorders>
              <w:top w:val="single" w:sz="12"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860"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831"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3233"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668" w:right="0"/>
              <w:jc w:val="left"/>
              <w:rPr>
                <w:rFonts w:ascii="宋体" w:hAnsi="宋体" w:cs="宋体" w:eastAsia="宋体" w:hint="default"/>
                <w:sz w:val="18"/>
                <w:szCs w:val="18"/>
              </w:rPr>
            </w:pPr>
            <w:r>
              <w:rPr>
                <w:rFonts w:ascii="宋体" w:hAnsi="宋体" w:cs="宋体" w:eastAsia="宋体" w:hint="default"/>
                <w:sz w:val="18"/>
                <w:szCs w:val="18"/>
              </w:rPr>
              <w:t>本年金额</w:t>
            </w:r>
          </w:p>
          <w:p>
            <w:pPr>
              <w:pStyle w:val="TableParagraph"/>
              <w:spacing w:line="240" w:lineRule="auto" w:before="126"/>
              <w:ind w:left="2091" w:right="0"/>
              <w:jc w:val="left"/>
              <w:rPr>
                <w:rFonts w:ascii="Times New Roman" w:hAnsi="Times New Roman" w:cs="Times New Roman" w:eastAsia="Times New Roman" w:hint="default"/>
                <w:sz w:val="18"/>
                <w:szCs w:val="18"/>
              </w:rPr>
            </w:pPr>
            <w:r>
              <w:rPr>
                <w:rFonts w:ascii="Times New Roman"/>
                <w:sz w:val="18"/>
              </w:rPr>
              <w:t>17,760,007.20</w:t>
            </w:r>
          </w:p>
        </w:tc>
      </w:tr>
      <w:tr>
        <w:trPr>
          <w:trHeight w:val="322" w:hRule="exact"/>
        </w:trPr>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2860" w:type="dxa"/>
            <w:tcBorders>
              <w:top w:val="nil" w:sz="6" w:space="0" w:color="auto"/>
              <w:left w:val="nil" w:sz="6" w:space="0" w:color="auto"/>
              <w:bottom w:val="nil" w:sz="6" w:space="0" w:color="auto"/>
              <w:right w:val="nil" w:sz="6" w:space="0" w:color="auto"/>
            </w:tcBorders>
          </w:tcPr>
          <w:p>
            <w:pPr/>
          </w:p>
        </w:tc>
        <w:tc>
          <w:tcPr>
            <w:tcW w:w="323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41,138,625.06</w:t>
            </w:r>
          </w:p>
        </w:tc>
      </w:tr>
      <w:tr>
        <w:trPr>
          <w:trHeight w:val="329" w:hRule="exact"/>
        </w:trPr>
        <w:tc>
          <w:tcPr>
            <w:tcW w:w="1660"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2860" w:type="dxa"/>
            <w:tcBorders>
              <w:top w:val="nil" w:sz="6" w:space="0" w:color="auto"/>
              <w:left w:val="nil" w:sz="6" w:space="0" w:color="auto"/>
              <w:bottom w:val="single" w:sz="12" w:space="0" w:color="000000"/>
              <w:right w:val="nil" w:sz="6" w:space="0" w:color="auto"/>
            </w:tcBorders>
          </w:tcPr>
          <w:p>
            <w:pPr/>
          </w:p>
        </w:tc>
        <w:tc>
          <w:tcPr>
            <w:tcW w:w="3233"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8,473,683.04</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270" w:top="1360" w:bottom="1460" w:left="1540" w:right="1480"/>
        </w:sectPr>
      </w:pPr>
    </w:p>
    <w:p>
      <w:pPr>
        <w:spacing w:line="240" w:lineRule="auto" w:before="8"/>
        <w:rPr>
          <w:rFonts w:ascii="宋体" w:hAnsi="宋体" w:cs="宋体" w:eastAsia="宋体" w:hint="default"/>
          <w:b/>
          <w:bCs/>
          <w:sz w:val="5"/>
          <w:szCs w:val="5"/>
        </w:rPr>
      </w:pPr>
    </w:p>
    <w:p>
      <w:pPr>
        <w:spacing w:line="1338" w:lineRule="exact"/>
        <w:ind w:left="810"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390.35pt;height:66.9pt;mso-position-horizontal-relative:char;mso-position-vertical-relative:line" coordorigin="0,0" coordsize="7807,1338">
            <v:group style="position:absolute;left:29;top:15;width:7754;height:2" coordorigin="29,15" coordsize="7754,2">
              <v:shape style="position:absolute;left:29;top:15;width:7754;height:2" coordorigin="29,15" coordsize="7754,0" path="m29,15l7783,15e" filled="false" stroked="true" strokeweight="1.5pt" strokecolor="#000000">
                <v:path arrowok="t"/>
              </v:shape>
              <v:shape style="position:absolute;left:5368;top:30;width:10;height:312" type="#_x0000_t75" stroked="false">
                <v:imagedata r:id="rId215" o:title=""/>
              </v:shape>
            </v:group>
            <v:group style="position:absolute;left:15;top:1323;width:5354;height:2" coordorigin="15,1323" coordsize="5354,2">
              <v:shape style="position:absolute;left:15;top:1323;width:5354;height:2" coordorigin="15,1323" coordsize="5354,0" path="m15,1323l5368,1323e" filled="false" stroked="true" strokeweight="1.5pt" strokecolor="#000000">
                <v:path arrowok="t"/>
              </v:shape>
              <v:shape style="position:absolute;left:10;top:323;width:7796;height:985" type="#_x0000_t75" stroked="false">
                <v:imagedata r:id="rId269" o:title=""/>
              </v:shape>
            </v:group>
            <v:group style="position:absolute;left:5368;top:1323;width:2415;height:2" coordorigin="5368,1323" coordsize="2415,2">
              <v:shape style="position:absolute;left:5368;top:1323;width:2415;height:2" coordorigin="5368,1323" coordsize="2415,0" path="m5368,1323l7783,1323e" filled="false" stroked="true" strokeweight="1.5pt" strokecolor="#000000">
                <v:path arrowok="t"/>
              </v:shape>
              <v:shape style="position:absolute;left:137;top:96;width:1080;height:82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其他单位往来</w:t>
                      </w:r>
                    </w:p>
                    <w:p>
                      <w:pPr>
                        <w:spacing w:line="322" w:lineRule="exact" w:before="38"/>
                        <w:ind w:left="0" w:right="0" w:firstLine="0"/>
                        <w:jc w:val="left"/>
                        <w:rPr>
                          <w:rFonts w:ascii="宋体" w:hAnsi="宋体" w:cs="宋体" w:eastAsia="宋体" w:hint="default"/>
                          <w:sz w:val="18"/>
                          <w:szCs w:val="18"/>
                        </w:rPr>
                      </w:pPr>
                      <w:r>
                        <w:rPr>
                          <w:rFonts w:ascii="宋体" w:hAnsi="宋体" w:cs="宋体" w:eastAsia="宋体" w:hint="default"/>
                          <w:sz w:val="18"/>
                          <w:szCs w:val="18"/>
                        </w:rPr>
                        <w:t>支付的手续费 其他</w:t>
                      </w:r>
                    </w:p>
                  </w:txbxContent>
                </v:textbox>
                <w10:wrap type="none"/>
              </v:shape>
              <v:shape style="position:absolute;left:2521;top:106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6640;top:104;width:1036;height:1146" type="#_x0000_t202" filled="false" stroked="false">
                <v:textbox inset="0,0,0,0">
                  <w:txbxContent>
                    <w:p>
                      <w:pPr>
                        <w:spacing w:line="184" w:lineRule="exact" w:before="0"/>
                        <w:ind w:left="224" w:right="0" w:firstLine="0"/>
                        <w:jc w:val="center"/>
                        <w:rPr>
                          <w:rFonts w:ascii="Times New Roman" w:hAnsi="Times New Roman" w:cs="Times New Roman" w:eastAsia="Times New Roman" w:hint="default"/>
                          <w:sz w:val="18"/>
                          <w:szCs w:val="18"/>
                        </w:rPr>
                      </w:pPr>
                      <w:r>
                        <w:rPr>
                          <w:rFonts w:ascii="Times New Roman"/>
                          <w:sz w:val="18"/>
                        </w:rPr>
                        <w:t>833,929.55</w:t>
                      </w:r>
                    </w:p>
                    <w:p>
                      <w:pPr>
                        <w:spacing w:before="114"/>
                        <w:ind w:left="224" w:right="0" w:firstLine="0"/>
                        <w:jc w:val="center"/>
                        <w:rPr>
                          <w:rFonts w:ascii="Times New Roman" w:hAnsi="Times New Roman" w:cs="Times New Roman" w:eastAsia="Times New Roman" w:hint="default"/>
                          <w:sz w:val="18"/>
                          <w:szCs w:val="18"/>
                        </w:rPr>
                      </w:pPr>
                      <w:r>
                        <w:rPr>
                          <w:rFonts w:ascii="Times New Roman"/>
                          <w:sz w:val="18"/>
                        </w:rPr>
                        <w:t>148,337.85</w:t>
                      </w:r>
                    </w:p>
                    <w:p>
                      <w:pPr>
                        <w:spacing w:before="116"/>
                        <w:ind w:left="89" w:right="0" w:firstLine="0"/>
                        <w:jc w:val="center"/>
                        <w:rPr>
                          <w:rFonts w:ascii="Times New Roman" w:hAnsi="Times New Roman" w:cs="Times New Roman" w:eastAsia="Times New Roman" w:hint="default"/>
                          <w:sz w:val="18"/>
                          <w:szCs w:val="18"/>
                        </w:rPr>
                      </w:pPr>
                      <w:r>
                        <w:rPr>
                          <w:rFonts w:ascii="Times New Roman"/>
                          <w:spacing w:val="-1"/>
                          <w:sz w:val="18"/>
                        </w:rPr>
                        <w:t>1,409,255.97</w:t>
                      </w:r>
                    </w:p>
                    <w:p>
                      <w:pPr>
                        <w:spacing w:line="203" w:lineRule="exact" w:before="114"/>
                        <w:ind w:left="0" w:right="0" w:firstLine="0"/>
                        <w:jc w:val="left"/>
                        <w:rPr>
                          <w:rFonts w:ascii="Times New Roman" w:hAnsi="Times New Roman" w:cs="Times New Roman" w:eastAsia="Times New Roman" w:hint="default"/>
                          <w:sz w:val="18"/>
                          <w:szCs w:val="18"/>
                        </w:rPr>
                      </w:pPr>
                      <w:r>
                        <w:rPr>
                          <w:rFonts w:ascii="Times New Roman"/>
                          <w:spacing w:val="-1"/>
                          <w:sz w:val="18"/>
                        </w:rPr>
                        <w:t>69,763,838.67</w:t>
                      </w:r>
                    </w:p>
                  </w:txbxContent>
                </v:textbox>
                <w10:wrap type="none"/>
              </v:shape>
            </v:group>
          </v:group>
        </w:pict>
      </w:r>
      <w:r>
        <w:rPr>
          <w:rFonts w:ascii="宋体" w:hAnsi="宋体" w:cs="宋体" w:eastAsia="宋体" w:hint="default"/>
          <w:position w:val="-26"/>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414" w:val="left" w:leader="none"/>
        </w:tabs>
        <w:spacing w:before="35"/>
        <w:ind w:left="875" w:right="19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收到的其他与投资活动有关的现金</w:t>
      </w:r>
      <w:r>
        <w:rPr>
          <w:rFonts w:ascii="宋体" w:hAnsi="宋体" w:cs="宋体" w:eastAsia="宋体" w:hint="default"/>
          <w:sz w:val="21"/>
          <w:szCs w:val="21"/>
        </w:rPr>
      </w:r>
    </w:p>
    <w:p>
      <w:pPr>
        <w:spacing w:line="1587" w:lineRule="exact"/>
        <w:ind w:left="810"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390.35pt;height:79.4pt;mso-position-horizontal-relative:char;mso-position-vertical-relative:line" coordorigin="0,0" coordsize="7807,1588">
            <v:group style="position:absolute;left:29;top:15;width:7754;height:2" coordorigin="29,15" coordsize="7754,2">
              <v:shape style="position:absolute;left:29;top:15;width:7754;height:2" coordorigin="29,15" coordsize="7754,0" path="m29,15l7783,15e" filled="false" stroked="true" strokeweight="1.5pt" strokecolor="#000000">
                <v:path arrowok="t"/>
              </v:shape>
              <v:shape style="position:absolute;left:5368;top:30;width:10;height:374" type="#_x0000_t75" stroked="false">
                <v:imagedata r:id="rId270" o:title=""/>
              </v:shape>
            </v:group>
            <v:group style="position:absolute;left:15;top:1573;width:5354;height:2" coordorigin="15,1573" coordsize="5354,2">
              <v:shape style="position:absolute;left:15;top:1573;width:5354;height:2" coordorigin="15,1573" coordsize="5354,0" path="m15,1573l5368,1573e" filled="false" stroked="true" strokeweight="1.5pt" strokecolor="#000000">
                <v:path arrowok="t"/>
              </v:shape>
              <v:shape style="position:absolute;left:10;top:385;width:7796;height:1172" type="#_x0000_t75" stroked="false">
                <v:imagedata r:id="rId271" o:title=""/>
              </v:shape>
            </v:group>
            <v:group style="position:absolute;left:5368;top:1573;width:2415;height:2" coordorigin="5368,1573" coordsize="2415,2">
              <v:shape style="position:absolute;left:5368;top:1573;width:2415;height:2" coordorigin="5368,1573" coordsize="2415,0" path="m5368,1573l7783,1573e" filled="false" stroked="true" strokeweight="1.5pt" strokecolor="#000000">
                <v:path arrowok="t"/>
              </v:shape>
              <v:shape style="position:absolute;left:2521;top:1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6218;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137;top:511;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委托贷款利息收入</w:t>
                      </w:r>
                    </w:p>
                  </w:txbxContent>
                </v:textbox>
                <w10:wrap type="none"/>
              </v:shape>
              <v:shape style="position:absolute;left:6865;top:55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327,600.00</w:t>
                      </w:r>
                    </w:p>
                  </w:txbxContent>
                </v:textbox>
                <w10:wrap type="none"/>
              </v:shape>
              <v:shape style="position:absolute;left:137;top:895;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与资产相关的政府补助</w:t>
                      </w:r>
                    </w:p>
                  </w:txbxContent>
                </v:textbox>
                <w10:wrap type="none"/>
              </v:shape>
              <v:shape style="position:absolute;left:6640;top:934;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27,730,000.00</w:t>
                      </w:r>
                    </w:p>
                  </w:txbxContent>
                </v:textbox>
                <w10:wrap type="none"/>
              </v:shape>
              <v:shape style="position:absolute;left:2521;top:128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6640;top:1319;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28,057,600.00</w:t>
                      </w:r>
                    </w:p>
                  </w:txbxContent>
                </v:textbox>
                <w10:wrap type="none"/>
              </v:shape>
            </v:group>
          </v:group>
        </w:pict>
      </w:r>
      <w:r>
        <w:rPr>
          <w:rFonts w:ascii="宋体" w:hAnsi="宋体" w:cs="宋体" w:eastAsia="宋体" w:hint="default"/>
          <w:position w:val="-31"/>
          <w:sz w:val="20"/>
          <w:szCs w:val="2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3"/>
          <w:szCs w:val="23"/>
        </w:rPr>
      </w:pPr>
    </w:p>
    <w:p>
      <w:pPr>
        <w:tabs>
          <w:tab w:pos="1414" w:val="left" w:leader="none"/>
        </w:tabs>
        <w:spacing w:before="35"/>
        <w:ind w:left="875" w:right="194" w:firstLine="0"/>
        <w:jc w:val="left"/>
        <w:rPr>
          <w:rFonts w:ascii="宋体" w:hAnsi="宋体" w:cs="宋体" w:eastAsia="宋体" w:hint="default"/>
          <w:sz w:val="21"/>
          <w:szCs w:val="21"/>
        </w:rPr>
      </w:pPr>
      <w:r>
        <w:rPr/>
        <w:pict>
          <v:group style="position:absolute;margin-left:118.019997pt;margin-top:18.634106pt;width:389.85pt;height:77.6pt;mso-position-horizontal-relative:page;mso-position-vertical-relative:paragraph;z-index:-773224" coordorigin="2360,373" coordsize="7797,1552">
            <v:shape style="position:absolute;left:7718;top:373;width:10;height:374" type="#_x0000_t75" stroked="false">
              <v:imagedata r:id="rId272" o:title=""/>
            </v:shape>
            <v:shape style="position:absolute;left:2360;top:728;width:7796;height:1196" type="#_x0000_t75" stroked="false">
              <v:imagedata r:id="rId273" o:title=""/>
            </v:shape>
            <w10:wrap type="none"/>
          </v:group>
        </w:pict>
      </w: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支付的其他与筹资活动有关的现金</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tbl>
      <w:tblPr>
        <w:tblW w:w="0" w:type="auto"/>
        <w:jc w:val="left"/>
        <w:tblInd w:w="912" w:type="dxa"/>
        <w:tblLayout w:type="fixed"/>
        <w:tblCellMar>
          <w:top w:w="0" w:type="dxa"/>
          <w:left w:w="0" w:type="dxa"/>
          <w:bottom w:w="0" w:type="dxa"/>
          <w:right w:w="0" w:type="dxa"/>
        </w:tblCellMar>
        <w:tblLook w:val="01E0"/>
      </w:tblPr>
      <w:tblGrid>
        <w:gridCol w:w="1677"/>
        <w:gridCol w:w="2770"/>
        <w:gridCol w:w="3162"/>
      </w:tblGrid>
      <w:tr>
        <w:trPr>
          <w:trHeight w:val="789" w:hRule="exact"/>
        </w:trPr>
        <w:tc>
          <w:tcPr>
            <w:tcW w:w="167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信用保证金</w:t>
            </w:r>
          </w:p>
        </w:tc>
        <w:tc>
          <w:tcPr>
            <w:tcW w:w="277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741"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316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668" w:right="0"/>
              <w:jc w:val="left"/>
              <w:rPr>
                <w:rFonts w:ascii="宋体" w:hAnsi="宋体" w:cs="宋体" w:eastAsia="宋体" w:hint="default"/>
                <w:sz w:val="18"/>
                <w:szCs w:val="18"/>
              </w:rPr>
            </w:pPr>
            <w:r>
              <w:rPr>
                <w:rFonts w:ascii="宋体" w:hAnsi="宋体" w:cs="宋体" w:eastAsia="宋体" w:hint="default"/>
                <w:sz w:val="18"/>
                <w:szCs w:val="18"/>
              </w:rPr>
              <w:t>本年金额</w:t>
            </w: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885,904.32</w:t>
            </w:r>
          </w:p>
        </w:tc>
      </w:tr>
      <w:tr>
        <w:trPr>
          <w:trHeight w:val="397" w:hRule="exact"/>
        </w:trPr>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宋体" w:hAnsi="宋体" w:cs="宋体" w:eastAsia="宋体" w:hint="default"/>
                <w:sz w:val="18"/>
                <w:szCs w:val="18"/>
              </w:rPr>
              <w:t>发行费用</w:t>
            </w:r>
          </w:p>
        </w:tc>
        <w:tc>
          <w:tcPr>
            <w:tcW w:w="2770" w:type="dxa"/>
            <w:tcBorders>
              <w:top w:val="nil" w:sz="6" w:space="0" w:color="auto"/>
              <w:left w:val="nil" w:sz="6" w:space="0" w:color="auto"/>
              <w:bottom w:val="nil" w:sz="6" w:space="0" w:color="auto"/>
              <w:right w:val="nil" w:sz="6" w:space="0" w:color="auto"/>
            </w:tcBorders>
          </w:tcPr>
          <w:p>
            <w:pPr/>
          </w:p>
        </w:tc>
        <w:tc>
          <w:tcPr>
            <w:tcW w:w="316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3"/>
              <w:jc w:val="right"/>
              <w:rPr>
                <w:rFonts w:ascii="Times New Roman" w:hAnsi="Times New Roman" w:cs="Times New Roman" w:eastAsia="Times New Roman" w:hint="default"/>
                <w:sz w:val="18"/>
                <w:szCs w:val="18"/>
              </w:rPr>
            </w:pPr>
            <w:r>
              <w:rPr>
                <w:rFonts w:ascii="Times New Roman"/>
                <w:spacing w:val="-1"/>
                <w:sz w:val="18"/>
              </w:rPr>
              <w:t>1,900,000.00</w:t>
            </w:r>
          </w:p>
        </w:tc>
      </w:tr>
      <w:tr>
        <w:trPr>
          <w:trHeight w:val="396" w:hRule="exact"/>
        </w:trPr>
        <w:tc>
          <w:tcPr>
            <w:tcW w:w="1677" w:type="dxa"/>
            <w:tcBorders>
              <w:top w:val="nil" w:sz="6" w:space="0" w:color="auto"/>
              <w:left w:val="nil" w:sz="6" w:space="0" w:color="auto"/>
              <w:bottom w:val="single" w:sz="12" w:space="0" w:color="000000"/>
              <w:right w:val="nil" w:sz="6" w:space="0" w:color="auto"/>
            </w:tcBorders>
          </w:tcPr>
          <w:p>
            <w:pPr/>
          </w:p>
        </w:tc>
        <w:tc>
          <w:tcPr>
            <w:tcW w:w="2770"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left="74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62" w:type="dxa"/>
            <w:tcBorders>
              <w:top w:val="nil" w:sz="6" w:space="0" w:color="auto"/>
              <w:left w:val="nil" w:sz="6" w:space="0" w:color="auto"/>
              <w:bottom w:val="single" w:sz="12" w:space="0" w:color="000000"/>
              <w:right w:val="nil" w:sz="6" w:space="0" w:color="auto"/>
            </w:tcBorders>
          </w:tcPr>
          <w:p>
            <w:pPr>
              <w:pStyle w:val="TableParagraph"/>
              <w:spacing w:line="240" w:lineRule="auto" w:before="88"/>
              <w:ind w:right="33"/>
              <w:jc w:val="right"/>
              <w:rPr>
                <w:rFonts w:ascii="Times New Roman" w:hAnsi="Times New Roman" w:cs="Times New Roman" w:eastAsia="Times New Roman" w:hint="default"/>
                <w:sz w:val="18"/>
                <w:szCs w:val="18"/>
              </w:rPr>
            </w:pPr>
            <w:r>
              <w:rPr>
                <w:rFonts w:ascii="Times New Roman"/>
                <w:spacing w:val="-1"/>
                <w:sz w:val="18"/>
              </w:rPr>
              <w:t>2,785,904.32</w:t>
            </w:r>
          </w:p>
        </w:tc>
      </w:tr>
    </w:tbl>
    <w:p>
      <w:pPr>
        <w:spacing w:line="240" w:lineRule="auto" w:before="13"/>
        <w:rPr>
          <w:rFonts w:ascii="宋体" w:hAnsi="宋体" w:cs="宋体" w:eastAsia="宋体" w:hint="default"/>
          <w:b/>
          <w:bCs/>
          <w:sz w:val="29"/>
          <w:szCs w:val="29"/>
        </w:rPr>
      </w:pPr>
    </w:p>
    <w:p>
      <w:pPr>
        <w:tabs>
          <w:tab w:pos="1519" w:val="left" w:leader="none"/>
        </w:tabs>
        <w:spacing w:before="35"/>
        <w:ind w:left="245" w:right="19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四十一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tabs>
          <w:tab w:pos="1414" w:val="left" w:leader="none"/>
        </w:tabs>
        <w:spacing w:before="110"/>
        <w:ind w:left="875" w:right="194" w:firstLine="0"/>
        <w:jc w:val="left"/>
        <w:rPr>
          <w:rFonts w:ascii="宋体" w:hAnsi="宋体" w:cs="宋体" w:eastAsia="宋体" w:hint="default"/>
          <w:sz w:val="21"/>
          <w:szCs w:val="21"/>
        </w:rPr>
      </w:pPr>
      <w:r>
        <w:rPr/>
        <w:pict>
          <v:group style="position:absolute;margin-left:117.540001pt;margin-top:20.823227pt;width:391.7pt;height:317.650pt;mso-position-horizontal-relative:page;mso-position-vertical-relative:paragraph;z-index:-773200" coordorigin="2351,416" coordsize="7834,6353">
            <v:group style="position:absolute;left:2370;top:431;width:7794;height:2" coordorigin="2370,431" coordsize="7794,2">
              <v:shape style="position:absolute;left:2370;top:431;width:7794;height:2" coordorigin="2370,431" coordsize="7794,0" path="m2370,431l10164,431e" filled="false" stroked="true" strokeweight="1.5pt" strokecolor="#000000">
                <v:path arrowok="t"/>
              </v:shape>
              <v:shape style="position:absolute;left:6698;top:427;width:1750;height:437" type="#_x0000_t75" stroked="false">
                <v:imagedata r:id="rId274" o:title=""/>
              </v:shape>
              <v:shape style="position:absolute;left:2351;top:824;width:7834;height:5945" type="#_x0000_t75" stroked="false">
                <v:imagedata r:id="rId275" o:titl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3"/>
        <w:rPr>
          <w:rFonts w:ascii="宋体" w:hAnsi="宋体" w:cs="宋体" w:eastAsia="宋体" w:hint="default"/>
          <w:b/>
          <w:bCs/>
          <w:sz w:val="4"/>
          <w:szCs w:val="4"/>
        </w:rPr>
      </w:pPr>
    </w:p>
    <w:tbl>
      <w:tblPr>
        <w:tblW w:w="0" w:type="auto"/>
        <w:jc w:val="left"/>
        <w:tblInd w:w="903" w:type="dxa"/>
        <w:tblLayout w:type="fixed"/>
        <w:tblCellMar>
          <w:top w:w="0" w:type="dxa"/>
          <w:left w:w="0" w:type="dxa"/>
          <w:bottom w:w="0" w:type="dxa"/>
          <w:right w:w="0" w:type="dxa"/>
        </w:tblCellMar>
        <w:tblLook w:val="01E0"/>
      </w:tblPr>
      <w:tblGrid>
        <w:gridCol w:w="4012"/>
        <w:gridCol w:w="2169"/>
        <w:gridCol w:w="1468"/>
      </w:tblGrid>
      <w:tr>
        <w:trPr>
          <w:trHeight w:val="805" w:hRule="exact"/>
        </w:trPr>
        <w:tc>
          <w:tcPr>
            <w:tcW w:w="401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22" w:right="0"/>
              <w:jc w:val="left"/>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216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57"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8"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412" w:hRule="exact"/>
        </w:trPr>
        <w:tc>
          <w:tcPr>
            <w:tcW w:w="401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16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07"/>
              <w:jc w:val="right"/>
              <w:rPr>
                <w:rFonts w:ascii="Times New Roman" w:hAnsi="Times New Roman" w:cs="Times New Roman" w:eastAsia="Times New Roman" w:hint="default"/>
                <w:sz w:val="20"/>
                <w:szCs w:val="20"/>
              </w:rPr>
            </w:pPr>
            <w:r>
              <w:rPr>
                <w:rFonts w:ascii="Times New Roman"/>
                <w:spacing w:val="-1"/>
                <w:sz w:val="20"/>
              </w:rPr>
              <w:t>69,919,215.96</w:t>
            </w:r>
            <w:r>
              <w:rPr>
                <w:rFonts w:ascii="Times New Roman"/>
                <w:sz w:val="20"/>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spacing w:val="-1"/>
                <w:sz w:val="18"/>
              </w:rPr>
              <w:t>68,371,102.91</w:t>
            </w:r>
          </w:p>
        </w:tc>
      </w:tr>
      <w:tr>
        <w:trPr>
          <w:trHeight w:val="407" w:hRule="exact"/>
        </w:trPr>
        <w:tc>
          <w:tcPr>
            <w:tcW w:w="401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5"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16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06"/>
              <w:jc w:val="right"/>
              <w:rPr>
                <w:rFonts w:ascii="Times New Roman" w:hAnsi="Times New Roman" w:cs="Times New Roman" w:eastAsia="Times New Roman" w:hint="default"/>
                <w:sz w:val="20"/>
                <w:szCs w:val="20"/>
              </w:rPr>
            </w:pPr>
            <w:r>
              <w:rPr>
                <w:rFonts w:ascii="Times New Roman"/>
                <w:spacing w:val="-1"/>
                <w:sz w:val="20"/>
              </w:rPr>
              <w:t>772,533.61</w:t>
            </w:r>
            <w:r>
              <w:rPr>
                <w:rFonts w:ascii="Times New Roman"/>
                <w:sz w:val="20"/>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3"/>
              <w:jc w:val="right"/>
              <w:rPr>
                <w:rFonts w:ascii="Times New Roman" w:hAnsi="Times New Roman" w:cs="Times New Roman" w:eastAsia="Times New Roman" w:hint="default"/>
                <w:sz w:val="18"/>
                <w:szCs w:val="18"/>
              </w:rPr>
            </w:pPr>
            <w:r>
              <w:rPr>
                <w:rFonts w:ascii="Times New Roman"/>
                <w:spacing w:val="-1"/>
                <w:sz w:val="18"/>
              </w:rPr>
              <w:t>3,921,942.29</w:t>
            </w:r>
          </w:p>
        </w:tc>
      </w:tr>
      <w:tr>
        <w:trPr>
          <w:trHeight w:val="407" w:hRule="exact"/>
        </w:trPr>
        <w:tc>
          <w:tcPr>
            <w:tcW w:w="401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宋体" w:hAnsi="宋体" w:cs="宋体" w:eastAsia="宋体" w:hint="default"/>
                <w:sz w:val="18"/>
                <w:szCs w:val="18"/>
              </w:rPr>
              <w:t>固定资产折旧、投资性房地产摊销</w:t>
            </w:r>
          </w:p>
        </w:tc>
        <w:tc>
          <w:tcPr>
            <w:tcW w:w="2169"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07"/>
              <w:jc w:val="right"/>
              <w:rPr>
                <w:rFonts w:ascii="Times New Roman" w:hAnsi="Times New Roman" w:cs="Times New Roman" w:eastAsia="Times New Roman" w:hint="default"/>
                <w:sz w:val="20"/>
                <w:szCs w:val="20"/>
              </w:rPr>
            </w:pPr>
            <w:r>
              <w:rPr>
                <w:rFonts w:ascii="Times New Roman"/>
                <w:spacing w:val="-1"/>
                <w:sz w:val="20"/>
              </w:rPr>
              <w:t>26,287,054.15</w:t>
            </w:r>
            <w:r>
              <w:rPr>
                <w:rFonts w:ascii="Times New Roman"/>
                <w:sz w:val="20"/>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4"/>
              <w:jc w:val="right"/>
              <w:rPr>
                <w:rFonts w:ascii="Times New Roman" w:hAnsi="Times New Roman" w:cs="Times New Roman" w:eastAsia="Times New Roman" w:hint="default"/>
                <w:sz w:val="18"/>
                <w:szCs w:val="18"/>
              </w:rPr>
            </w:pPr>
            <w:r>
              <w:rPr>
                <w:rFonts w:ascii="Times New Roman"/>
                <w:spacing w:val="-1"/>
                <w:sz w:val="18"/>
              </w:rPr>
              <w:t>23,212,969.54</w:t>
            </w:r>
          </w:p>
        </w:tc>
      </w:tr>
      <w:tr>
        <w:trPr>
          <w:trHeight w:val="407" w:hRule="exact"/>
        </w:trPr>
        <w:tc>
          <w:tcPr>
            <w:tcW w:w="401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5"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16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06"/>
              <w:jc w:val="right"/>
              <w:rPr>
                <w:rFonts w:ascii="Times New Roman" w:hAnsi="Times New Roman" w:cs="Times New Roman" w:eastAsia="Times New Roman" w:hint="default"/>
                <w:sz w:val="20"/>
                <w:szCs w:val="20"/>
              </w:rPr>
            </w:pPr>
            <w:r>
              <w:rPr>
                <w:rFonts w:ascii="Times New Roman"/>
                <w:spacing w:val="-1"/>
                <w:sz w:val="20"/>
              </w:rPr>
              <w:t>1,705,219.63</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3"/>
              <w:jc w:val="right"/>
              <w:rPr>
                <w:rFonts w:ascii="Times New Roman" w:hAnsi="Times New Roman" w:cs="Times New Roman" w:eastAsia="Times New Roman" w:hint="default"/>
                <w:sz w:val="18"/>
                <w:szCs w:val="18"/>
              </w:rPr>
            </w:pPr>
            <w:r>
              <w:rPr>
                <w:rFonts w:ascii="Times New Roman"/>
                <w:spacing w:val="-1"/>
                <w:sz w:val="18"/>
              </w:rPr>
              <w:t>1,601,674.39</w:t>
            </w:r>
          </w:p>
        </w:tc>
      </w:tr>
      <w:tr>
        <w:trPr>
          <w:trHeight w:val="304" w:hRule="exact"/>
        </w:trPr>
        <w:tc>
          <w:tcPr>
            <w:tcW w:w="401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5"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16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06"/>
              <w:jc w:val="right"/>
              <w:rPr>
                <w:rFonts w:ascii="Times New Roman" w:hAnsi="Times New Roman" w:cs="Times New Roman" w:eastAsia="Times New Roman" w:hint="default"/>
                <w:sz w:val="20"/>
                <w:szCs w:val="20"/>
              </w:rPr>
            </w:pPr>
            <w:r>
              <w:rPr>
                <w:rFonts w:ascii="Times New Roman"/>
                <w:spacing w:val="-1"/>
                <w:sz w:val="20"/>
              </w:rPr>
              <w:t>542,918.58</w:t>
            </w:r>
            <w:r>
              <w:rPr>
                <w:rFonts w:ascii="Times New Roman"/>
                <w:sz w:val="20"/>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3"/>
              <w:jc w:val="right"/>
              <w:rPr>
                <w:rFonts w:ascii="Times New Roman" w:hAnsi="Times New Roman" w:cs="Times New Roman" w:eastAsia="Times New Roman" w:hint="default"/>
                <w:sz w:val="18"/>
                <w:szCs w:val="18"/>
              </w:rPr>
            </w:pPr>
            <w:r>
              <w:rPr>
                <w:rFonts w:ascii="Times New Roman"/>
                <w:sz w:val="18"/>
              </w:rPr>
              <w:t>598,333.30</w:t>
            </w:r>
          </w:p>
        </w:tc>
      </w:tr>
      <w:tr>
        <w:trPr>
          <w:trHeight w:val="499" w:hRule="exact"/>
        </w:trPr>
        <w:tc>
          <w:tcPr>
            <w:tcW w:w="7649" w:type="dxa"/>
            <w:gridSpan w:val="3"/>
            <w:tcBorders>
              <w:top w:val="nil" w:sz="6" w:space="0" w:color="auto"/>
              <w:left w:val="nil" w:sz="6" w:space="0" w:color="auto"/>
              <w:bottom w:val="nil" w:sz="6" w:space="0" w:color="auto"/>
              <w:right w:val="nil" w:sz="6" w:space="0" w:color="auto"/>
            </w:tcBorders>
          </w:tcPr>
          <w:p>
            <w:pPr>
              <w:pStyle w:val="TableParagraph"/>
              <w:spacing w:line="211" w:lineRule="exact" w:before="109"/>
              <w:ind w:left="35"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w:t>
            </w:r>
          </w:p>
          <w:p>
            <w:pPr>
              <w:pStyle w:val="TableParagraph"/>
              <w:tabs>
                <w:tab w:pos="6892" w:val="left" w:leader="none"/>
              </w:tabs>
              <w:spacing w:line="205" w:lineRule="exact"/>
              <w:ind w:left="4973" w:right="0"/>
              <w:jc w:val="left"/>
              <w:rPr>
                <w:rFonts w:ascii="Times New Roman" w:hAnsi="Times New Roman" w:cs="Times New Roman" w:eastAsia="Times New Roman" w:hint="default"/>
                <w:sz w:val="18"/>
                <w:szCs w:val="18"/>
              </w:rPr>
            </w:pPr>
            <w:r>
              <w:rPr>
                <w:rFonts w:ascii="Times New Roman"/>
                <w:spacing w:val="-1"/>
                <w:sz w:val="20"/>
              </w:rPr>
              <w:t>297,140.18</w:t>
              <w:tab/>
            </w:r>
            <w:r>
              <w:rPr>
                <w:rFonts w:ascii="Times New Roman"/>
                <w:position w:val="1"/>
                <w:sz w:val="18"/>
              </w:rPr>
              <w:t>28,495.25</w:t>
            </w:r>
            <w:r>
              <w:rPr>
                <w:rFonts w:ascii="Times New Roman"/>
                <w:sz w:val="18"/>
              </w:rPr>
            </w:r>
          </w:p>
        </w:tc>
      </w:tr>
      <w:tr>
        <w:trPr>
          <w:trHeight w:val="255" w:hRule="exact"/>
        </w:trPr>
        <w:tc>
          <w:tcPr>
            <w:tcW w:w="4012" w:type="dxa"/>
            <w:tcBorders>
              <w:top w:val="nil" w:sz="6" w:space="0" w:color="auto"/>
              <w:left w:val="nil" w:sz="6" w:space="0" w:color="auto"/>
              <w:bottom w:val="nil" w:sz="6" w:space="0" w:color="auto"/>
              <w:right w:val="nil" w:sz="6" w:space="0" w:color="auto"/>
            </w:tcBorders>
          </w:tcPr>
          <w:p>
            <w:pPr>
              <w:pStyle w:val="TableParagraph"/>
              <w:spacing w:line="172" w:lineRule="exact"/>
              <w:ind w:left="35" w:right="0"/>
              <w:jc w:val="left"/>
              <w:rPr>
                <w:rFonts w:ascii="宋体" w:hAnsi="宋体" w:cs="宋体" w:eastAsia="宋体" w:hint="default"/>
                <w:sz w:val="18"/>
                <w:szCs w:val="18"/>
              </w:rPr>
            </w:pPr>
            <w:r>
              <w:rPr>
                <w:rFonts w:ascii="宋体" w:hAnsi="宋体" w:cs="宋体" w:eastAsia="宋体" w:hint="default"/>
                <w:sz w:val="18"/>
                <w:szCs w:val="18"/>
              </w:rPr>
              <w:t>（收益以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69" w:type="dxa"/>
            <w:tcBorders>
              <w:top w:val="nil" w:sz="6" w:space="0" w:color="auto"/>
              <w:left w:val="nil" w:sz="6" w:space="0" w:color="auto"/>
              <w:bottom w:val="nil" w:sz="6" w:space="0" w:color="auto"/>
              <w:right w:val="nil" w:sz="6" w:space="0" w:color="auto"/>
            </w:tcBorders>
          </w:tcPr>
          <w:p>
            <w:pPr/>
          </w:p>
        </w:tc>
        <w:tc>
          <w:tcPr>
            <w:tcW w:w="1468" w:type="dxa"/>
            <w:tcBorders>
              <w:top w:val="nil" w:sz="6" w:space="0" w:color="auto"/>
              <w:left w:val="nil" w:sz="6" w:space="0" w:color="auto"/>
              <w:bottom w:val="nil" w:sz="6" w:space="0" w:color="auto"/>
              <w:right w:val="nil" w:sz="6" w:space="0" w:color="auto"/>
            </w:tcBorders>
          </w:tcPr>
          <w:p>
            <w:pPr/>
          </w:p>
        </w:tc>
      </w:tr>
      <w:tr>
        <w:trPr>
          <w:trHeight w:val="386" w:hRule="exact"/>
        </w:trPr>
        <w:tc>
          <w:tcPr>
            <w:tcW w:w="401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69" w:type="dxa"/>
            <w:tcBorders>
              <w:top w:val="nil" w:sz="6" w:space="0" w:color="auto"/>
              <w:left w:val="nil" w:sz="6" w:space="0" w:color="auto"/>
              <w:bottom w:val="nil" w:sz="6" w:space="0" w:color="auto"/>
              <w:right w:val="nil" w:sz="6" w:space="0" w:color="auto"/>
            </w:tcBorders>
          </w:tcPr>
          <w:p>
            <w:pPr/>
          </w:p>
        </w:tc>
        <w:tc>
          <w:tcPr>
            <w:tcW w:w="1468" w:type="dxa"/>
            <w:tcBorders>
              <w:top w:val="nil" w:sz="6" w:space="0" w:color="auto"/>
              <w:left w:val="nil" w:sz="6" w:space="0" w:color="auto"/>
              <w:bottom w:val="nil" w:sz="6" w:space="0" w:color="auto"/>
              <w:right w:val="nil" w:sz="6" w:space="0" w:color="auto"/>
            </w:tcBorders>
          </w:tcPr>
          <w:p>
            <w:pPr/>
          </w:p>
        </w:tc>
      </w:tr>
      <w:tr>
        <w:trPr>
          <w:trHeight w:val="407" w:hRule="exact"/>
        </w:trPr>
        <w:tc>
          <w:tcPr>
            <w:tcW w:w="401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69" w:type="dxa"/>
            <w:tcBorders>
              <w:top w:val="nil" w:sz="6" w:space="0" w:color="auto"/>
              <w:left w:val="nil" w:sz="6" w:space="0" w:color="auto"/>
              <w:bottom w:val="nil" w:sz="6" w:space="0" w:color="auto"/>
              <w:right w:val="nil" w:sz="6" w:space="0" w:color="auto"/>
            </w:tcBorders>
          </w:tcPr>
          <w:p>
            <w:pPr/>
          </w:p>
        </w:tc>
        <w:tc>
          <w:tcPr>
            <w:tcW w:w="1468" w:type="dxa"/>
            <w:tcBorders>
              <w:top w:val="nil" w:sz="6" w:space="0" w:color="auto"/>
              <w:left w:val="nil" w:sz="6" w:space="0" w:color="auto"/>
              <w:bottom w:val="nil" w:sz="6" w:space="0" w:color="auto"/>
              <w:right w:val="nil" w:sz="6" w:space="0" w:color="auto"/>
            </w:tcBorders>
          </w:tcPr>
          <w:p>
            <w:pPr/>
          </w:p>
        </w:tc>
      </w:tr>
      <w:tr>
        <w:trPr>
          <w:trHeight w:val="412" w:hRule="exact"/>
        </w:trPr>
        <w:tc>
          <w:tcPr>
            <w:tcW w:w="401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6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06"/>
              <w:jc w:val="right"/>
              <w:rPr>
                <w:rFonts w:ascii="Times New Roman" w:hAnsi="Times New Roman" w:cs="Times New Roman" w:eastAsia="Times New Roman" w:hint="default"/>
                <w:sz w:val="20"/>
                <w:szCs w:val="20"/>
              </w:rPr>
            </w:pPr>
            <w:r>
              <w:rPr>
                <w:rFonts w:ascii="Times New Roman"/>
                <w:spacing w:val="-1"/>
                <w:sz w:val="20"/>
              </w:rPr>
              <w:t>5,574,805.31</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spacing w:val="-1"/>
                <w:sz w:val="18"/>
              </w:rPr>
              <w:t>9,332,875.24</w:t>
            </w:r>
          </w:p>
        </w:tc>
      </w:tr>
      <w:tr>
        <w:trPr>
          <w:trHeight w:val="407" w:hRule="exact"/>
        </w:trPr>
        <w:tc>
          <w:tcPr>
            <w:tcW w:w="401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5"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6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07"/>
              <w:jc w:val="right"/>
              <w:rPr>
                <w:rFonts w:ascii="Times New Roman" w:hAnsi="Times New Roman" w:cs="Times New Roman" w:eastAsia="Times New Roman" w:hint="default"/>
                <w:sz w:val="20"/>
                <w:szCs w:val="20"/>
              </w:rPr>
            </w:pPr>
            <w:r>
              <w:rPr>
                <w:rFonts w:ascii="Times New Roman"/>
                <w:spacing w:val="-1"/>
                <w:sz w:val="20"/>
              </w:rPr>
              <w:t>-1,293,630.97</w:t>
            </w:r>
            <w:r>
              <w:rPr>
                <w:rFonts w:ascii="Times New Roman"/>
                <w:sz w:val="20"/>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3"/>
              <w:jc w:val="right"/>
              <w:rPr>
                <w:rFonts w:ascii="Times New Roman" w:hAnsi="Times New Roman" w:cs="Times New Roman" w:eastAsia="Times New Roman" w:hint="default"/>
                <w:sz w:val="18"/>
                <w:szCs w:val="18"/>
              </w:rPr>
            </w:pPr>
            <w:r>
              <w:rPr>
                <w:rFonts w:ascii="Times New Roman"/>
                <w:spacing w:val="-1"/>
                <w:sz w:val="18"/>
              </w:rPr>
              <w:t>6,179,757.34</w:t>
            </w:r>
          </w:p>
        </w:tc>
      </w:tr>
      <w:tr>
        <w:trPr>
          <w:trHeight w:val="407" w:hRule="exact"/>
        </w:trPr>
        <w:tc>
          <w:tcPr>
            <w:tcW w:w="401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5"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6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07"/>
              <w:jc w:val="right"/>
              <w:rPr>
                <w:rFonts w:ascii="Times New Roman" w:hAnsi="Times New Roman" w:cs="Times New Roman" w:eastAsia="Times New Roman" w:hint="default"/>
                <w:sz w:val="20"/>
                <w:szCs w:val="20"/>
              </w:rPr>
            </w:pPr>
            <w:r>
              <w:rPr>
                <w:rFonts w:ascii="Times New Roman"/>
                <w:spacing w:val="-1"/>
                <w:sz w:val="20"/>
              </w:rPr>
              <w:t>-1,254,802.13</w:t>
            </w:r>
            <w:r>
              <w:rPr>
                <w:rFonts w:ascii="Times New Roman"/>
                <w:sz w:val="20"/>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3"/>
              <w:jc w:val="right"/>
              <w:rPr>
                <w:rFonts w:ascii="Times New Roman" w:hAnsi="Times New Roman" w:cs="Times New Roman" w:eastAsia="Times New Roman" w:hint="default"/>
                <w:sz w:val="18"/>
                <w:szCs w:val="18"/>
              </w:rPr>
            </w:pPr>
            <w:r>
              <w:rPr>
                <w:rFonts w:ascii="Times New Roman"/>
                <w:spacing w:val="-1"/>
                <w:sz w:val="18"/>
              </w:rPr>
              <w:t>-1,196,792.20</w:t>
            </w:r>
          </w:p>
        </w:tc>
      </w:tr>
      <w:tr>
        <w:trPr>
          <w:trHeight w:val="402" w:hRule="exact"/>
        </w:trPr>
        <w:tc>
          <w:tcPr>
            <w:tcW w:w="401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5"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69" w:type="dxa"/>
            <w:tcBorders>
              <w:top w:val="nil" w:sz="6" w:space="0" w:color="auto"/>
              <w:left w:val="nil" w:sz="6" w:space="0" w:color="auto"/>
              <w:bottom w:val="nil" w:sz="6" w:space="0" w:color="auto"/>
              <w:right w:val="nil" w:sz="6" w:space="0" w:color="auto"/>
            </w:tcBorders>
          </w:tcPr>
          <w:p>
            <w:pPr/>
          </w:p>
        </w:tc>
        <w:tc>
          <w:tcPr>
            <w:tcW w:w="1468" w:type="dxa"/>
            <w:tcBorders>
              <w:top w:val="nil" w:sz="6" w:space="0" w:color="auto"/>
              <w:left w:val="nil" w:sz="6" w:space="0" w:color="auto"/>
              <w:bottom w:val="nil" w:sz="6" w:space="0" w:color="auto"/>
              <w:right w:val="nil" w:sz="6" w:space="0" w:color="auto"/>
            </w:tcBorders>
          </w:tcPr>
          <w:p>
            <w:pPr/>
          </w:p>
        </w:tc>
      </w:tr>
      <w:tr>
        <w:trPr>
          <w:trHeight w:val="413" w:hRule="exact"/>
        </w:trPr>
        <w:tc>
          <w:tcPr>
            <w:tcW w:w="4012"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69"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307"/>
              <w:jc w:val="right"/>
              <w:rPr>
                <w:rFonts w:ascii="Times New Roman" w:hAnsi="Times New Roman" w:cs="Times New Roman" w:eastAsia="Times New Roman" w:hint="default"/>
                <w:sz w:val="20"/>
                <w:szCs w:val="20"/>
              </w:rPr>
            </w:pPr>
            <w:r>
              <w:rPr>
                <w:rFonts w:ascii="Times New Roman"/>
                <w:spacing w:val="-1"/>
                <w:sz w:val="20"/>
              </w:rPr>
              <w:t>(36,435,133.58)</w:t>
            </w:r>
            <w:r>
              <w:rPr>
                <w:rFonts w:ascii="Times New Roman"/>
                <w:sz w:val="20"/>
              </w:rPr>
            </w:r>
          </w:p>
        </w:tc>
        <w:tc>
          <w:tcPr>
            <w:tcW w:w="1468" w:type="dxa"/>
            <w:tcBorders>
              <w:top w:val="nil" w:sz="6" w:space="0" w:color="auto"/>
              <w:left w:val="nil" w:sz="6" w:space="0" w:color="auto"/>
              <w:bottom w:val="single" w:sz="12" w:space="0" w:color="000000"/>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spacing w:val="-1"/>
                <w:sz w:val="18"/>
              </w:rPr>
              <w:t>-13,606,940.22</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270" w:top="1360" w:bottom="1460" w:left="1540" w:right="1600"/>
        </w:sectPr>
      </w:pPr>
    </w:p>
    <w:p>
      <w:pPr>
        <w:spacing w:line="240" w:lineRule="auto" w:before="8"/>
        <w:rPr>
          <w:rFonts w:ascii="宋体" w:hAnsi="宋体" w:cs="宋体" w:eastAsia="宋体" w:hint="default"/>
          <w:b/>
          <w:bCs/>
          <w:sz w:val="5"/>
          <w:szCs w:val="5"/>
        </w:rPr>
      </w:pPr>
    </w:p>
    <w:p>
      <w:pPr>
        <w:spacing w:line="6154" w:lineRule="exact"/>
        <w:ind w:left="800" w:right="0" w:firstLine="0"/>
        <w:rPr>
          <w:rFonts w:ascii="宋体" w:hAnsi="宋体" w:cs="宋体" w:eastAsia="宋体" w:hint="default"/>
          <w:sz w:val="20"/>
          <w:szCs w:val="20"/>
        </w:rPr>
      </w:pPr>
      <w:r>
        <w:rPr>
          <w:rFonts w:ascii="宋体" w:hAnsi="宋体" w:cs="宋体" w:eastAsia="宋体" w:hint="default"/>
          <w:position w:val="-122"/>
          <w:sz w:val="20"/>
          <w:szCs w:val="20"/>
        </w:rPr>
        <w:pict>
          <v:group style="width:392.2pt;height:307.75pt;mso-position-horizontal-relative:char;mso-position-vertical-relative:line" coordorigin="0,0" coordsize="7844,6155">
            <v:group style="position:absolute;left:29;top:15;width:7794;height:2" coordorigin="29,15" coordsize="7794,2">
              <v:shape style="position:absolute;left:29;top:15;width:7794;height:2" coordorigin="29,15" coordsize="7794,0" path="m29,15l7823,15e" filled="false" stroked="true" strokeweight="1.5pt" strokecolor="#000000">
                <v:path arrowok="t"/>
              </v:shape>
              <v:shape style="position:absolute;left:4357;top:10;width:1750;height:437" type="#_x0000_t75" stroked="false">
                <v:imagedata r:id="rId276" o:title=""/>
              </v:shape>
            </v:group>
            <v:group style="position:absolute;left:15;top:6140;width:4362;height:2" coordorigin="15,6140" coordsize="4362,2">
              <v:shape style="position:absolute;left:15;top:6140;width:4362;height:2" coordorigin="15,6140" coordsize="4362,0" path="m15,6140l4377,6140e" filled="false" stroked="true" strokeweight="1.5pt" strokecolor="#000000">
                <v:path arrowok="t"/>
              </v:shape>
            </v:group>
            <v:group style="position:absolute;left:4377;top:6140;width:1701;height:2" coordorigin="4377,6140" coordsize="1701,2">
              <v:shape style="position:absolute;left:4377;top:6140;width:1701;height:2" coordorigin="4377,6140" coordsize="1701,0" path="m4377,6140l6077,6140e" filled="false" stroked="true" strokeweight="1.5pt" strokecolor="#000000">
                <v:path arrowok="t"/>
              </v:shape>
              <v:shape style="position:absolute;left:10;top:408;width:7834;height:5717" type="#_x0000_t75" stroked="false">
                <v:imagedata r:id="rId277" o:title=""/>
              </v:shape>
            </v:group>
            <v:group style="position:absolute;left:6077;top:6140;width:1746;height:2" coordorigin="6077,6140" coordsize="1746,2">
              <v:shape style="position:absolute;left:6077;top:6140;width:1746;height:2" coordorigin="6077,6140" coordsize="1746,0" path="m6077,6140l7823,6140e" filled="false" stroked="true" strokeweight="1.5pt" strokecolor="#000000">
                <v:path arrowok="t"/>
              </v:shape>
              <v:shape style="position:absolute;left:2025;top:13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873;top:13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6592;top:13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137;top:546;width:358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经营性应收项目的减少（增加以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xbxContent>
                </v:textbox>
                <w10:wrap type="none"/>
              </v:shape>
              <v:shape style="position:absolute;left:4826;top:546;width:1150;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spacing w:val="-1"/>
                          <w:sz w:val="20"/>
                        </w:rPr>
                        <w:t>18,019,166.05</w:t>
                      </w:r>
                      <w:r>
                        <w:rPr>
                          <w:rFonts w:ascii="Times New Roman"/>
                          <w:sz w:val="20"/>
                        </w:rPr>
                      </w:r>
                    </w:p>
                  </w:txbxContent>
                </v:textbox>
                <w10:wrap type="none"/>
              </v:shape>
              <v:shape style="position:absolute;left:6621;top:554;width:10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-51,506,643.10</w:t>
                      </w:r>
                    </w:p>
                  </w:txbxContent>
                </v:textbox>
                <w10:wrap type="none"/>
              </v:shape>
              <v:shape style="position:absolute;left:137;top:953;width:358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经营性应付项目的增加（减少以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xbxContent>
                </v:textbox>
                <w10:wrap type="none"/>
              </v:shape>
              <v:shape style="position:absolute;left:4726;top:952;width:1250;height:1014" type="#_x0000_t202" filled="false" stroked="false">
                <v:textbox inset="0,0,0,0">
                  <w:txbxContent>
                    <w:p>
                      <w:pPr>
                        <w:spacing w:line="205" w:lineRule="exact" w:before="0"/>
                        <w:ind w:left="99" w:right="0" w:firstLine="0"/>
                        <w:jc w:val="left"/>
                        <w:rPr>
                          <w:rFonts w:ascii="Times New Roman" w:hAnsi="Times New Roman" w:cs="Times New Roman" w:eastAsia="Times New Roman" w:hint="default"/>
                          <w:sz w:val="20"/>
                          <w:szCs w:val="20"/>
                        </w:rPr>
                      </w:pPr>
                      <w:r>
                        <w:rPr>
                          <w:rFonts w:ascii="Times New Roman"/>
                          <w:spacing w:val="-1"/>
                          <w:sz w:val="20"/>
                        </w:rPr>
                        <w:t>22,275,644.18</w:t>
                      </w:r>
                      <w:r>
                        <w:rPr>
                          <w:rFonts w:ascii="Times New Roman"/>
                          <w:sz w:val="20"/>
                        </w:rPr>
                      </w:r>
                    </w:p>
                    <w:p>
                      <w:pPr>
                        <w:spacing w:before="177"/>
                        <w:ind w:left="199" w:right="0" w:firstLine="0"/>
                        <w:jc w:val="center"/>
                        <w:rPr>
                          <w:rFonts w:ascii="Times New Roman" w:hAnsi="Times New Roman" w:cs="Times New Roman" w:eastAsia="Times New Roman" w:hint="default"/>
                          <w:sz w:val="20"/>
                          <w:szCs w:val="20"/>
                        </w:rPr>
                      </w:pPr>
                      <w:r>
                        <w:rPr>
                          <w:rFonts w:ascii="Times New Roman"/>
                          <w:spacing w:val="-1"/>
                          <w:sz w:val="20"/>
                        </w:rPr>
                        <w:t>1,398,540.46</w:t>
                      </w:r>
                    </w:p>
                    <w:p>
                      <w:pPr>
                        <w:spacing w:line="226" w:lineRule="exact" w:before="177"/>
                        <w:ind w:left="0" w:right="0" w:firstLine="0"/>
                        <w:jc w:val="center"/>
                        <w:rPr>
                          <w:rFonts w:ascii="Times New Roman" w:hAnsi="Times New Roman" w:cs="Times New Roman" w:eastAsia="Times New Roman" w:hint="default"/>
                          <w:sz w:val="20"/>
                          <w:szCs w:val="20"/>
                        </w:rPr>
                      </w:pPr>
                      <w:r>
                        <w:rPr>
                          <w:rFonts w:ascii="Times New Roman"/>
                          <w:spacing w:val="-1"/>
                          <w:sz w:val="20"/>
                        </w:rPr>
                        <w:t>107,808,671.43</w:t>
                      </w:r>
                      <w:r>
                        <w:rPr>
                          <w:rFonts w:ascii="Times New Roman"/>
                          <w:sz w:val="20"/>
                        </w:rPr>
                      </w:r>
                    </w:p>
                  </w:txbxContent>
                </v:textbox>
                <w10:wrap type="none"/>
              </v:shape>
              <v:shape style="position:absolute;left:6771;top:96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4,033,913.81</w:t>
                      </w:r>
                    </w:p>
                  </w:txbxContent>
                </v:textbox>
                <w10:wrap type="none"/>
              </v:shape>
              <v:shape style="position:absolute;left:137;top:1360;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w:t>
                      </w:r>
                    </w:p>
                  </w:txbxContent>
                </v:textbox>
                <w10:wrap type="none"/>
              </v:shape>
              <v:shape style="position:absolute;left:677;top:1360;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他</w:t>
                      </w:r>
                    </w:p>
                  </w:txbxContent>
                </v:textbox>
                <w10:wrap type="none"/>
              </v:shape>
              <v:shape style="position:absolute;left:137;top:1767;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xbxContent>
                </v:textbox>
                <w10:wrap type="none"/>
              </v:shape>
              <v:shape style="position:absolute;left:6681;top:1774;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50,970,688.55</w:t>
                      </w:r>
                    </w:p>
                  </w:txbxContent>
                </v:textbox>
                <w10:wrap type="none"/>
              </v:shape>
              <v:shape style="position:absolute;left:137;top:2173;width:3330;height:587"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p>
                      <w:pPr>
                        <w:spacing w:before="157"/>
                        <w:ind w:left="0" w:right="0" w:firstLine="0"/>
                        <w:jc w:val="left"/>
                        <w:rPr>
                          <w:rFonts w:ascii="宋体" w:hAnsi="宋体" w:cs="宋体" w:eastAsia="宋体" w:hint="default"/>
                          <w:sz w:val="18"/>
                          <w:szCs w:val="18"/>
                        </w:rPr>
                      </w:pPr>
                      <w:r>
                        <w:rPr>
                          <w:rFonts w:ascii="宋体" w:hAnsi="宋体" w:cs="宋体" w:eastAsia="宋体" w:hint="default"/>
                          <w:sz w:val="18"/>
                          <w:szCs w:val="18"/>
                        </w:rPr>
                        <w:t>债务转为资本</w:t>
                      </w:r>
                    </w:p>
                  </w:txbxContent>
                </v:textbox>
                <w10:wrap type="none"/>
              </v:shape>
              <v:shape style="position:absolute;left:5810;top:2596;width:166;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hAnsi="Calibri" w:cs="Calibri" w:eastAsia="Calibri" w:hint="default"/>
                          <w:sz w:val="18"/>
                          <w:szCs w:val="18"/>
                        </w:rPr>
                        <w:t>‐‐‐</w:t>
                      </w:r>
                    </w:p>
                  </w:txbxContent>
                </v:textbox>
                <w10:wrap type="none"/>
              </v:shape>
              <v:shape style="position:absolute;left:7550;top:2596;width:166;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hAnsi="Calibri" w:cs="Calibri" w:eastAsia="Calibri" w:hint="default"/>
                          <w:sz w:val="18"/>
                          <w:szCs w:val="18"/>
                        </w:rPr>
                        <w:t>‐‐‐</w:t>
                      </w:r>
                    </w:p>
                  </w:txbxContent>
                </v:textbox>
                <w10:wrap type="none"/>
              </v:shape>
              <v:shape style="position:absolute;left:137;top:2988;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xbxContent>
                </v:textbox>
                <w10:wrap type="none"/>
              </v:shape>
              <v:shape style="position:absolute;left:5810;top:3004;width:166;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hAnsi="Calibri" w:cs="Calibri" w:eastAsia="Calibri" w:hint="default"/>
                          <w:sz w:val="18"/>
                          <w:szCs w:val="18"/>
                        </w:rPr>
                        <w:t>‐‐‐</w:t>
                      </w:r>
                    </w:p>
                  </w:txbxContent>
                </v:textbox>
                <w10:wrap type="none"/>
              </v:shape>
              <v:shape style="position:absolute;left:7550;top:3004;width:166;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hAnsi="Calibri" w:cs="Calibri" w:eastAsia="Calibri" w:hint="default"/>
                          <w:sz w:val="18"/>
                          <w:szCs w:val="18"/>
                        </w:rPr>
                        <w:t>‐‐‐</w:t>
                      </w:r>
                    </w:p>
                  </w:txbxContent>
                </v:textbox>
                <w10:wrap type="none"/>
              </v:shape>
              <v:shape style="position:absolute;left:137;top:3395;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融资租入固定资产</w:t>
                      </w:r>
                    </w:p>
                  </w:txbxContent>
                </v:textbox>
                <w10:wrap type="none"/>
              </v:shape>
              <v:shape style="position:absolute;left:5810;top:3411;width:166;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hAnsi="Calibri" w:cs="Calibri" w:eastAsia="Calibri" w:hint="default"/>
                          <w:sz w:val="18"/>
                          <w:szCs w:val="18"/>
                        </w:rPr>
                        <w:t>‐‐‐</w:t>
                      </w:r>
                    </w:p>
                  </w:txbxContent>
                </v:textbox>
                <w10:wrap type="none"/>
              </v:shape>
              <v:shape style="position:absolute;left:7550;top:3411;width:166;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hAnsi="Calibri" w:cs="Calibri" w:eastAsia="Calibri" w:hint="default"/>
                          <w:sz w:val="18"/>
                          <w:szCs w:val="18"/>
                        </w:rPr>
                        <w:t>‐‐‐</w:t>
                      </w:r>
                    </w:p>
                  </w:txbxContent>
                </v:textbox>
                <w10:wrap type="none"/>
              </v:shape>
              <v:shape style="position:absolute;left:137;top:3802;width:2610;height:587"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p>
                      <w:pPr>
                        <w:spacing w:before="157"/>
                        <w:ind w:left="0" w:right="0" w:firstLine="0"/>
                        <w:jc w:val="left"/>
                        <w:rPr>
                          <w:rFonts w:ascii="宋体" w:hAnsi="宋体" w:cs="宋体" w:eastAsia="宋体" w:hint="default"/>
                          <w:sz w:val="18"/>
                          <w:szCs w:val="18"/>
                        </w:rPr>
                      </w:pPr>
                      <w:r>
                        <w:rPr>
                          <w:rFonts w:ascii="宋体" w:hAnsi="宋体" w:cs="宋体" w:eastAsia="宋体" w:hint="default"/>
                          <w:sz w:val="18"/>
                          <w:szCs w:val="18"/>
                        </w:rPr>
                        <w:t>现金的年末余额</w:t>
                      </w:r>
                    </w:p>
                  </w:txbxContent>
                </v:textbox>
                <w10:wrap type="none"/>
              </v:shape>
              <v:shape style="position:absolute;left:4851;top:4216;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487,385,274.14</w:t>
                      </w:r>
                    </w:p>
                  </w:txbxContent>
                </v:textbox>
                <w10:wrap type="none"/>
              </v:shape>
              <v:shape style="position:absolute;left:6591;top:4216;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633,197,198.94</w:t>
                      </w:r>
                    </w:p>
                  </w:txbxContent>
                </v:textbox>
                <w10:wrap type="none"/>
              </v:shape>
              <v:shape style="position:absolute;left:137;top:4615;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减：现金的年初余额</w:t>
                      </w:r>
                    </w:p>
                  </w:txbxContent>
                </v:textbox>
                <w10:wrap type="none"/>
              </v:shape>
              <v:shape style="position:absolute;left:4851;top:4623;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633,197,198.94</w:t>
                      </w:r>
                    </w:p>
                  </w:txbxContent>
                </v:textbox>
                <w10:wrap type="none"/>
              </v:shape>
              <v:shape style="position:absolute;left:6591;top:4623;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242,967,885.72</w:t>
                      </w:r>
                    </w:p>
                  </w:txbxContent>
                </v:textbox>
                <w10:wrap type="none"/>
              </v:shape>
              <v:shape style="position:absolute;left:137;top:5022;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加：现金等价物的年末余额</w:t>
                      </w:r>
                    </w:p>
                  </w:txbxContent>
                </v:textbox>
                <w10:wrap type="none"/>
              </v:shape>
              <v:shape style="position:absolute;left:5810;top:5038;width:166;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hAnsi="Calibri" w:cs="Calibri" w:eastAsia="Calibri" w:hint="default"/>
                          <w:sz w:val="18"/>
                          <w:szCs w:val="18"/>
                        </w:rPr>
                        <w:t>‐‐‐</w:t>
                      </w:r>
                    </w:p>
                  </w:txbxContent>
                </v:textbox>
                <w10:wrap type="none"/>
              </v:shape>
              <v:shape style="position:absolute;left:7550;top:5038;width:166;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hAnsi="Calibri" w:cs="Calibri" w:eastAsia="Calibri" w:hint="default"/>
                          <w:sz w:val="18"/>
                          <w:szCs w:val="18"/>
                        </w:rPr>
                        <w:t>‐‐‐</w:t>
                      </w:r>
                    </w:p>
                  </w:txbxContent>
                </v:textbox>
                <w10:wrap type="none"/>
              </v:shape>
              <v:shape style="position:absolute;left:137;top:5430;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减：现金等价物的年初余额</w:t>
                      </w:r>
                    </w:p>
                  </w:txbxContent>
                </v:textbox>
                <w10:wrap type="none"/>
              </v:shape>
              <v:shape style="position:absolute;left:5810;top:5446;width:166;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hAnsi="Calibri" w:cs="Calibri" w:eastAsia="Calibri" w:hint="default"/>
                          <w:sz w:val="18"/>
                          <w:szCs w:val="18"/>
                        </w:rPr>
                        <w:t>‐‐‐</w:t>
                      </w:r>
                    </w:p>
                  </w:txbxContent>
                </v:textbox>
                <w10:wrap type="none"/>
              </v:shape>
              <v:shape style="position:absolute;left:7550;top:5446;width:166;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hAnsi="Calibri" w:cs="Calibri" w:eastAsia="Calibri" w:hint="default"/>
                          <w:sz w:val="18"/>
                          <w:szCs w:val="18"/>
                        </w:rPr>
                        <w:t>‐‐‐</w:t>
                      </w:r>
                    </w:p>
                  </w:txbxContent>
                </v:textbox>
                <w10:wrap type="none"/>
              </v:shape>
              <v:shape style="position:absolute;left:137;top:5837;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xbxContent>
                </v:textbox>
                <w10:wrap type="none"/>
              </v:shape>
              <v:shape style="position:absolute;left:4797;top:5844;width:1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-145,811,924.80</w:t>
                      </w:r>
                    </w:p>
                  </w:txbxContent>
                </v:textbox>
                <w10:wrap type="none"/>
              </v:shape>
              <v:shape style="position:absolute;left:6591;top:5844;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390,229,313.22</w:t>
                      </w:r>
                    </w:p>
                  </w:txbxContent>
                </v:textbox>
                <w10:wrap type="none"/>
              </v:shape>
            </v:group>
          </v:group>
        </w:pict>
      </w:r>
      <w:r>
        <w:rPr>
          <w:rFonts w:ascii="宋体" w:hAnsi="宋体" w:cs="宋体" w:eastAsia="宋体" w:hint="default"/>
          <w:position w:val="-122"/>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5"/>
          <w:szCs w:val="15"/>
        </w:rPr>
      </w:pPr>
    </w:p>
    <w:p>
      <w:pPr>
        <w:tabs>
          <w:tab w:pos="1414" w:val="left" w:leader="none"/>
        </w:tabs>
        <w:spacing w:before="35"/>
        <w:ind w:left="875" w:right="19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现金和现金等价物的构成</w:t>
      </w:r>
      <w:r>
        <w:rPr>
          <w:rFonts w:ascii="宋体" w:hAnsi="宋体" w:cs="宋体" w:eastAsia="宋体" w:hint="default"/>
          <w:sz w:val="21"/>
          <w:szCs w:val="21"/>
        </w:rPr>
      </w:r>
    </w:p>
    <w:p>
      <w:pPr>
        <w:spacing w:line="2850" w:lineRule="exact"/>
        <w:ind w:left="800"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393.05pt;height:142.5pt;mso-position-horizontal-relative:char;mso-position-vertical-relative:line" coordorigin="0,0" coordsize="7861,2850">
            <v:group style="position:absolute;left:29;top:15;width:7810;height:2" coordorigin="29,15" coordsize="7810,2">
              <v:shape style="position:absolute;left:29;top:15;width:7810;height:2" coordorigin="29,15" coordsize="7810,0" path="m29,15l7839,15e" filled="false" stroked="true" strokeweight="1.5pt" strokecolor="#000000">
                <v:path arrowok="t"/>
              </v:shape>
              <v:shape style="position:absolute;left:4214;top:10;width:1849;height:379" type="#_x0000_t75" stroked="false">
                <v:imagedata r:id="rId278" o:title=""/>
              </v:shape>
            </v:group>
            <v:group style="position:absolute;left:15;top:2835;width:4220;height:2" coordorigin="15,2835" coordsize="4220,2">
              <v:shape style="position:absolute;left:15;top:2835;width:4220;height:2" coordorigin="15,2835" coordsize="4220,0" path="m15,2835l4234,2835e" filled="false" stroked="true" strokeweight="1.5pt" strokecolor="#000000">
                <v:path arrowok="t"/>
              </v:shape>
            </v:group>
            <v:group style="position:absolute;left:4234;top:2835;width:1800;height:2" coordorigin="4234,2835" coordsize="1800,2">
              <v:shape style="position:absolute;left:4234;top:2835;width:1800;height:2" coordorigin="4234,2835" coordsize="1800,0" path="m4234,2835l6034,2835e" filled="false" stroked="true" strokeweight="1.5pt" strokecolor="#000000">
                <v:path arrowok="t"/>
              </v:shape>
              <v:shape style="position:absolute;left:1;top:348;width:7860;height:2472" type="#_x0000_t75" stroked="false">
                <v:imagedata r:id="rId279" o:title=""/>
              </v:shape>
            </v:group>
            <v:group style="position:absolute;left:6034;top:2835;width:1805;height:2" coordorigin="6034,2835" coordsize="1805,2">
              <v:shape style="position:absolute;left:6034;top:2835;width:1805;height:2" coordorigin="6034,2835" coordsize="1805,0" path="m6034,2835l7839,2835e" filled="false" stroked="true" strokeweight="1.5pt" strokecolor="#000000">
                <v:path arrowok="t"/>
              </v:shape>
              <v:shape style="position:absolute;left:137;top:111;width:2880;height:2630" type="#_x0000_t202" filled="false" stroked="false">
                <v:textbox inset="0,0,0,0">
                  <w:txbxContent>
                    <w:p>
                      <w:pPr>
                        <w:spacing w:line="180" w:lineRule="exact" w:before="0"/>
                        <w:ind w:left="1816" w:right="0" w:firstLine="0"/>
                        <w:jc w:val="left"/>
                        <w:rPr>
                          <w:rFonts w:ascii="宋体" w:hAnsi="宋体" w:cs="宋体" w:eastAsia="宋体" w:hint="default"/>
                          <w:sz w:val="18"/>
                          <w:szCs w:val="18"/>
                        </w:rPr>
                      </w:pPr>
                      <w:r>
                        <w:rPr>
                          <w:rFonts w:ascii="宋体" w:hAnsi="宋体" w:cs="宋体" w:eastAsia="宋体" w:hint="default"/>
                          <w:sz w:val="18"/>
                          <w:szCs w:val="18"/>
                        </w:rPr>
                        <w:t>项目</w:t>
                      </w:r>
                    </w:p>
                    <w:p>
                      <w:pPr>
                        <w:tabs>
                          <w:tab w:pos="899" w:val="left" w:leader="none"/>
                        </w:tabs>
                        <w:spacing w:line="357" w:lineRule="auto" w:before="113"/>
                        <w:ind w:left="0" w:right="1618" w:firstLine="0"/>
                        <w:jc w:val="left"/>
                        <w:rPr>
                          <w:rFonts w:ascii="宋体" w:hAnsi="宋体" w:cs="宋体" w:eastAsia="宋体" w:hint="default"/>
                          <w:sz w:val="18"/>
                          <w:szCs w:val="18"/>
                        </w:rPr>
                      </w:pPr>
                      <w:r>
                        <w:rPr>
                          <w:rFonts w:ascii="宋体" w:hAnsi="宋体" w:cs="宋体" w:eastAsia="宋体" w:hint="default"/>
                          <w:sz w:val="18"/>
                          <w:szCs w:val="18"/>
                        </w:rPr>
                        <w:t>一、现</w:t>
                        <w:tab/>
                        <w:t>金 其中：库存现金</w:t>
                      </w:r>
                    </w:p>
                    <w:p>
                      <w:pPr>
                        <w:spacing w:line="355" w:lineRule="auto" w:before="26"/>
                        <w:ind w:left="360" w:right="0" w:firstLine="0"/>
                        <w:jc w:val="left"/>
                        <w:rPr>
                          <w:rFonts w:ascii="宋体" w:hAnsi="宋体" w:cs="宋体" w:eastAsia="宋体" w:hint="default"/>
                          <w:sz w:val="18"/>
                          <w:szCs w:val="18"/>
                        </w:rPr>
                      </w:pPr>
                      <w:r>
                        <w:rPr>
                          <w:rFonts w:ascii="宋体" w:hAnsi="宋体" w:cs="宋体" w:eastAsia="宋体" w:hint="default"/>
                          <w:sz w:val="18"/>
                          <w:szCs w:val="18"/>
                        </w:rPr>
                        <w:t>可随时用于支付的银行存款 可随时用于支付的其他货币资金</w:t>
                      </w:r>
                    </w:p>
                    <w:p>
                      <w:pPr>
                        <w:spacing w:before="28"/>
                        <w:ind w:left="0" w:right="0" w:firstLine="0"/>
                        <w:jc w:val="left"/>
                        <w:rPr>
                          <w:rFonts w:ascii="宋体" w:hAnsi="宋体" w:cs="宋体" w:eastAsia="宋体" w:hint="default"/>
                          <w:sz w:val="18"/>
                          <w:szCs w:val="18"/>
                        </w:rPr>
                      </w:pPr>
                      <w:r>
                        <w:rPr>
                          <w:rFonts w:ascii="宋体" w:hAnsi="宋体" w:cs="宋体" w:eastAsia="宋体" w:hint="default"/>
                          <w:sz w:val="18"/>
                          <w:szCs w:val="18"/>
                        </w:rPr>
                        <w:t>二、现金等价物</w:t>
                      </w:r>
                    </w:p>
                    <w:p>
                      <w:pPr>
                        <w:spacing w:line="350" w:lineRule="atLeast" w:before="0"/>
                        <w:ind w:left="0" w:right="358" w:firstLine="0"/>
                        <w:jc w:val="left"/>
                        <w:rPr>
                          <w:rFonts w:ascii="宋体" w:hAnsi="宋体" w:cs="宋体" w:eastAsia="宋体" w:hint="default"/>
                          <w:sz w:val="18"/>
                          <w:szCs w:val="18"/>
                        </w:rPr>
                      </w:pPr>
                      <w:r>
                        <w:rPr>
                          <w:rFonts w:ascii="宋体" w:hAnsi="宋体" w:cs="宋体" w:eastAsia="宋体" w:hint="default"/>
                          <w:sz w:val="18"/>
                          <w:szCs w:val="18"/>
                        </w:rPr>
                        <w:t>其中：三个月内到期的债券投资 三、期末现金及现金等价物余额</w:t>
                      </w:r>
                    </w:p>
                  </w:txbxContent>
                </v:textbox>
                <w10:wrap type="none"/>
              </v:shape>
              <v:shape style="position:absolute;left:4779;top:111;width:1154;height:263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p>
                      <w:pPr>
                        <w:spacing w:before="153"/>
                        <w:ind w:left="0" w:right="1" w:firstLine="0"/>
                        <w:jc w:val="right"/>
                        <w:rPr>
                          <w:rFonts w:ascii="Times New Roman" w:hAnsi="Times New Roman" w:cs="Times New Roman" w:eastAsia="Times New Roman" w:hint="default"/>
                          <w:sz w:val="18"/>
                          <w:szCs w:val="18"/>
                        </w:rPr>
                      </w:pPr>
                      <w:r>
                        <w:rPr>
                          <w:rFonts w:ascii="Times New Roman"/>
                          <w:spacing w:val="-1"/>
                          <w:sz w:val="18"/>
                        </w:rPr>
                        <w:t>487,385,274.14</w:t>
                      </w:r>
                    </w:p>
                    <w:p>
                      <w:pPr>
                        <w:spacing w:before="143"/>
                        <w:ind w:left="0" w:right="0" w:firstLine="0"/>
                        <w:jc w:val="right"/>
                        <w:rPr>
                          <w:rFonts w:ascii="Times New Roman" w:hAnsi="Times New Roman" w:cs="Times New Roman" w:eastAsia="Times New Roman" w:hint="default"/>
                          <w:sz w:val="18"/>
                          <w:szCs w:val="18"/>
                        </w:rPr>
                      </w:pPr>
                      <w:r>
                        <w:rPr>
                          <w:rFonts w:ascii="Times New Roman"/>
                          <w:sz w:val="18"/>
                        </w:rPr>
                        <w:t>121,534.39</w:t>
                      </w:r>
                    </w:p>
                    <w:p>
                      <w:pPr>
                        <w:spacing w:before="143"/>
                        <w:ind w:left="0" w:right="1" w:firstLine="0"/>
                        <w:jc w:val="right"/>
                        <w:rPr>
                          <w:rFonts w:ascii="Times New Roman" w:hAnsi="Times New Roman" w:cs="Times New Roman" w:eastAsia="Times New Roman" w:hint="default"/>
                          <w:sz w:val="18"/>
                          <w:szCs w:val="18"/>
                        </w:rPr>
                      </w:pPr>
                      <w:r>
                        <w:rPr>
                          <w:rFonts w:ascii="Times New Roman"/>
                          <w:spacing w:val="-1"/>
                          <w:sz w:val="18"/>
                        </w:rPr>
                        <w:t>487,263,739.75</w:t>
                      </w:r>
                    </w:p>
                    <w:p>
                      <w:pPr>
                        <w:spacing w:before="142"/>
                        <w:ind w:left="0" w:right="1" w:firstLine="0"/>
                        <w:jc w:val="right"/>
                        <w:rPr>
                          <w:rFonts w:ascii="Times New Roman" w:hAnsi="Times New Roman" w:cs="Times New Roman" w:eastAsia="Times New Roman" w:hint="default"/>
                          <w:sz w:val="18"/>
                          <w:szCs w:val="18"/>
                        </w:rPr>
                      </w:pPr>
                      <w:r>
                        <w:rPr>
                          <w:rFonts w:ascii="Times New Roman"/>
                          <w:sz w:val="18"/>
                        </w:rPr>
                        <w:t>---</w:t>
                      </w:r>
                    </w:p>
                    <w:p>
                      <w:pPr>
                        <w:spacing w:before="143"/>
                        <w:ind w:left="0" w:right="1" w:firstLine="0"/>
                        <w:jc w:val="right"/>
                        <w:rPr>
                          <w:rFonts w:ascii="Times New Roman" w:hAnsi="Times New Roman" w:cs="Times New Roman" w:eastAsia="Times New Roman" w:hint="default"/>
                          <w:sz w:val="18"/>
                          <w:szCs w:val="18"/>
                        </w:rPr>
                      </w:pPr>
                      <w:r>
                        <w:rPr>
                          <w:rFonts w:ascii="Times New Roman"/>
                          <w:sz w:val="18"/>
                        </w:rPr>
                        <w:t>---</w:t>
                      </w:r>
                    </w:p>
                    <w:p>
                      <w:pPr>
                        <w:spacing w:line="350" w:lineRule="atLeast" w:before="0"/>
                        <w:ind w:left="27" w:right="0" w:firstLine="944"/>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487,385,274.14</w:t>
                      </w:r>
                    </w:p>
                  </w:txbxContent>
                </v:textbox>
                <w10:wrap type="none"/>
              </v:shape>
              <v:shape style="position:absolute;left:6579;top:111;width:1154;height:263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p>
                      <w:pPr>
                        <w:spacing w:before="153"/>
                        <w:ind w:left="27" w:right="0" w:firstLine="0"/>
                        <w:jc w:val="left"/>
                        <w:rPr>
                          <w:rFonts w:ascii="Times New Roman" w:hAnsi="Times New Roman" w:cs="Times New Roman" w:eastAsia="Times New Roman" w:hint="default"/>
                          <w:sz w:val="18"/>
                          <w:szCs w:val="18"/>
                        </w:rPr>
                      </w:pPr>
                      <w:r>
                        <w:rPr>
                          <w:rFonts w:ascii="Times New Roman"/>
                          <w:sz w:val="18"/>
                        </w:rPr>
                        <w:t>633,197,198.94</w:t>
                      </w:r>
                    </w:p>
                    <w:p>
                      <w:pPr>
                        <w:spacing w:before="143"/>
                        <w:ind w:left="0" w:right="0" w:firstLine="0"/>
                        <w:jc w:val="right"/>
                        <w:rPr>
                          <w:rFonts w:ascii="Times New Roman" w:hAnsi="Times New Roman" w:cs="Times New Roman" w:eastAsia="Times New Roman" w:hint="default"/>
                          <w:sz w:val="18"/>
                          <w:szCs w:val="18"/>
                        </w:rPr>
                      </w:pPr>
                      <w:r>
                        <w:rPr>
                          <w:rFonts w:ascii="Times New Roman"/>
                          <w:sz w:val="18"/>
                        </w:rPr>
                        <w:t>109,127.03</w:t>
                      </w:r>
                    </w:p>
                    <w:p>
                      <w:pPr>
                        <w:spacing w:before="143"/>
                        <w:ind w:left="27" w:right="0" w:firstLine="0"/>
                        <w:jc w:val="left"/>
                        <w:rPr>
                          <w:rFonts w:ascii="Times New Roman" w:hAnsi="Times New Roman" w:cs="Times New Roman" w:eastAsia="Times New Roman" w:hint="default"/>
                          <w:sz w:val="18"/>
                          <w:szCs w:val="18"/>
                        </w:rPr>
                      </w:pPr>
                      <w:r>
                        <w:rPr>
                          <w:rFonts w:ascii="Times New Roman"/>
                          <w:sz w:val="18"/>
                        </w:rPr>
                        <w:t>625,121,578.77</w:t>
                      </w:r>
                    </w:p>
                    <w:p>
                      <w:pPr>
                        <w:spacing w:before="142"/>
                        <w:ind w:left="207" w:right="0" w:firstLine="0"/>
                        <w:jc w:val="center"/>
                        <w:rPr>
                          <w:rFonts w:ascii="Times New Roman" w:hAnsi="Times New Roman" w:cs="Times New Roman" w:eastAsia="Times New Roman" w:hint="default"/>
                          <w:sz w:val="18"/>
                          <w:szCs w:val="18"/>
                        </w:rPr>
                      </w:pPr>
                      <w:r>
                        <w:rPr>
                          <w:rFonts w:ascii="Times New Roman"/>
                          <w:spacing w:val="-1"/>
                          <w:sz w:val="18"/>
                        </w:rPr>
                        <w:t>7,966,493.14</w:t>
                      </w:r>
                    </w:p>
                    <w:p>
                      <w:pPr>
                        <w:spacing w:before="143"/>
                        <w:ind w:left="0" w:right="1" w:firstLine="0"/>
                        <w:jc w:val="right"/>
                        <w:rPr>
                          <w:rFonts w:ascii="Times New Roman" w:hAnsi="Times New Roman" w:cs="Times New Roman" w:eastAsia="Times New Roman" w:hint="default"/>
                          <w:sz w:val="18"/>
                          <w:szCs w:val="18"/>
                        </w:rPr>
                      </w:pPr>
                      <w:r>
                        <w:rPr>
                          <w:rFonts w:ascii="Times New Roman"/>
                          <w:sz w:val="18"/>
                        </w:rPr>
                        <w:t>---</w:t>
                      </w:r>
                    </w:p>
                    <w:p>
                      <w:pPr>
                        <w:spacing w:line="350" w:lineRule="atLeast" w:before="0"/>
                        <w:ind w:left="27" w:right="1" w:firstLine="944"/>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633,197,198.94</w:t>
                      </w:r>
                    </w:p>
                  </w:txbxContent>
                </v:textbox>
                <w10:wrap type="none"/>
              </v:shape>
            </v:group>
          </v:group>
        </w:pict>
      </w:r>
      <w:r>
        <w:rPr>
          <w:rFonts w:ascii="宋体" w:hAnsi="宋体" w:cs="宋体" w:eastAsia="宋体" w:hint="default"/>
          <w:position w:val="-56"/>
          <w:sz w:val="20"/>
          <w:szCs w:val="20"/>
        </w:rPr>
      </w:r>
    </w:p>
    <w:p>
      <w:pPr>
        <w:spacing w:line="240" w:lineRule="auto" w:before="4"/>
        <w:rPr>
          <w:rFonts w:ascii="宋体" w:hAnsi="宋体" w:cs="宋体" w:eastAsia="宋体" w:hint="default"/>
          <w:b/>
          <w:bCs/>
          <w:sz w:val="10"/>
          <w:szCs w:val="10"/>
        </w:rPr>
      </w:pPr>
    </w:p>
    <w:p>
      <w:pPr>
        <w:spacing w:before="35"/>
        <w:ind w:left="891" w:right="194" w:firstLine="0"/>
        <w:jc w:val="left"/>
        <w:rPr>
          <w:rFonts w:ascii="宋体" w:hAnsi="宋体" w:cs="宋体" w:eastAsia="宋体" w:hint="default"/>
          <w:sz w:val="21"/>
          <w:szCs w:val="21"/>
        </w:rPr>
      </w:pPr>
      <w:r>
        <w:rPr>
          <w:rFonts w:ascii="宋体" w:hAnsi="宋体" w:cs="宋体" w:eastAsia="宋体" w:hint="default"/>
          <w:sz w:val="21"/>
          <w:szCs w:val="21"/>
        </w:rPr>
        <w:t>注：现金和现金等价物不含母公司或集团内子公司使用受限制的现金和现金等价物</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tabs>
          <w:tab w:pos="973" w:val="left" w:leader="none"/>
        </w:tabs>
        <w:spacing w:before="0"/>
        <w:ind w:left="245" w:right="194" w:firstLine="0"/>
        <w:jc w:val="left"/>
        <w:rPr>
          <w:rFonts w:ascii="宋体" w:hAnsi="宋体" w:cs="宋体" w:eastAsia="宋体" w:hint="default"/>
          <w:sz w:val="21"/>
          <w:szCs w:val="21"/>
        </w:rPr>
      </w:pPr>
      <w:r>
        <w:rPr>
          <w:rFonts w:ascii="宋体" w:hAnsi="宋体" w:cs="宋体" w:eastAsia="宋体" w:hint="default"/>
          <w:b/>
          <w:bCs/>
          <w:w w:val="95"/>
          <w:sz w:val="21"/>
          <w:szCs w:val="21"/>
        </w:rPr>
        <w:t>七、</w:t>
        <w:tab/>
      </w:r>
      <w:r>
        <w:rPr>
          <w:rFonts w:ascii="宋体" w:hAnsi="宋体" w:cs="宋体" w:eastAsia="宋体" w:hint="default"/>
          <w:b/>
          <w:bCs/>
          <w:sz w:val="21"/>
          <w:szCs w:val="21"/>
        </w:rPr>
        <w:t>关联方及关联交易</w:t>
      </w:r>
      <w:r>
        <w:rPr>
          <w:rFonts w:ascii="宋体" w:hAnsi="宋体" w:cs="宋体" w:eastAsia="宋体" w:hint="default"/>
          <w:sz w:val="21"/>
          <w:szCs w:val="21"/>
        </w:rPr>
      </w:r>
    </w:p>
    <w:p>
      <w:pPr>
        <w:spacing w:before="165"/>
        <w:ind w:left="875" w:right="194" w:firstLine="0"/>
        <w:jc w:val="left"/>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w:t>
      </w:r>
    </w:p>
    <w:p>
      <w:pPr>
        <w:tabs>
          <w:tab w:pos="973" w:val="left" w:leader="none"/>
        </w:tabs>
        <w:spacing w:before="165"/>
        <w:ind w:left="245" w:right="19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控制本公司的关联方情况</w:t>
      </w:r>
      <w:r>
        <w:rPr>
          <w:rFonts w:ascii="宋体" w:hAnsi="宋体" w:cs="宋体" w:eastAsia="宋体" w:hint="default"/>
          <w:sz w:val="21"/>
          <w:szCs w:val="21"/>
        </w:rPr>
      </w:r>
    </w:p>
    <w:p>
      <w:pPr>
        <w:spacing w:line="904" w:lineRule="exact"/>
        <w:ind w:left="798"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392.05pt;height:45.25pt;mso-position-horizontal-relative:char;mso-position-vertical-relative:line" coordorigin="0,0" coordsize="7841,905">
            <v:group style="position:absolute;left:29;top:15;width:7797;height:2" coordorigin="29,15" coordsize="7797,2">
              <v:shape style="position:absolute;left:29;top:15;width:7797;height:2" coordorigin="29,15" coordsize="7797,0" path="m29,15l7826,15e" filled="false" stroked="true" strokeweight="1.5pt" strokecolor="#000000">
                <v:path arrowok="t"/>
              </v:shape>
            </v:group>
            <v:group style="position:absolute;left:15;top:890;width:3582;height:2" coordorigin="15,890" coordsize="3582,2">
              <v:shape style="position:absolute;left:15;top:890;width:3582;height:2" coordorigin="15,890" coordsize="3582,0" path="m15,890l3597,890e" filled="false" stroked="true" strokeweight="1.5pt" strokecolor="#000000">
                <v:path arrowok="t"/>
              </v:shape>
              <v:shape style="position:absolute;left:1;top:30;width:7840;height:845" type="#_x0000_t75" stroked="false">
                <v:imagedata r:id="rId280" o:title=""/>
              </v:shape>
            </v:group>
            <v:group style="position:absolute;left:3597;top:890;width:4229;height:2" coordorigin="3597,890" coordsize="4229,2">
              <v:shape style="position:absolute;left:3597;top:890;width:4229;height:2" coordorigin="3597,890" coordsize="4229,0" path="m3597,890l7826,890e" filled="false" stroked="true" strokeweight="1.5pt" strokecolor="#000000">
                <v:path arrowok="t"/>
              </v:shape>
              <v:shape style="position:absolute;left:1364;top:15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关联方名称</w:t>
                      </w:r>
                    </w:p>
                  </w:txbxContent>
                </v:textbox>
                <w10:wrap type="none"/>
              </v:shape>
              <v:shape style="position:absolute;left:5081;top:156;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与本公司的关系</w:t>
                      </w:r>
                    </w:p>
                  </w:txbxContent>
                </v:textbox>
                <w10:wrap type="none"/>
              </v:shape>
              <v:shape style="position:absolute;left:55;top:583;width:63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吕晓义*</w:t>
                      </w:r>
                    </w:p>
                  </w:txbxContent>
                </v:textbox>
                <w10:wrap type="none"/>
              </v:shape>
              <v:shape style="position:absolute;left:5351;top:58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控股股东</w:t>
                      </w:r>
                    </w:p>
                  </w:txbxContent>
                </v:textbox>
                <w10:wrap type="none"/>
              </v:shape>
            </v:group>
          </v:group>
        </w:pict>
      </w:r>
      <w:r>
        <w:rPr>
          <w:rFonts w:ascii="宋体" w:hAnsi="宋体" w:cs="宋体" w:eastAsia="宋体" w:hint="default"/>
          <w:position w:val="-17"/>
          <w:sz w:val="20"/>
          <w:szCs w:val="20"/>
        </w:rPr>
      </w:r>
    </w:p>
    <w:p>
      <w:pPr>
        <w:spacing w:line="240" w:lineRule="auto" w:before="9"/>
        <w:rPr>
          <w:rFonts w:ascii="宋体" w:hAnsi="宋体" w:cs="宋体" w:eastAsia="宋体" w:hint="default"/>
          <w:b/>
          <w:bCs/>
          <w:sz w:val="5"/>
          <w:szCs w:val="5"/>
        </w:rPr>
      </w:pPr>
    </w:p>
    <w:p>
      <w:pPr>
        <w:spacing w:before="35"/>
        <w:ind w:left="875" w:right="1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持股</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26.47%,</w:t>
      </w:r>
      <w:r>
        <w:rPr>
          <w:rFonts w:ascii="宋体" w:hAnsi="宋体" w:cs="宋体" w:eastAsia="宋体" w:hint="default"/>
          <w:sz w:val="21"/>
          <w:szCs w:val="21"/>
        </w:rPr>
        <w:t>对公司存在相对控制。</w:t>
      </w:r>
    </w:p>
    <w:p>
      <w:pPr>
        <w:spacing w:after="0"/>
        <w:jc w:val="left"/>
        <w:rPr>
          <w:rFonts w:ascii="宋体" w:hAnsi="宋体" w:cs="宋体" w:eastAsia="宋体" w:hint="default"/>
          <w:sz w:val="21"/>
          <w:szCs w:val="21"/>
        </w:rPr>
        <w:sectPr>
          <w:pgSz w:w="11910" w:h="16840"/>
          <w:pgMar w:header="0" w:footer="1270" w:top="1360" w:bottom="1460" w:left="1540" w:right="1600"/>
        </w:sectPr>
      </w:pPr>
    </w:p>
    <w:p>
      <w:pPr>
        <w:spacing w:line="240" w:lineRule="auto" w:before="0"/>
        <w:rPr>
          <w:rFonts w:ascii="宋体" w:hAnsi="宋体" w:cs="宋体" w:eastAsia="宋体" w:hint="default"/>
          <w:sz w:val="10"/>
          <w:szCs w:val="10"/>
        </w:rPr>
      </w:pPr>
    </w:p>
    <w:p>
      <w:pPr>
        <w:spacing w:before="35"/>
        <w:ind w:left="875" w:right="177" w:firstLine="0"/>
        <w:jc w:val="left"/>
        <w:rPr>
          <w:rFonts w:ascii="宋体" w:hAnsi="宋体" w:cs="宋体" w:eastAsia="宋体" w:hint="default"/>
          <w:sz w:val="21"/>
          <w:szCs w:val="21"/>
        </w:rPr>
      </w:pPr>
      <w:r>
        <w:rPr>
          <w:rFonts w:ascii="宋体" w:hAnsi="宋体" w:cs="宋体" w:eastAsia="宋体" w:hint="default"/>
          <w:sz w:val="21"/>
          <w:szCs w:val="21"/>
        </w:rPr>
        <w:t>控制本公司的关联方股本变化情况</w:t>
      </w:r>
    </w:p>
    <w:p>
      <w:pPr>
        <w:spacing w:line="240" w:lineRule="auto" w:before="6"/>
        <w:rPr>
          <w:rFonts w:ascii="宋体" w:hAnsi="宋体" w:cs="宋体" w:eastAsia="宋体" w:hint="default"/>
          <w:sz w:val="2"/>
          <w:szCs w:val="2"/>
        </w:rPr>
      </w:pPr>
    </w:p>
    <w:p>
      <w:pPr>
        <w:spacing w:line="864" w:lineRule="exact"/>
        <w:ind w:left="798"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392.05pt;height:43.2pt;mso-position-horizontal-relative:char;mso-position-vertical-relative:line" coordorigin="0,0" coordsize="7841,864">
            <v:group style="position:absolute;left:29;top:15;width:7797;height:2" coordorigin="29,15" coordsize="7797,2">
              <v:shape style="position:absolute;left:29;top:15;width:7797;height:2" coordorigin="29,15" coordsize="7797,0" path="m29,15l7826,15e" filled="false" stroked="true" strokeweight="1.5pt" strokecolor="#000000">
                <v:path arrowok="t"/>
              </v:shape>
            </v:group>
            <v:group style="position:absolute;left:15;top:849;width:1570;height:2" coordorigin="15,849" coordsize="1570,2">
              <v:shape style="position:absolute;left:15;top:849;width:1570;height:2" coordorigin="15,849" coordsize="1570,0" path="m15,849l1585,849e" filled="false" stroked="true" strokeweight="1.5pt" strokecolor="#000000">
                <v:path arrowok="t"/>
              </v:shape>
            </v:group>
            <v:group style="position:absolute;left:1585;top:849;width:1494;height:2" coordorigin="1585,849" coordsize="1494,2">
              <v:shape style="position:absolute;left:1585;top:849;width:1494;height:2" coordorigin="1585,849" coordsize="1494,0" path="m1585,849l3079,849e" filled="false" stroked="true" strokeweight="1.5pt" strokecolor="#000000">
                <v:path arrowok="t"/>
              </v:shape>
            </v:group>
            <v:group style="position:absolute;left:3079;top:849;width:1758;height:2" coordorigin="3079,849" coordsize="1758,2">
              <v:shape style="position:absolute;left:3079;top:849;width:1758;height:2" coordorigin="3079,849" coordsize="1758,0" path="m3079,849l4837,849e" filled="false" stroked="true" strokeweight="1.5pt" strokecolor="#000000">
                <v:path arrowok="t"/>
              </v:shape>
            </v:group>
            <v:group style="position:absolute;left:4837;top:849;width:1425;height:2" coordorigin="4837,849" coordsize="1425,2">
              <v:shape style="position:absolute;left:4837;top:849;width:1425;height:2" coordorigin="4837,849" coordsize="1425,0" path="m4837,849l6261,849e" filled="false" stroked="true" strokeweight="1.5pt" strokecolor="#000000">
                <v:path arrowok="t"/>
              </v:shape>
              <v:shape style="position:absolute;left:10;top:10;width:7816;height:824" type="#_x0000_t75" stroked="false">
                <v:imagedata r:id="rId281" o:title=""/>
              </v:shape>
            </v:group>
            <v:group style="position:absolute;left:6261;top:849;width:1565;height:2" coordorigin="6261,849" coordsize="1565,2">
              <v:shape style="position:absolute;left:6261;top:849;width:1565;height:2" coordorigin="6261,849" coordsize="1565,0" path="m6261,849l7826,849e" filled="false" stroked="true" strokeweight="1.5pt" strokecolor="#000000">
                <v:path arrowok="t"/>
              </v:shape>
              <v:shape style="position:absolute;left:357;top:14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关联方名称</w:t>
                      </w:r>
                    </w:p>
                  </w:txbxContent>
                </v:textbox>
                <w10:wrap type="none"/>
              </v:shape>
              <v:shape style="position:absolute;left:1975;top:1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602;top:1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5193;top:1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6683;top:1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55;top:55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吕晓义</w:t>
                      </w:r>
                    </w:p>
                  </w:txbxContent>
                </v:textbox>
                <w10:wrap type="none"/>
              </v:shape>
              <v:shape style="position:absolute;left:2021;top:56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83,517,942.00</w:t>
                      </w:r>
                    </w:p>
                  </w:txbxContent>
                </v:textbox>
                <w10:wrap type="none"/>
              </v:shape>
              <v:shape style="position:absolute;left:3779;top:56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83,517,942.00</w:t>
                      </w:r>
                    </w:p>
                  </w:txbxContent>
                </v:textbox>
                <w10:wrap type="none"/>
              </v:shape>
              <v:shape style="position:absolute;left:6058;top:563;width:1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672;top:563;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167,035,884.00</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tabs>
          <w:tab w:pos="974" w:val="left" w:leader="none"/>
        </w:tabs>
        <w:spacing w:line="348" w:lineRule="auto" w:before="35"/>
        <w:ind w:left="875" w:right="5869" w:hanging="630"/>
        <w:jc w:val="left"/>
        <w:rPr>
          <w:rFonts w:ascii="宋体" w:hAnsi="宋体" w:cs="宋体" w:eastAsia="宋体" w:hint="default"/>
          <w:sz w:val="21"/>
          <w:szCs w:val="21"/>
        </w:rPr>
      </w:pPr>
      <w:r>
        <w:rPr>
          <w:rFonts w:ascii="宋体" w:hAnsi="宋体" w:cs="宋体" w:eastAsia="宋体" w:hint="default"/>
          <w:b/>
          <w:bCs/>
          <w:w w:val="95"/>
          <w:sz w:val="21"/>
          <w:szCs w:val="21"/>
        </w:rPr>
        <w:t>(二)</w:t>
        <w:tab/>
        <w:tab/>
      </w:r>
      <w:r>
        <w:rPr>
          <w:rFonts w:ascii="宋体" w:hAnsi="宋体" w:cs="宋体" w:eastAsia="宋体" w:hint="default"/>
          <w:b/>
          <w:bCs/>
          <w:sz w:val="21"/>
          <w:szCs w:val="21"/>
        </w:rPr>
        <w:t>本公司的子公司情况</w:t>
      </w:r>
      <w:r>
        <w:rPr>
          <w:rFonts w:ascii="宋体" w:hAnsi="宋体" w:cs="宋体" w:eastAsia="宋体" w:hint="default"/>
          <w:b/>
          <w:bCs/>
          <w:spacing w:val="1"/>
          <w:w w:val="99"/>
          <w:sz w:val="21"/>
          <w:szCs w:val="21"/>
        </w:rPr>
        <w:t> </w:t>
      </w:r>
      <w:r>
        <w:rPr>
          <w:rFonts w:ascii="宋体" w:hAnsi="宋体" w:cs="宋体" w:eastAsia="宋体" w:hint="default"/>
          <w:b/>
          <w:bCs/>
          <w:sz w:val="21"/>
          <w:szCs w:val="21"/>
        </w:rPr>
        <w:t>详见附注四</w:t>
      </w:r>
      <w:r>
        <w:rPr>
          <w:rFonts w:ascii="宋体" w:hAnsi="宋体" w:cs="宋体" w:eastAsia="宋体" w:hint="default"/>
          <w:sz w:val="21"/>
          <w:szCs w:val="21"/>
        </w:rPr>
      </w:r>
    </w:p>
    <w:p>
      <w:pPr>
        <w:spacing w:line="240" w:lineRule="auto" w:before="11"/>
        <w:rPr>
          <w:rFonts w:ascii="宋体" w:hAnsi="宋体" w:cs="宋体" w:eastAsia="宋体" w:hint="default"/>
          <w:b/>
          <w:bCs/>
          <w:sz w:val="20"/>
          <w:szCs w:val="20"/>
        </w:rPr>
      </w:pPr>
    </w:p>
    <w:p>
      <w:pPr>
        <w:spacing w:before="0"/>
        <w:ind w:left="245" w:right="177" w:firstLine="0"/>
        <w:jc w:val="left"/>
        <w:rPr>
          <w:rFonts w:ascii="宋体" w:hAnsi="宋体" w:cs="宋体" w:eastAsia="宋体" w:hint="default"/>
          <w:sz w:val="21"/>
          <w:szCs w:val="21"/>
        </w:rPr>
      </w:pPr>
      <w:r>
        <w:rPr>
          <w:rFonts w:ascii="宋体" w:hAnsi="宋体" w:cs="宋体" w:eastAsia="宋体" w:hint="default"/>
          <w:b/>
          <w:bCs/>
          <w:sz w:val="21"/>
          <w:szCs w:val="21"/>
        </w:rPr>
        <w:t>（三）本公司的其他关联方情况</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7695" w:lineRule="exact"/>
        <w:ind w:left="800" w:right="0" w:firstLine="0"/>
        <w:rPr>
          <w:rFonts w:ascii="宋体" w:hAnsi="宋体" w:cs="宋体" w:eastAsia="宋体" w:hint="default"/>
          <w:sz w:val="20"/>
          <w:szCs w:val="20"/>
        </w:rPr>
      </w:pPr>
      <w:r>
        <w:rPr>
          <w:rFonts w:ascii="宋体" w:hAnsi="宋体" w:cs="宋体" w:eastAsia="宋体" w:hint="default"/>
          <w:position w:val="-153"/>
          <w:sz w:val="20"/>
          <w:szCs w:val="20"/>
        </w:rPr>
        <w:pict>
          <v:group style="width:389.85pt;height:384.8pt;mso-position-horizontal-relative:char;mso-position-vertical-relative:line" coordorigin="0,0" coordsize="7797,7696">
            <v:group style="position:absolute;left:29;top:15;width:7736;height:2" coordorigin="29,15" coordsize="7736,2">
              <v:shape style="position:absolute;left:29;top:15;width:7736;height:2" coordorigin="29,15" coordsize="7736,0" path="m29,15l7765,15e" filled="false" stroked="true" strokeweight="1.5pt" strokecolor="#000000">
                <v:path arrowok="t"/>
              </v:shape>
              <v:shape style="position:absolute;left:3395;top:1;width:2923;height:432" type="#_x0000_t75" stroked="false">
                <v:imagedata r:id="rId282" o:title=""/>
              </v:shape>
            </v:group>
            <v:group style="position:absolute;left:15;top:7681;width:3410;height:2" coordorigin="15,7681" coordsize="3410,2">
              <v:shape style="position:absolute;left:15;top:7681;width:3410;height:2" coordorigin="15,7681" coordsize="3410,0" path="m15,7681l3424,7681e" filled="false" stroked="true" strokeweight="1.5pt" strokecolor="#000000">
                <v:path arrowok="t"/>
              </v:shape>
            </v:group>
            <v:group style="position:absolute;left:3424;top:7681;width:2856;height:2" coordorigin="3424,7681" coordsize="2856,2">
              <v:shape style="position:absolute;left:3424;top:7681;width:2856;height:2" coordorigin="3424,7681" coordsize="2856,0" path="m3424,7681l6280,7681e" filled="false" stroked="true" strokeweight="1.5pt" strokecolor="#000000">
                <v:path arrowok="t"/>
              </v:shape>
              <v:shape style="position:absolute;left:1;top:376;width:7796;height:7290" type="#_x0000_t75" stroked="false">
                <v:imagedata r:id="rId283" o:title=""/>
              </v:shape>
            </v:group>
            <v:group style="position:absolute;left:6280;top:7681;width:1485;height:2" coordorigin="6280,7681" coordsize="1485,2">
              <v:shape style="position:absolute;left:6280;top:7681;width:1485;height:2" coordorigin="6280,7681" coordsize="1485,0" path="m6280,7681l7765,7681e" filled="false" stroked="true" strokeweight="1.5pt" strokecolor="#000000">
                <v:path arrowok="t"/>
              </v:shape>
              <v:shape style="position:absolute;left:1099;top:127;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其他关联方名称</w:t>
                      </w:r>
                    </w:p>
                  </w:txbxContent>
                </v:textbox>
                <w10:wrap type="none"/>
              </v:shape>
              <v:shape style="position:absolute;left:3536;top:127;width:2400;height:3432" type="#_x0000_t202" filled="false" stroked="false">
                <v:textbox inset="0,0,0,0">
                  <w:txbxContent>
                    <w:p>
                      <w:pPr>
                        <w:spacing w:line="180" w:lineRule="exact" w:before="0"/>
                        <w:ind w:left="239" w:right="0" w:firstLine="0"/>
                        <w:jc w:val="left"/>
                        <w:rPr>
                          <w:rFonts w:ascii="宋体" w:hAnsi="宋体" w:cs="宋体" w:eastAsia="宋体" w:hint="default"/>
                          <w:sz w:val="18"/>
                          <w:szCs w:val="18"/>
                        </w:rPr>
                      </w:pPr>
                      <w:r>
                        <w:rPr>
                          <w:rFonts w:ascii="宋体" w:hAnsi="宋体" w:cs="宋体" w:eastAsia="宋体" w:hint="default"/>
                          <w:sz w:val="18"/>
                          <w:szCs w:val="18"/>
                        </w:rPr>
                        <w:t>其他关联方与本公司的关系</w:t>
                      </w:r>
                    </w:p>
                    <w:p>
                      <w:pPr>
                        <w:spacing w:line="328" w:lineRule="auto" w:before="118"/>
                        <w:ind w:left="0" w:right="959" w:firstLine="0"/>
                        <w:jc w:val="left"/>
                        <w:rPr>
                          <w:rFonts w:ascii="宋体" w:hAnsi="宋体" w:cs="宋体" w:eastAsia="宋体" w:hint="default"/>
                          <w:sz w:val="18"/>
                          <w:szCs w:val="18"/>
                        </w:rPr>
                      </w:pPr>
                      <w:r>
                        <w:rPr>
                          <w:rFonts w:ascii="宋体" w:hAnsi="宋体" w:cs="宋体" w:eastAsia="宋体" w:hint="default"/>
                          <w:sz w:val="18"/>
                          <w:szCs w:val="18"/>
                        </w:rPr>
                        <w:t>董事长 副董事长、总经理 董事、总经理</w:t>
                      </w:r>
                    </w:p>
                    <w:p>
                      <w:pPr>
                        <w:spacing w:line="328" w:lineRule="auto" w:before="20"/>
                        <w:ind w:left="0" w:right="2039" w:firstLine="0"/>
                        <w:jc w:val="both"/>
                        <w:rPr>
                          <w:rFonts w:ascii="宋体" w:hAnsi="宋体" w:cs="宋体" w:eastAsia="宋体" w:hint="default"/>
                          <w:sz w:val="18"/>
                          <w:szCs w:val="18"/>
                        </w:rPr>
                      </w:pPr>
                      <w:r>
                        <w:rPr>
                          <w:rFonts w:ascii="宋体" w:hAnsi="宋体" w:cs="宋体" w:eastAsia="宋体" w:hint="default"/>
                          <w:sz w:val="18"/>
                          <w:szCs w:val="18"/>
                        </w:rPr>
                        <w:t>独董 独董 独董</w:t>
                      </w:r>
                    </w:p>
                    <w:p>
                      <w:pPr>
                        <w:spacing w:line="328" w:lineRule="auto" w:before="20"/>
                        <w:ind w:left="0" w:right="1679" w:firstLine="0"/>
                        <w:jc w:val="both"/>
                        <w:rPr>
                          <w:rFonts w:ascii="宋体" w:hAnsi="宋体" w:cs="宋体" w:eastAsia="宋体" w:hint="default"/>
                          <w:sz w:val="18"/>
                          <w:szCs w:val="18"/>
                        </w:rPr>
                      </w:pPr>
                      <w:r>
                        <w:rPr>
                          <w:rFonts w:ascii="宋体" w:hAnsi="宋体" w:cs="宋体" w:eastAsia="宋体" w:hint="default"/>
                          <w:sz w:val="18"/>
                          <w:szCs w:val="18"/>
                        </w:rPr>
                        <w:t>副总经理 副总经理 副总经理</w:t>
                      </w:r>
                    </w:p>
                    <w:p>
                      <w:pPr>
                        <w:spacing w:before="20"/>
                        <w:ind w:left="0" w:right="0" w:firstLine="0"/>
                        <w:jc w:val="both"/>
                        <w:rPr>
                          <w:rFonts w:ascii="宋体" w:hAnsi="宋体" w:cs="宋体" w:eastAsia="宋体" w:hint="default"/>
                          <w:sz w:val="18"/>
                          <w:szCs w:val="18"/>
                        </w:rPr>
                      </w:pPr>
                      <w:r>
                        <w:rPr>
                          <w:rFonts w:ascii="宋体" w:hAnsi="宋体" w:cs="宋体" w:eastAsia="宋体" w:hint="default"/>
                          <w:sz w:val="18"/>
                          <w:szCs w:val="18"/>
                        </w:rPr>
                        <w:t>副总经理</w:t>
                      </w:r>
                    </w:p>
                  </w:txbxContent>
                </v:textbox>
                <w10:wrap type="none"/>
              </v:shape>
              <v:shape style="position:absolute;left:6844;top:1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备注</w:t>
                      </w:r>
                    </w:p>
                  </w:txbxContent>
                </v:textbox>
                <w10:wrap type="none"/>
              </v:shape>
              <v:shape style="position:absolute;left:137;top:481;width:540;height:346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吕晓义</w:t>
                      </w:r>
                    </w:p>
                    <w:p>
                      <w:pPr>
                        <w:spacing w:line="328" w:lineRule="auto" w:before="86"/>
                        <w:ind w:left="0" w:right="0" w:firstLine="0"/>
                        <w:jc w:val="left"/>
                        <w:rPr>
                          <w:rFonts w:ascii="宋体" w:hAnsi="宋体" w:cs="宋体" w:eastAsia="宋体" w:hint="default"/>
                          <w:sz w:val="18"/>
                          <w:szCs w:val="18"/>
                        </w:rPr>
                      </w:pPr>
                      <w:r>
                        <w:rPr>
                          <w:rFonts w:ascii="宋体" w:hAnsi="宋体" w:cs="宋体" w:eastAsia="宋体" w:hint="default"/>
                          <w:sz w:val="18"/>
                          <w:szCs w:val="18"/>
                        </w:rPr>
                        <w:t>何平 桑玉贵 潘成东 王天广 朱天培 安国华 陈明春 冯海元 何芳</w:t>
                      </w:r>
                    </w:p>
                    <w:p>
                      <w:pPr>
                        <w:spacing w:before="82"/>
                        <w:ind w:left="0" w:right="0" w:firstLine="0"/>
                        <w:jc w:val="left"/>
                        <w:rPr>
                          <w:rFonts w:ascii="宋体" w:hAnsi="宋体" w:cs="宋体" w:eastAsia="宋体" w:hint="default"/>
                          <w:sz w:val="18"/>
                          <w:szCs w:val="18"/>
                        </w:rPr>
                      </w:pPr>
                      <w:r>
                        <w:rPr>
                          <w:rFonts w:ascii="宋体" w:hAnsi="宋体" w:cs="宋体" w:eastAsia="宋体" w:hint="default"/>
                          <w:sz w:val="18"/>
                          <w:szCs w:val="18"/>
                        </w:rPr>
                        <w:t>何峰</w:t>
                      </w:r>
                    </w:p>
                  </w:txbxContent>
                </v:textbox>
                <w10:wrap type="none"/>
              </v:shape>
              <v:shape style="position:absolute;left:3536;top:37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副总经理</w:t>
                      </w:r>
                    </w:p>
                  </w:txbxContent>
                </v:textbox>
                <w10:wrap type="none"/>
              </v:shape>
              <v:shape style="position:absolute;left:6393;top:373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已辞职</w:t>
                      </w:r>
                    </w:p>
                  </w:txbxContent>
                </v:textbox>
                <w10:wrap type="none"/>
              </v:shape>
              <v:shape style="position:absolute;left:137;top:4147;width:540;height:82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匡晓明</w:t>
                      </w:r>
                    </w:p>
                    <w:p>
                      <w:pPr>
                        <w:spacing w:line="320" w:lineRule="atLeast" w:before="2"/>
                        <w:ind w:left="0" w:right="0" w:firstLine="0"/>
                        <w:jc w:val="left"/>
                        <w:rPr>
                          <w:rFonts w:ascii="宋体" w:hAnsi="宋体" w:cs="宋体" w:eastAsia="宋体" w:hint="default"/>
                          <w:sz w:val="18"/>
                          <w:szCs w:val="18"/>
                        </w:rPr>
                      </w:pPr>
                      <w:r>
                        <w:rPr>
                          <w:rFonts w:ascii="宋体" w:hAnsi="宋体" w:cs="宋体" w:eastAsia="宋体" w:hint="default"/>
                          <w:sz w:val="18"/>
                          <w:szCs w:val="18"/>
                        </w:rPr>
                        <w:t>刘心 祁锦波</w:t>
                      </w:r>
                    </w:p>
                  </w:txbxContent>
                </v:textbox>
                <w10:wrap type="none"/>
              </v:shape>
              <v:shape style="position:absolute;left:3536;top:4147;width:720;height:82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副总经理</w:t>
                      </w:r>
                    </w:p>
                    <w:p>
                      <w:pPr>
                        <w:spacing w:line="320" w:lineRule="atLeast" w:before="2"/>
                        <w:ind w:left="0" w:right="0" w:firstLine="0"/>
                        <w:jc w:val="left"/>
                        <w:rPr>
                          <w:rFonts w:ascii="宋体" w:hAnsi="宋体" w:cs="宋体" w:eastAsia="宋体" w:hint="default"/>
                          <w:sz w:val="18"/>
                          <w:szCs w:val="18"/>
                        </w:rPr>
                      </w:pPr>
                      <w:r>
                        <w:rPr>
                          <w:rFonts w:ascii="宋体" w:hAnsi="宋体" w:cs="宋体" w:eastAsia="宋体" w:hint="default"/>
                          <w:sz w:val="18"/>
                          <w:szCs w:val="18"/>
                        </w:rPr>
                        <w:t>副总经理 副总经理</w:t>
                      </w:r>
                    </w:p>
                  </w:txbxContent>
                </v:textbox>
                <w10:wrap type="none"/>
              </v:shape>
              <v:shape style="position:absolute;left:6393;top:411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已辞职</w:t>
                      </w:r>
                    </w:p>
                  </w:txbxContent>
                </v:textbox>
                <w10:wrap type="none"/>
              </v:shape>
              <v:shape style="position:absolute;left:137;top:517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易频</w:t>
                      </w:r>
                    </w:p>
                  </w:txbxContent>
                </v:textbox>
                <w10:wrap type="none"/>
              </v:shape>
              <v:shape style="position:absolute;left:3536;top:517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副总经理</w:t>
                      </w:r>
                    </w:p>
                  </w:txbxContent>
                </v:textbox>
                <w10:wrap type="none"/>
              </v:shape>
              <v:shape style="position:absolute;left:6393;top:514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已辞职</w:t>
                      </w:r>
                    </w:p>
                  </w:txbxContent>
                </v:textbox>
                <w10:wrap type="none"/>
              </v:shape>
              <v:shape style="position:absolute;left:137;top:556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印曦</w:t>
                      </w:r>
                    </w:p>
                  </w:txbxContent>
                </v:textbox>
                <w10:wrap type="none"/>
              </v:shape>
              <v:shape style="position:absolute;left:3536;top:556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副总经理</w:t>
                      </w:r>
                    </w:p>
                  </w:txbxContent>
                </v:textbox>
                <w10:wrap type="none"/>
              </v:shape>
              <v:shape style="position:absolute;left:6393;top:553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已辞职</w:t>
                      </w:r>
                    </w:p>
                  </w:txbxContent>
                </v:textbox>
                <w10:wrap type="none"/>
              </v:shape>
              <v:shape style="position:absolute;left:137;top:5945;width:540;height:53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张国刚</w:t>
                      </w:r>
                    </w:p>
                    <w:p>
                      <w:pPr>
                        <w:spacing w:before="117"/>
                        <w:ind w:left="0" w:right="0" w:firstLine="0"/>
                        <w:jc w:val="left"/>
                        <w:rPr>
                          <w:rFonts w:ascii="宋体" w:hAnsi="宋体" w:cs="宋体" w:eastAsia="宋体" w:hint="default"/>
                          <w:sz w:val="18"/>
                          <w:szCs w:val="18"/>
                        </w:rPr>
                      </w:pPr>
                      <w:r>
                        <w:rPr>
                          <w:rFonts w:ascii="宋体" w:hAnsi="宋体" w:cs="宋体" w:eastAsia="宋体" w:hint="default"/>
                          <w:sz w:val="18"/>
                          <w:szCs w:val="18"/>
                        </w:rPr>
                        <w:t>姜宏华</w:t>
                      </w:r>
                    </w:p>
                  </w:txbxContent>
                </v:textbox>
                <w10:wrap type="none"/>
              </v:shape>
              <v:shape style="position:absolute;left:3536;top:5945;width:720;height:53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副总经理</w:t>
                      </w:r>
                    </w:p>
                    <w:p>
                      <w:pPr>
                        <w:spacing w:before="117"/>
                        <w:ind w:left="0" w:right="0" w:firstLine="0"/>
                        <w:jc w:val="left"/>
                        <w:rPr>
                          <w:rFonts w:ascii="宋体" w:hAnsi="宋体" w:cs="宋体" w:eastAsia="宋体" w:hint="default"/>
                          <w:sz w:val="18"/>
                          <w:szCs w:val="18"/>
                        </w:rPr>
                      </w:pPr>
                      <w:r>
                        <w:rPr>
                          <w:rFonts w:ascii="宋体" w:hAnsi="宋体" w:cs="宋体" w:eastAsia="宋体" w:hint="default"/>
                          <w:sz w:val="18"/>
                          <w:szCs w:val="18"/>
                        </w:rPr>
                        <w:t>监事</w:t>
                      </w:r>
                    </w:p>
                  </w:txbxContent>
                </v:textbox>
                <w10:wrap type="none"/>
              </v:shape>
              <v:shape style="position:absolute;left:137;top:668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赵玉梅</w:t>
                      </w:r>
                    </w:p>
                  </w:txbxContent>
                </v:textbox>
                <w10:wrap type="none"/>
              </v:shape>
              <v:shape style="position:absolute;left:3536;top:668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监事</w:t>
                      </w:r>
                    </w:p>
                  </w:txbxContent>
                </v:textbox>
                <w10:wrap type="none"/>
              </v:shape>
              <v:shape style="position:absolute;left:137;top:7067;width:540;height:53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鲁小林</w:t>
                      </w:r>
                    </w:p>
                    <w:p>
                      <w:pPr>
                        <w:spacing w:before="117"/>
                        <w:ind w:left="0" w:right="0" w:firstLine="0"/>
                        <w:jc w:val="left"/>
                        <w:rPr>
                          <w:rFonts w:ascii="宋体" w:hAnsi="宋体" w:cs="宋体" w:eastAsia="宋体" w:hint="default"/>
                          <w:sz w:val="18"/>
                          <w:szCs w:val="18"/>
                        </w:rPr>
                      </w:pPr>
                      <w:r>
                        <w:rPr>
                          <w:rFonts w:ascii="宋体" w:hAnsi="宋体" w:cs="宋体" w:eastAsia="宋体" w:hint="default"/>
                          <w:sz w:val="18"/>
                          <w:szCs w:val="18"/>
                        </w:rPr>
                        <w:t>杨耀宇</w:t>
                      </w:r>
                    </w:p>
                  </w:txbxContent>
                </v:textbox>
                <w10:wrap type="none"/>
              </v:shape>
              <v:shape style="position:absolute;left:3536;top:7067;width:360;height:53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监事</w:t>
                      </w:r>
                    </w:p>
                    <w:p>
                      <w:pPr>
                        <w:spacing w:before="117"/>
                        <w:ind w:left="0" w:right="0" w:firstLine="0"/>
                        <w:jc w:val="left"/>
                        <w:rPr>
                          <w:rFonts w:ascii="宋体" w:hAnsi="宋体" w:cs="宋体" w:eastAsia="宋体" w:hint="default"/>
                          <w:sz w:val="18"/>
                          <w:szCs w:val="18"/>
                        </w:rPr>
                      </w:pPr>
                      <w:r>
                        <w:rPr>
                          <w:rFonts w:ascii="宋体" w:hAnsi="宋体" w:cs="宋体" w:eastAsia="宋体" w:hint="default"/>
                          <w:sz w:val="18"/>
                          <w:szCs w:val="18"/>
                        </w:rPr>
                        <w:t>监事</w:t>
                      </w:r>
                    </w:p>
                  </w:txbxContent>
                </v:textbox>
                <w10:wrap type="none"/>
              </v:shape>
              <v:shape style="position:absolute;left:6393;top:706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已辞职</w:t>
                      </w:r>
                    </w:p>
                  </w:txbxContent>
                </v:textbox>
                <w10:wrap type="none"/>
              </v:shape>
            </v:group>
          </v:group>
        </w:pict>
      </w:r>
      <w:r>
        <w:rPr>
          <w:rFonts w:ascii="宋体" w:hAnsi="宋体" w:cs="宋体" w:eastAsia="宋体" w:hint="default"/>
          <w:position w:val="-153"/>
          <w:sz w:val="20"/>
          <w:szCs w:val="20"/>
        </w:rPr>
      </w:r>
    </w:p>
    <w:p>
      <w:pPr>
        <w:spacing w:line="240" w:lineRule="auto" w:before="6"/>
        <w:rPr>
          <w:rFonts w:ascii="宋体" w:hAnsi="宋体" w:cs="宋体" w:eastAsia="宋体" w:hint="default"/>
          <w:b/>
          <w:bCs/>
          <w:sz w:val="21"/>
          <w:szCs w:val="21"/>
        </w:rPr>
      </w:pPr>
    </w:p>
    <w:p>
      <w:pPr>
        <w:tabs>
          <w:tab w:pos="1015" w:val="left" w:leader="none"/>
        </w:tabs>
        <w:spacing w:before="35"/>
        <w:ind w:left="245" w:right="177"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关联交易情况</w:t>
      </w:r>
      <w:r>
        <w:rPr>
          <w:rFonts w:ascii="宋体" w:hAnsi="宋体" w:cs="宋体" w:eastAsia="宋体" w:hint="default"/>
          <w:sz w:val="21"/>
          <w:szCs w:val="21"/>
        </w:rPr>
      </w:r>
    </w:p>
    <w:p>
      <w:pPr>
        <w:spacing w:line="240" w:lineRule="auto" w:before="3"/>
        <w:rPr>
          <w:rFonts w:ascii="宋体" w:hAnsi="宋体" w:cs="宋体" w:eastAsia="宋体" w:hint="default"/>
          <w:b/>
          <w:bCs/>
          <w:sz w:val="31"/>
          <w:szCs w:val="31"/>
        </w:rPr>
      </w:pPr>
    </w:p>
    <w:p>
      <w:pPr>
        <w:tabs>
          <w:tab w:pos="1414" w:val="left" w:leader="none"/>
        </w:tabs>
        <w:spacing w:line="290" w:lineRule="auto" w:before="0"/>
        <w:ind w:left="1414" w:right="177" w:hanging="539"/>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存在控制关系且已纳入本公司合并报表范围的子公司，其相互间交易及母子公</w:t>
      </w:r>
      <w:r>
        <w:rPr>
          <w:rFonts w:ascii="宋体" w:hAnsi="宋体" w:cs="宋体" w:eastAsia="宋体" w:hint="default"/>
          <w:b/>
          <w:bCs/>
          <w:spacing w:val="34"/>
          <w:w w:val="95"/>
          <w:sz w:val="21"/>
          <w:szCs w:val="21"/>
        </w:rPr>
        <w:t> </w:t>
      </w:r>
      <w:r>
        <w:rPr>
          <w:rFonts w:ascii="宋体" w:hAnsi="宋体" w:cs="宋体" w:eastAsia="宋体" w:hint="default"/>
          <w:b/>
          <w:bCs/>
          <w:spacing w:val="34"/>
          <w:w w:val="95"/>
          <w:sz w:val="21"/>
          <w:szCs w:val="21"/>
        </w:rPr>
      </w:r>
      <w:r>
        <w:rPr>
          <w:rFonts w:ascii="宋体" w:hAnsi="宋体" w:cs="宋体" w:eastAsia="宋体" w:hint="default"/>
          <w:b/>
          <w:bCs/>
          <w:sz w:val="21"/>
          <w:szCs w:val="21"/>
        </w:rPr>
        <w:t>司交易已作抵销。</w:t>
      </w:r>
      <w:r>
        <w:rPr>
          <w:rFonts w:ascii="宋体" w:hAnsi="宋体" w:cs="宋体" w:eastAsia="宋体" w:hint="default"/>
          <w:sz w:val="21"/>
          <w:szCs w:val="21"/>
        </w:rPr>
      </w:r>
    </w:p>
    <w:p>
      <w:pPr>
        <w:spacing w:line="240" w:lineRule="auto" w:before="1"/>
        <w:rPr>
          <w:rFonts w:ascii="宋体" w:hAnsi="宋体" w:cs="宋体" w:eastAsia="宋体" w:hint="default"/>
          <w:b/>
          <w:bCs/>
          <w:sz w:val="29"/>
          <w:szCs w:val="29"/>
        </w:rPr>
      </w:pPr>
    </w:p>
    <w:p>
      <w:pPr>
        <w:tabs>
          <w:tab w:pos="1403" w:val="left" w:leader="none"/>
        </w:tabs>
        <w:spacing w:before="0"/>
        <w:ind w:left="875" w:right="177"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关联担保情况</w:t>
      </w:r>
      <w:r>
        <w:rPr>
          <w:rFonts w:ascii="宋体" w:hAnsi="宋体" w:cs="宋体" w:eastAsia="宋体" w:hint="default"/>
          <w:sz w:val="21"/>
          <w:szCs w:val="21"/>
        </w:rPr>
      </w:r>
    </w:p>
    <w:p>
      <w:pPr>
        <w:spacing w:line="434" w:lineRule="exact"/>
        <w:ind w:left="770"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389.95pt;height:21.75pt;mso-position-horizontal-relative:char;mso-position-vertical-relative:line" coordorigin="0,0" coordsize="7799,435">
            <v:group style="position:absolute;left:29;top:15;width:7755;height:2" coordorigin="29,15" coordsize="7755,2">
              <v:shape style="position:absolute;left:29;top:15;width:7755;height:2" coordorigin="29,15" coordsize="7755,0" path="m29,15l7784,15e" filled="false" stroked="true" strokeweight="1.5pt" strokecolor="#000000">
                <v:path arrowok="t"/>
              </v:shape>
            </v:group>
            <v:group style="position:absolute;left:15;top:419;width:2100;height:2" coordorigin="15,419" coordsize="2100,2">
              <v:shape style="position:absolute;left:15;top:419;width:2100;height:2" coordorigin="15,419" coordsize="2100,0" path="m15,419l2115,419e" filled="false" stroked="true" strokeweight="1.5pt" strokecolor="#000000">
                <v:path arrowok="t"/>
              </v:shape>
              <v:shape style="position:absolute;left:2115;top:30;width:10;height:374" type="#_x0000_t75" stroked="false">
                <v:imagedata r:id="rId284" o:title=""/>
              </v:shape>
            </v:group>
            <v:group style="position:absolute;left:2115;top:419;width:1056;height:2" coordorigin="2115,419" coordsize="1056,2">
              <v:shape style="position:absolute;left:2115;top:419;width:1056;height:2" coordorigin="2115,419" coordsize="1056,0" path="m2115,419l3171,419e" filled="false" stroked="true" strokeweight="1.5pt" strokecolor="#000000">
                <v:path arrowok="t"/>
              </v:shape>
              <v:shape style="position:absolute;left:3171;top:30;width:10;height:374" type="#_x0000_t75" stroked="false">
                <v:imagedata r:id="rId284" o:title=""/>
              </v:shape>
            </v:group>
            <v:group style="position:absolute;left:3171;top:419;width:1418;height:2" coordorigin="3171,419" coordsize="1418,2">
              <v:shape style="position:absolute;left:3171;top:419;width:1418;height:2" coordorigin="3171,419" coordsize="1418,0" path="m3171,419l4588,419e" filled="false" stroked="true" strokeweight="1.5pt" strokecolor="#000000">
                <v:path arrowok="t"/>
              </v:shape>
              <v:shape style="position:absolute;left:4588;top:30;width:10;height:374" type="#_x0000_t75" stroked="false">
                <v:imagedata r:id="rId284" o:title=""/>
              </v:shape>
            </v:group>
            <v:group style="position:absolute;left:4588;top:419;width:1134;height:2" coordorigin="4588,419" coordsize="1134,2">
              <v:shape style="position:absolute;left:4588;top:419;width:1134;height:2" coordorigin="4588,419" coordsize="1134,0" path="m4588,419l5722,419e" filled="false" stroked="true" strokeweight="1.5pt" strokecolor="#000000">
                <v:path arrowok="t"/>
              </v:shape>
              <v:shape style="position:absolute;left:5722;top:30;width:10;height:374" type="#_x0000_t75" stroked="false">
                <v:imagedata r:id="rId284" o:title=""/>
              </v:shape>
            </v:group>
            <v:group style="position:absolute;left:5722;top:419;width:1134;height:2" coordorigin="5722,419" coordsize="1134,2">
              <v:shape style="position:absolute;left:5722;top:419;width:1134;height:2" coordorigin="5722,419" coordsize="1134,0" path="m5722,419l6856,419e" filled="false" stroked="true" strokeweight="1.5pt" strokecolor="#000000">
                <v:path arrowok="t"/>
              </v:shape>
              <v:shape style="position:absolute;left:6856;top:30;width:10;height:374" type="#_x0000_t75" stroked="false">
                <v:imagedata r:id="rId284" o:title=""/>
              </v:shape>
            </v:group>
            <v:group style="position:absolute;left:6856;top:419;width:928;height:2" coordorigin="6856,419" coordsize="928,2">
              <v:shape style="position:absolute;left:6856;top:419;width:928;height:2" coordorigin="6856,419" coordsize="928,0" path="m6856,419l7784,419e" filled="false" stroked="true" strokeweight="1.5pt" strokecolor="#000000">
                <v:path arrowok="t"/>
              </v:shape>
              <v:shape style="position:absolute;left:805;top:12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担保方</w:t>
                      </w:r>
                    </w:p>
                  </w:txbxContent>
                </v:textbox>
                <w10:wrap type="none"/>
              </v:shape>
              <v:shape style="position:absolute;left:2288;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被担保方</w:t>
                      </w:r>
                    </w:p>
                  </w:txbxContent>
                </v:textbox>
                <w10:wrap type="none"/>
              </v:shape>
              <v:shape style="position:absolute;left:3524;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担保金额</w:t>
                      </w:r>
                    </w:p>
                  </w:txbxContent>
                </v:textbox>
                <w10:wrap type="none"/>
              </v:shape>
              <v:shape style="position:absolute;left:4708;top:127;width:2883;height:180" type="#_x0000_t202" filled="false" stroked="false">
                <v:textbox inset="0,0,0,0">
                  <w:txbxContent>
                    <w:p>
                      <w:pPr>
                        <w:tabs>
                          <w:tab w:pos="1135" w:val="left" w:leader="none"/>
                          <w:tab w:pos="234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担保起始日</w:t>
                        <w:tab/>
                        <w:t>担保到期日</w:t>
                        <w:tab/>
                        <w:t>担保是</w:t>
                      </w:r>
                    </w:p>
                  </w:txbxContent>
                </v:textbox>
                <w10:wrap type="none"/>
              </v:shape>
            </v:group>
          </v:group>
        </w:pict>
      </w:r>
      <w:r>
        <w:rPr>
          <w:rFonts w:ascii="宋体" w:hAnsi="宋体" w:cs="宋体" w:eastAsia="宋体" w:hint="default"/>
          <w:position w:val="-8"/>
          <w:sz w:val="20"/>
          <w:szCs w:val="20"/>
        </w:rPr>
      </w:r>
    </w:p>
    <w:p>
      <w:pPr>
        <w:spacing w:after="0" w:line="434" w:lineRule="exact"/>
        <w:rPr>
          <w:rFonts w:ascii="宋体" w:hAnsi="宋体" w:cs="宋体" w:eastAsia="宋体" w:hint="default"/>
          <w:sz w:val="20"/>
          <w:szCs w:val="20"/>
        </w:rPr>
        <w:sectPr>
          <w:pgSz w:w="11910" w:h="16840"/>
          <w:pgMar w:header="0" w:footer="1270" w:top="1360" w:bottom="1460" w:left="1540" w:right="1620"/>
        </w:sectPr>
      </w:pPr>
    </w:p>
    <w:p>
      <w:pPr>
        <w:spacing w:line="240" w:lineRule="auto" w:before="10"/>
        <w:rPr>
          <w:rFonts w:ascii="宋体" w:hAnsi="宋体" w:cs="宋体" w:eastAsia="宋体" w:hint="default"/>
          <w:b/>
          <w:bCs/>
          <w:sz w:val="6"/>
          <w:szCs w:val="6"/>
        </w:rPr>
      </w:pPr>
    </w:p>
    <w:tbl>
      <w:tblPr>
        <w:tblW w:w="0" w:type="auto"/>
        <w:jc w:val="left"/>
        <w:tblInd w:w="800" w:type="dxa"/>
        <w:tblLayout w:type="fixed"/>
        <w:tblCellMar>
          <w:top w:w="0" w:type="dxa"/>
          <w:left w:w="0" w:type="dxa"/>
          <w:bottom w:w="0" w:type="dxa"/>
          <w:right w:w="0" w:type="dxa"/>
        </w:tblCellMar>
        <w:tblLook w:val="01E0"/>
      </w:tblPr>
      <w:tblGrid>
        <w:gridCol w:w="3155"/>
        <w:gridCol w:w="1436"/>
        <w:gridCol w:w="1109"/>
        <w:gridCol w:w="1145"/>
        <w:gridCol w:w="910"/>
      </w:tblGrid>
      <w:tr>
        <w:trPr>
          <w:trHeight w:val="1128" w:hRule="exact"/>
        </w:trPr>
        <w:tc>
          <w:tcPr>
            <w:tcW w:w="6844" w:type="dxa"/>
            <w:gridSpan w:val="4"/>
            <w:tcBorders>
              <w:top w:val="single" w:sz="12" w:space="0" w:color="000000"/>
              <w:left w:val="nil" w:sz="6" w:space="0" w:color="auto"/>
              <w:bottom w:val="nil" w:sz="6" w:space="0" w:color="auto"/>
              <w:right w:val="nil" w:sz="6" w:space="0" w:color="auto"/>
            </w:tcBorders>
          </w:tcPr>
          <w:p>
            <w:pPr/>
          </w:p>
        </w:tc>
        <w:tc>
          <w:tcPr>
            <w:tcW w:w="910"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177" w:right="191"/>
              <w:jc w:val="center"/>
              <w:rPr>
                <w:rFonts w:ascii="宋体" w:hAnsi="宋体" w:cs="宋体" w:eastAsia="宋体" w:hint="default"/>
                <w:sz w:val="18"/>
                <w:szCs w:val="18"/>
              </w:rPr>
            </w:pPr>
            <w:r>
              <w:rPr>
                <w:rFonts w:ascii="宋体" w:hAnsi="宋体" w:cs="宋体" w:eastAsia="宋体" w:hint="default"/>
                <w:sz w:val="18"/>
                <w:szCs w:val="18"/>
              </w:rPr>
              <w:t>否已经 履行完 毕</w:t>
            </w:r>
          </w:p>
        </w:tc>
      </w:tr>
      <w:tr>
        <w:trPr>
          <w:trHeight w:val="420" w:hRule="exact"/>
        </w:trPr>
        <w:tc>
          <w:tcPr>
            <w:tcW w:w="3155" w:type="dxa"/>
            <w:tcBorders>
              <w:top w:val="nil" w:sz="6" w:space="0" w:color="auto"/>
              <w:left w:val="nil" w:sz="6" w:space="0" w:color="auto"/>
              <w:bottom w:val="nil" w:sz="6" w:space="0" w:color="auto"/>
              <w:right w:val="nil" w:sz="6" w:space="0" w:color="auto"/>
            </w:tcBorders>
          </w:tcPr>
          <w:p>
            <w:pPr>
              <w:pStyle w:val="TableParagraph"/>
              <w:tabs>
                <w:tab w:pos="2348" w:val="left" w:leader="none"/>
              </w:tabs>
              <w:spacing w:line="240" w:lineRule="auto" w:before="31"/>
              <w:ind w:left="108" w:right="0"/>
              <w:jc w:val="left"/>
              <w:rPr>
                <w:rFonts w:ascii="宋体" w:hAnsi="宋体" w:cs="宋体" w:eastAsia="宋体" w:hint="default"/>
                <w:sz w:val="18"/>
                <w:szCs w:val="18"/>
              </w:rPr>
            </w:pPr>
            <w:r>
              <w:rPr>
                <w:rFonts w:ascii="宋体" w:hAnsi="宋体" w:cs="宋体" w:eastAsia="宋体" w:hint="default"/>
                <w:sz w:val="18"/>
                <w:szCs w:val="18"/>
              </w:rPr>
              <w:t>吕晓义、匡晓明、何平</w:t>
              <w:tab/>
              <w:t>本公司</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31"/>
              <w:jc w:val="right"/>
              <w:rPr>
                <w:rFonts w:ascii="Times New Roman" w:hAnsi="Times New Roman" w:cs="Times New Roman" w:eastAsia="Times New Roman" w:hint="default"/>
                <w:sz w:val="18"/>
                <w:szCs w:val="18"/>
              </w:rPr>
            </w:pPr>
            <w:r>
              <w:rPr>
                <w:rFonts w:ascii="Times New Roman"/>
                <w:spacing w:val="-1"/>
                <w:sz w:val="18"/>
              </w:rPr>
              <w:t>70,000,000.00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8"/>
              <w:jc w:val="center"/>
              <w:rPr>
                <w:rFonts w:ascii="Times New Roman" w:hAnsi="Times New Roman" w:cs="Times New Roman" w:eastAsia="Times New Roman" w:hint="default"/>
                <w:sz w:val="18"/>
                <w:szCs w:val="18"/>
              </w:rPr>
            </w:pPr>
            <w:r>
              <w:rPr>
                <w:rFonts w:ascii="Times New Roman"/>
                <w:sz w:val="18"/>
              </w:rPr>
              <w:t>2009.12.16</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1"/>
              <w:jc w:val="center"/>
              <w:rPr>
                <w:rFonts w:ascii="Times New Roman" w:hAnsi="Times New Roman" w:cs="Times New Roman" w:eastAsia="Times New Roman" w:hint="default"/>
                <w:sz w:val="18"/>
                <w:szCs w:val="18"/>
              </w:rPr>
            </w:pPr>
            <w:r>
              <w:rPr>
                <w:rFonts w:ascii="Times New Roman"/>
                <w:sz w:val="18"/>
              </w:rPr>
              <w:t>2011.12.15</w:t>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4"/>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56" w:hRule="exact"/>
        </w:trPr>
        <w:tc>
          <w:tcPr>
            <w:tcW w:w="3155" w:type="dxa"/>
            <w:tcBorders>
              <w:top w:val="nil" w:sz="6" w:space="0" w:color="auto"/>
              <w:left w:val="nil" w:sz="6" w:space="0" w:color="auto"/>
              <w:bottom w:val="nil" w:sz="6" w:space="0" w:color="auto"/>
              <w:right w:val="nil" w:sz="6" w:space="0" w:color="auto"/>
            </w:tcBorders>
          </w:tcPr>
          <w:p>
            <w:pPr>
              <w:pStyle w:val="TableParagraph"/>
              <w:spacing w:line="130" w:lineRule="exact"/>
              <w:ind w:left="108" w:right="0"/>
              <w:jc w:val="left"/>
              <w:rPr>
                <w:rFonts w:ascii="宋体" w:hAnsi="宋体" w:cs="宋体" w:eastAsia="宋体" w:hint="default"/>
                <w:sz w:val="18"/>
                <w:szCs w:val="18"/>
              </w:rPr>
            </w:pPr>
            <w:r>
              <w:rPr>
                <w:rFonts w:ascii="宋体" w:hAnsi="宋体" w:cs="宋体" w:eastAsia="宋体" w:hint="default"/>
                <w:sz w:val="18"/>
                <w:szCs w:val="18"/>
              </w:rPr>
              <w:t>吕晓义、匡晓明、何平、</w:t>
            </w:r>
          </w:p>
          <w:p>
            <w:pPr>
              <w:pStyle w:val="TableParagraph"/>
              <w:spacing w:line="156" w:lineRule="exact"/>
              <w:ind w:right="264"/>
              <w:jc w:val="right"/>
              <w:rPr>
                <w:rFonts w:ascii="宋体" w:hAnsi="宋体" w:cs="宋体" w:eastAsia="宋体" w:hint="default"/>
                <w:sz w:val="18"/>
                <w:szCs w:val="18"/>
              </w:rPr>
            </w:pPr>
            <w:r>
              <w:rPr>
                <w:rFonts w:ascii="宋体" w:hAnsi="宋体" w:cs="宋体" w:eastAsia="宋体" w:hint="default"/>
                <w:sz w:val="18"/>
                <w:szCs w:val="18"/>
              </w:rPr>
              <w:t>本公司</w:t>
            </w:r>
          </w:p>
          <w:p>
            <w:pPr>
              <w:pStyle w:val="TableParagraph"/>
              <w:spacing w:line="196" w:lineRule="exact"/>
              <w:ind w:left="108" w:right="0"/>
              <w:jc w:val="left"/>
              <w:rPr>
                <w:rFonts w:ascii="宋体" w:hAnsi="宋体" w:cs="宋体" w:eastAsia="宋体" w:hint="default"/>
                <w:sz w:val="18"/>
                <w:szCs w:val="18"/>
              </w:rPr>
            </w:pPr>
            <w:r>
              <w:rPr>
                <w:rFonts w:ascii="宋体" w:hAnsi="宋体" w:cs="宋体" w:eastAsia="宋体" w:hint="default"/>
                <w:sz w:val="18"/>
                <w:szCs w:val="18"/>
              </w:rPr>
              <w:t>任金生</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31"/>
              <w:jc w:val="right"/>
              <w:rPr>
                <w:rFonts w:ascii="Times New Roman" w:hAnsi="Times New Roman" w:cs="Times New Roman" w:eastAsia="Times New Roman" w:hint="default"/>
                <w:sz w:val="18"/>
                <w:szCs w:val="18"/>
              </w:rPr>
            </w:pPr>
            <w:r>
              <w:rPr>
                <w:rFonts w:ascii="Times New Roman"/>
                <w:spacing w:val="-1"/>
                <w:sz w:val="18"/>
              </w:rPr>
              <w:t>50,000,000.00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27"/>
              <w:jc w:val="center"/>
              <w:rPr>
                <w:rFonts w:ascii="Times New Roman" w:hAnsi="Times New Roman" w:cs="Times New Roman" w:eastAsia="Times New Roman" w:hint="default"/>
                <w:sz w:val="18"/>
                <w:szCs w:val="18"/>
              </w:rPr>
            </w:pPr>
            <w:r>
              <w:rPr>
                <w:rFonts w:ascii="Times New Roman"/>
                <w:sz w:val="18"/>
              </w:rPr>
              <w:t>2010.6.4</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1"/>
              <w:jc w:val="center"/>
              <w:rPr>
                <w:rFonts w:ascii="Times New Roman" w:hAnsi="Times New Roman" w:cs="Times New Roman" w:eastAsia="Times New Roman" w:hint="default"/>
                <w:sz w:val="18"/>
                <w:szCs w:val="18"/>
              </w:rPr>
            </w:pPr>
            <w:r>
              <w:rPr>
                <w:rFonts w:ascii="Times New Roman"/>
                <w:sz w:val="18"/>
              </w:rPr>
              <w:t>2011.6.4</w:t>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4"/>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56" w:hRule="exact"/>
        </w:trPr>
        <w:tc>
          <w:tcPr>
            <w:tcW w:w="3155" w:type="dxa"/>
            <w:tcBorders>
              <w:top w:val="nil" w:sz="6" w:space="0" w:color="auto"/>
              <w:left w:val="nil" w:sz="6" w:space="0" w:color="auto"/>
              <w:bottom w:val="nil" w:sz="6" w:space="0" w:color="auto"/>
              <w:right w:val="nil" w:sz="6" w:space="0" w:color="auto"/>
            </w:tcBorders>
          </w:tcPr>
          <w:p>
            <w:pPr>
              <w:pStyle w:val="TableParagraph"/>
              <w:spacing w:line="196" w:lineRule="exact" w:before="11"/>
              <w:ind w:left="108" w:right="0"/>
              <w:jc w:val="left"/>
              <w:rPr>
                <w:rFonts w:ascii="宋体" w:hAnsi="宋体" w:cs="宋体" w:eastAsia="宋体" w:hint="default"/>
                <w:sz w:val="18"/>
                <w:szCs w:val="18"/>
              </w:rPr>
            </w:pPr>
            <w:r>
              <w:rPr>
                <w:rFonts w:ascii="宋体" w:hAnsi="宋体" w:cs="宋体" w:eastAsia="宋体" w:hint="default"/>
                <w:sz w:val="18"/>
                <w:szCs w:val="18"/>
              </w:rPr>
              <w:t>吕晓义、匡晓明、何平、</w:t>
            </w:r>
          </w:p>
          <w:p>
            <w:pPr>
              <w:pStyle w:val="TableParagraph"/>
              <w:spacing w:line="156" w:lineRule="exact"/>
              <w:ind w:right="264"/>
              <w:jc w:val="right"/>
              <w:rPr>
                <w:rFonts w:ascii="宋体" w:hAnsi="宋体" w:cs="宋体" w:eastAsia="宋体" w:hint="default"/>
                <w:sz w:val="18"/>
                <w:szCs w:val="18"/>
              </w:rPr>
            </w:pPr>
            <w:r>
              <w:rPr>
                <w:rFonts w:ascii="宋体" w:hAnsi="宋体" w:cs="宋体" w:eastAsia="宋体" w:hint="default"/>
                <w:sz w:val="18"/>
                <w:szCs w:val="18"/>
              </w:rPr>
              <w:t>本公司</w:t>
            </w:r>
          </w:p>
          <w:p>
            <w:pPr>
              <w:pStyle w:val="TableParagraph"/>
              <w:spacing w:line="196" w:lineRule="exact"/>
              <w:ind w:left="108" w:right="0"/>
              <w:jc w:val="left"/>
              <w:rPr>
                <w:rFonts w:ascii="宋体" w:hAnsi="宋体" w:cs="宋体" w:eastAsia="宋体" w:hint="default"/>
                <w:sz w:val="18"/>
                <w:szCs w:val="18"/>
              </w:rPr>
            </w:pPr>
            <w:r>
              <w:rPr>
                <w:rFonts w:ascii="宋体" w:hAnsi="宋体" w:cs="宋体" w:eastAsia="宋体" w:hint="default"/>
                <w:sz w:val="18"/>
                <w:szCs w:val="18"/>
              </w:rPr>
              <w:t>任金生</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31"/>
              <w:jc w:val="right"/>
              <w:rPr>
                <w:rFonts w:ascii="Times New Roman" w:hAnsi="Times New Roman" w:cs="Times New Roman" w:eastAsia="Times New Roman" w:hint="default"/>
                <w:sz w:val="18"/>
                <w:szCs w:val="18"/>
              </w:rPr>
            </w:pPr>
            <w:r>
              <w:rPr>
                <w:rFonts w:ascii="Times New Roman"/>
                <w:spacing w:val="-1"/>
                <w:sz w:val="18"/>
              </w:rPr>
              <w:t>60,000,000.00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29"/>
              <w:jc w:val="center"/>
              <w:rPr>
                <w:rFonts w:ascii="Times New Roman" w:hAnsi="Times New Roman" w:cs="Times New Roman" w:eastAsia="Times New Roman" w:hint="default"/>
                <w:sz w:val="18"/>
                <w:szCs w:val="18"/>
              </w:rPr>
            </w:pPr>
            <w:r>
              <w:rPr>
                <w:rFonts w:ascii="Times New Roman"/>
                <w:sz w:val="18"/>
              </w:rPr>
              <w:t>2010.1.15</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2"/>
              <w:jc w:val="center"/>
              <w:rPr>
                <w:rFonts w:ascii="Times New Roman" w:hAnsi="Times New Roman" w:cs="Times New Roman" w:eastAsia="Times New Roman" w:hint="default"/>
                <w:sz w:val="18"/>
                <w:szCs w:val="18"/>
              </w:rPr>
            </w:pPr>
            <w:r>
              <w:rPr>
                <w:rFonts w:ascii="Times New Roman"/>
                <w:sz w:val="18"/>
              </w:rPr>
              <w:t>2011.1.15</w:t>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4"/>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78" w:hRule="exact"/>
        </w:trPr>
        <w:tc>
          <w:tcPr>
            <w:tcW w:w="3155" w:type="dxa"/>
            <w:tcBorders>
              <w:top w:val="nil" w:sz="6" w:space="0" w:color="auto"/>
              <w:left w:val="nil" w:sz="6" w:space="0" w:color="auto"/>
              <w:bottom w:val="nil" w:sz="6" w:space="0" w:color="auto"/>
              <w:right w:val="nil" w:sz="6" w:space="0" w:color="auto"/>
            </w:tcBorders>
          </w:tcPr>
          <w:p>
            <w:pPr>
              <w:pStyle w:val="TableParagraph"/>
              <w:tabs>
                <w:tab w:pos="2348" w:val="left" w:leader="none"/>
              </w:tabs>
              <w:spacing w:line="240" w:lineRule="auto" w:before="89"/>
              <w:ind w:left="108" w:right="0"/>
              <w:jc w:val="left"/>
              <w:rPr>
                <w:rFonts w:ascii="宋体" w:hAnsi="宋体" w:cs="宋体" w:eastAsia="宋体" w:hint="default"/>
                <w:sz w:val="18"/>
                <w:szCs w:val="18"/>
              </w:rPr>
            </w:pPr>
            <w:r>
              <w:rPr>
                <w:rFonts w:ascii="宋体" w:hAnsi="宋体" w:cs="宋体" w:eastAsia="宋体" w:hint="default"/>
                <w:sz w:val="18"/>
                <w:szCs w:val="18"/>
              </w:rPr>
              <w:t>吕晓义、匡晓明、何平</w:t>
              <w:tab/>
              <w:t>本公司</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31"/>
              <w:jc w:val="right"/>
              <w:rPr>
                <w:rFonts w:ascii="Times New Roman" w:hAnsi="Times New Roman" w:cs="Times New Roman" w:eastAsia="Times New Roman" w:hint="default"/>
                <w:sz w:val="18"/>
                <w:szCs w:val="18"/>
              </w:rPr>
            </w:pPr>
            <w:r>
              <w:rPr>
                <w:rFonts w:ascii="Times New Roman"/>
                <w:spacing w:val="-1"/>
                <w:sz w:val="18"/>
              </w:rPr>
              <w:t>100,000,000.00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29"/>
              <w:jc w:val="center"/>
              <w:rPr>
                <w:rFonts w:ascii="Times New Roman" w:hAnsi="Times New Roman" w:cs="Times New Roman" w:eastAsia="Times New Roman" w:hint="default"/>
                <w:sz w:val="18"/>
                <w:szCs w:val="18"/>
              </w:rPr>
            </w:pPr>
            <w:r>
              <w:rPr>
                <w:rFonts w:ascii="Times New Roman"/>
                <w:sz w:val="18"/>
              </w:rPr>
              <w:t>2010.5.12</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2"/>
              <w:jc w:val="center"/>
              <w:rPr>
                <w:rFonts w:ascii="Times New Roman" w:hAnsi="Times New Roman" w:cs="Times New Roman" w:eastAsia="Times New Roman" w:hint="default"/>
                <w:sz w:val="18"/>
                <w:szCs w:val="18"/>
              </w:rPr>
            </w:pPr>
            <w:r>
              <w:rPr>
                <w:rFonts w:ascii="Times New Roman"/>
                <w:sz w:val="18"/>
              </w:rPr>
              <w:t>2011.5.12</w:t>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4"/>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78" w:hRule="exact"/>
        </w:trPr>
        <w:tc>
          <w:tcPr>
            <w:tcW w:w="3155" w:type="dxa"/>
            <w:tcBorders>
              <w:top w:val="nil" w:sz="6" w:space="0" w:color="auto"/>
              <w:left w:val="nil" w:sz="6" w:space="0" w:color="auto"/>
              <w:bottom w:val="nil" w:sz="6" w:space="0" w:color="auto"/>
              <w:right w:val="nil" w:sz="6" w:space="0" w:color="auto"/>
            </w:tcBorders>
          </w:tcPr>
          <w:p>
            <w:pPr>
              <w:pStyle w:val="TableParagraph"/>
              <w:spacing w:line="130" w:lineRule="exact"/>
              <w:ind w:left="108" w:right="0"/>
              <w:jc w:val="left"/>
              <w:rPr>
                <w:rFonts w:ascii="宋体" w:hAnsi="宋体" w:cs="宋体" w:eastAsia="宋体" w:hint="default"/>
                <w:sz w:val="18"/>
                <w:szCs w:val="18"/>
              </w:rPr>
            </w:pPr>
            <w:r>
              <w:rPr>
                <w:rFonts w:ascii="宋体" w:hAnsi="宋体" w:cs="宋体" w:eastAsia="宋体" w:hint="default"/>
                <w:sz w:val="18"/>
                <w:szCs w:val="18"/>
              </w:rPr>
              <w:t>吕晓义、匡晓明、何平、</w:t>
            </w:r>
          </w:p>
          <w:p>
            <w:pPr>
              <w:pStyle w:val="TableParagraph"/>
              <w:spacing w:line="156" w:lineRule="exact"/>
              <w:ind w:right="264"/>
              <w:jc w:val="right"/>
              <w:rPr>
                <w:rFonts w:ascii="宋体" w:hAnsi="宋体" w:cs="宋体" w:eastAsia="宋体" w:hint="default"/>
                <w:sz w:val="18"/>
                <w:szCs w:val="18"/>
              </w:rPr>
            </w:pPr>
            <w:r>
              <w:rPr>
                <w:rFonts w:ascii="宋体" w:hAnsi="宋体" w:cs="宋体" w:eastAsia="宋体" w:hint="default"/>
                <w:sz w:val="18"/>
                <w:szCs w:val="18"/>
              </w:rPr>
              <w:t>本公司</w:t>
            </w:r>
          </w:p>
          <w:p>
            <w:pPr>
              <w:pStyle w:val="TableParagraph"/>
              <w:spacing w:line="196" w:lineRule="exact"/>
              <w:ind w:left="108" w:right="0"/>
              <w:jc w:val="left"/>
              <w:rPr>
                <w:rFonts w:ascii="宋体" w:hAnsi="宋体" w:cs="宋体" w:eastAsia="宋体" w:hint="default"/>
                <w:sz w:val="18"/>
                <w:szCs w:val="18"/>
              </w:rPr>
            </w:pPr>
            <w:r>
              <w:rPr>
                <w:rFonts w:ascii="宋体" w:hAnsi="宋体" w:cs="宋体" w:eastAsia="宋体" w:hint="default"/>
                <w:sz w:val="18"/>
                <w:szCs w:val="18"/>
              </w:rPr>
              <w:t>任金生</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31"/>
              <w:jc w:val="right"/>
              <w:rPr>
                <w:rFonts w:ascii="Times New Roman" w:hAnsi="Times New Roman" w:cs="Times New Roman" w:eastAsia="Times New Roman" w:hint="default"/>
                <w:sz w:val="18"/>
                <w:szCs w:val="18"/>
              </w:rPr>
            </w:pPr>
            <w:r>
              <w:rPr>
                <w:rFonts w:ascii="Times New Roman"/>
                <w:spacing w:val="-1"/>
                <w:sz w:val="18"/>
              </w:rPr>
              <w:t>50,000,000.00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29"/>
              <w:jc w:val="center"/>
              <w:rPr>
                <w:rFonts w:ascii="Times New Roman" w:hAnsi="Times New Roman" w:cs="Times New Roman" w:eastAsia="Times New Roman" w:hint="default"/>
                <w:sz w:val="18"/>
                <w:szCs w:val="18"/>
              </w:rPr>
            </w:pPr>
            <w:r>
              <w:rPr>
                <w:rFonts w:ascii="Times New Roman"/>
                <w:sz w:val="18"/>
              </w:rPr>
              <w:t>2010.3.23</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2"/>
              <w:jc w:val="center"/>
              <w:rPr>
                <w:rFonts w:ascii="Times New Roman" w:hAnsi="Times New Roman" w:cs="Times New Roman" w:eastAsia="Times New Roman" w:hint="default"/>
                <w:sz w:val="18"/>
                <w:szCs w:val="18"/>
              </w:rPr>
            </w:pPr>
            <w:r>
              <w:rPr>
                <w:rFonts w:ascii="Times New Roman"/>
                <w:sz w:val="18"/>
              </w:rPr>
              <w:t>2011.3.23</w:t>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4"/>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0" w:hRule="exact"/>
        </w:trPr>
        <w:tc>
          <w:tcPr>
            <w:tcW w:w="3155" w:type="dxa"/>
            <w:tcBorders>
              <w:top w:val="nil" w:sz="6" w:space="0" w:color="auto"/>
              <w:left w:val="nil" w:sz="6" w:space="0" w:color="auto"/>
              <w:bottom w:val="nil" w:sz="6" w:space="0" w:color="auto"/>
              <w:right w:val="nil" w:sz="6" w:space="0" w:color="auto"/>
            </w:tcBorders>
          </w:tcPr>
          <w:p>
            <w:pPr>
              <w:pStyle w:val="TableParagraph"/>
              <w:tabs>
                <w:tab w:pos="2258" w:val="left" w:leader="none"/>
              </w:tabs>
              <w:spacing w:line="240" w:lineRule="auto" w:before="89"/>
              <w:ind w:left="108" w:right="0"/>
              <w:jc w:val="left"/>
              <w:rPr>
                <w:rFonts w:ascii="宋体" w:hAnsi="宋体" w:cs="宋体" w:eastAsia="宋体" w:hint="default"/>
                <w:sz w:val="18"/>
                <w:szCs w:val="18"/>
              </w:rPr>
            </w:pPr>
            <w:r>
              <w:rPr>
                <w:rFonts w:ascii="宋体" w:hAnsi="宋体" w:cs="宋体" w:eastAsia="宋体" w:hint="default"/>
                <w:sz w:val="18"/>
                <w:szCs w:val="18"/>
              </w:rPr>
              <w:t>本公司</w:t>
              <w:tab/>
              <w:t>长春高琦</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31"/>
              <w:jc w:val="right"/>
              <w:rPr>
                <w:rFonts w:ascii="Times New Roman" w:hAnsi="Times New Roman" w:cs="Times New Roman" w:eastAsia="Times New Roman" w:hint="default"/>
                <w:sz w:val="18"/>
                <w:szCs w:val="18"/>
              </w:rPr>
            </w:pPr>
            <w:r>
              <w:rPr>
                <w:rFonts w:ascii="Times New Roman"/>
                <w:spacing w:val="-1"/>
                <w:sz w:val="18"/>
              </w:rPr>
              <w:t>20,000,000.00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27"/>
              <w:jc w:val="center"/>
              <w:rPr>
                <w:rFonts w:ascii="Times New Roman" w:hAnsi="Times New Roman" w:cs="Times New Roman" w:eastAsia="Times New Roman" w:hint="default"/>
                <w:sz w:val="18"/>
                <w:szCs w:val="18"/>
              </w:rPr>
            </w:pPr>
            <w:r>
              <w:rPr>
                <w:rFonts w:ascii="Times New Roman"/>
                <w:sz w:val="18"/>
              </w:rPr>
              <w:t>2010.9.3</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1"/>
              <w:jc w:val="center"/>
              <w:rPr>
                <w:rFonts w:ascii="Times New Roman" w:hAnsi="Times New Roman" w:cs="Times New Roman" w:eastAsia="Times New Roman" w:hint="default"/>
                <w:sz w:val="18"/>
                <w:szCs w:val="18"/>
              </w:rPr>
            </w:pPr>
            <w:r>
              <w:rPr>
                <w:rFonts w:ascii="Times New Roman"/>
                <w:sz w:val="18"/>
              </w:rPr>
              <w:t>2011.3.2</w:t>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4"/>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22" w:hRule="exact"/>
        </w:trPr>
        <w:tc>
          <w:tcPr>
            <w:tcW w:w="3155" w:type="dxa"/>
            <w:tcBorders>
              <w:top w:val="nil" w:sz="6" w:space="0" w:color="auto"/>
              <w:left w:val="nil" w:sz="6" w:space="0" w:color="auto"/>
              <w:bottom w:val="nil" w:sz="6" w:space="0" w:color="auto"/>
              <w:right w:val="nil" w:sz="6" w:space="0" w:color="auto"/>
            </w:tcBorders>
          </w:tcPr>
          <w:p>
            <w:pPr>
              <w:pStyle w:val="TableParagraph"/>
              <w:tabs>
                <w:tab w:pos="2258" w:val="left" w:leader="none"/>
              </w:tabs>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本公司</w:t>
              <w:tab/>
              <w:t>吉林高琦</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31"/>
              <w:jc w:val="right"/>
              <w:rPr>
                <w:rFonts w:ascii="Times New Roman" w:hAnsi="Times New Roman" w:cs="Times New Roman" w:eastAsia="Times New Roman" w:hint="default"/>
                <w:sz w:val="18"/>
                <w:szCs w:val="18"/>
              </w:rPr>
            </w:pPr>
            <w:r>
              <w:rPr>
                <w:rFonts w:ascii="Times New Roman"/>
                <w:spacing w:val="-1"/>
                <w:sz w:val="18"/>
              </w:rPr>
              <w:t>20,000,000.00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9"/>
              <w:jc w:val="center"/>
              <w:rPr>
                <w:rFonts w:ascii="Times New Roman" w:hAnsi="Times New Roman" w:cs="Times New Roman" w:eastAsia="Times New Roman" w:hint="default"/>
                <w:sz w:val="18"/>
                <w:szCs w:val="18"/>
              </w:rPr>
            </w:pPr>
            <w:r>
              <w:rPr>
                <w:rFonts w:ascii="Times New Roman"/>
                <w:sz w:val="18"/>
              </w:rPr>
              <w:t>2010.10.8</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
              <w:jc w:val="center"/>
              <w:rPr>
                <w:rFonts w:ascii="Times New Roman" w:hAnsi="Times New Roman" w:cs="Times New Roman" w:eastAsia="Times New Roman" w:hint="default"/>
                <w:sz w:val="18"/>
                <w:szCs w:val="18"/>
              </w:rPr>
            </w:pPr>
            <w:r>
              <w:rPr>
                <w:rFonts w:ascii="Times New Roman"/>
                <w:sz w:val="18"/>
              </w:rPr>
              <w:t>2011.10.7</w:t>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4"/>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0" w:hRule="exact"/>
        </w:trPr>
        <w:tc>
          <w:tcPr>
            <w:tcW w:w="3155" w:type="dxa"/>
            <w:tcBorders>
              <w:top w:val="nil" w:sz="6" w:space="0" w:color="auto"/>
              <w:left w:val="nil" w:sz="6" w:space="0" w:color="auto"/>
              <w:bottom w:val="nil" w:sz="6" w:space="0" w:color="auto"/>
              <w:right w:val="nil" w:sz="6" w:space="0" w:color="auto"/>
            </w:tcBorders>
          </w:tcPr>
          <w:p>
            <w:pPr>
              <w:pStyle w:val="TableParagraph"/>
              <w:tabs>
                <w:tab w:pos="2348" w:val="left" w:leader="none"/>
              </w:tabs>
              <w:spacing w:line="240" w:lineRule="auto" w:before="12"/>
              <w:ind w:left="108" w:right="0"/>
              <w:jc w:val="left"/>
              <w:rPr>
                <w:rFonts w:ascii="宋体" w:hAnsi="宋体" w:cs="宋体" w:eastAsia="宋体" w:hint="default"/>
                <w:sz w:val="18"/>
                <w:szCs w:val="18"/>
              </w:rPr>
            </w:pPr>
            <w:r>
              <w:rPr>
                <w:rFonts w:ascii="宋体" w:hAnsi="宋体" w:cs="宋体" w:eastAsia="宋体" w:hint="default"/>
                <w:sz w:val="18"/>
                <w:szCs w:val="18"/>
              </w:rPr>
              <w:t>吕晓义、匡晓明、何平</w:t>
              <w:tab/>
              <w:t>本公司</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31"/>
              <w:jc w:val="right"/>
              <w:rPr>
                <w:rFonts w:ascii="Times New Roman" w:hAnsi="Times New Roman" w:cs="Times New Roman" w:eastAsia="Times New Roman" w:hint="default"/>
                <w:sz w:val="18"/>
                <w:szCs w:val="18"/>
              </w:rPr>
            </w:pPr>
            <w:r>
              <w:rPr>
                <w:rFonts w:ascii="Times New Roman"/>
                <w:spacing w:val="-1"/>
                <w:sz w:val="18"/>
              </w:rPr>
              <w:t>100,000,000.00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8"/>
              <w:jc w:val="center"/>
              <w:rPr>
                <w:rFonts w:ascii="Times New Roman" w:hAnsi="Times New Roman" w:cs="Times New Roman" w:eastAsia="Times New Roman" w:hint="default"/>
                <w:sz w:val="18"/>
                <w:szCs w:val="18"/>
              </w:rPr>
            </w:pPr>
            <w:r>
              <w:rPr>
                <w:rFonts w:ascii="Times New Roman"/>
                <w:sz w:val="18"/>
              </w:rPr>
              <w:t>2011.6.9</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
              <w:jc w:val="center"/>
              <w:rPr>
                <w:rFonts w:ascii="Times New Roman" w:hAnsi="Times New Roman" w:cs="Times New Roman" w:eastAsia="Times New Roman" w:hint="default"/>
                <w:sz w:val="18"/>
                <w:szCs w:val="18"/>
              </w:rPr>
            </w:pPr>
            <w:r>
              <w:rPr>
                <w:rFonts w:ascii="Times New Roman"/>
                <w:sz w:val="18"/>
              </w:rPr>
              <w:t>2012.6.9</w:t>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4"/>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78" w:hRule="exact"/>
        </w:trPr>
        <w:tc>
          <w:tcPr>
            <w:tcW w:w="3155" w:type="dxa"/>
            <w:tcBorders>
              <w:top w:val="nil" w:sz="6" w:space="0" w:color="auto"/>
              <w:left w:val="nil" w:sz="6" w:space="0" w:color="auto"/>
              <w:bottom w:val="nil" w:sz="6" w:space="0" w:color="auto"/>
              <w:right w:val="nil" w:sz="6" w:space="0" w:color="auto"/>
            </w:tcBorders>
          </w:tcPr>
          <w:p>
            <w:pPr>
              <w:pStyle w:val="TableParagraph"/>
              <w:spacing w:line="129" w:lineRule="exact"/>
              <w:ind w:left="108" w:right="0"/>
              <w:jc w:val="left"/>
              <w:rPr>
                <w:rFonts w:ascii="宋体" w:hAnsi="宋体" w:cs="宋体" w:eastAsia="宋体" w:hint="default"/>
                <w:sz w:val="18"/>
                <w:szCs w:val="18"/>
              </w:rPr>
            </w:pPr>
            <w:r>
              <w:rPr>
                <w:rFonts w:ascii="宋体" w:hAnsi="宋体" w:cs="宋体" w:eastAsia="宋体" w:hint="default"/>
                <w:sz w:val="18"/>
                <w:szCs w:val="18"/>
              </w:rPr>
              <w:t>吕晓义、匡晓明、何平、</w:t>
            </w:r>
          </w:p>
          <w:p>
            <w:pPr>
              <w:pStyle w:val="TableParagraph"/>
              <w:spacing w:line="156" w:lineRule="exact"/>
              <w:ind w:right="264"/>
              <w:jc w:val="right"/>
              <w:rPr>
                <w:rFonts w:ascii="宋体" w:hAnsi="宋体" w:cs="宋体" w:eastAsia="宋体" w:hint="default"/>
                <w:sz w:val="18"/>
                <w:szCs w:val="18"/>
              </w:rPr>
            </w:pPr>
            <w:r>
              <w:rPr>
                <w:rFonts w:ascii="宋体" w:hAnsi="宋体" w:cs="宋体" w:eastAsia="宋体" w:hint="default"/>
                <w:sz w:val="18"/>
                <w:szCs w:val="18"/>
              </w:rPr>
              <w:t>本公司</w:t>
            </w:r>
          </w:p>
          <w:p>
            <w:pPr>
              <w:pStyle w:val="TableParagraph"/>
              <w:spacing w:line="196" w:lineRule="exact"/>
              <w:ind w:left="108" w:right="0"/>
              <w:jc w:val="left"/>
              <w:rPr>
                <w:rFonts w:ascii="宋体" w:hAnsi="宋体" w:cs="宋体" w:eastAsia="宋体" w:hint="default"/>
                <w:sz w:val="18"/>
                <w:szCs w:val="18"/>
              </w:rPr>
            </w:pPr>
            <w:r>
              <w:rPr>
                <w:rFonts w:ascii="宋体" w:hAnsi="宋体" w:cs="宋体" w:eastAsia="宋体" w:hint="default"/>
                <w:sz w:val="18"/>
                <w:szCs w:val="18"/>
              </w:rPr>
              <w:t>任金生</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31"/>
              <w:jc w:val="right"/>
              <w:rPr>
                <w:rFonts w:ascii="Times New Roman" w:hAnsi="Times New Roman" w:cs="Times New Roman" w:eastAsia="Times New Roman" w:hint="default"/>
                <w:sz w:val="18"/>
                <w:szCs w:val="18"/>
              </w:rPr>
            </w:pPr>
            <w:r>
              <w:rPr>
                <w:rFonts w:ascii="Times New Roman"/>
                <w:spacing w:val="-1"/>
                <w:sz w:val="18"/>
              </w:rPr>
              <w:t>60,000,000.00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29"/>
              <w:jc w:val="center"/>
              <w:rPr>
                <w:rFonts w:ascii="Times New Roman" w:hAnsi="Times New Roman" w:cs="Times New Roman" w:eastAsia="Times New Roman" w:hint="default"/>
                <w:sz w:val="18"/>
                <w:szCs w:val="18"/>
              </w:rPr>
            </w:pPr>
            <w:r>
              <w:rPr>
                <w:rFonts w:ascii="Times New Roman"/>
                <w:sz w:val="18"/>
              </w:rPr>
              <w:t>2011.7.28</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0"/>
              <w:jc w:val="center"/>
              <w:rPr>
                <w:rFonts w:ascii="Times New Roman" w:hAnsi="Times New Roman" w:cs="Times New Roman" w:eastAsia="Times New Roman" w:hint="default"/>
                <w:sz w:val="18"/>
                <w:szCs w:val="18"/>
              </w:rPr>
            </w:pPr>
            <w:r>
              <w:rPr>
                <w:rFonts w:ascii="Times New Roman"/>
                <w:sz w:val="18"/>
              </w:rPr>
              <w:t>2012.</w:t>
            </w:r>
            <w:r>
              <w:rPr>
                <w:rFonts w:ascii="Times New Roman"/>
                <w:spacing w:val="-2"/>
                <w:sz w:val="18"/>
              </w:rPr>
              <w:t> </w:t>
            </w:r>
            <w:r>
              <w:rPr>
                <w:rFonts w:ascii="Times New Roman"/>
                <w:sz w:val="18"/>
              </w:rPr>
              <w:t>7.28</w:t>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4"/>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6" w:hRule="exact"/>
        </w:trPr>
        <w:tc>
          <w:tcPr>
            <w:tcW w:w="3155" w:type="dxa"/>
            <w:tcBorders>
              <w:top w:val="nil" w:sz="6" w:space="0" w:color="auto"/>
              <w:left w:val="nil" w:sz="6" w:space="0" w:color="auto"/>
              <w:bottom w:val="single" w:sz="12" w:space="0" w:color="000000"/>
              <w:right w:val="nil" w:sz="6" w:space="0" w:color="auto"/>
            </w:tcBorders>
          </w:tcPr>
          <w:p>
            <w:pPr>
              <w:pStyle w:val="TableParagraph"/>
              <w:tabs>
                <w:tab w:pos="2348" w:val="left" w:leader="none"/>
              </w:tabs>
              <w:spacing w:line="240" w:lineRule="auto" w:before="89"/>
              <w:ind w:left="108" w:right="0"/>
              <w:jc w:val="left"/>
              <w:rPr>
                <w:rFonts w:ascii="宋体" w:hAnsi="宋体" w:cs="宋体" w:eastAsia="宋体" w:hint="default"/>
                <w:sz w:val="18"/>
                <w:szCs w:val="18"/>
              </w:rPr>
            </w:pPr>
            <w:r>
              <w:rPr>
                <w:rFonts w:ascii="宋体" w:hAnsi="宋体" w:cs="宋体" w:eastAsia="宋体" w:hint="default"/>
                <w:sz w:val="18"/>
                <w:szCs w:val="18"/>
              </w:rPr>
              <w:t>吕晓义、匡晓明、何平</w:t>
              <w:tab/>
              <w:t>本公司</w:t>
            </w:r>
          </w:p>
        </w:tc>
        <w:tc>
          <w:tcPr>
            <w:tcW w:w="1436" w:type="dxa"/>
            <w:tcBorders>
              <w:top w:val="nil" w:sz="6" w:space="0" w:color="auto"/>
              <w:left w:val="nil" w:sz="6" w:space="0" w:color="auto"/>
              <w:bottom w:val="single" w:sz="12" w:space="0" w:color="000000"/>
              <w:right w:val="nil" w:sz="6" w:space="0" w:color="auto"/>
            </w:tcBorders>
          </w:tcPr>
          <w:p>
            <w:pPr>
              <w:pStyle w:val="TableParagraph"/>
              <w:spacing w:line="240" w:lineRule="auto" w:before="129"/>
              <w:ind w:right="131"/>
              <w:jc w:val="right"/>
              <w:rPr>
                <w:rFonts w:ascii="Times New Roman" w:hAnsi="Times New Roman" w:cs="Times New Roman" w:eastAsia="Times New Roman" w:hint="default"/>
                <w:sz w:val="18"/>
                <w:szCs w:val="18"/>
              </w:rPr>
            </w:pPr>
            <w:r>
              <w:rPr>
                <w:rFonts w:ascii="Times New Roman"/>
                <w:spacing w:val="-1"/>
                <w:sz w:val="18"/>
              </w:rPr>
              <w:t>5,000,000.00</w:t>
            </w:r>
          </w:p>
        </w:tc>
        <w:tc>
          <w:tcPr>
            <w:tcW w:w="1109" w:type="dxa"/>
            <w:tcBorders>
              <w:top w:val="nil" w:sz="6" w:space="0" w:color="auto"/>
              <w:left w:val="nil" w:sz="6" w:space="0" w:color="auto"/>
              <w:bottom w:val="single" w:sz="12" w:space="0" w:color="000000"/>
              <w:right w:val="nil" w:sz="6" w:space="0" w:color="auto"/>
            </w:tcBorders>
          </w:tcPr>
          <w:p>
            <w:pPr>
              <w:pStyle w:val="TableParagraph"/>
              <w:spacing w:line="240" w:lineRule="auto" w:before="129"/>
              <w:ind w:right="29"/>
              <w:jc w:val="center"/>
              <w:rPr>
                <w:rFonts w:ascii="Times New Roman" w:hAnsi="Times New Roman" w:cs="Times New Roman" w:eastAsia="Times New Roman" w:hint="default"/>
                <w:sz w:val="18"/>
                <w:szCs w:val="18"/>
              </w:rPr>
            </w:pPr>
            <w:r>
              <w:rPr>
                <w:rFonts w:ascii="Times New Roman"/>
                <w:sz w:val="18"/>
              </w:rPr>
              <w:t>2011.2.25</w:t>
            </w:r>
          </w:p>
        </w:tc>
        <w:tc>
          <w:tcPr>
            <w:tcW w:w="1145" w:type="dxa"/>
            <w:tcBorders>
              <w:top w:val="nil" w:sz="6" w:space="0" w:color="auto"/>
              <w:left w:val="nil" w:sz="6" w:space="0" w:color="auto"/>
              <w:bottom w:val="single" w:sz="12" w:space="0" w:color="000000"/>
              <w:right w:val="nil" w:sz="6" w:space="0" w:color="auto"/>
            </w:tcBorders>
          </w:tcPr>
          <w:p>
            <w:pPr>
              <w:pStyle w:val="TableParagraph"/>
              <w:spacing w:line="240" w:lineRule="auto" w:before="129"/>
              <w:ind w:right="12"/>
              <w:jc w:val="center"/>
              <w:rPr>
                <w:rFonts w:ascii="Times New Roman" w:hAnsi="Times New Roman" w:cs="Times New Roman" w:eastAsia="Times New Roman" w:hint="default"/>
                <w:sz w:val="18"/>
                <w:szCs w:val="18"/>
              </w:rPr>
            </w:pPr>
            <w:r>
              <w:rPr>
                <w:rFonts w:ascii="Times New Roman"/>
                <w:sz w:val="18"/>
              </w:rPr>
              <w:t>2011.8.25</w:t>
            </w:r>
          </w:p>
        </w:tc>
        <w:tc>
          <w:tcPr>
            <w:tcW w:w="910" w:type="dxa"/>
            <w:tcBorders>
              <w:top w:val="nil" w:sz="6" w:space="0" w:color="auto"/>
              <w:left w:val="nil" w:sz="6" w:space="0" w:color="auto"/>
              <w:bottom w:val="single" w:sz="12" w:space="0" w:color="000000"/>
              <w:right w:val="nil" w:sz="6" w:space="0" w:color="auto"/>
            </w:tcBorders>
          </w:tcPr>
          <w:p>
            <w:pPr>
              <w:pStyle w:val="TableParagraph"/>
              <w:spacing w:line="240" w:lineRule="auto" w:before="89"/>
              <w:ind w:right="14"/>
              <w:jc w:val="center"/>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0"/>
        <w:rPr>
          <w:rFonts w:ascii="宋体" w:hAnsi="宋体" w:cs="宋体" w:eastAsia="宋体" w:hint="default"/>
          <w:b/>
          <w:bCs/>
          <w:sz w:val="20"/>
          <w:szCs w:val="20"/>
        </w:rPr>
      </w:pPr>
    </w:p>
    <w:p>
      <w:pPr>
        <w:tabs>
          <w:tab w:pos="1533" w:val="left" w:leader="none"/>
        </w:tabs>
        <w:spacing w:before="167"/>
        <w:ind w:left="875" w:right="0" w:firstLine="0"/>
        <w:jc w:val="left"/>
        <w:rPr>
          <w:rFonts w:ascii="宋体" w:hAnsi="宋体" w:cs="宋体" w:eastAsia="宋体" w:hint="default"/>
          <w:sz w:val="21"/>
          <w:szCs w:val="21"/>
        </w:rPr>
      </w:pPr>
      <w:r>
        <w:rPr/>
        <w:pict>
          <v:group style="position:absolute;margin-left:115.559998pt;margin-top:-296.306183pt;width:390.8pt;height:281pt;mso-position-horizontal-relative:page;mso-position-vertical-relative:paragraph;z-index:-770944" coordorigin="2311,-5926" coordsize="7816,5620">
            <v:shape style="position:absolute;left:4397;top:-5926;width:4808;height:1181" type="#_x0000_t75" stroked="false">
              <v:imagedata r:id="rId285" o:title=""/>
            </v:shape>
            <v:shape style="position:absolute;left:2311;top:-4803;width:7816;height:4496" type="#_x0000_t75" stroked="false">
              <v:imagedata r:id="rId286" o:title=""/>
            </v:shape>
            <w10:wrap type="none"/>
          </v:group>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其他关联交易</w:t>
      </w:r>
      <w:r>
        <w:rPr>
          <w:rFonts w:ascii="宋体" w:hAnsi="宋体" w:cs="宋体" w:eastAsia="宋体" w:hint="default"/>
          <w:sz w:val="21"/>
          <w:szCs w:val="21"/>
        </w:rPr>
      </w:r>
    </w:p>
    <w:p>
      <w:pPr>
        <w:spacing w:before="109"/>
        <w:ind w:left="875"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）关键管理人员薪酬</w:t>
      </w:r>
    </w:p>
    <w:p>
      <w:pPr>
        <w:spacing w:line="818" w:lineRule="exact"/>
        <w:ind w:left="807"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391.3pt;height:40.950pt;mso-position-horizontal-relative:char;mso-position-vertical-relative:line" coordorigin="0,0" coordsize="7826,819">
            <v:group style="position:absolute;left:29;top:15;width:7781;height:2" coordorigin="29,15" coordsize="7781,2">
              <v:shape style="position:absolute;left:29;top:15;width:7781;height:2" coordorigin="29,15" coordsize="7781,0" path="m29,15l7810,15e" filled="false" stroked="true" strokeweight="1.5pt" strokecolor="#000000">
                <v:path arrowok="t"/>
              </v:shape>
            </v:group>
            <v:group style="position:absolute;left:15;top:803;width:4353;height:2" coordorigin="15,803" coordsize="4353,2">
              <v:shape style="position:absolute;left:15;top:803;width:4353;height:2" coordorigin="15,803" coordsize="4353,0" path="m15,803l4367,803e" filled="false" stroked="true" strokeweight="1.5pt" strokecolor="#000000">
                <v:path arrowok="t"/>
              </v:shape>
            </v:group>
            <v:group style="position:absolute;left:4367;top:803;width:1720;height:2" coordorigin="4367,803" coordsize="1720,2">
              <v:shape style="position:absolute;left:4367;top:803;width:1720;height:2" coordorigin="4367,803" coordsize="1720,0" path="m4367,803l6087,803e" filled="false" stroked="true" strokeweight="1.5pt" strokecolor="#000000">
                <v:path arrowok="t"/>
              </v:shape>
              <v:shape style="position:absolute;left:10;top:1;width:7814;height:787" type="#_x0000_t75" stroked="false">
                <v:imagedata r:id="rId287" o:title=""/>
              </v:shape>
            </v:group>
            <v:group style="position:absolute;left:6087;top:803;width:1724;height:2" coordorigin="6087,803" coordsize="1724,2">
              <v:shape style="position:absolute;left:6087;top:803;width:1724;height:2" coordorigin="6087,803" coordsize="1724,0" path="m6087,803l7810,803e" filled="false" stroked="true" strokeweight="1.5pt" strokecolor="#000000">
                <v:path arrowok="t"/>
              </v:shape>
              <v:shape style="position:absolute;left:1840;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项目名称</w:t>
                      </w:r>
                    </w:p>
                  </w:txbxContent>
                </v:textbox>
                <w10:wrap type="none"/>
              </v:shape>
              <v:shape style="position:absolute;left:4781;top:12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本年发生额</w:t>
                      </w:r>
                    </w:p>
                  </w:txbxContent>
                </v:textbox>
                <w10:wrap type="none"/>
              </v:shape>
              <v:shape style="position:absolute;left:6500;top:12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上年发生额</w:t>
                      </w:r>
                    </w:p>
                  </w:txbxContent>
                </v:textbox>
                <w10:wrap type="none"/>
              </v:shape>
              <v:shape style="position:absolute;left:137;top:511;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关键管理人员薪酬</w:t>
                      </w:r>
                    </w:p>
                  </w:txbxContent>
                </v:textbox>
                <w10:wrap type="none"/>
              </v:shape>
              <v:shape style="position:absolute;left:5038;top:519;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3,170,521.00</w:t>
                      </w:r>
                    </w:p>
                  </w:txbxContent>
                </v:textbox>
                <w10:wrap type="none"/>
              </v:shape>
              <v:shape style="position:absolute;left:6757;top:51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3,216,600.00</w:t>
                      </w:r>
                    </w:p>
                  </w:txbxContent>
                </v:textbox>
                <w10:wrap type="none"/>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sz w:val="20"/>
          <w:szCs w:val="20"/>
        </w:rPr>
      </w:pPr>
    </w:p>
    <w:p>
      <w:pPr>
        <w:tabs>
          <w:tab w:pos="973" w:val="left" w:leader="none"/>
        </w:tabs>
        <w:spacing w:before="169"/>
        <w:ind w:left="245" w:right="0" w:firstLine="0"/>
        <w:jc w:val="left"/>
        <w:rPr>
          <w:rFonts w:ascii="宋体" w:hAnsi="宋体" w:cs="宋体" w:eastAsia="宋体" w:hint="default"/>
          <w:sz w:val="21"/>
          <w:szCs w:val="21"/>
        </w:rPr>
      </w:pPr>
      <w:r>
        <w:rPr>
          <w:rFonts w:ascii="宋体" w:hAnsi="宋体" w:cs="宋体" w:eastAsia="宋体" w:hint="default"/>
          <w:b/>
          <w:bCs/>
          <w:w w:val="95"/>
          <w:sz w:val="21"/>
          <w:szCs w:val="21"/>
        </w:rPr>
        <w:t>九、</w:t>
        <w:tab/>
      </w:r>
      <w:r>
        <w:rPr>
          <w:rFonts w:ascii="宋体" w:hAnsi="宋体" w:cs="宋体" w:eastAsia="宋体" w:hint="default"/>
          <w:b/>
          <w:bCs/>
          <w:sz w:val="21"/>
          <w:szCs w:val="21"/>
        </w:rPr>
        <w:t>或有事项</w:t>
      </w:r>
      <w:r>
        <w:rPr>
          <w:rFonts w:ascii="宋体" w:hAnsi="宋体" w:cs="宋体" w:eastAsia="宋体" w:hint="default"/>
          <w:sz w:val="21"/>
          <w:szCs w:val="21"/>
        </w:rPr>
      </w:r>
    </w:p>
    <w:p>
      <w:pPr>
        <w:spacing w:before="125"/>
        <w:ind w:left="999" w:right="0" w:firstLine="0"/>
        <w:jc w:val="left"/>
        <w:rPr>
          <w:rFonts w:ascii="宋体" w:hAnsi="宋体" w:cs="宋体" w:eastAsia="宋体" w:hint="default"/>
          <w:sz w:val="21"/>
          <w:szCs w:val="21"/>
        </w:rPr>
      </w:pPr>
      <w:r>
        <w:rPr>
          <w:rFonts w:ascii="宋体" w:hAnsi="宋体" w:cs="宋体" w:eastAsia="宋体" w:hint="default"/>
          <w:sz w:val="21"/>
          <w:szCs w:val="21"/>
        </w:rPr>
        <w:t>本公司无需披露的或有事项。</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tabs>
          <w:tab w:pos="973" w:val="left" w:leader="none"/>
        </w:tabs>
        <w:spacing w:before="0"/>
        <w:ind w:left="245" w:right="0" w:firstLine="0"/>
        <w:jc w:val="left"/>
        <w:rPr>
          <w:rFonts w:ascii="宋体" w:hAnsi="宋体" w:cs="宋体" w:eastAsia="宋体" w:hint="default"/>
          <w:sz w:val="21"/>
          <w:szCs w:val="21"/>
        </w:rPr>
      </w:pPr>
      <w:r>
        <w:rPr>
          <w:rFonts w:ascii="宋体" w:hAnsi="宋体" w:cs="宋体" w:eastAsia="宋体" w:hint="default"/>
          <w:b/>
          <w:bCs/>
          <w:w w:val="95"/>
          <w:sz w:val="21"/>
          <w:szCs w:val="21"/>
        </w:rPr>
        <w:t>十、</w:t>
        <w:tab/>
      </w:r>
      <w:r>
        <w:rPr>
          <w:rFonts w:ascii="宋体" w:hAnsi="宋体" w:cs="宋体" w:eastAsia="宋体" w:hint="default"/>
          <w:b/>
          <w:bCs/>
          <w:sz w:val="21"/>
          <w:szCs w:val="21"/>
        </w:rPr>
        <w:t>承诺事项</w:t>
      </w:r>
      <w:r>
        <w:rPr>
          <w:rFonts w:ascii="宋体" w:hAnsi="宋体" w:cs="宋体" w:eastAsia="宋体" w:hint="default"/>
          <w:sz w:val="21"/>
          <w:szCs w:val="21"/>
        </w:rPr>
      </w:r>
    </w:p>
    <w:p>
      <w:pPr>
        <w:spacing w:before="125"/>
        <w:ind w:left="875" w:right="0" w:firstLine="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日止，根据本公司之子公司长春高琦和吉林高琦已签订的正在</w:t>
      </w:r>
    </w:p>
    <w:p>
      <w:pPr>
        <w:spacing w:before="109"/>
        <w:ind w:left="875" w:right="0" w:firstLine="0"/>
        <w:jc w:val="left"/>
        <w:rPr>
          <w:rFonts w:ascii="宋体" w:hAnsi="宋体" w:cs="宋体" w:eastAsia="宋体" w:hint="default"/>
          <w:sz w:val="21"/>
          <w:szCs w:val="21"/>
        </w:rPr>
      </w:pPr>
      <w:r>
        <w:rPr>
          <w:rFonts w:ascii="宋体" w:hAnsi="宋体" w:cs="宋体" w:eastAsia="宋体" w:hint="default"/>
          <w:sz w:val="21"/>
          <w:szCs w:val="21"/>
        </w:rPr>
        <w:t>或准备履行的大额工程合同和设备购买合同</w:t>
      </w:r>
      <w:r>
        <w:rPr>
          <w:rFonts w:ascii="宋体" w:hAnsi="宋体" w:cs="宋体" w:eastAsia="宋体" w:hint="default"/>
          <w:spacing w:val="-105"/>
          <w:sz w:val="21"/>
          <w:szCs w:val="21"/>
        </w:rPr>
        <w:t>，</w:t>
      </w:r>
      <w:r>
        <w:rPr>
          <w:rFonts w:ascii="宋体" w:hAnsi="宋体" w:cs="宋体" w:eastAsia="宋体" w:hint="default"/>
          <w:spacing w:val="-2"/>
          <w:sz w:val="21"/>
          <w:szCs w:val="21"/>
        </w:rPr>
        <w:t>本</w:t>
      </w:r>
      <w:r>
        <w:rPr>
          <w:rFonts w:ascii="宋体" w:hAnsi="宋体" w:cs="宋体" w:eastAsia="宋体" w:hint="default"/>
          <w:sz w:val="21"/>
          <w:szCs w:val="21"/>
        </w:rPr>
        <w:t>公司尚未支付的金额约为</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万元。</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before="0"/>
        <w:ind w:left="245" w:right="0" w:firstLine="0"/>
        <w:jc w:val="left"/>
        <w:rPr>
          <w:rFonts w:ascii="宋体" w:hAnsi="宋体" w:cs="宋体" w:eastAsia="宋体" w:hint="default"/>
          <w:sz w:val="21"/>
          <w:szCs w:val="21"/>
        </w:rPr>
      </w:pPr>
      <w:r>
        <w:rPr>
          <w:rFonts w:ascii="宋体" w:hAnsi="宋体" w:cs="宋体" w:eastAsia="宋体" w:hint="default"/>
          <w:b/>
          <w:bCs/>
          <w:sz w:val="21"/>
          <w:szCs w:val="21"/>
        </w:rPr>
        <w:t>十一、</w:t>
      </w:r>
      <w:r>
        <w:rPr>
          <w:rFonts w:ascii="宋体" w:hAnsi="宋体" w:cs="宋体" w:eastAsia="宋体" w:hint="default"/>
          <w:b/>
          <w:bCs/>
          <w:spacing w:val="-11"/>
          <w:sz w:val="21"/>
          <w:szCs w:val="21"/>
        </w:rPr>
        <w:t> </w:t>
      </w:r>
      <w:r>
        <w:rPr>
          <w:rFonts w:ascii="宋体" w:hAnsi="宋体" w:cs="宋体" w:eastAsia="宋体" w:hint="default"/>
          <w:b/>
          <w:bCs/>
          <w:sz w:val="21"/>
          <w:szCs w:val="21"/>
        </w:rPr>
        <w:t>资产负债表日后事项</w:t>
      </w:r>
      <w:r>
        <w:rPr>
          <w:rFonts w:ascii="宋体" w:hAnsi="宋体" w:cs="宋体" w:eastAsia="宋体" w:hint="default"/>
          <w:sz w:val="21"/>
          <w:szCs w:val="21"/>
        </w:rPr>
      </w:r>
    </w:p>
    <w:p>
      <w:pPr>
        <w:spacing w:before="125"/>
        <w:ind w:left="875" w:right="0" w:firstLine="0"/>
        <w:jc w:val="left"/>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w:t>
      </w:r>
    </w:p>
    <w:p>
      <w:pPr>
        <w:tabs>
          <w:tab w:pos="973" w:val="left" w:leader="none"/>
        </w:tabs>
        <w:spacing w:before="126"/>
        <w:ind w:left="24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资产负债表日后利润分配情况说明</w:t>
      </w:r>
      <w:r>
        <w:rPr>
          <w:rFonts w:ascii="宋体" w:hAnsi="宋体" w:cs="宋体" w:eastAsia="宋体" w:hint="default"/>
          <w:sz w:val="21"/>
          <w:szCs w:val="21"/>
        </w:rPr>
      </w:r>
    </w:p>
    <w:p>
      <w:pPr>
        <w:spacing w:before="109"/>
        <w:ind w:left="87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18 </w:t>
      </w:r>
      <w:r>
        <w:rPr>
          <w:rFonts w:ascii="宋体" w:hAnsi="宋体" w:cs="宋体" w:eastAsia="宋体" w:hint="default"/>
          <w:spacing w:val="-3"/>
          <w:sz w:val="21"/>
          <w:szCs w:val="21"/>
        </w:rPr>
        <w:t>日，本公司召开的第四届董事会第三次会议审议通过了《</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年度利</w:t>
      </w:r>
    </w:p>
    <w:p>
      <w:pPr>
        <w:spacing w:before="109"/>
        <w:ind w:left="875" w:right="0" w:firstLine="0"/>
        <w:jc w:val="left"/>
        <w:rPr>
          <w:rFonts w:ascii="宋体" w:hAnsi="宋体" w:cs="宋体" w:eastAsia="宋体" w:hint="default"/>
          <w:sz w:val="21"/>
          <w:szCs w:val="21"/>
        </w:rPr>
      </w:pPr>
      <w:r>
        <w:rPr>
          <w:rFonts w:ascii="宋体" w:hAnsi="宋体" w:cs="宋体" w:eastAsia="宋体" w:hint="default"/>
          <w:sz w:val="21"/>
          <w:szCs w:val="21"/>
        </w:rPr>
        <w:t>润分配预案及资本公积转增股本预案》，公司拟以</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年末总股本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63,092.064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万股</w:t>
      </w:r>
    </w:p>
    <w:p>
      <w:pPr>
        <w:spacing w:before="110"/>
        <w:ind w:left="875" w:right="0" w:firstLine="0"/>
        <w:jc w:val="left"/>
        <w:rPr>
          <w:rFonts w:ascii="宋体" w:hAnsi="宋体" w:cs="宋体" w:eastAsia="宋体" w:hint="default"/>
          <w:sz w:val="21"/>
          <w:szCs w:val="21"/>
        </w:rPr>
      </w:pPr>
      <w:r>
        <w:rPr>
          <w:rFonts w:ascii="宋体" w:hAnsi="宋体" w:cs="宋体" w:eastAsia="宋体" w:hint="default"/>
          <w:sz w:val="21"/>
          <w:szCs w:val="21"/>
        </w:rPr>
        <w:t>为基数，以资本公积金转增股本，向全体股东每</w:t>
      </w:r>
      <w:r>
        <w:rPr>
          <w:rFonts w:ascii="宋体" w:hAnsi="宋体" w:cs="宋体" w:eastAsia="宋体" w:hint="default"/>
          <w:spacing w:val="-3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股转增</w:t>
      </w:r>
      <w:r>
        <w:rPr>
          <w:rFonts w:ascii="宋体" w:hAnsi="宋体" w:cs="宋体" w:eastAsia="宋体" w:hint="default"/>
          <w:spacing w:val="-34"/>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股，同时向全体股东</w:t>
      </w:r>
    </w:p>
    <w:p>
      <w:pPr>
        <w:spacing w:before="109"/>
        <w:ind w:left="875" w:right="0" w:firstLine="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 </w:t>
      </w:r>
      <w:r>
        <w:rPr>
          <w:rFonts w:ascii="宋体" w:hAnsi="宋体" w:cs="宋体" w:eastAsia="宋体" w:hint="default"/>
          <w:sz w:val="21"/>
          <w:szCs w:val="21"/>
        </w:rPr>
        <w:t>股送</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股，并派发现金股利</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0.035</w:t>
      </w:r>
      <w:r>
        <w:rPr>
          <w:rFonts w:ascii="Times New Roman" w:hAnsi="Times New Roman" w:cs="Times New Roman" w:eastAsia="Times New Roman" w:hint="default"/>
          <w:spacing w:val="1"/>
          <w:sz w:val="21"/>
          <w:szCs w:val="21"/>
        </w:rPr>
        <w:t> </w:t>
      </w:r>
      <w:r>
        <w:rPr>
          <w:rFonts w:ascii="宋体" w:hAnsi="宋体" w:cs="宋体" w:eastAsia="宋体" w:hint="default"/>
          <w:spacing w:val="-5"/>
          <w:sz w:val="21"/>
          <w:szCs w:val="21"/>
        </w:rPr>
        <w:t>元人民币（含税）。以上方案实施后，公司</w:t>
      </w:r>
    </w:p>
    <w:p>
      <w:pPr>
        <w:spacing w:after="0"/>
        <w:jc w:val="left"/>
        <w:rPr>
          <w:rFonts w:ascii="宋体" w:hAnsi="宋体" w:cs="宋体" w:eastAsia="宋体" w:hint="default"/>
          <w:sz w:val="21"/>
          <w:szCs w:val="21"/>
        </w:rPr>
        <w:sectPr>
          <w:pgSz w:w="11910" w:h="16840"/>
          <w:pgMar w:header="0" w:footer="1270" w:top="1360" w:bottom="1460" w:left="1540" w:right="1580"/>
        </w:sectPr>
      </w:pPr>
    </w:p>
    <w:p>
      <w:pPr>
        <w:spacing w:line="240" w:lineRule="auto" w:before="0"/>
        <w:rPr>
          <w:rFonts w:ascii="宋体" w:hAnsi="宋体" w:cs="宋体" w:eastAsia="宋体" w:hint="default"/>
          <w:sz w:val="10"/>
          <w:szCs w:val="10"/>
        </w:rPr>
      </w:pPr>
    </w:p>
    <w:p>
      <w:pPr>
        <w:spacing w:before="35"/>
        <w:ind w:left="875" w:right="0" w:firstLine="0"/>
        <w:jc w:val="both"/>
        <w:rPr>
          <w:rFonts w:ascii="宋体" w:hAnsi="宋体" w:cs="宋体" w:eastAsia="宋体" w:hint="default"/>
          <w:sz w:val="21"/>
          <w:szCs w:val="21"/>
        </w:rPr>
      </w:pPr>
      <w:r>
        <w:rPr>
          <w:rFonts w:ascii="宋体" w:hAnsi="宋体" w:cs="宋体" w:eastAsia="宋体" w:hint="default"/>
          <w:spacing w:val="23"/>
          <w:sz w:val="21"/>
          <w:szCs w:val="21"/>
        </w:rPr>
        <w:t>总股本由</w:t>
      </w:r>
      <w:r>
        <w:rPr>
          <w:rFonts w:ascii="宋体" w:hAnsi="宋体" w:cs="宋体" w:eastAsia="宋体" w:hint="default"/>
          <w:spacing w:val="31"/>
          <w:sz w:val="21"/>
          <w:szCs w:val="21"/>
        </w:rPr>
        <w:t> </w:t>
      </w:r>
      <w:r>
        <w:rPr>
          <w:rFonts w:ascii="Times New Roman" w:hAnsi="Times New Roman" w:cs="Times New Roman" w:eastAsia="Times New Roman" w:hint="default"/>
          <w:sz w:val="21"/>
          <w:szCs w:val="21"/>
        </w:rPr>
        <w:t>63,092.06 </w:t>
      </w:r>
      <w:r>
        <w:rPr>
          <w:rFonts w:ascii="Times New Roman" w:hAnsi="Times New Roman" w:cs="Times New Roman" w:eastAsia="Times New Roman" w:hint="default"/>
          <w:spacing w:val="31"/>
          <w:sz w:val="21"/>
          <w:szCs w:val="21"/>
        </w:rPr>
        <w:t> </w:t>
      </w:r>
      <w:r>
        <w:rPr>
          <w:rFonts w:ascii="宋体" w:hAnsi="宋体" w:cs="宋体" w:eastAsia="宋体" w:hint="default"/>
          <w:spacing w:val="24"/>
          <w:sz w:val="21"/>
          <w:szCs w:val="21"/>
        </w:rPr>
        <w:t>万股增加到</w:t>
      </w:r>
      <w:r>
        <w:rPr>
          <w:rFonts w:ascii="宋体" w:hAnsi="宋体" w:cs="宋体" w:eastAsia="宋体" w:hint="default"/>
          <w:spacing w:val="31"/>
          <w:sz w:val="21"/>
          <w:szCs w:val="21"/>
        </w:rPr>
        <w:t> </w:t>
      </w:r>
      <w:r>
        <w:rPr>
          <w:rFonts w:ascii="Times New Roman" w:hAnsi="Times New Roman" w:cs="Times New Roman" w:eastAsia="Times New Roman" w:hint="default"/>
          <w:sz w:val="21"/>
          <w:szCs w:val="21"/>
        </w:rPr>
        <w:t>75,710.48 </w:t>
      </w:r>
      <w:r>
        <w:rPr>
          <w:rFonts w:ascii="Times New Roman" w:hAnsi="Times New Roman" w:cs="Times New Roman" w:eastAsia="Times New Roman" w:hint="default"/>
          <w:spacing w:val="31"/>
          <w:sz w:val="21"/>
          <w:szCs w:val="21"/>
        </w:rPr>
        <w:t> </w:t>
      </w:r>
      <w:r>
        <w:rPr>
          <w:rFonts w:ascii="宋体" w:hAnsi="宋体" w:cs="宋体" w:eastAsia="宋体" w:hint="default"/>
          <w:spacing w:val="23"/>
          <w:sz w:val="21"/>
          <w:szCs w:val="21"/>
        </w:rPr>
        <w:t>万股。母</w:t>
      </w:r>
      <w:r>
        <w:rPr>
          <w:rFonts w:ascii="宋体" w:hAnsi="宋体" w:cs="宋体" w:eastAsia="宋体" w:hint="default"/>
          <w:spacing w:val="-73"/>
          <w:sz w:val="21"/>
          <w:szCs w:val="21"/>
        </w:rPr>
        <w:t> </w:t>
      </w:r>
      <w:r>
        <w:rPr>
          <w:rFonts w:ascii="宋体" w:hAnsi="宋体" w:cs="宋体" w:eastAsia="宋体" w:hint="default"/>
          <w:spacing w:val="15"/>
          <w:sz w:val="21"/>
          <w:szCs w:val="21"/>
        </w:rPr>
        <w:t>公司</w:t>
      </w:r>
      <w:r>
        <w:rPr>
          <w:rFonts w:ascii="宋体" w:hAnsi="宋体" w:cs="宋体" w:eastAsia="宋体" w:hint="default"/>
          <w:spacing w:val="-73"/>
          <w:sz w:val="21"/>
          <w:szCs w:val="21"/>
        </w:rPr>
        <w:t> </w:t>
      </w:r>
      <w:r>
        <w:rPr>
          <w:rFonts w:ascii="宋体" w:hAnsi="宋体" w:cs="宋体" w:eastAsia="宋体" w:hint="default"/>
          <w:spacing w:val="20"/>
          <w:sz w:val="21"/>
          <w:szCs w:val="21"/>
        </w:rPr>
        <w:t>剩余资</w:t>
      </w:r>
      <w:r>
        <w:rPr>
          <w:rFonts w:ascii="宋体" w:hAnsi="宋体" w:cs="宋体" w:eastAsia="宋体" w:hint="default"/>
          <w:spacing w:val="-73"/>
          <w:sz w:val="21"/>
          <w:szCs w:val="21"/>
        </w:rPr>
        <w:t> </w:t>
      </w:r>
      <w:r>
        <w:rPr>
          <w:rFonts w:ascii="宋体" w:hAnsi="宋体" w:cs="宋体" w:eastAsia="宋体" w:hint="default"/>
          <w:spacing w:val="15"/>
          <w:sz w:val="21"/>
          <w:szCs w:val="21"/>
        </w:rPr>
        <w:t>本公</w:t>
      </w:r>
      <w:r>
        <w:rPr>
          <w:rFonts w:ascii="宋体" w:hAnsi="宋体" w:cs="宋体" w:eastAsia="宋体" w:hint="default"/>
          <w:spacing w:val="-73"/>
          <w:sz w:val="21"/>
          <w:szCs w:val="21"/>
        </w:rPr>
        <w:t> </w:t>
      </w:r>
      <w:r>
        <w:rPr>
          <w:rFonts w:ascii="宋体" w:hAnsi="宋体" w:cs="宋体" w:eastAsia="宋体" w:hint="default"/>
          <w:spacing w:val="20"/>
          <w:sz w:val="21"/>
          <w:szCs w:val="21"/>
        </w:rPr>
        <w:t>积金为</w:t>
      </w:r>
      <w:r>
        <w:rPr>
          <w:rFonts w:ascii="宋体" w:hAnsi="宋体" w:cs="宋体" w:eastAsia="宋体" w:hint="default"/>
          <w:spacing w:val="-74"/>
          <w:sz w:val="21"/>
          <w:szCs w:val="21"/>
        </w:rPr>
        <w:t> </w:t>
      </w:r>
      <w:r>
        <w:rPr>
          <w:rFonts w:ascii="宋体" w:hAnsi="宋体" w:cs="宋体" w:eastAsia="宋体" w:hint="default"/>
          <w:sz w:val="21"/>
          <w:szCs w:val="21"/>
        </w:rPr>
      </w:r>
    </w:p>
    <w:p>
      <w:pPr>
        <w:spacing w:before="109"/>
        <w:ind w:left="875"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8,874,070.59</w:t>
      </w:r>
      <w:r>
        <w:rPr>
          <w:rFonts w:ascii="Times New Roman" w:hAnsi="Times New Roman" w:cs="Times New Roman" w:eastAsia="Times New Roman" w:hint="default"/>
          <w:spacing w:val="46"/>
          <w:sz w:val="21"/>
          <w:szCs w:val="21"/>
        </w:rPr>
        <w:t> </w:t>
      </w:r>
      <w:r>
        <w:rPr>
          <w:rFonts w:ascii="宋体" w:hAnsi="宋体" w:cs="宋体" w:eastAsia="宋体" w:hint="default"/>
          <w:sz w:val="21"/>
          <w:szCs w:val="21"/>
        </w:rPr>
        <w:t>元，结转下一年度。</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973" w:val="left" w:leader="none"/>
        </w:tabs>
        <w:spacing w:before="0"/>
        <w:ind w:left="24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其他资产负债表日后事项说明</w:t>
      </w:r>
      <w:r>
        <w:rPr>
          <w:rFonts w:ascii="宋体" w:hAnsi="宋体" w:cs="宋体" w:eastAsia="宋体" w:hint="default"/>
          <w:sz w:val="21"/>
          <w:szCs w:val="21"/>
        </w:rPr>
      </w:r>
    </w:p>
    <w:p>
      <w:pPr>
        <w:spacing w:before="109"/>
        <w:ind w:left="875"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、对外担保</w:t>
      </w:r>
    </w:p>
    <w:p>
      <w:pPr>
        <w:spacing w:line="343" w:lineRule="auto" w:before="110"/>
        <w:ind w:left="875" w:right="206"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月</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日本公司召开第三届董事会第三十次会议，审议通过了《关于为控股 </w:t>
      </w:r>
      <w:r>
        <w:rPr>
          <w:rFonts w:ascii="宋体" w:hAnsi="宋体" w:cs="宋体" w:eastAsia="宋体" w:hint="default"/>
          <w:spacing w:val="9"/>
          <w:sz w:val="21"/>
          <w:szCs w:val="21"/>
        </w:rPr>
        <w:t>子公司长春董事会决议公告高琦及其全资子公司吉林高琦提供贷款担保额度的议</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pacing w:val="-3"/>
          <w:sz w:val="21"/>
          <w:szCs w:val="21"/>
        </w:rPr>
        <w:t>案》；会议同意为控股子公司长春高琦及其全资子公司吉林高琦提供贷款担保额度分</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别不超过人民币 </w:t>
      </w:r>
      <w:r>
        <w:rPr>
          <w:rFonts w:ascii="Times New Roman" w:hAnsi="Times New Roman" w:cs="Times New Roman" w:eastAsia="Times New Roman" w:hint="default"/>
          <w:sz w:val="21"/>
          <w:szCs w:val="21"/>
        </w:rPr>
        <w:t>2500</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万元，期限两年。</w:t>
      </w:r>
    </w:p>
    <w:p>
      <w:pPr>
        <w:spacing w:before="9"/>
        <w:ind w:left="875"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、重大银行授信</w:t>
      </w:r>
    </w:p>
    <w:p>
      <w:pPr>
        <w:spacing w:line="343" w:lineRule="auto" w:before="109"/>
        <w:ind w:left="875" w:right="217"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月</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日本公司召开第三届董事会第三十次会议，审议通过了《关于向中国 </w:t>
      </w:r>
      <w:r>
        <w:rPr>
          <w:rFonts w:ascii="宋体" w:hAnsi="宋体" w:cs="宋体" w:eastAsia="宋体" w:hint="default"/>
          <w:spacing w:val="-3"/>
          <w:sz w:val="21"/>
          <w:szCs w:val="21"/>
        </w:rPr>
        <w:t>工商银行股份有限公司深圳坪山支行申请综合授信额度的议案》；公司董事会同意因</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3"/>
          <w:sz w:val="21"/>
          <w:szCs w:val="21"/>
        </w:rPr>
        <w:t>公司发展需要，向中国工商银行股份有限公司深圳坪山支行申请综合授信额度人民币</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Times New Roman" w:hAnsi="Times New Roman" w:cs="Times New Roman" w:eastAsia="Times New Roman" w:hint="default"/>
          <w:sz w:val="21"/>
          <w:szCs w:val="21"/>
        </w:rPr>
        <w:t>7000</w:t>
      </w:r>
      <w:r>
        <w:rPr>
          <w:rFonts w:ascii="Times New Roman" w:hAnsi="Times New Roman" w:cs="Times New Roman" w:eastAsia="Times New Roman" w:hint="default"/>
          <w:spacing w:val="49"/>
          <w:sz w:val="21"/>
          <w:szCs w:val="21"/>
        </w:rPr>
        <w:t> </w:t>
      </w:r>
      <w:r>
        <w:rPr>
          <w:rFonts w:ascii="宋体" w:hAnsi="宋体" w:cs="宋体" w:eastAsia="宋体" w:hint="default"/>
          <w:sz w:val="21"/>
          <w:szCs w:val="21"/>
        </w:rPr>
        <w:t>万元。有效期为一年。</w:t>
      </w:r>
    </w:p>
    <w:p>
      <w:pPr>
        <w:spacing w:before="10"/>
        <w:ind w:left="875"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、子公司股权结构调整</w:t>
      </w:r>
    </w:p>
    <w:p>
      <w:pPr>
        <w:spacing w:line="336" w:lineRule="auto" w:before="109"/>
        <w:ind w:left="875" w:right="99"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日本公司召开第四届董事会第二次会议，审议通过了《北京高航复合 </w:t>
      </w:r>
      <w:r>
        <w:rPr>
          <w:rFonts w:ascii="宋体" w:hAnsi="宋体" w:cs="宋体" w:eastAsia="宋体" w:hint="default"/>
          <w:spacing w:val="-3"/>
          <w:sz w:val="21"/>
          <w:szCs w:val="21"/>
        </w:rPr>
        <w:t>材料有限公司股权调整方案》，根据该议案本公司拟对北京高航股权结构进行调整，</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本公司将所持有</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63%</w:t>
      </w:r>
      <w:r>
        <w:rPr>
          <w:rFonts w:ascii="宋体" w:hAnsi="宋体" w:cs="宋体" w:eastAsia="宋体" w:hint="default"/>
          <w:sz w:val="21"/>
          <w:szCs w:val="21"/>
        </w:rPr>
        <w:t>股权原价转让给长春高琦，何峰将所持有的</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30%</w:t>
      </w:r>
      <w:r>
        <w:rPr>
          <w:rFonts w:ascii="宋体" w:hAnsi="宋体" w:cs="宋体" w:eastAsia="宋体" w:hint="default"/>
          <w:sz w:val="21"/>
          <w:szCs w:val="21"/>
        </w:rPr>
        <w:t>股权原价转让， 其中</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29%</w:t>
      </w:r>
      <w:r>
        <w:rPr>
          <w:rFonts w:ascii="宋体" w:hAnsi="宋体" w:cs="宋体" w:eastAsia="宋体" w:hint="default"/>
          <w:sz w:val="21"/>
          <w:szCs w:val="21"/>
        </w:rPr>
        <w:t>转让给长春高琦，</w:t>
      </w:r>
      <w:r>
        <w:rPr>
          <w:rFonts w:ascii="Times New Roman" w:hAnsi="Times New Roman" w:cs="Times New Roman" w:eastAsia="Times New Roman" w:hint="default"/>
          <w:sz w:val="21"/>
          <w:szCs w:val="21"/>
        </w:rPr>
        <w:t>1%</w:t>
      </w:r>
      <w:r>
        <w:rPr>
          <w:rFonts w:ascii="宋体" w:hAnsi="宋体" w:cs="宋体" w:eastAsia="宋体" w:hint="default"/>
          <w:sz w:val="21"/>
          <w:szCs w:val="21"/>
        </w:rPr>
        <w:t>转让给丁孟贤。</w:t>
      </w:r>
    </w:p>
    <w:p>
      <w:pPr>
        <w:spacing w:before="16"/>
        <w:ind w:left="875"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、高新技术企业资格认证</w:t>
      </w:r>
    </w:p>
    <w:p>
      <w:pPr>
        <w:spacing w:line="336" w:lineRule="auto" w:before="110"/>
        <w:ind w:left="875" w:right="215" w:firstLine="0"/>
        <w:jc w:val="both"/>
        <w:rPr>
          <w:rFonts w:ascii="宋体" w:hAnsi="宋体" w:cs="宋体" w:eastAsia="宋体" w:hint="default"/>
          <w:sz w:val="21"/>
          <w:szCs w:val="21"/>
        </w:rPr>
      </w:pPr>
      <w:r>
        <w:rPr>
          <w:rFonts w:ascii="宋体" w:hAnsi="宋体" w:cs="宋体" w:eastAsia="宋体" w:hint="default"/>
          <w:sz w:val="21"/>
          <w:szCs w:val="21"/>
        </w:rPr>
        <w:t>本公司</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月收到深圳市科技工贸和信息化委员会、深圳市财政委员会、深圳 </w:t>
      </w:r>
      <w:r>
        <w:rPr>
          <w:rFonts w:ascii="宋体" w:hAnsi="宋体" w:cs="宋体" w:eastAsia="宋体" w:hint="default"/>
          <w:spacing w:val="-3"/>
          <w:sz w:val="21"/>
          <w:szCs w:val="21"/>
        </w:rPr>
        <w:t>市国家税务局、深圳市地方税务局联合下发的《高新技术企业证书》，高新技术企业</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证书编号为</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GF201144200187</w:t>
      </w:r>
      <w:r>
        <w:rPr>
          <w:rFonts w:ascii="宋体" w:hAnsi="宋体" w:cs="宋体" w:eastAsia="宋体" w:hint="default"/>
          <w:sz w:val="21"/>
          <w:szCs w:val="21"/>
        </w:rPr>
        <w:t>，有效期为三年。根据相关规定，本公司在获得高新技 术企业认定资格后三年内（含</w:t>
      </w:r>
      <w:r>
        <w:rPr>
          <w:rFonts w:ascii="宋体" w:hAnsi="宋体" w:cs="宋体" w:eastAsia="宋体" w:hint="default"/>
          <w:spacing w:val="-50"/>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pacing w:val="-16"/>
          <w:sz w:val="21"/>
          <w:szCs w:val="21"/>
        </w:rPr>
        <w:t>年），所得税按</w:t>
      </w:r>
      <w:r>
        <w:rPr>
          <w:rFonts w:ascii="宋体" w:hAnsi="宋体" w:cs="宋体" w:eastAsia="宋体" w:hint="default"/>
          <w:spacing w:val="-50"/>
          <w:sz w:val="21"/>
          <w:szCs w:val="21"/>
        </w:rPr>
        <w:t> </w:t>
      </w:r>
      <w:r>
        <w:rPr>
          <w:rFonts w:ascii="Times New Roman" w:hAnsi="Times New Roman" w:cs="Times New Roman" w:eastAsia="Times New Roman" w:hint="default"/>
          <w:spacing w:val="-1"/>
          <w:sz w:val="21"/>
          <w:szCs w:val="21"/>
        </w:rPr>
        <w:t>15%</w:t>
      </w:r>
      <w:r>
        <w:rPr>
          <w:rFonts w:ascii="宋体" w:hAnsi="宋体" w:cs="宋体" w:eastAsia="宋体" w:hint="default"/>
          <w:spacing w:val="-1"/>
          <w:sz w:val="21"/>
          <w:szCs w:val="21"/>
        </w:rPr>
        <w:t>征收。</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8"/>
          <w:szCs w:val="18"/>
        </w:rPr>
      </w:pPr>
    </w:p>
    <w:p>
      <w:pPr>
        <w:spacing w:before="0"/>
        <w:ind w:left="245" w:right="0" w:firstLine="0"/>
        <w:jc w:val="left"/>
        <w:rPr>
          <w:rFonts w:ascii="宋体" w:hAnsi="宋体" w:cs="宋体" w:eastAsia="宋体" w:hint="default"/>
          <w:sz w:val="21"/>
          <w:szCs w:val="21"/>
        </w:rPr>
      </w:pPr>
      <w:r>
        <w:rPr>
          <w:rFonts w:ascii="宋体" w:hAnsi="宋体" w:cs="宋体" w:eastAsia="宋体" w:hint="default"/>
          <w:b/>
          <w:bCs/>
          <w:sz w:val="21"/>
          <w:szCs w:val="21"/>
        </w:rPr>
        <w:t>十二、</w:t>
      </w:r>
      <w:r>
        <w:rPr>
          <w:rFonts w:ascii="宋体" w:hAnsi="宋体" w:cs="宋体" w:eastAsia="宋体" w:hint="default"/>
          <w:b/>
          <w:bCs/>
          <w:spacing w:val="-12"/>
          <w:sz w:val="21"/>
          <w:szCs w:val="21"/>
        </w:rPr>
        <w:t> </w:t>
      </w:r>
      <w:r>
        <w:rPr>
          <w:rFonts w:ascii="宋体" w:hAnsi="宋体" w:cs="宋体" w:eastAsia="宋体" w:hint="default"/>
          <w:b/>
          <w:bCs/>
          <w:sz w:val="21"/>
          <w:szCs w:val="21"/>
        </w:rPr>
        <w:t>其他重要事项说明</w:t>
      </w:r>
      <w:r>
        <w:rPr>
          <w:rFonts w:ascii="宋体" w:hAnsi="宋体" w:cs="宋体" w:eastAsia="宋体" w:hint="default"/>
          <w:sz w:val="21"/>
          <w:szCs w:val="21"/>
        </w:rPr>
      </w:r>
    </w:p>
    <w:p>
      <w:pPr>
        <w:tabs>
          <w:tab w:pos="973" w:val="left" w:leader="none"/>
        </w:tabs>
        <w:spacing w:before="125"/>
        <w:ind w:left="24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租赁</w:t>
      </w:r>
      <w:r>
        <w:rPr>
          <w:rFonts w:ascii="宋体" w:hAnsi="宋体" w:cs="宋体" w:eastAsia="宋体" w:hint="default"/>
          <w:sz w:val="21"/>
          <w:szCs w:val="21"/>
        </w:rPr>
      </w:r>
    </w:p>
    <w:p>
      <w:pPr>
        <w:tabs>
          <w:tab w:pos="1414" w:val="left" w:leader="none"/>
        </w:tabs>
        <w:spacing w:line="331" w:lineRule="auto" w:before="109"/>
        <w:ind w:left="1340" w:right="4712" w:hanging="465"/>
        <w:jc w:val="left"/>
        <w:rPr>
          <w:rFonts w:ascii="宋体" w:hAnsi="宋体" w:cs="宋体" w:eastAsia="宋体" w:hint="default"/>
          <w:sz w:val="21"/>
          <w:szCs w:val="21"/>
        </w:rPr>
      </w:pPr>
      <w:r>
        <w:rPr/>
        <w:pict>
          <v:group style="position:absolute;margin-left:87.150002pt;margin-top:40.804829pt;width:414.95pt;height:80.55pt;mso-position-horizontal-relative:page;mso-position-vertical-relative:paragraph;z-index:-770704" coordorigin="1743,816" coordsize="8299,1611">
            <v:group style="position:absolute;left:1772;top:831;width:8250;height:2" coordorigin="1772,831" coordsize="8250,2">
              <v:shape style="position:absolute;left:1772;top:831;width:8250;height:2" coordorigin="1772,831" coordsize="8250,0" path="m1772,831l10022,831e" filled="false" stroked="true" strokeweight="1.5pt" strokecolor="#000000">
                <v:path arrowok="t"/>
              </v:shape>
              <v:shape style="position:absolute;left:4753;top:827;width:2936;height:548" type="#_x0000_t75" stroked="false">
                <v:imagedata r:id="rId288" o:title=""/>
              </v:shape>
            </v:group>
            <v:group style="position:absolute;left:1758;top:2411;width:3015;height:2" coordorigin="1758,2411" coordsize="3015,2">
              <v:shape style="position:absolute;left:1758;top:2411;width:3015;height:2" coordorigin="1758,2411" coordsize="3015,0" path="m1758,2411l4772,2411e" filled="false" stroked="true" strokeweight="1.5pt" strokecolor="#000000">
                <v:path arrowok="t"/>
              </v:shape>
              <v:shape style="position:absolute;left:1744;top:1337;width:8298;height:1079" type="#_x0000_t75" stroked="false">
                <v:imagedata r:id="rId289" o:title=""/>
              </v:shape>
            </v:group>
            <v:group style="position:absolute;left:4772;top:2411;width:2889;height:2" coordorigin="4772,2411" coordsize="2889,2">
              <v:shape style="position:absolute;left:4772;top:2411;width:2889;height:2" coordorigin="4772,2411" coordsize="2889,0" path="m4772,2411l7661,2411e" filled="false" stroked="true" strokeweight="1.5pt" strokecolor="#000000">
                <v:path arrowok="t"/>
              </v:shape>
              <v:shape style="position:absolute;left:7642;top:1866;width:48;height:550" type="#_x0000_t75" stroked="false">
                <v:imagedata r:id="rId290" o:title=""/>
              </v:shape>
            </v:group>
            <v:group style="position:absolute;left:7661;top:2411;width:2362;height:2" coordorigin="7661,2411" coordsize="2362,2">
              <v:shape style="position:absolute;left:7661;top:2411;width:2362;height:2" coordorigin="7661,2411" coordsize="2362,0" path="m7661,2411l10022,2411e" filled="false" stroked="true" strokeweight="1.5pt" strokecolor="#000000">
                <v:path arrowok="t"/>
              </v:shape>
              <v:shape style="position:absolute;left:2372;top:1019;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经营租赁租出资产类别</w:t>
                      </w:r>
                    </w:p>
                  </w:txbxContent>
                </v:textbox>
                <w10:wrap type="none"/>
              </v:shape>
              <v:shape style="position:absolute;left:5681;top:101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年末账面价值</w:t>
                      </w:r>
                    </w:p>
                  </w:txbxContent>
                </v:textbox>
                <w10:wrap type="none"/>
              </v:shape>
              <v:shape style="position:absolute;left:8304;top:101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年初账面价值</w:t>
                      </w:r>
                    </w:p>
                  </w:txbxContent>
                </v:textbox>
                <w10:wrap type="none"/>
              </v:shape>
              <v:shape style="position:absolute;left:1798;top:153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房屋建筑物</w:t>
                      </w:r>
                    </w:p>
                  </w:txbxContent>
                </v:textbox>
                <w10:wrap type="none"/>
              </v:shape>
              <v:shape style="position:absolute;left:6692;top:153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7,720,727.05</w:t>
                      </w:r>
                    </w:p>
                  </w:txbxContent>
                </v:textbox>
                <w10:wrap type="none"/>
              </v:shape>
              <v:shape style="position:absolute;left:9050;top:153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8,221,192.45</w:t>
                      </w:r>
                    </w:p>
                  </w:txbxContent>
                </v:textbox>
                <w10:wrap type="none"/>
              </v:shape>
              <v:shape style="position:absolute;left:3094;top:205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6692;top:205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7,720,727.05</w:t>
                      </w:r>
                    </w:p>
                  </w:txbxContent>
                </v:textbox>
                <w10:wrap type="none"/>
              </v:shape>
              <v:shape style="position:absolute;left:9050;top:205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8,221,192.45</w:t>
                      </w:r>
                    </w:p>
                  </w:txbxContent>
                </v:textbox>
                <w10:wrap type="non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经营租赁租出</w:t>
      </w:r>
      <w:r>
        <w:rPr>
          <w:rFonts w:ascii="宋体" w:hAnsi="宋体" w:cs="宋体" w:eastAsia="宋体" w:hint="default"/>
          <w:b/>
          <w:bCs/>
          <w:w w:val="99"/>
          <w:sz w:val="21"/>
          <w:szCs w:val="21"/>
        </w:rPr>
        <w:t> </w:t>
      </w:r>
      <w:r>
        <w:rPr>
          <w:rFonts w:ascii="宋体" w:hAnsi="宋体" w:cs="宋体" w:eastAsia="宋体" w:hint="default"/>
          <w:sz w:val="21"/>
          <w:szCs w:val="21"/>
        </w:rPr>
        <w:t>本公司各类租出资产情况如下</w:t>
      </w:r>
    </w:p>
    <w:p>
      <w:pPr>
        <w:spacing w:after="0" w:line="331" w:lineRule="auto"/>
        <w:jc w:val="left"/>
        <w:rPr>
          <w:rFonts w:ascii="宋体" w:hAnsi="宋体" w:cs="宋体" w:eastAsia="宋体" w:hint="default"/>
          <w:sz w:val="21"/>
          <w:szCs w:val="21"/>
        </w:rPr>
        <w:sectPr>
          <w:pgSz w:w="11910" w:h="16840"/>
          <w:pgMar w:header="0" w:footer="1270" w:top="1360" w:bottom="1460" w:left="1540" w:right="158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0"/>
          <w:szCs w:val="20"/>
        </w:rPr>
      </w:pPr>
    </w:p>
    <w:p>
      <w:pPr>
        <w:tabs>
          <w:tab w:pos="974" w:val="left" w:leader="none"/>
        </w:tabs>
        <w:spacing w:before="35"/>
        <w:ind w:left="245" w:right="194" w:firstLine="0"/>
        <w:jc w:val="left"/>
        <w:rPr>
          <w:rFonts w:ascii="宋体" w:hAnsi="宋体" w:cs="宋体" w:eastAsia="宋体" w:hint="default"/>
          <w:sz w:val="21"/>
          <w:szCs w:val="21"/>
        </w:rPr>
      </w:pPr>
      <w:r>
        <w:rPr>
          <w:rFonts w:ascii="宋体" w:hAnsi="宋体" w:cs="宋体" w:eastAsia="宋体" w:hint="default"/>
          <w:b/>
          <w:bCs/>
          <w:w w:val="95"/>
          <w:sz w:val="21"/>
          <w:szCs w:val="21"/>
        </w:rPr>
        <w:t>(二)</w:t>
        <w:tab/>
      </w:r>
      <w:r>
        <w:rPr>
          <w:rFonts w:ascii="宋体" w:hAnsi="宋体" w:cs="宋体" w:eastAsia="宋体" w:hint="default"/>
          <w:b/>
          <w:bCs/>
          <w:sz w:val="21"/>
          <w:szCs w:val="21"/>
        </w:rPr>
        <w:t>其他需要披露的重要事项</w:t>
      </w:r>
      <w:r>
        <w:rPr>
          <w:rFonts w:ascii="宋体" w:hAnsi="宋体" w:cs="宋体" w:eastAsia="宋体" w:hint="default"/>
          <w:sz w:val="21"/>
          <w:szCs w:val="21"/>
        </w:rPr>
      </w:r>
    </w:p>
    <w:p>
      <w:pPr>
        <w:spacing w:before="126"/>
        <w:ind w:left="875" w:right="1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、股东部分股权质押</w:t>
      </w:r>
    </w:p>
    <w:p>
      <w:pPr>
        <w:spacing w:line="331" w:lineRule="auto" w:before="109"/>
        <w:ind w:left="875" w:right="195" w:firstLine="0"/>
        <w:jc w:val="both"/>
        <w:rPr>
          <w:rFonts w:ascii="宋体" w:hAnsi="宋体" w:cs="宋体" w:eastAsia="宋体" w:hint="default"/>
          <w:sz w:val="21"/>
          <w:szCs w:val="21"/>
        </w:rPr>
      </w:pPr>
      <w:r>
        <w:rPr>
          <w:rFonts w:ascii="宋体" w:hAnsi="宋体" w:cs="宋体" w:eastAsia="宋体" w:hint="default"/>
          <w:sz w:val="21"/>
          <w:szCs w:val="21"/>
        </w:rPr>
        <w:t>本公司之参股股东匡晓明先生将其所持高管锁定股份中的 </w:t>
      </w:r>
      <w:r>
        <w:rPr>
          <w:rFonts w:ascii="Times New Roman" w:hAnsi="Times New Roman" w:cs="Times New Roman" w:eastAsia="Times New Roman" w:hint="default"/>
          <w:sz w:val="21"/>
          <w:szCs w:val="21"/>
        </w:rPr>
        <w:t>27,000,000</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股（占总股本</w:t>
      </w:r>
      <w:r>
        <w:rPr>
          <w:rFonts w:ascii="宋体" w:hAnsi="宋体" w:cs="宋体" w:eastAsia="宋体" w:hint="default"/>
          <w:spacing w:val="1"/>
          <w:sz w:val="21"/>
          <w:szCs w:val="21"/>
        </w:rPr>
        <w:t> </w:t>
      </w:r>
      <w:r>
        <w:rPr>
          <w:rFonts w:ascii="Times New Roman" w:hAnsi="Times New Roman" w:cs="Times New Roman" w:eastAsia="Times New Roman" w:hint="default"/>
          <w:sz w:val="21"/>
          <w:szCs w:val="21"/>
        </w:rPr>
        <w:t>4.28%</w:t>
      </w:r>
      <w:r>
        <w:rPr>
          <w:rFonts w:ascii="宋体" w:hAnsi="宋体" w:cs="宋体" w:eastAsia="宋体" w:hint="default"/>
          <w:sz w:val="21"/>
          <w:szCs w:val="21"/>
        </w:rPr>
        <w:t>）和无限售条件流通股 </w:t>
      </w:r>
      <w:r>
        <w:rPr>
          <w:rFonts w:ascii="Times New Roman" w:hAnsi="Times New Roman" w:cs="Times New Roman" w:eastAsia="Times New Roman" w:hint="default"/>
          <w:sz w:val="21"/>
          <w:szCs w:val="21"/>
        </w:rPr>
        <w:t>18,000,000 </w:t>
      </w:r>
      <w:r>
        <w:rPr>
          <w:rFonts w:ascii="宋体" w:hAnsi="宋体" w:cs="宋体" w:eastAsia="宋体" w:hint="default"/>
          <w:sz w:val="21"/>
          <w:szCs w:val="21"/>
        </w:rPr>
        <w:t>股（占总股本</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2.85%</w:t>
      </w:r>
      <w:r>
        <w:rPr>
          <w:rFonts w:ascii="宋体" w:hAnsi="宋体" w:cs="宋体" w:eastAsia="宋体" w:hint="default"/>
          <w:sz w:val="21"/>
          <w:szCs w:val="21"/>
        </w:rPr>
        <w:t>）质押给华鑫国际信托 有限公司，质押所得款项用于个人投资，于</w:t>
      </w:r>
      <w:r>
        <w:rPr>
          <w:rFonts w:ascii="宋体" w:hAnsi="宋体" w:cs="宋体" w:eastAsia="宋体" w:hint="default"/>
          <w:spacing w:val="-56"/>
          <w:sz w:val="21"/>
          <w:szCs w:val="21"/>
        </w:rPr>
        <w:t> </w:t>
      </w:r>
      <w:r>
        <w:rPr>
          <w:rFonts w:ascii="Times New Roman" w:hAnsi="Times New Roman" w:cs="Times New Roman" w:eastAsia="Times New Roman" w:hint="default"/>
          <w:spacing w:val="-3"/>
          <w:sz w:val="21"/>
          <w:szCs w:val="21"/>
        </w:rPr>
        <w:t>2011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日在中国证券登记结算</w:t>
      </w:r>
    </w:p>
    <w:p>
      <w:pPr>
        <w:spacing w:before="20"/>
        <w:ind w:left="875" w:right="194" w:firstLine="0"/>
        <w:jc w:val="left"/>
        <w:rPr>
          <w:rFonts w:ascii="宋体" w:hAnsi="宋体" w:cs="宋体" w:eastAsia="宋体" w:hint="default"/>
          <w:sz w:val="21"/>
          <w:szCs w:val="21"/>
        </w:rPr>
      </w:pPr>
      <w:r>
        <w:rPr>
          <w:rFonts w:ascii="宋体" w:hAnsi="宋体" w:cs="宋体" w:eastAsia="宋体" w:hint="default"/>
          <w:sz w:val="21"/>
          <w:szCs w:val="21"/>
        </w:rPr>
        <w:t>有限责任公司深圳分公司办理完毕上述股权质押登记手续，质押期限为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个月。</w:t>
      </w:r>
    </w:p>
    <w:p>
      <w:pPr>
        <w:spacing w:line="340" w:lineRule="auto" w:before="109"/>
        <w:ind w:left="875" w:right="108" w:firstLine="0"/>
        <w:jc w:val="left"/>
        <w:rPr>
          <w:rFonts w:ascii="宋体" w:hAnsi="宋体" w:cs="宋体" w:eastAsia="宋体" w:hint="default"/>
          <w:sz w:val="21"/>
          <w:szCs w:val="21"/>
        </w:rPr>
      </w:pPr>
      <w:r>
        <w:rPr>
          <w:rFonts w:ascii="宋体" w:hAnsi="宋体" w:cs="宋体" w:eastAsia="宋体" w:hint="default"/>
          <w:sz w:val="21"/>
          <w:szCs w:val="21"/>
        </w:rPr>
        <w:t>上述股权已于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日解除质押，相关借款已归还华鑫国际信托有限公司， </w:t>
      </w:r>
      <w:r>
        <w:rPr>
          <w:rFonts w:ascii="宋体" w:hAnsi="宋体" w:cs="宋体" w:eastAsia="宋体" w:hint="default"/>
          <w:spacing w:val="3"/>
          <w:sz w:val="21"/>
          <w:szCs w:val="21"/>
        </w:rPr>
        <w:t>并在中国证券登记结算有限责任公司深圳分公司办理完毕上述股权质押解除登记手</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续。截至报告日，本公司不存在股东股权质押的情况。</w:t>
      </w:r>
    </w:p>
    <w:p>
      <w:pPr>
        <w:spacing w:after="0" w:line="340" w:lineRule="auto"/>
        <w:jc w:val="left"/>
        <w:rPr>
          <w:rFonts w:ascii="宋体" w:hAnsi="宋体" w:cs="宋体" w:eastAsia="宋体" w:hint="default"/>
          <w:sz w:val="21"/>
          <w:szCs w:val="21"/>
        </w:rPr>
        <w:sectPr>
          <w:pgSz w:w="11910" w:h="16840"/>
          <w:pgMar w:header="0" w:footer="1270" w:top="1360" w:bottom="1460" w:left="1540" w:right="1600"/>
        </w:sectPr>
      </w:pPr>
    </w:p>
    <w:p>
      <w:pPr>
        <w:spacing w:line="240" w:lineRule="auto" w:before="0"/>
        <w:rPr>
          <w:rFonts w:ascii="宋体" w:hAnsi="宋体" w:cs="宋体" w:eastAsia="宋体" w:hint="default"/>
          <w:sz w:val="10"/>
          <w:szCs w:val="10"/>
        </w:rPr>
      </w:pPr>
    </w:p>
    <w:p>
      <w:pPr>
        <w:spacing w:before="35"/>
        <w:ind w:left="245" w:right="0" w:firstLine="0"/>
        <w:jc w:val="left"/>
        <w:rPr>
          <w:rFonts w:ascii="宋体" w:hAnsi="宋体" w:cs="宋体" w:eastAsia="宋体" w:hint="default"/>
          <w:sz w:val="21"/>
          <w:szCs w:val="21"/>
        </w:rPr>
      </w:pPr>
      <w:r>
        <w:rPr>
          <w:rFonts w:ascii="宋体" w:hAnsi="宋体" w:cs="宋体" w:eastAsia="宋体" w:hint="default"/>
          <w:b/>
          <w:bCs/>
          <w:sz w:val="21"/>
          <w:szCs w:val="21"/>
        </w:rPr>
        <w:t>十三、</w:t>
      </w:r>
      <w:r>
        <w:rPr>
          <w:rFonts w:ascii="宋体" w:hAnsi="宋体" w:cs="宋体" w:eastAsia="宋体" w:hint="default"/>
          <w:b/>
          <w:bCs/>
          <w:spacing w:val="-13"/>
          <w:sz w:val="21"/>
          <w:szCs w:val="21"/>
        </w:rPr>
        <w:t> </w:t>
      </w:r>
      <w:r>
        <w:rPr>
          <w:rFonts w:ascii="宋体" w:hAnsi="宋体" w:cs="宋体" w:eastAsia="宋体" w:hint="default"/>
          <w:b/>
          <w:bCs/>
          <w:sz w:val="21"/>
          <w:szCs w:val="21"/>
        </w:rPr>
        <w:t>母公司财务报表主要项目注释</w:t>
      </w:r>
      <w:r>
        <w:rPr>
          <w:rFonts w:ascii="宋体" w:hAnsi="宋体" w:cs="宋体" w:eastAsia="宋体" w:hint="default"/>
          <w:sz w:val="21"/>
          <w:szCs w:val="21"/>
        </w:rPr>
      </w:r>
    </w:p>
    <w:p>
      <w:pPr>
        <w:spacing w:before="125"/>
        <w:ind w:left="875" w:right="0" w:firstLine="0"/>
        <w:jc w:val="left"/>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w:t>
      </w:r>
    </w:p>
    <w:p>
      <w:pPr>
        <w:tabs>
          <w:tab w:pos="973" w:val="left" w:leader="none"/>
        </w:tabs>
        <w:spacing w:before="126"/>
        <w:ind w:left="24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应收账款</w:t>
      </w:r>
      <w:r>
        <w:rPr>
          <w:rFonts w:ascii="宋体" w:hAnsi="宋体" w:cs="宋体" w:eastAsia="宋体" w:hint="default"/>
          <w:sz w:val="21"/>
          <w:szCs w:val="21"/>
        </w:rPr>
      </w:r>
    </w:p>
    <w:p>
      <w:pPr>
        <w:tabs>
          <w:tab w:pos="1414" w:val="left" w:leader="none"/>
        </w:tabs>
        <w:spacing w:before="109"/>
        <w:ind w:left="875" w:right="0" w:firstLine="0"/>
        <w:jc w:val="left"/>
        <w:rPr>
          <w:rFonts w:ascii="宋体" w:hAnsi="宋体" w:cs="宋体" w:eastAsia="宋体" w:hint="default"/>
          <w:sz w:val="21"/>
          <w:szCs w:val="21"/>
        </w:rPr>
      </w:pPr>
      <w:r>
        <w:rPr/>
        <w:pict>
          <v:group style="position:absolute;margin-left:83.129997pt;margin-top:20.772774pt;width:468.9pt;height:234.55pt;mso-position-horizontal-relative:page;mso-position-vertical-relative:paragraph;z-index:-770680" coordorigin="1663,415" coordsize="9378,4691">
            <v:group style="position:absolute;left:1692;top:430;width:9322;height:2" coordorigin="1692,430" coordsize="9322,2">
              <v:shape style="position:absolute;left:1692;top:430;width:9322;height:2" coordorigin="1692,430" coordsize="9322,0" path="m1692,430l11014,430e" filled="false" stroked="true" strokeweight="1.5pt" strokecolor="#000000">
                <v:path arrowok="t"/>
              </v:shape>
              <v:shape style="position:absolute;left:3125;top:426;width:4086;height:494" type="#_x0000_t75" stroked="false">
                <v:imagedata r:id="rId291" o:title=""/>
              </v:shape>
              <v:shape style="position:absolute;left:3125;top:881;width:7915;height:967" type="#_x0000_t75" stroked="false">
                <v:imagedata r:id="rId292" o:title=""/>
              </v:shape>
            </v:group>
            <v:group style="position:absolute;left:1678;top:5091;width:1468;height:2" coordorigin="1678,5091" coordsize="1468,2">
              <v:shape style="position:absolute;left:1678;top:5091;width:1468;height:2" coordorigin="1678,5091" coordsize="1468,0" path="m1678,5091l3145,5091e" filled="false" stroked="true" strokeweight="1.5pt" strokecolor="#000000">
                <v:path arrowok="t"/>
              </v:shape>
            </v:group>
            <v:group style="position:absolute;left:3145;top:5091;width:1276;height:2" coordorigin="3145,5091" coordsize="1276,2">
              <v:shape style="position:absolute;left:3145;top:5091;width:1276;height:2" coordorigin="3145,5091" coordsize="1276,0" path="m3145,5091l4421,5091e" filled="false" stroked="true" strokeweight="1.5pt" strokecolor="#000000">
                <v:path arrowok="t"/>
              </v:shape>
            </v:group>
            <v:group style="position:absolute;left:4421;top:5091;width:777;height:2" coordorigin="4421,5091" coordsize="777,2">
              <v:shape style="position:absolute;left:4421;top:5091;width:777;height:2" coordorigin="4421,5091" coordsize="777,0" path="m4421,5091l5197,5091e" filled="false" stroked="true" strokeweight="1.5pt" strokecolor="#000000">
                <v:path arrowok="t"/>
              </v:shape>
            </v:group>
            <v:group style="position:absolute;left:5197;top:5091;width:1134;height:2" coordorigin="5197,5091" coordsize="1134,2">
              <v:shape style="position:absolute;left:5197;top:5091;width:1134;height:2" coordorigin="5197,5091" coordsize="1134,0" path="m5197,5091l6331,5091e" filled="false" stroked="true" strokeweight="1.5pt" strokecolor="#000000">
                <v:path arrowok="t"/>
              </v:shape>
            </v:group>
            <v:group style="position:absolute;left:6331;top:5091;width:851;height:2" coordorigin="6331,5091" coordsize="851,2">
              <v:shape style="position:absolute;left:6331;top:5091;width:851;height:2" coordorigin="6331,5091" coordsize="851,0" path="m6331,5091l7182,5091e" filled="false" stroked="true" strokeweight="1.5pt" strokecolor="#000000">
                <v:path arrowok="t"/>
              </v:shape>
            </v:group>
            <v:group style="position:absolute;left:7182;top:5091;width:1277;height:2" coordorigin="7182,5091" coordsize="1277,2">
              <v:shape style="position:absolute;left:7182;top:5091;width:1277;height:2" coordorigin="7182,5091" coordsize="1277,0" path="m7182,5091l8459,5091e" filled="false" stroked="true" strokeweight="1.5pt" strokecolor="#000000">
                <v:path arrowok="t"/>
              </v:shape>
            </v:group>
            <v:group style="position:absolute;left:8459;top:5091;width:708;height:2" coordorigin="8459,5091" coordsize="708,2">
              <v:shape style="position:absolute;left:8459;top:5091;width:708;height:2" coordorigin="8459,5091" coordsize="708,0" path="m8459,5091l9167,5091e" filled="false" stroked="true" strokeweight="1.5pt" strokecolor="#000000">
                <v:path arrowok="t"/>
              </v:shape>
            </v:group>
            <v:group style="position:absolute;left:9167;top:5091;width:1134;height:2" coordorigin="9167,5091" coordsize="1134,2">
              <v:shape style="position:absolute;left:9167;top:5091;width:1134;height:2" coordorigin="9167,5091" coordsize="1134,0" path="m9167,5091l10301,5091e" filled="false" stroked="true" strokeweight="1.5pt" strokecolor="#000000">
                <v:path arrowok="t"/>
              </v:shape>
              <v:shape style="position:absolute;left:1663;top:1808;width:9377;height:3268" type="#_x0000_t75" stroked="false">
                <v:imagedata r:id="rId293" o:title=""/>
              </v:shape>
            </v:group>
            <v:group style="position:absolute;left:10301;top:5091;width:713;height:2" coordorigin="10301,5091" coordsize="713,2">
              <v:shape style="position:absolute;left:10301;top:5091;width:713;height:2" coordorigin="10301,5091" coordsize="713,0" path="m10301,5091l11014,5091e" filled="false" stroked="true" strokeweight="1.5pt" strokecolor="#000000">
                <v:path arrowok="t"/>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应收账款账龄分析</w:t>
      </w:r>
      <w:r>
        <w:rPr>
          <w:rFonts w:ascii="宋体" w:hAnsi="宋体" w:cs="宋体" w:eastAsia="宋体" w:hint="default"/>
          <w:sz w:val="21"/>
          <w:szCs w:val="21"/>
        </w:rPr>
      </w:r>
    </w:p>
    <w:p>
      <w:pPr>
        <w:spacing w:line="240" w:lineRule="auto" w:before="6"/>
        <w:rPr>
          <w:rFonts w:ascii="宋体" w:hAnsi="宋体" w:cs="宋体" w:eastAsia="宋体" w:hint="default"/>
          <w:b/>
          <w:bCs/>
          <w:sz w:val="7"/>
          <w:szCs w:val="7"/>
        </w:rPr>
      </w:pPr>
    </w:p>
    <w:tbl>
      <w:tblPr>
        <w:tblW w:w="0" w:type="auto"/>
        <w:jc w:val="left"/>
        <w:tblInd w:w="225" w:type="dxa"/>
        <w:tblLayout w:type="fixed"/>
        <w:tblCellMar>
          <w:top w:w="0" w:type="dxa"/>
          <w:left w:w="0" w:type="dxa"/>
          <w:bottom w:w="0" w:type="dxa"/>
          <w:right w:w="0" w:type="dxa"/>
        </w:tblCellMar>
        <w:tblLook w:val="01E0"/>
      </w:tblPr>
      <w:tblGrid>
        <w:gridCol w:w="1482"/>
        <w:gridCol w:w="1241"/>
        <w:gridCol w:w="1833"/>
        <w:gridCol w:w="956"/>
        <w:gridCol w:w="1230"/>
        <w:gridCol w:w="1871"/>
        <w:gridCol w:w="697"/>
      </w:tblGrid>
      <w:tr>
        <w:trPr>
          <w:trHeight w:val="1338" w:hRule="exact"/>
        </w:trPr>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1"/>
                <w:szCs w:val="11"/>
              </w:rPr>
            </w:pPr>
          </w:p>
          <w:p>
            <w:pPr>
              <w:pStyle w:val="TableParagraph"/>
              <w:spacing w:line="240" w:lineRule="auto"/>
              <w:ind w:right="168"/>
              <w:jc w:val="center"/>
              <w:rPr>
                <w:rFonts w:ascii="宋体" w:hAnsi="宋体" w:cs="宋体" w:eastAsia="宋体" w:hint="default"/>
                <w:sz w:val="15"/>
                <w:szCs w:val="15"/>
              </w:rPr>
            </w:pPr>
            <w:r>
              <w:rPr>
                <w:rFonts w:ascii="宋体" w:hAnsi="宋体" w:cs="宋体" w:eastAsia="宋体" w:hint="default"/>
                <w:sz w:val="15"/>
                <w:szCs w:val="15"/>
              </w:rPr>
              <w:t>账龄</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460" w:lineRule="atLeast"/>
              <w:ind w:left="404" w:right="11" w:firstLine="224"/>
              <w:jc w:val="left"/>
              <w:rPr>
                <w:rFonts w:ascii="宋体" w:hAnsi="宋体" w:cs="宋体" w:eastAsia="宋体" w:hint="default"/>
                <w:sz w:val="15"/>
                <w:szCs w:val="15"/>
              </w:rPr>
            </w:pPr>
            <w:r>
              <w:rPr>
                <w:rFonts w:ascii="宋体" w:hAnsi="宋体" w:cs="宋体" w:eastAsia="宋体" w:hint="default"/>
                <w:sz w:val="15"/>
                <w:szCs w:val="15"/>
              </w:rPr>
              <w:t>账面余额 金额</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70"/>
              <w:jc w:val="center"/>
              <w:rPr>
                <w:rFonts w:ascii="宋体" w:hAnsi="宋体" w:cs="宋体" w:eastAsia="宋体" w:hint="default"/>
                <w:sz w:val="15"/>
                <w:szCs w:val="15"/>
              </w:rPr>
            </w:pPr>
            <w:r>
              <w:rPr>
                <w:rFonts w:ascii="宋体" w:hAnsi="宋体" w:cs="宋体" w:eastAsia="宋体" w:hint="default"/>
                <w:sz w:val="15"/>
                <w:szCs w:val="15"/>
              </w:rPr>
              <w:t>年末余额</w:t>
            </w:r>
          </w:p>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24"/>
              <w:jc w:val="right"/>
              <w:rPr>
                <w:rFonts w:ascii="宋体" w:hAnsi="宋体" w:cs="宋体" w:eastAsia="宋体" w:hint="default"/>
                <w:sz w:val="15"/>
                <w:szCs w:val="15"/>
              </w:rPr>
            </w:pPr>
            <w:r>
              <w:rPr>
                <w:rFonts w:ascii="宋体" w:hAnsi="宋体" w:cs="宋体" w:eastAsia="宋体" w:hint="default"/>
                <w:sz w:val="15"/>
                <w:szCs w:val="15"/>
              </w:rPr>
              <w:t>坏账准</w:t>
            </w:r>
          </w:p>
          <w:p>
            <w:pPr>
              <w:pStyle w:val="TableParagraph"/>
              <w:spacing w:line="240" w:lineRule="auto" w:before="6"/>
              <w:ind w:right="0"/>
              <w:jc w:val="left"/>
              <w:rPr>
                <w:rFonts w:ascii="宋体" w:hAnsi="宋体" w:cs="宋体" w:eastAsia="宋体" w:hint="default"/>
                <w:b/>
                <w:bCs/>
                <w:sz w:val="20"/>
                <w:szCs w:val="20"/>
              </w:rPr>
            </w:pPr>
          </w:p>
          <w:p>
            <w:pPr>
              <w:pStyle w:val="TableParagraph"/>
              <w:tabs>
                <w:tab w:pos="1132" w:val="left" w:leader="none"/>
              </w:tabs>
              <w:spacing w:line="240" w:lineRule="auto"/>
              <w:ind w:right="374"/>
              <w:jc w:val="center"/>
              <w:rPr>
                <w:rFonts w:ascii="宋体" w:hAnsi="宋体" w:cs="宋体" w:eastAsia="宋体" w:hint="default"/>
                <w:sz w:val="15"/>
                <w:szCs w:val="15"/>
              </w:rPr>
            </w:pPr>
            <w:r>
              <w:rPr>
                <w:rFonts w:ascii="宋体" w:hAnsi="宋体" w:cs="宋体" w:eastAsia="宋体" w:hint="default"/>
                <w:spacing w:val="-1"/>
                <w:sz w:val="15"/>
                <w:szCs w:val="15"/>
              </w:rPr>
              <w:t>比例（</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tab/>
            </w:r>
            <w:r>
              <w:rPr>
                <w:rFonts w:ascii="宋体" w:hAnsi="宋体" w:cs="宋体" w:eastAsia="宋体" w:hint="default"/>
                <w:sz w:val="15"/>
                <w:szCs w:val="15"/>
              </w:rPr>
              <w:t>金额</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1"/>
                <w:szCs w:val="11"/>
              </w:rPr>
            </w:pPr>
          </w:p>
          <w:p>
            <w:pPr>
              <w:pStyle w:val="TableParagraph"/>
              <w:spacing w:line="240" w:lineRule="auto"/>
              <w:ind w:left="23" w:right="0"/>
              <w:jc w:val="left"/>
              <w:rPr>
                <w:rFonts w:ascii="宋体" w:hAnsi="宋体" w:cs="宋体" w:eastAsia="宋体" w:hint="default"/>
                <w:sz w:val="15"/>
                <w:szCs w:val="15"/>
              </w:rPr>
            </w:pPr>
            <w:r>
              <w:rPr>
                <w:rFonts w:ascii="宋体" w:hAnsi="宋体" w:cs="宋体" w:eastAsia="宋体" w:hint="default"/>
                <w:sz w:val="15"/>
                <w:szCs w:val="15"/>
              </w:rPr>
              <w:t>备</w:t>
            </w:r>
          </w:p>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left="91" w:right="0"/>
              <w:jc w:val="left"/>
              <w:rPr>
                <w:rFonts w:ascii="宋体" w:hAnsi="宋体" w:cs="宋体" w:eastAsia="宋体"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460" w:lineRule="atLeast"/>
              <w:ind w:left="410" w:right="27" w:firstLine="189"/>
              <w:jc w:val="left"/>
              <w:rPr>
                <w:rFonts w:ascii="宋体" w:hAnsi="宋体" w:cs="宋体" w:eastAsia="宋体" w:hint="default"/>
                <w:sz w:val="15"/>
                <w:szCs w:val="15"/>
              </w:rPr>
            </w:pPr>
            <w:r>
              <w:rPr>
                <w:rFonts w:ascii="宋体" w:hAnsi="宋体" w:cs="宋体" w:eastAsia="宋体" w:hint="default"/>
                <w:sz w:val="15"/>
                <w:szCs w:val="15"/>
              </w:rPr>
              <w:t>账面余额 金额</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92" w:right="0"/>
              <w:jc w:val="left"/>
              <w:rPr>
                <w:rFonts w:ascii="宋体" w:hAnsi="宋体" w:cs="宋体" w:eastAsia="宋体" w:hint="default"/>
                <w:sz w:val="15"/>
                <w:szCs w:val="15"/>
              </w:rPr>
            </w:pPr>
            <w:r>
              <w:rPr>
                <w:rFonts w:ascii="宋体" w:hAnsi="宋体" w:cs="宋体" w:eastAsia="宋体" w:hint="default"/>
                <w:sz w:val="15"/>
                <w:szCs w:val="15"/>
              </w:rPr>
              <w:t>年初余额</w:t>
            </w:r>
          </w:p>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14"/>
              <w:jc w:val="right"/>
              <w:rPr>
                <w:rFonts w:ascii="宋体" w:hAnsi="宋体" w:cs="宋体" w:eastAsia="宋体" w:hint="default"/>
                <w:sz w:val="15"/>
                <w:szCs w:val="15"/>
              </w:rPr>
            </w:pPr>
            <w:r>
              <w:rPr>
                <w:rFonts w:ascii="宋体" w:hAnsi="宋体" w:cs="宋体" w:eastAsia="宋体" w:hint="default"/>
                <w:sz w:val="15"/>
                <w:szCs w:val="15"/>
              </w:rPr>
              <w:t>坏账准备</w:t>
            </w:r>
          </w:p>
          <w:p>
            <w:pPr>
              <w:pStyle w:val="TableParagraph"/>
              <w:spacing w:line="240" w:lineRule="auto" w:before="6"/>
              <w:ind w:right="0"/>
              <w:jc w:val="left"/>
              <w:rPr>
                <w:rFonts w:ascii="宋体" w:hAnsi="宋体" w:cs="宋体" w:eastAsia="宋体" w:hint="default"/>
                <w:b/>
                <w:bCs/>
                <w:sz w:val="20"/>
                <w:szCs w:val="20"/>
              </w:rPr>
            </w:pPr>
          </w:p>
          <w:p>
            <w:pPr>
              <w:pStyle w:val="TableParagraph"/>
              <w:tabs>
                <w:tab w:pos="1093" w:val="left" w:leader="none"/>
              </w:tabs>
              <w:spacing w:line="240" w:lineRule="auto"/>
              <w:ind w:left="29" w:right="0"/>
              <w:jc w:val="left"/>
              <w:rPr>
                <w:rFonts w:ascii="宋体" w:hAnsi="宋体" w:cs="宋体" w:eastAsia="宋体" w:hint="default"/>
                <w:sz w:val="15"/>
                <w:szCs w:val="15"/>
              </w:rPr>
            </w:pPr>
            <w:r>
              <w:rPr>
                <w:rFonts w:ascii="宋体" w:hAnsi="宋体" w:cs="宋体" w:eastAsia="宋体" w:hint="default"/>
                <w:sz w:val="15"/>
                <w:szCs w:val="15"/>
              </w:rPr>
              <w:t>比</w:t>
            </w:r>
            <w:r>
              <w:rPr>
                <w:rFonts w:ascii="宋体" w:hAnsi="宋体" w:cs="宋体" w:eastAsia="宋体" w:hint="default"/>
                <w:spacing w:val="-63"/>
                <w:sz w:val="15"/>
                <w:szCs w:val="15"/>
              </w:rPr>
              <w:t>例</w:t>
            </w:r>
            <w:r>
              <w:rPr>
                <w:rFonts w:ascii="宋体" w:hAnsi="宋体" w:cs="宋体" w:eastAsia="宋体" w:hint="default"/>
                <w:sz w:val="15"/>
                <w:szCs w:val="15"/>
              </w:rPr>
              <w:t>（</w:t>
            </w:r>
            <w:r>
              <w:rPr>
                <w:rFonts w:ascii="Times New Roman" w:hAnsi="Times New Roman" w:cs="Times New Roman" w:eastAsia="Times New Roman" w:hint="default"/>
                <w:spacing w:val="-1"/>
                <w:sz w:val="15"/>
                <w:szCs w:val="15"/>
              </w:rPr>
              <w:t>%</w:t>
            </w:r>
            <w:r>
              <w:rPr>
                <w:rFonts w:ascii="宋体" w:hAnsi="宋体" w:cs="宋体" w:eastAsia="宋体" w:hint="default"/>
                <w:sz w:val="15"/>
                <w:szCs w:val="15"/>
              </w:rPr>
              <w:t>）</w:t>
              <w:tab/>
              <w:t>金额</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44"/>
              <w:ind w:left="-1" w:right="33"/>
              <w:jc w:val="center"/>
              <w:rPr>
                <w:rFonts w:ascii="宋体" w:hAnsi="宋体" w:cs="宋体" w:eastAsia="宋体" w:hint="default"/>
                <w:sz w:val="15"/>
                <w:szCs w:val="15"/>
              </w:rPr>
            </w:pPr>
            <w:r>
              <w:rPr>
                <w:rFonts w:ascii="宋体" w:hAnsi="宋体" w:cs="宋体" w:eastAsia="宋体" w:hint="default"/>
                <w:sz w:val="15"/>
                <w:szCs w:val="15"/>
              </w:rPr>
              <w:t>比</w:t>
            </w:r>
            <w:r>
              <w:rPr>
                <w:rFonts w:ascii="宋体" w:hAnsi="宋体" w:cs="宋体" w:eastAsia="宋体" w:hint="default"/>
                <w:spacing w:val="-63"/>
                <w:sz w:val="15"/>
                <w:szCs w:val="15"/>
              </w:rPr>
              <w:t>例</w:t>
            </w:r>
            <w:r>
              <w:rPr>
                <w:rFonts w:ascii="宋体" w:hAnsi="宋体" w:cs="宋体" w:eastAsia="宋体" w:hint="default"/>
                <w:sz w:val="15"/>
                <w:szCs w:val="15"/>
              </w:rPr>
              <w:t>（</w:t>
            </w:r>
            <w:r>
              <w:rPr>
                <w:rFonts w:ascii="Times New Roman" w:hAnsi="Times New Roman" w:cs="Times New Roman" w:eastAsia="Times New Roman" w:hint="default"/>
                <w:spacing w:val="-1"/>
                <w:sz w:val="15"/>
                <w:szCs w:val="15"/>
              </w:rPr>
              <w:t>%</w:t>
            </w:r>
            <w:r>
              <w:rPr>
                <w:rFonts w:ascii="宋体" w:hAnsi="宋体" w:cs="宋体" w:eastAsia="宋体" w:hint="default"/>
                <w:sz w:val="15"/>
                <w:szCs w:val="15"/>
              </w:rPr>
              <w:t>）</w:t>
            </w:r>
          </w:p>
        </w:tc>
      </w:tr>
      <w:tr>
        <w:trPr>
          <w:trHeight w:val="464" w:hRule="exact"/>
        </w:trPr>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 </w:t>
            </w:r>
            <w:r>
              <w:rPr>
                <w:rFonts w:ascii="宋体" w:hAnsi="宋体" w:cs="宋体" w:eastAsia="宋体" w:hint="default"/>
                <w:sz w:val="15"/>
                <w:szCs w:val="15"/>
              </w:rPr>
              <w:t>年以内（含</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1 </w:t>
            </w:r>
            <w:r>
              <w:rPr>
                <w:rFonts w:ascii="宋体" w:hAnsi="宋体" w:cs="宋体" w:eastAsia="宋体" w:hint="default"/>
                <w:sz w:val="15"/>
                <w:szCs w:val="15"/>
              </w:rPr>
              <w:t>年）</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67"/>
              <w:jc w:val="right"/>
              <w:rPr>
                <w:rFonts w:ascii="Times New Roman" w:hAnsi="Times New Roman" w:cs="Times New Roman" w:eastAsia="Times New Roman" w:hint="default"/>
                <w:sz w:val="15"/>
                <w:szCs w:val="15"/>
              </w:rPr>
            </w:pPr>
            <w:r>
              <w:rPr>
                <w:rFonts w:ascii="Times New Roman"/>
                <w:spacing w:val="-1"/>
                <w:sz w:val="15"/>
              </w:rPr>
              <w:t>145,541,803.44</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tabs>
                <w:tab w:pos="683" w:val="left" w:leader="none"/>
              </w:tabs>
              <w:spacing w:line="240" w:lineRule="auto"/>
              <w:ind w:right="90"/>
              <w:jc w:val="right"/>
              <w:rPr>
                <w:rFonts w:ascii="Times New Roman" w:hAnsi="Times New Roman" w:cs="Times New Roman" w:eastAsia="Times New Roman" w:hint="default"/>
                <w:sz w:val="15"/>
                <w:szCs w:val="15"/>
              </w:rPr>
            </w:pPr>
            <w:r>
              <w:rPr>
                <w:rFonts w:ascii="Times New Roman"/>
                <w:spacing w:val="-1"/>
                <w:sz w:val="15"/>
              </w:rPr>
              <w:t>77.45</w:t>
              <w:tab/>
              <w:t>7,276,973.05</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95"/>
              <w:jc w:val="right"/>
              <w:rPr>
                <w:rFonts w:ascii="Times New Roman" w:hAnsi="Times New Roman" w:cs="Times New Roman" w:eastAsia="Times New Roman" w:hint="default"/>
                <w:sz w:val="15"/>
                <w:szCs w:val="15"/>
              </w:rPr>
            </w:pPr>
            <w:r>
              <w:rPr>
                <w:rFonts w:ascii="Times New Roman"/>
                <w:spacing w:val="-1"/>
                <w:sz w:val="15"/>
              </w:rPr>
              <w:t>5.00</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50"/>
              <w:jc w:val="right"/>
              <w:rPr>
                <w:rFonts w:ascii="Times New Roman" w:hAnsi="Times New Roman" w:cs="Times New Roman" w:eastAsia="Times New Roman" w:hint="default"/>
                <w:sz w:val="15"/>
                <w:szCs w:val="15"/>
              </w:rPr>
            </w:pPr>
            <w:r>
              <w:rPr>
                <w:rFonts w:ascii="Times New Roman"/>
                <w:spacing w:val="-1"/>
                <w:sz w:val="15"/>
              </w:rPr>
              <w:t>154,977,213.18</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tabs>
                <w:tab w:pos="901" w:val="left" w:leader="none"/>
              </w:tabs>
              <w:spacing w:line="240" w:lineRule="auto"/>
              <w:ind w:left="139" w:right="0"/>
              <w:jc w:val="left"/>
              <w:rPr>
                <w:rFonts w:ascii="Times New Roman" w:hAnsi="Times New Roman" w:cs="Times New Roman" w:eastAsia="Times New Roman" w:hint="default"/>
                <w:sz w:val="15"/>
                <w:szCs w:val="15"/>
              </w:rPr>
            </w:pPr>
            <w:r>
              <w:rPr>
                <w:rFonts w:ascii="Times New Roman"/>
                <w:spacing w:val="-1"/>
                <w:sz w:val="15"/>
              </w:rPr>
              <w:t>76.98</w:t>
              <w:tab/>
              <w:t>7,748,860.66</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33"/>
              <w:jc w:val="center"/>
              <w:rPr>
                <w:rFonts w:ascii="Times New Roman" w:hAnsi="Times New Roman" w:cs="Times New Roman" w:eastAsia="Times New Roman" w:hint="default"/>
                <w:sz w:val="15"/>
                <w:szCs w:val="15"/>
              </w:rPr>
            </w:pPr>
            <w:r>
              <w:rPr>
                <w:rFonts w:ascii="Times New Roman"/>
                <w:sz w:val="15"/>
              </w:rPr>
              <w:t>5.00</w:t>
            </w:r>
          </w:p>
        </w:tc>
      </w:tr>
      <w:tr>
        <w:trPr>
          <w:trHeight w:val="464" w:hRule="exact"/>
        </w:trPr>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1-2 </w:t>
            </w:r>
            <w:r>
              <w:rPr>
                <w:rFonts w:ascii="宋体" w:hAnsi="宋体" w:cs="宋体" w:eastAsia="宋体" w:hint="default"/>
                <w:sz w:val="15"/>
                <w:szCs w:val="15"/>
              </w:rPr>
              <w:t>年（含</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2 </w:t>
            </w:r>
            <w:r>
              <w:rPr>
                <w:rFonts w:ascii="宋体" w:hAnsi="宋体" w:cs="宋体" w:eastAsia="宋体" w:hint="default"/>
                <w:sz w:val="15"/>
                <w:szCs w:val="15"/>
              </w:rPr>
              <w:t>年）</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67"/>
              <w:jc w:val="right"/>
              <w:rPr>
                <w:rFonts w:ascii="Times New Roman" w:hAnsi="Times New Roman" w:cs="Times New Roman" w:eastAsia="Times New Roman" w:hint="default"/>
                <w:sz w:val="15"/>
                <w:szCs w:val="15"/>
              </w:rPr>
            </w:pPr>
            <w:r>
              <w:rPr>
                <w:rFonts w:ascii="Times New Roman"/>
                <w:spacing w:val="-1"/>
                <w:sz w:val="15"/>
              </w:rPr>
              <w:t>30,678,618.17</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tabs>
                <w:tab w:pos="683" w:val="left" w:leader="none"/>
              </w:tabs>
              <w:spacing w:line="240" w:lineRule="auto"/>
              <w:ind w:right="90"/>
              <w:jc w:val="right"/>
              <w:rPr>
                <w:rFonts w:ascii="Times New Roman" w:hAnsi="Times New Roman" w:cs="Times New Roman" w:eastAsia="Times New Roman" w:hint="default"/>
                <w:sz w:val="15"/>
                <w:szCs w:val="15"/>
              </w:rPr>
            </w:pPr>
            <w:r>
              <w:rPr>
                <w:rFonts w:ascii="Times New Roman"/>
                <w:spacing w:val="-1"/>
                <w:sz w:val="15"/>
              </w:rPr>
              <w:t>16.33</w:t>
              <w:tab/>
              <w:t>3,067,861.82</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97"/>
              <w:jc w:val="right"/>
              <w:rPr>
                <w:rFonts w:ascii="Times New Roman" w:hAnsi="Times New Roman" w:cs="Times New Roman" w:eastAsia="Times New Roman" w:hint="default"/>
                <w:sz w:val="15"/>
                <w:szCs w:val="15"/>
              </w:rPr>
            </w:pPr>
            <w:r>
              <w:rPr>
                <w:rFonts w:ascii="Times New Roman"/>
                <w:spacing w:val="-1"/>
                <w:sz w:val="15"/>
              </w:rPr>
              <w:t>10.00</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50"/>
              <w:jc w:val="right"/>
              <w:rPr>
                <w:rFonts w:ascii="Times New Roman" w:hAnsi="Times New Roman" w:cs="Times New Roman" w:eastAsia="Times New Roman" w:hint="default"/>
                <w:sz w:val="15"/>
                <w:szCs w:val="15"/>
              </w:rPr>
            </w:pPr>
            <w:r>
              <w:rPr>
                <w:rFonts w:ascii="Times New Roman"/>
                <w:spacing w:val="-1"/>
                <w:sz w:val="15"/>
              </w:rPr>
              <w:t>27,658,422.11</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tabs>
                <w:tab w:pos="901" w:val="left" w:leader="none"/>
              </w:tabs>
              <w:spacing w:line="240" w:lineRule="auto"/>
              <w:ind w:left="139" w:right="0"/>
              <w:jc w:val="left"/>
              <w:rPr>
                <w:rFonts w:ascii="Times New Roman" w:hAnsi="Times New Roman" w:cs="Times New Roman" w:eastAsia="Times New Roman" w:hint="default"/>
                <w:sz w:val="15"/>
                <w:szCs w:val="15"/>
              </w:rPr>
            </w:pPr>
            <w:r>
              <w:rPr>
                <w:rFonts w:ascii="Times New Roman"/>
                <w:spacing w:val="-1"/>
                <w:sz w:val="15"/>
              </w:rPr>
              <w:t>13.74</w:t>
              <w:tab/>
              <w:t>2,765,842.21</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34"/>
              <w:jc w:val="center"/>
              <w:rPr>
                <w:rFonts w:ascii="Times New Roman" w:hAnsi="Times New Roman" w:cs="Times New Roman" w:eastAsia="Times New Roman" w:hint="default"/>
                <w:sz w:val="15"/>
                <w:szCs w:val="15"/>
              </w:rPr>
            </w:pPr>
            <w:r>
              <w:rPr>
                <w:rFonts w:ascii="Times New Roman"/>
                <w:sz w:val="15"/>
              </w:rPr>
              <w:t>10.00</w:t>
            </w:r>
          </w:p>
        </w:tc>
      </w:tr>
      <w:tr>
        <w:trPr>
          <w:trHeight w:val="464" w:hRule="exact"/>
        </w:trPr>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2-3 </w:t>
            </w:r>
            <w:r>
              <w:rPr>
                <w:rFonts w:ascii="宋体" w:hAnsi="宋体" w:cs="宋体" w:eastAsia="宋体" w:hint="default"/>
                <w:sz w:val="15"/>
                <w:szCs w:val="15"/>
              </w:rPr>
              <w:t>年（含</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3 </w:t>
            </w:r>
            <w:r>
              <w:rPr>
                <w:rFonts w:ascii="宋体" w:hAnsi="宋体" w:cs="宋体" w:eastAsia="宋体" w:hint="default"/>
                <w:sz w:val="15"/>
                <w:szCs w:val="15"/>
              </w:rPr>
              <w:t>年）</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67"/>
              <w:jc w:val="right"/>
              <w:rPr>
                <w:rFonts w:ascii="Times New Roman" w:hAnsi="Times New Roman" w:cs="Times New Roman" w:eastAsia="Times New Roman" w:hint="default"/>
                <w:sz w:val="15"/>
                <w:szCs w:val="15"/>
              </w:rPr>
            </w:pPr>
            <w:r>
              <w:rPr>
                <w:rFonts w:ascii="Times New Roman"/>
                <w:spacing w:val="-1"/>
                <w:sz w:val="15"/>
              </w:rPr>
              <w:t>5,131,177.50</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tabs>
                <w:tab w:pos="609" w:val="left" w:leader="none"/>
              </w:tabs>
              <w:spacing w:line="240" w:lineRule="auto"/>
              <w:ind w:right="90"/>
              <w:jc w:val="right"/>
              <w:rPr>
                <w:rFonts w:ascii="Times New Roman" w:hAnsi="Times New Roman" w:cs="Times New Roman" w:eastAsia="Times New Roman" w:hint="default"/>
                <w:sz w:val="15"/>
                <w:szCs w:val="15"/>
              </w:rPr>
            </w:pPr>
            <w:r>
              <w:rPr>
                <w:rFonts w:ascii="Times New Roman"/>
                <w:spacing w:val="-1"/>
                <w:sz w:val="15"/>
              </w:rPr>
              <w:t>2.73</w:t>
              <w:tab/>
              <w:t>1,026,235.50</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97"/>
              <w:jc w:val="right"/>
              <w:rPr>
                <w:rFonts w:ascii="Times New Roman" w:hAnsi="Times New Roman" w:cs="Times New Roman" w:eastAsia="Times New Roman" w:hint="default"/>
                <w:sz w:val="15"/>
                <w:szCs w:val="15"/>
              </w:rPr>
            </w:pPr>
            <w:r>
              <w:rPr>
                <w:rFonts w:ascii="Times New Roman"/>
                <w:spacing w:val="-1"/>
                <w:sz w:val="15"/>
              </w:rPr>
              <w:t>20.00</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50"/>
              <w:jc w:val="right"/>
              <w:rPr>
                <w:rFonts w:ascii="Times New Roman" w:hAnsi="Times New Roman" w:cs="Times New Roman" w:eastAsia="Times New Roman" w:hint="default"/>
                <w:sz w:val="15"/>
                <w:szCs w:val="15"/>
              </w:rPr>
            </w:pPr>
            <w:r>
              <w:rPr>
                <w:rFonts w:ascii="Times New Roman"/>
                <w:spacing w:val="-1"/>
                <w:sz w:val="15"/>
              </w:rPr>
              <w:t>11,085,991.55</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tabs>
                <w:tab w:pos="901" w:val="left" w:leader="none"/>
              </w:tabs>
              <w:spacing w:line="240" w:lineRule="auto"/>
              <w:ind w:left="177" w:right="0"/>
              <w:jc w:val="left"/>
              <w:rPr>
                <w:rFonts w:ascii="Times New Roman" w:hAnsi="Times New Roman" w:cs="Times New Roman" w:eastAsia="Times New Roman" w:hint="default"/>
                <w:sz w:val="15"/>
                <w:szCs w:val="15"/>
              </w:rPr>
            </w:pPr>
            <w:r>
              <w:rPr>
                <w:rFonts w:ascii="Times New Roman"/>
                <w:spacing w:val="-1"/>
                <w:sz w:val="15"/>
              </w:rPr>
              <w:t>5.51</w:t>
              <w:tab/>
              <w:t>2,217,198.31</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34"/>
              <w:jc w:val="center"/>
              <w:rPr>
                <w:rFonts w:ascii="Times New Roman" w:hAnsi="Times New Roman" w:cs="Times New Roman" w:eastAsia="Times New Roman" w:hint="default"/>
                <w:sz w:val="15"/>
                <w:szCs w:val="15"/>
              </w:rPr>
            </w:pPr>
            <w:r>
              <w:rPr>
                <w:rFonts w:ascii="Times New Roman"/>
                <w:sz w:val="15"/>
              </w:rPr>
              <w:t>20.00</w:t>
            </w:r>
          </w:p>
        </w:tc>
      </w:tr>
      <w:tr>
        <w:trPr>
          <w:trHeight w:val="464" w:hRule="exact"/>
        </w:trPr>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3-4 </w:t>
            </w:r>
            <w:r>
              <w:rPr>
                <w:rFonts w:ascii="宋体" w:hAnsi="宋体" w:cs="宋体" w:eastAsia="宋体" w:hint="default"/>
                <w:sz w:val="15"/>
                <w:szCs w:val="15"/>
              </w:rPr>
              <w:t>年（含</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4 </w:t>
            </w:r>
            <w:r>
              <w:rPr>
                <w:rFonts w:ascii="宋体" w:hAnsi="宋体" w:cs="宋体" w:eastAsia="宋体" w:hint="default"/>
                <w:sz w:val="15"/>
                <w:szCs w:val="15"/>
              </w:rPr>
              <w:t>年）</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67"/>
              <w:jc w:val="right"/>
              <w:rPr>
                <w:rFonts w:ascii="Times New Roman" w:hAnsi="Times New Roman" w:cs="Times New Roman" w:eastAsia="Times New Roman" w:hint="default"/>
                <w:sz w:val="15"/>
                <w:szCs w:val="15"/>
              </w:rPr>
            </w:pPr>
            <w:r>
              <w:rPr>
                <w:rFonts w:ascii="Times New Roman"/>
                <w:spacing w:val="-1"/>
                <w:sz w:val="15"/>
              </w:rPr>
              <w:t>4,015,789.88</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tabs>
                <w:tab w:pos="609" w:val="left" w:leader="none"/>
              </w:tabs>
              <w:spacing w:line="240" w:lineRule="auto"/>
              <w:ind w:right="90"/>
              <w:jc w:val="right"/>
              <w:rPr>
                <w:rFonts w:ascii="Times New Roman" w:hAnsi="Times New Roman" w:cs="Times New Roman" w:eastAsia="Times New Roman" w:hint="default"/>
                <w:sz w:val="15"/>
                <w:szCs w:val="15"/>
              </w:rPr>
            </w:pPr>
            <w:r>
              <w:rPr>
                <w:rFonts w:ascii="Times New Roman"/>
                <w:spacing w:val="-1"/>
                <w:sz w:val="15"/>
              </w:rPr>
              <w:t>2.14</w:t>
              <w:tab/>
              <w:t>1,204,736.96</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97"/>
              <w:jc w:val="right"/>
              <w:rPr>
                <w:rFonts w:ascii="Times New Roman" w:hAnsi="Times New Roman" w:cs="Times New Roman" w:eastAsia="Times New Roman" w:hint="default"/>
                <w:sz w:val="15"/>
                <w:szCs w:val="15"/>
              </w:rPr>
            </w:pPr>
            <w:r>
              <w:rPr>
                <w:rFonts w:ascii="Times New Roman"/>
                <w:spacing w:val="-1"/>
                <w:sz w:val="15"/>
              </w:rPr>
              <w:t>30.00</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50"/>
              <w:jc w:val="right"/>
              <w:rPr>
                <w:rFonts w:ascii="Times New Roman" w:hAnsi="Times New Roman" w:cs="Times New Roman" w:eastAsia="Times New Roman" w:hint="default"/>
                <w:sz w:val="15"/>
                <w:szCs w:val="15"/>
              </w:rPr>
            </w:pPr>
            <w:r>
              <w:rPr>
                <w:rFonts w:ascii="Times New Roman"/>
                <w:spacing w:val="-1"/>
                <w:sz w:val="15"/>
              </w:rPr>
              <w:t>4,696,779.88</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tabs>
                <w:tab w:pos="901" w:val="left" w:leader="none"/>
              </w:tabs>
              <w:spacing w:line="240" w:lineRule="auto"/>
              <w:ind w:left="177" w:right="0"/>
              <w:jc w:val="left"/>
              <w:rPr>
                <w:rFonts w:ascii="Times New Roman" w:hAnsi="Times New Roman" w:cs="Times New Roman" w:eastAsia="Times New Roman" w:hint="default"/>
                <w:sz w:val="15"/>
                <w:szCs w:val="15"/>
              </w:rPr>
            </w:pPr>
            <w:r>
              <w:rPr>
                <w:rFonts w:ascii="Times New Roman"/>
                <w:spacing w:val="-1"/>
                <w:sz w:val="15"/>
              </w:rPr>
              <w:t>2.33</w:t>
              <w:tab/>
              <w:t>1,409,033.96</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34"/>
              <w:jc w:val="center"/>
              <w:rPr>
                <w:rFonts w:ascii="Times New Roman" w:hAnsi="Times New Roman" w:cs="Times New Roman" w:eastAsia="Times New Roman" w:hint="default"/>
                <w:sz w:val="15"/>
                <w:szCs w:val="15"/>
              </w:rPr>
            </w:pPr>
            <w:r>
              <w:rPr>
                <w:rFonts w:ascii="Times New Roman"/>
                <w:sz w:val="15"/>
              </w:rPr>
              <w:t>30.00</w:t>
            </w:r>
          </w:p>
        </w:tc>
      </w:tr>
      <w:tr>
        <w:trPr>
          <w:trHeight w:val="464" w:hRule="exact"/>
        </w:trPr>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4-5 </w:t>
            </w:r>
            <w:r>
              <w:rPr>
                <w:rFonts w:ascii="宋体" w:hAnsi="宋体" w:cs="宋体" w:eastAsia="宋体" w:hint="default"/>
                <w:sz w:val="15"/>
                <w:szCs w:val="15"/>
              </w:rPr>
              <w:t>年（含</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5 </w:t>
            </w:r>
            <w:r>
              <w:rPr>
                <w:rFonts w:ascii="宋体" w:hAnsi="宋体" w:cs="宋体" w:eastAsia="宋体" w:hint="default"/>
                <w:sz w:val="15"/>
                <w:szCs w:val="15"/>
              </w:rPr>
              <w:t>年）</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67"/>
              <w:jc w:val="right"/>
              <w:rPr>
                <w:rFonts w:ascii="Times New Roman" w:hAnsi="Times New Roman" w:cs="Times New Roman" w:eastAsia="Times New Roman" w:hint="default"/>
                <w:sz w:val="15"/>
                <w:szCs w:val="15"/>
              </w:rPr>
            </w:pPr>
            <w:r>
              <w:rPr>
                <w:rFonts w:ascii="Times New Roman"/>
                <w:spacing w:val="-1"/>
                <w:sz w:val="15"/>
              </w:rPr>
              <w:t>1,831,065.29</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tabs>
                <w:tab w:pos="722" w:val="left" w:leader="none"/>
              </w:tabs>
              <w:spacing w:line="240" w:lineRule="auto"/>
              <w:ind w:right="90"/>
              <w:jc w:val="right"/>
              <w:rPr>
                <w:rFonts w:ascii="Times New Roman" w:hAnsi="Times New Roman" w:cs="Times New Roman" w:eastAsia="Times New Roman" w:hint="default"/>
                <w:sz w:val="15"/>
                <w:szCs w:val="15"/>
              </w:rPr>
            </w:pPr>
            <w:r>
              <w:rPr>
                <w:rFonts w:ascii="Times New Roman"/>
                <w:spacing w:val="-1"/>
                <w:sz w:val="15"/>
              </w:rPr>
              <w:t>0.97</w:t>
              <w:tab/>
              <w:t>732,426.12</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97"/>
              <w:jc w:val="right"/>
              <w:rPr>
                <w:rFonts w:ascii="Times New Roman" w:hAnsi="Times New Roman" w:cs="Times New Roman" w:eastAsia="Times New Roman" w:hint="default"/>
                <w:sz w:val="15"/>
                <w:szCs w:val="15"/>
              </w:rPr>
            </w:pPr>
            <w:r>
              <w:rPr>
                <w:rFonts w:ascii="Times New Roman"/>
                <w:spacing w:val="-1"/>
                <w:sz w:val="15"/>
              </w:rPr>
              <w:t>40.00</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50"/>
              <w:jc w:val="right"/>
              <w:rPr>
                <w:rFonts w:ascii="Times New Roman" w:hAnsi="Times New Roman" w:cs="Times New Roman" w:eastAsia="Times New Roman" w:hint="default"/>
                <w:sz w:val="15"/>
                <w:szCs w:val="15"/>
              </w:rPr>
            </w:pPr>
            <w:r>
              <w:rPr>
                <w:rFonts w:ascii="Times New Roman"/>
                <w:spacing w:val="-1"/>
                <w:sz w:val="15"/>
              </w:rPr>
              <w:t>2,204,475.29</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tabs>
                <w:tab w:pos="1014" w:val="left" w:leader="none"/>
              </w:tabs>
              <w:spacing w:line="240" w:lineRule="auto"/>
              <w:ind w:left="177" w:right="0"/>
              <w:jc w:val="left"/>
              <w:rPr>
                <w:rFonts w:ascii="Times New Roman" w:hAnsi="Times New Roman" w:cs="Times New Roman" w:eastAsia="Times New Roman" w:hint="default"/>
                <w:sz w:val="15"/>
                <w:szCs w:val="15"/>
              </w:rPr>
            </w:pPr>
            <w:r>
              <w:rPr>
                <w:rFonts w:ascii="Times New Roman"/>
                <w:spacing w:val="-1"/>
                <w:sz w:val="15"/>
              </w:rPr>
              <w:t>1.09</w:t>
              <w:tab/>
              <w:t>881,790.12</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34"/>
              <w:jc w:val="center"/>
              <w:rPr>
                <w:rFonts w:ascii="Times New Roman" w:hAnsi="Times New Roman" w:cs="Times New Roman" w:eastAsia="Times New Roman" w:hint="default"/>
                <w:sz w:val="15"/>
                <w:szCs w:val="15"/>
              </w:rPr>
            </w:pPr>
            <w:r>
              <w:rPr>
                <w:rFonts w:ascii="Times New Roman"/>
                <w:sz w:val="15"/>
              </w:rPr>
              <w:t>40.00</w:t>
            </w:r>
          </w:p>
        </w:tc>
      </w:tr>
      <w:tr>
        <w:trPr>
          <w:trHeight w:val="464" w:hRule="exact"/>
        </w:trPr>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 </w:t>
            </w:r>
            <w:r>
              <w:rPr>
                <w:rFonts w:ascii="宋体" w:hAnsi="宋体" w:cs="宋体" w:eastAsia="宋体" w:hint="default"/>
                <w:sz w:val="15"/>
                <w:szCs w:val="15"/>
              </w:rPr>
              <w:t>年以上</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67"/>
              <w:jc w:val="right"/>
              <w:rPr>
                <w:rFonts w:ascii="Times New Roman" w:hAnsi="Times New Roman" w:cs="Times New Roman" w:eastAsia="Times New Roman" w:hint="default"/>
                <w:sz w:val="15"/>
                <w:szCs w:val="15"/>
              </w:rPr>
            </w:pPr>
            <w:r>
              <w:rPr>
                <w:rFonts w:ascii="Times New Roman"/>
                <w:spacing w:val="-1"/>
                <w:sz w:val="15"/>
              </w:rPr>
              <w:t>717,251.72</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tabs>
                <w:tab w:pos="722" w:val="left" w:leader="none"/>
              </w:tabs>
              <w:spacing w:line="240" w:lineRule="auto"/>
              <w:ind w:right="90"/>
              <w:jc w:val="right"/>
              <w:rPr>
                <w:rFonts w:ascii="Times New Roman" w:hAnsi="Times New Roman" w:cs="Times New Roman" w:eastAsia="Times New Roman" w:hint="default"/>
                <w:sz w:val="15"/>
                <w:szCs w:val="15"/>
              </w:rPr>
            </w:pPr>
            <w:r>
              <w:rPr>
                <w:rFonts w:ascii="Times New Roman"/>
                <w:spacing w:val="-1"/>
                <w:sz w:val="15"/>
              </w:rPr>
              <w:t>0.38</w:t>
              <w:tab/>
              <w:t>717,251.72</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95"/>
              <w:jc w:val="right"/>
              <w:rPr>
                <w:rFonts w:ascii="Times New Roman" w:hAnsi="Times New Roman" w:cs="Times New Roman" w:eastAsia="Times New Roman" w:hint="default"/>
                <w:sz w:val="15"/>
                <w:szCs w:val="15"/>
              </w:rPr>
            </w:pPr>
            <w:r>
              <w:rPr>
                <w:rFonts w:ascii="Times New Roman"/>
                <w:spacing w:val="-1"/>
                <w:sz w:val="15"/>
              </w:rPr>
              <w:t>100.00</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50"/>
              <w:jc w:val="right"/>
              <w:rPr>
                <w:rFonts w:ascii="Times New Roman" w:hAnsi="Times New Roman" w:cs="Times New Roman" w:eastAsia="Times New Roman" w:hint="default"/>
                <w:sz w:val="15"/>
                <w:szCs w:val="15"/>
              </w:rPr>
            </w:pPr>
            <w:r>
              <w:rPr>
                <w:rFonts w:ascii="Times New Roman"/>
                <w:spacing w:val="-1"/>
                <w:sz w:val="15"/>
              </w:rPr>
              <w:t>710,087.36</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tabs>
                <w:tab w:pos="1014" w:val="left" w:leader="none"/>
              </w:tabs>
              <w:spacing w:line="240" w:lineRule="auto"/>
              <w:ind w:left="177" w:right="0"/>
              <w:jc w:val="left"/>
              <w:rPr>
                <w:rFonts w:ascii="Times New Roman" w:hAnsi="Times New Roman" w:cs="Times New Roman" w:eastAsia="Times New Roman" w:hint="default"/>
                <w:sz w:val="15"/>
                <w:szCs w:val="15"/>
              </w:rPr>
            </w:pPr>
            <w:r>
              <w:rPr>
                <w:rFonts w:ascii="Times New Roman"/>
                <w:spacing w:val="-1"/>
                <w:sz w:val="15"/>
              </w:rPr>
              <w:t>0.35</w:t>
              <w:tab/>
              <w:t>710,087.36</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36"/>
              <w:jc w:val="center"/>
              <w:rPr>
                <w:rFonts w:ascii="Times New Roman" w:hAnsi="Times New Roman" w:cs="Times New Roman" w:eastAsia="Times New Roman" w:hint="default"/>
                <w:sz w:val="15"/>
                <w:szCs w:val="15"/>
              </w:rPr>
            </w:pPr>
            <w:r>
              <w:rPr>
                <w:rFonts w:ascii="Times New Roman"/>
                <w:sz w:val="15"/>
              </w:rPr>
              <w:t>100.00</w:t>
            </w:r>
          </w:p>
        </w:tc>
      </w:tr>
      <w:tr>
        <w:trPr>
          <w:trHeight w:val="410" w:hRule="exact"/>
        </w:trPr>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68"/>
              <w:jc w:val="center"/>
              <w:rPr>
                <w:rFonts w:ascii="宋体" w:hAnsi="宋体" w:cs="宋体" w:eastAsia="宋体" w:hint="default"/>
                <w:sz w:val="15"/>
                <w:szCs w:val="15"/>
              </w:rPr>
            </w:pPr>
            <w:r>
              <w:rPr>
                <w:rFonts w:ascii="宋体" w:hAnsi="宋体" w:cs="宋体" w:eastAsia="宋体" w:hint="default"/>
                <w:sz w:val="15"/>
                <w:szCs w:val="15"/>
              </w:rPr>
              <w:t>合计</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67"/>
              <w:jc w:val="right"/>
              <w:rPr>
                <w:rFonts w:ascii="Times New Roman" w:hAnsi="Times New Roman" w:cs="Times New Roman" w:eastAsia="Times New Roman" w:hint="default"/>
                <w:sz w:val="15"/>
                <w:szCs w:val="15"/>
              </w:rPr>
            </w:pPr>
            <w:r>
              <w:rPr>
                <w:rFonts w:ascii="Times New Roman"/>
                <w:spacing w:val="-1"/>
                <w:sz w:val="15"/>
              </w:rPr>
              <w:t>187,915,706.00</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tabs>
                <w:tab w:pos="683" w:val="left" w:leader="none"/>
              </w:tabs>
              <w:spacing w:line="240" w:lineRule="auto"/>
              <w:ind w:right="89"/>
              <w:jc w:val="right"/>
              <w:rPr>
                <w:rFonts w:ascii="Times New Roman" w:hAnsi="Times New Roman" w:cs="Times New Roman" w:eastAsia="Times New Roman" w:hint="default"/>
                <w:sz w:val="15"/>
                <w:szCs w:val="15"/>
              </w:rPr>
            </w:pPr>
            <w:r>
              <w:rPr>
                <w:rFonts w:ascii="Times New Roman"/>
                <w:spacing w:val="-1"/>
                <w:sz w:val="15"/>
              </w:rPr>
              <w:t>100.00</w:t>
              <w:tab/>
              <w:t>14,025,485.17</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95"/>
              <w:jc w:val="right"/>
              <w:rPr>
                <w:rFonts w:ascii="Times New Roman" w:hAnsi="Times New Roman" w:cs="Times New Roman" w:eastAsia="Times New Roman" w:hint="default"/>
                <w:sz w:val="15"/>
                <w:szCs w:val="15"/>
              </w:rPr>
            </w:pPr>
            <w:r>
              <w:rPr>
                <w:rFonts w:ascii="Times New Roman"/>
                <w:spacing w:val="-1"/>
                <w:sz w:val="15"/>
              </w:rPr>
              <w:t>7.46</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50"/>
              <w:jc w:val="right"/>
              <w:rPr>
                <w:rFonts w:ascii="Times New Roman" w:hAnsi="Times New Roman" w:cs="Times New Roman" w:eastAsia="Times New Roman" w:hint="default"/>
                <w:sz w:val="15"/>
                <w:szCs w:val="15"/>
              </w:rPr>
            </w:pPr>
            <w:r>
              <w:rPr>
                <w:rFonts w:ascii="Times New Roman"/>
                <w:spacing w:val="-1"/>
                <w:sz w:val="15"/>
              </w:rPr>
              <w:t>201,332,969.37</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tabs>
                <w:tab w:pos="826" w:val="left" w:leader="none"/>
              </w:tabs>
              <w:spacing w:line="240" w:lineRule="auto"/>
              <w:ind w:left="102" w:right="0"/>
              <w:jc w:val="left"/>
              <w:rPr>
                <w:rFonts w:ascii="Times New Roman" w:hAnsi="Times New Roman" w:cs="Times New Roman" w:eastAsia="Times New Roman" w:hint="default"/>
                <w:sz w:val="15"/>
                <w:szCs w:val="15"/>
              </w:rPr>
            </w:pPr>
            <w:r>
              <w:rPr>
                <w:rFonts w:ascii="Times New Roman"/>
                <w:spacing w:val="-1"/>
                <w:sz w:val="15"/>
              </w:rPr>
              <w:t>100.00</w:t>
              <w:tab/>
              <w:t>15,732,812.62</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33"/>
              <w:jc w:val="center"/>
              <w:rPr>
                <w:rFonts w:ascii="Times New Roman" w:hAnsi="Times New Roman" w:cs="Times New Roman" w:eastAsia="Times New Roman" w:hint="default"/>
                <w:sz w:val="15"/>
                <w:szCs w:val="15"/>
              </w:rPr>
            </w:pPr>
            <w:r>
              <w:rPr>
                <w:rFonts w:ascii="Times New Roman"/>
                <w:sz w:val="15"/>
              </w:rPr>
              <w:t>7.81</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0"/>
          <w:szCs w:val="20"/>
        </w:rPr>
      </w:pPr>
    </w:p>
    <w:p>
      <w:pPr>
        <w:tabs>
          <w:tab w:pos="1414" w:val="left" w:leader="none"/>
        </w:tabs>
        <w:spacing w:before="35"/>
        <w:ind w:left="875" w:right="0" w:firstLine="0"/>
        <w:jc w:val="left"/>
        <w:rPr>
          <w:rFonts w:ascii="宋体" w:hAnsi="宋体" w:cs="宋体" w:eastAsia="宋体" w:hint="default"/>
          <w:sz w:val="21"/>
          <w:szCs w:val="21"/>
        </w:rPr>
      </w:pPr>
      <w:r>
        <w:rPr/>
        <w:pict>
          <v:group style="position:absolute;margin-left:83.129997pt;margin-top:17.073536pt;width:469.65pt;height:308.25pt;mso-position-horizontal-relative:page;mso-position-vertical-relative:paragraph;z-index:-770056" coordorigin="1663,341" coordsize="9393,6165">
            <v:group style="position:absolute;left:1692;top:356;width:5276;height:2" coordorigin="1692,356" coordsize="5276,2">
              <v:shape style="position:absolute;left:1692;top:356;width:5276;height:2" coordorigin="1692,356" coordsize="5276,0" path="m1692,356l6967,356e" filled="false" stroked="true" strokeweight="1.5pt" strokecolor="#000000">
                <v:path arrowok="t"/>
              </v:shape>
            </v:group>
            <v:group style="position:absolute;left:6967;top:356;width:4053;height:2" coordorigin="6967,356" coordsize="4053,2">
              <v:shape style="position:absolute;left:6967;top:356;width:4053;height:2" coordorigin="6967,356" coordsize="4053,0" path="m6967,356l11020,356e" filled="false" stroked="true" strokeweight="1.5pt" strokecolor="#000000">
                <v:path arrowok="t"/>
              </v:shape>
              <v:shape style="position:absolute;left:3142;top:352;width:3824;height:494" type="#_x0000_t75" stroked="false">
                <v:imagedata r:id="rId294" o:title=""/>
              </v:shape>
              <v:shape style="position:absolute;left:3143;top:807;width:7903;height:1136" type="#_x0000_t75" stroked="false">
                <v:imagedata r:id="rId295" o:title=""/>
              </v:shape>
            </v:group>
            <v:group style="position:absolute;left:1678;top:6491;width:1485;height:2" coordorigin="1678,6491" coordsize="1485,2">
              <v:shape style="position:absolute;left:1678;top:6491;width:1485;height:2" coordorigin="1678,6491" coordsize="1485,0" path="m1678,6491l3162,6491e" filled="false" stroked="true" strokeweight="1.5pt" strokecolor="#000000">
                <v:path arrowok="t"/>
              </v:shape>
            </v:group>
            <v:group style="position:absolute;left:3162;top:6491;width:1360;height:2" coordorigin="3162,6491" coordsize="1360,2">
              <v:shape style="position:absolute;left:3162;top:6491;width:1360;height:2" coordorigin="3162,6491" coordsize="1360,0" path="m3162,6491l4522,6491e" filled="false" stroked="true" strokeweight="1.5pt" strokecolor="#000000">
                <v:path arrowok="t"/>
              </v:shape>
            </v:group>
            <v:group style="position:absolute;left:4522;top:6491;width:604;height:2" coordorigin="4522,6491" coordsize="604,2">
              <v:shape style="position:absolute;left:4522;top:6491;width:604;height:2" coordorigin="4522,6491" coordsize="604,0" path="m4522,6491l5125,6491e" filled="false" stroked="true" strokeweight="1.5pt" strokecolor="#000000">
                <v:path arrowok="t"/>
              </v:shape>
            </v:group>
            <v:group style="position:absolute;left:5125;top:6491;width:1209;height:2" coordorigin="5125,6491" coordsize="1209,2">
              <v:shape style="position:absolute;left:5125;top:6491;width:1209;height:2" coordorigin="5125,6491" coordsize="1209,0" path="m5125,6491l6334,6491e" filled="false" stroked="true" strokeweight="1.5pt" strokecolor="#000000">
                <v:path arrowok="t"/>
              </v:shape>
            </v:group>
            <v:group style="position:absolute;left:6334;top:6491;width:604;height:2" coordorigin="6334,6491" coordsize="604,2">
              <v:shape style="position:absolute;left:6334;top:6491;width:604;height:2" coordorigin="6334,6491" coordsize="604,0" path="m6334,6491l6937,6491e" filled="false" stroked="true" strokeweight="1.5pt" strokecolor="#000000">
                <v:path arrowok="t"/>
              </v:shape>
            </v:group>
            <v:group style="position:absolute;left:6937;top:6491;width:1359;height:2" coordorigin="6937,6491" coordsize="1359,2">
              <v:shape style="position:absolute;left:6937;top:6491;width:1359;height:2" coordorigin="6937,6491" coordsize="1359,0" path="m6937,6491l8296,6491e" filled="false" stroked="true" strokeweight="1.5pt" strokecolor="#000000">
                <v:path arrowok="t"/>
              </v:shape>
            </v:group>
            <v:group style="position:absolute;left:8296;top:6491;width:756;height:2" coordorigin="8296,6491" coordsize="756,2">
              <v:shape style="position:absolute;left:8296;top:6491;width:756;height:2" coordorigin="8296,6491" coordsize="756,0" path="m8296,6491l9052,6491e" filled="false" stroked="true" strokeweight="1.5pt" strokecolor="#000000">
                <v:path arrowok="t"/>
              </v:shape>
            </v:group>
            <v:group style="position:absolute;left:9052;top:6491;width:1208;height:2" coordorigin="9052,6491" coordsize="1208,2">
              <v:shape style="position:absolute;left:9052;top:6491;width:1208;height:2" coordorigin="9052,6491" coordsize="1208,0" path="m9052,6491l10259,6491e" filled="false" stroked="true" strokeweight="1.5pt" strokecolor="#000000">
                <v:path arrowok="t"/>
              </v:shape>
              <v:shape style="position:absolute;left:1663;top:1903;width:9392;height:4573" type="#_x0000_t75" stroked="false">
                <v:imagedata r:id="rId296" o:title=""/>
              </v:shape>
            </v:group>
            <v:group style="position:absolute;left:10259;top:6491;width:761;height:2" coordorigin="10259,6491" coordsize="761,2">
              <v:shape style="position:absolute;left:10259;top:6491;width:761;height:2" coordorigin="10259,6491" coordsize="761,0" path="m10259,6491l11020,6491e" filled="false" stroked="true" strokeweight="1.5pt" strokecolor="#000000">
                <v:path arrowok="t"/>
              </v:shape>
              <v:shape style="position:absolute;left:4754;top:52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shape style="position:absolute;left:8681;top:52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2279;top:1072;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种类</w:t>
                      </w:r>
                    </w:p>
                  </w:txbxContent>
                </v:textbox>
                <w10:wrap type="none"/>
              </v:shape>
              <v:shape style="position:absolute;left:3848;top:98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5736;top:98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7699;top:98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9738;top:98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4674;top:1380;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6486;top:1380;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3691;top:1536;width:4076;height:150" type="#_x0000_t202" filled="false" stroked="false">
                <v:textbox inset="0,0,0,0">
                  <w:txbxContent>
                    <w:p>
                      <w:pPr>
                        <w:tabs>
                          <w:tab w:pos="1887" w:val="left" w:leader="none"/>
                          <w:tab w:pos="3775"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tab/>
                        <w:t>金额</w:t>
                        <w:tab/>
                        <w:t>金额</w:t>
                      </w:r>
                    </w:p>
                  </w:txbxContent>
                </v:textbox>
                <w10:wrap type="none"/>
              </v:shape>
              <v:shape style="position:absolute;left:8350;top:1536;width:724;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比例（</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xbxContent>
                </v:textbox>
                <w10:wrap type="none"/>
              </v:shape>
              <v:shape style="position:absolute;left:9505;top:153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10313;top:1536;width:723;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比例（</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xbxContent>
                </v:textbox>
                <w10:wrap type="none"/>
              </v:shape>
              <v:shape style="position:absolute;left:1800;top:2014;width:1268;height:774"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8"/>
                          <w:sz w:val="15"/>
                          <w:szCs w:val="15"/>
                        </w:rPr>
                        <w:t>单项金额重大并单</w:t>
                      </w:r>
                      <w:r>
                        <w:rPr>
                          <w:rFonts w:ascii="宋体" w:hAnsi="宋体" w:cs="宋体" w:eastAsia="宋体" w:hint="default"/>
                          <w:sz w:val="15"/>
                          <w:szCs w:val="15"/>
                        </w:rPr>
                      </w:r>
                    </w:p>
                    <w:p>
                      <w:pPr>
                        <w:spacing w:line="310" w:lineRule="atLeast" w:before="2"/>
                        <w:ind w:left="0" w:right="0" w:firstLine="0"/>
                        <w:jc w:val="left"/>
                        <w:rPr>
                          <w:rFonts w:ascii="宋体" w:hAnsi="宋体" w:cs="宋体" w:eastAsia="宋体" w:hint="default"/>
                          <w:sz w:val="15"/>
                          <w:szCs w:val="15"/>
                        </w:rPr>
                      </w:pPr>
                      <w:r>
                        <w:rPr>
                          <w:rFonts w:ascii="宋体" w:hAnsi="宋体" w:cs="宋体" w:eastAsia="宋体" w:hint="default"/>
                          <w:spacing w:val="8"/>
                          <w:sz w:val="15"/>
                          <w:szCs w:val="15"/>
                        </w:rPr>
                        <w:t>项计提坏账准备的 </w:t>
                      </w:r>
                      <w:r>
                        <w:rPr>
                          <w:rFonts w:ascii="宋体" w:hAnsi="宋体" w:cs="宋体" w:eastAsia="宋体" w:hint="default"/>
                          <w:sz w:val="15"/>
                          <w:szCs w:val="15"/>
                        </w:rPr>
                        <w:t>应收账款</w:t>
                      </w:r>
                    </w:p>
                  </w:txbxContent>
                </v:textbox>
                <w10:wrap type="none"/>
              </v:shape>
              <v:shape style="position:absolute;left:10759;top:2333;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1800;top:2959;width:1268;height:856"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8"/>
                          <w:sz w:val="15"/>
                          <w:szCs w:val="15"/>
                        </w:rPr>
                        <w:t>按组合计提坏账准</w:t>
                      </w:r>
                      <w:r>
                        <w:rPr>
                          <w:rFonts w:ascii="宋体" w:hAnsi="宋体" w:cs="宋体" w:eastAsia="宋体" w:hint="default"/>
                          <w:sz w:val="15"/>
                          <w:szCs w:val="15"/>
                        </w:rPr>
                      </w:r>
                    </w:p>
                    <w:p>
                      <w:pPr>
                        <w:spacing w:before="115"/>
                        <w:ind w:left="0" w:right="0" w:firstLine="0"/>
                        <w:jc w:val="left"/>
                        <w:rPr>
                          <w:rFonts w:ascii="宋体" w:hAnsi="宋体" w:cs="宋体" w:eastAsia="宋体" w:hint="default"/>
                          <w:sz w:val="15"/>
                          <w:szCs w:val="15"/>
                        </w:rPr>
                      </w:pPr>
                      <w:r>
                        <w:rPr>
                          <w:rFonts w:ascii="宋体" w:hAnsi="宋体" w:cs="宋体" w:eastAsia="宋体" w:hint="default"/>
                          <w:sz w:val="15"/>
                          <w:szCs w:val="15"/>
                        </w:rPr>
                        <w:t>备的应收账款</w:t>
                      </w:r>
                    </w:p>
                    <w:p>
                      <w:pPr>
                        <w:spacing w:line="240" w:lineRule="auto" w:before="1"/>
                        <w:rPr>
                          <w:rFonts w:ascii="宋体" w:hAnsi="宋体" w:cs="宋体" w:eastAsia="宋体" w:hint="default"/>
                          <w:b/>
                          <w:bCs/>
                          <w:sz w:val="15"/>
                          <w:szCs w:val="15"/>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账龄组合</w:t>
                      </w:r>
                    </w:p>
                  </w:txbxContent>
                </v:textbox>
                <w10:wrap type="none"/>
              </v:shape>
              <v:shape style="position:absolute;left:10510;top:3672;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7.81</w:t>
                      </w:r>
                    </w:p>
                  </w:txbxContent>
                </v:textbox>
                <w10:wrap type="none"/>
              </v:shape>
              <v:shape style="position:absolute;left:1800;top:4057;width:1268;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8"/>
                          <w:sz w:val="15"/>
                          <w:szCs w:val="15"/>
                        </w:rPr>
                        <w:t>合并范围内关联方</w:t>
                      </w:r>
                      <w:r>
                        <w:rPr>
                          <w:rFonts w:ascii="宋体" w:hAnsi="宋体" w:cs="宋体" w:eastAsia="宋体" w:hint="default"/>
                          <w:sz w:val="15"/>
                          <w:szCs w:val="15"/>
                        </w:rPr>
                      </w:r>
                    </w:p>
                  </w:txbxContent>
                </v:textbox>
                <w10:wrap type="none"/>
              </v:shape>
              <v:shape style="position:absolute;left:10759;top:4220;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1800;top:4369;width:600;height:544"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组合</w:t>
                      </w:r>
                    </w:p>
                    <w:p>
                      <w:pPr>
                        <w:spacing w:line="240" w:lineRule="auto" w:before="1"/>
                        <w:rPr>
                          <w:rFonts w:ascii="宋体" w:hAnsi="宋体" w:cs="宋体" w:eastAsia="宋体" w:hint="default"/>
                          <w:b/>
                          <w:bCs/>
                          <w:sz w:val="15"/>
                          <w:szCs w:val="15"/>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组合小计</w:t>
                      </w:r>
                    </w:p>
                  </w:txbxContent>
                </v:textbox>
                <w10:wrap type="none"/>
              </v:shape>
              <v:shape style="position:absolute;left:10510;top:4770;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7.81</w:t>
                      </w:r>
                    </w:p>
                  </w:txbxContent>
                </v:textbox>
                <w10:wrap type="none"/>
              </v:shape>
              <v:shape style="position:absolute;left:1800;top:5155;width:1268;height:774"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8"/>
                          <w:sz w:val="15"/>
                          <w:szCs w:val="15"/>
                        </w:rPr>
                        <w:t>单项金额虽不重大</w:t>
                      </w:r>
                      <w:r>
                        <w:rPr>
                          <w:rFonts w:ascii="宋体" w:hAnsi="宋体" w:cs="宋体" w:eastAsia="宋体" w:hint="default"/>
                          <w:sz w:val="15"/>
                          <w:szCs w:val="15"/>
                        </w:rPr>
                      </w:r>
                    </w:p>
                    <w:p>
                      <w:pPr>
                        <w:spacing w:line="310" w:lineRule="atLeast" w:before="2"/>
                        <w:ind w:left="0" w:right="0" w:firstLine="0"/>
                        <w:jc w:val="left"/>
                        <w:rPr>
                          <w:rFonts w:ascii="宋体" w:hAnsi="宋体" w:cs="宋体" w:eastAsia="宋体" w:hint="default"/>
                          <w:sz w:val="15"/>
                          <w:szCs w:val="15"/>
                        </w:rPr>
                      </w:pPr>
                      <w:r>
                        <w:rPr>
                          <w:rFonts w:ascii="宋体" w:hAnsi="宋体" w:cs="宋体" w:eastAsia="宋体" w:hint="default"/>
                          <w:spacing w:val="8"/>
                          <w:sz w:val="15"/>
                          <w:szCs w:val="15"/>
                        </w:rPr>
                        <w:t>但单项计提坏账准 </w:t>
                      </w:r>
                      <w:r>
                        <w:rPr>
                          <w:rFonts w:ascii="宋体" w:hAnsi="宋体" w:cs="宋体" w:eastAsia="宋体" w:hint="default"/>
                          <w:sz w:val="15"/>
                          <w:szCs w:val="15"/>
                        </w:rPr>
                        <w:t>备的应收账款</w:t>
                      </w:r>
                    </w:p>
                  </w:txbxContent>
                </v:textbox>
                <w10:wrap type="none"/>
              </v:shape>
              <v:shape style="position:absolute;left:10759;top:5474;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2279;top:617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shape style="position:absolute;left:10510;top:6180;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7.81</w:t>
                      </w:r>
                    </w:p>
                  </w:txbxContent>
                </v:textbox>
                <w10:wrap type="none"/>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应收账款按种类披露</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4"/>
          <w:szCs w:val="24"/>
        </w:rPr>
      </w:pPr>
    </w:p>
    <w:tbl>
      <w:tblPr>
        <w:tblW w:w="0" w:type="auto"/>
        <w:jc w:val="left"/>
        <w:tblInd w:w="1905" w:type="dxa"/>
        <w:tblLayout w:type="fixed"/>
        <w:tblCellMar>
          <w:top w:w="0" w:type="dxa"/>
          <w:left w:w="0" w:type="dxa"/>
          <w:bottom w:w="0" w:type="dxa"/>
          <w:right w:w="0" w:type="dxa"/>
        </w:tblCellMar>
        <w:tblLook w:val="01E0"/>
      </w:tblPr>
      <w:tblGrid>
        <w:gridCol w:w="1070"/>
        <w:gridCol w:w="687"/>
        <w:gridCol w:w="1126"/>
        <w:gridCol w:w="724"/>
        <w:gridCol w:w="1281"/>
        <w:gridCol w:w="789"/>
        <w:gridCol w:w="1072"/>
      </w:tblGrid>
      <w:tr>
        <w:trPr>
          <w:trHeight w:val="2329"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35" w:right="0" w:firstLine="786"/>
              <w:jc w:val="left"/>
              <w:rPr>
                <w:rFonts w:ascii="Times New Roman" w:hAnsi="Times New Roman" w:cs="Times New Roman" w:eastAsia="Times New Roman" w:hint="default"/>
                <w:sz w:val="15"/>
                <w:szCs w:val="15"/>
              </w:rPr>
            </w:pPr>
            <w:r>
              <w:rPr>
                <w:rFonts w:ascii="Times New Roman"/>
                <w:sz w:val="15"/>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35" w:right="0"/>
              <w:jc w:val="left"/>
              <w:rPr>
                <w:rFonts w:ascii="Times New Roman" w:hAnsi="Times New Roman" w:cs="Times New Roman" w:eastAsia="Times New Roman" w:hint="default"/>
                <w:sz w:val="15"/>
                <w:szCs w:val="15"/>
              </w:rPr>
            </w:pPr>
            <w:r>
              <w:rPr>
                <w:rFonts w:ascii="Times New Roman"/>
                <w:sz w:val="15"/>
              </w:rPr>
              <w:t>187,915,706.00</w:t>
            </w:r>
          </w:p>
        </w:tc>
        <w:tc>
          <w:tcPr>
            <w:tcW w:w="687" w:type="dxa"/>
            <w:tcBorders>
              <w:top w:val="nil" w:sz="6" w:space="0" w:color="auto"/>
              <w:left w:val="nil" w:sz="6" w:space="0" w:color="auto"/>
              <w:bottom w:val="nil" w:sz="6" w:space="0" w:color="auto"/>
              <w:right w:val="nil" w:sz="6" w:space="0" w:color="auto"/>
            </w:tcBorders>
          </w:tcPr>
          <w:p>
            <w:pPr>
              <w:pStyle w:val="TableParagraph"/>
              <w:spacing w:line="161" w:lineRule="exact"/>
              <w:ind w:right="66"/>
              <w:jc w:val="center"/>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03" w:right="0"/>
              <w:jc w:val="center"/>
              <w:rPr>
                <w:rFonts w:ascii="Times New Roman" w:hAnsi="Times New Roman" w:cs="Times New Roman" w:eastAsia="Times New Roman" w:hint="default"/>
                <w:sz w:val="15"/>
                <w:szCs w:val="15"/>
              </w:rPr>
            </w:pPr>
            <w:r>
              <w:rPr>
                <w:rFonts w:ascii="Times New Roman"/>
                <w:sz w:val="15"/>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03" w:right="0"/>
              <w:jc w:val="center"/>
              <w:rPr>
                <w:rFonts w:ascii="Times New Roman" w:hAnsi="Times New Roman" w:cs="Times New Roman" w:eastAsia="Times New Roman" w:hint="default"/>
                <w:sz w:val="15"/>
                <w:szCs w:val="15"/>
              </w:rPr>
            </w:pPr>
            <w:r>
              <w:rPr>
                <w:rFonts w:ascii="Times New Roman"/>
                <w:sz w:val="15"/>
              </w:rPr>
              <w:t>100</w:t>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165" w:right="0" w:firstLine="711"/>
              <w:jc w:val="left"/>
              <w:rPr>
                <w:rFonts w:ascii="Times New Roman" w:hAnsi="Times New Roman" w:cs="Times New Roman" w:eastAsia="Times New Roman" w:hint="default"/>
                <w:sz w:val="15"/>
                <w:szCs w:val="15"/>
              </w:rPr>
            </w:pPr>
            <w:r>
              <w:rPr>
                <w:rFonts w:ascii="Times New Roman"/>
                <w:sz w:val="15"/>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65" w:right="0"/>
              <w:jc w:val="left"/>
              <w:rPr>
                <w:rFonts w:ascii="Times New Roman" w:hAnsi="Times New Roman" w:cs="Times New Roman" w:eastAsia="Times New Roman" w:hint="default"/>
                <w:sz w:val="15"/>
                <w:szCs w:val="15"/>
              </w:rPr>
            </w:pPr>
            <w:r>
              <w:rPr>
                <w:rFonts w:ascii="Times New Roman"/>
                <w:sz w:val="15"/>
              </w:rPr>
              <w:t>14,025,485.17</w:t>
            </w:r>
          </w:p>
        </w:tc>
        <w:tc>
          <w:tcPr>
            <w:tcW w:w="724" w:type="dxa"/>
            <w:tcBorders>
              <w:top w:val="nil" w:sz="6" w:space="0" w:color="auto"/>
              <w:left w:val="nil" w:sz="6" w:space="0" w:color="auto"/>
              <w:bottom w:val="nil" w:sz="6" w:space="0" w:color="auto"/>
              <w:right w:val="nil" w:sz="6" w:space="0" w:color="auto"/>
            </w:tcBorders>
          </w:tcPr>
          <w:p>
            <w:pPr>
              <w:pStyle w:val="TableParagraph"/>
              <w:spacing w:line="161" w:lineRule="exact"/>
              <w:ind w:right="105"/>
              <w:jc w:val="center"/>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43" w:right="0" w:firstLine="111"/>
              <w:jc w:val="left"/>
              <w:rPr>
                <w:rFonts w:ascii="Times New Roman" w:hAnsi="Times New Roman" w:cs="Times New Roman" w:eastAsia="Times New Roman" w:hint="default"/>
                <w:sz w:val="15"/>
                <w:szCs w:val="15"/>
              </w:rPr>
            </w:pPr>
            <w:r>
              <w:rPr>
                <w:rFonts w:ascii="Times New Roman"/>
                <w:sz w:val="15"/>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7" w:right="0"/>
              <w:jc w:val="center"/>
              <w:rPr>
                <w:rFonts w:ascii="Times New Roman" w:hAnsi="Times New Roman" w:cs="Times New Roman" w:eastAsia="Times New Roman" w:hint="default"/>
                <w:sz w:val="15"/>
                <w:szCs w:val="15"/>
              </w:rPr>
            </w:pPr>
            <w:r>
              <w:rPr>
                <w:rFonts w:ascii="Times New Roman"/>
                <w:sz w:val="15"/>
              </w:rPr>
              <w:t>7.46</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203" w:right="0" w:firstLine="786"/>
              <w:jc w:val="left"/>
              <w:rPr>
                <w:rFonts w:ascii="Times New Roman" w:hAnsi="Times New Roman" w:cs="Times New Roman" w:eastAsia="Times New Roman" w:hint="default"/>
                <w:sz w:val="15"/>
                <w:szCs w:val="15"/>
              </w:rPr>
            </w:pPr>
            <w:r>
              <w:rPr>
                <w:rFonts w:ascii="Times New Roman"/>
                <w:sz w:val="15"/>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03" w:right="0"/>
              <w:jc w:val="left"/>
              <w:rPr>
                <w:rFonts w:ascii="Times New Roman" w:hAnsi="Times New Roman" w:cs="Times New Roman" w:eastAsia="Times New Roman" w:hint="default"/>
                <w:sz w:val="15"/>
                <w:szCs w:val="15"/>
              </w:rPr>
            </w:pPr>
            <w:r>
              <w:rPr>
                <w:rFonts w:ascii="Times New Roman"/>
                <w:sz w:val="15"/>
              </w:rPr>
              <w:t>201,332,969.37</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464" w:right="0"/>
              <w:jc w:val="left"/>
              <w:rPr>
                <w:rFonts w:ascii="Times New Roman" w:hAnsi="Times New Roman" w:cs="Times New Roman" w:eastAsia="Times New Roman" w:hint="default"/>
                <w:sz w:val="15"/>
                <w:szCs w:val="15"/>
              </w:rPr>
            </w:pPr>
            <w:r>
              <w:rPr>
                <w:rFonts w:ascii="Times New Roman"/>
                <w:sz w:val="15"/>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39" w:right="0"/>
              <w:jc w:val="left"/>
              <w:rPr>
                <w:rFonts w:ascii="Times New Roman" w:hAnsi="Times New Roman" w:cs="Times New Roman" w:eastAsia="Times New Roman" w:hint="default"/>
                <w:sz w:val="15"/>
                <w:szCs w:val="15"/>
              </w:rPr>
            </w:pPr>
            <w:r>
              <w:rPr>
                <w:rFonts w:ascii="Times New Roman"/>
                <w:sz w:val="15"/>
              </w:rPr>
              <w:t>100.00</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172" w:right="0" w:firstLine="711"/>
              <w:jc w:val="left"/>
              <w:rPr>
                <w:rFonts w:ascii="Times New Roman" w:hAnsi="Times New Roman" w:cs="Times New Roman" w:eastAsia="Times New Roman" w:hint="default"/>
                <w:sz w:val="15"/>
                <w:szCs w:val="15"/>
              </w:rPr>
            </w:pPr>
            <w:r>
              <w:rPr>
                <w:rFonts w:ascii="Times New Roman"/>
                <w:sz w:val="15"/>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72" w:right="0"/>
              <w:jc w:val="left"/>
              <w:rPr>
                <w:rFonts w:ascii="Times New Roman" w:hAnsi="Times New Roman" w:cs="Times New Roman" w:eastAsia="Times New Roman" w:hint="default"/>
                <w:sz w:val="15"/>
                <w:szCs w:val="15"/>
              </w:rPr>
            </w:pPr>
            <w:r>
              <w:rPr>
                <w:rFonts w:ascii="Times New Roman"/>
                <w:sz w:val="15"/>
              </w:rPr>
              <w:t>15,732,812.62</w:t>
            </w:r>
          </w:p>
        </w:tc>
      </w:tr>
      <w:tr>
        <w:trPr>
          <w:trHeight w:val="549"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68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78"/>
              <w:jc w:val="right"/>
              <w:rPr>
                <w:rFonts w:ascii="Times New Roman" w:hAnsi="Times New Roman" w:cs="Times New Roman" w:eastAsia="Times New Roman" w:hint="default"/>
                <w:sz w:val="15"/>
                <w:szCs w:val="15"/>
              </w:rPr>
            </w:pPr>
            <w:r>
              <w:rPr>
                <w:rFonts w:ascii="Times New Roman"/>
                <w:sz w:val="15"/>
              </w:rPr>
              <w:t>---</w:t>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72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37" w:right="0"/>
              <w:jc w:val="center"/>
              <w:rPr>
                <w:rFonts w:ascii="Times New Roman" w:hAnsi="Times New Roman" w:cs="Times New Roman" w:eastAsia="Times New Roman" w:hint="default"/>
                <w:sz w:val="15"/>
                <w:szCs w:val="15"/>
              </w:rPr>
            </w:pPr>
            <w:r>
              <w:rPr>
                <w:rFonts w:ascii="Times New Roman"/>
                <w:sz w:val="15"/>
              </w:rPr>
              <w:t>---</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38"/>
              <w:jc w:val="right"/>
              <w:rPr>
                <w:rFonts w:ascii="Times New Roman" w:hAnsi="Times New Roman" w:cs="Times New Roman" w:eastAsia="Times New Roman" w:hint="default"/>
                <w:sz w:val="15"/>
                <w:szCs w:val="15"/>
              </w:rPr>
            </w:pPr>
            <w:r>
              <w:rPr>
                <w:rFonts w:ascii="Times New Roman"/>
                <w:sz w:val="15"/>
              </w:rPr>
              <w:t>---</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70"/>
              <w:jc w:val="right"/>
              <w:rPr>
                <w:rFonts w:ascii="Times New Roman" w:hAnsi="Times New Roman" w:cs="Times New Roman" w:eastAsia="Times New Roman" w:hint="default"/>
                <w:sz w:val="15"/>
                <w:szCs w:val="15"/>
              </w:rPr>
            </w:pPr>
            <w:r>
              <w:rPr>
                <w:rFonts w:ascii="Times New Roman"/>
                <w:sz w:val="15"/>
              </w:rPr>
              <w:t>---</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3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627"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94"/>
              <w:jc w:val="right"/>
              <w:rPr>
                <w:rFonts w:ascii="Times New Roman" w:hAnsi="Times New Roman" w:cs="Times New Roman" w:eastAsia="Times New Roman" w:hint="default"/>
                <w:sz w:val="15"/>
                <w:szCs w:val="15"/>
              </w:rPr>
            </w:pPr>
            <w:r>
              <w:rPr>
                <w:rFonts w:ascii="Times New Roman"/>
                <w:spacing w:val="-1"/>
                <w:sz w:val="15"/>
              </w:rPr>
              <w:t>187,915,706.00</w:t>
            </w:r>
          </w:p>
        </w:tc>
        <w:tc>
          <w:tcPr>
            <w:tcW w:w="68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77"/>
              <w:jc w:val="right"/>
              <w:rPr>
                <w:rFonts w:ascii="Times New Roman" w:hAnsi="Times New Roman" w:cs="Times New Roman" w:eastAsia="Times New Roman" w:hint="default"/>
                <w:sz w:val="15"/>
                <w:szCs w:val="15"/>
              </w:rPr>
            </w:pPr>
            <w:r>
              <w:rPr>
                <w:rFonts w:ascii="Times New Roman"/>
                <w:spacing w:val="-1"/>
                <w:sz w:val="15"/>
              </w:rPr>
              <w:t>100</w:t>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14,025,485.17</w:t>
            </w:r>
          </w:p>
        </w:tc>
        <w:tc>
          <w:tcPr>
            <w:tcW w:w="72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27" w:right="0"/>
              <w:jc w:val="center"/>
              <w:rPr>
                <w:rFonts w:ascii="Times New Roman" w:hAnsi="Times New Roman" w:cs="Times New Roman" w:eastAsia="Times New Roman" w:hint="default"/>
                <w:sz w:val="15"/>
                <w:szCs w:val="15"/>
              </w:rPr>
            </w:pPr>
            <w:r>
              <w:rPr>
                <w:rFonts w:ascii="Times New Roman"/>
                <w:sz w:val="15"/>
              </w:rPr>
              <w:t>7.46</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37"/>
              <w:jc w:val="right"/>
              <w:rPr>
                <w:rFonts w:ascii="Times New Roman" w:hAnsi="Times New Roman" w:cs="Times New Roman" w:eastAsia="Times New Roman" w:hint="default"/>
                <w:sz w:val="15"/>
                <w:szCs w:val="15"/>
              </w:rPr>
            </w:pPr>
            <w:r>
              <w:rPr>
                <w:rFonts w:ascii="Times New Roman"/>
                <w:spacing w:val="-1"/>
                <w:sz w:val="15"/>
              </w:rPr>
              <w:t>201,332,969.37</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233"/>
              <w:jc w:val="right"/>
              <w:rPr>
                <w:rFonts w:ascii="Times New Roman" w:hAnsi="Times New Roman" w:cs="Times New Roman" w:eastAsia="Times New Roman" w:hint="default"/>
                <w:sz w:val="15"/>
                <w:szCs w:val="15"/>
              </w:rPr>
            </w:pPr>
            <w:r>
              <w:rPr>
                <w:rFonts w:ascii="Times New Roman"/>
                <w:spacing w:val="-1"/>
                <w:sz w:val="15"/>
              </w:rPr>
              <w:t>100.00</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15,732,812.62</w:t>
            </w:r>
          </w:p>
        </w:tc>
      </w:tr>
      <w:tr>
        <w:trPr>
          <w:trHeight w:val="705"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68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right="178"/>
              <w:jc w:val="right"/>
              <w:rPr>
                <w:rFonts w:ascii="Times New Roman" w:hAnsi="Times New Roman" w:cs="Times New Roman" w:eastAsia="Times New Roman" w:hint="default"/>
                <w:sz w:val="15"/>
                <w:szCs w:val="15"/>
              </w:rPr>
            </w:pPr>
            <w:r>
              <w:rPr>
                <w:rFonts w:ascii="Times New Roman"/>
                <w:sz w:val="15"/>
              </w:rPr>
              <w:t>---</w:t>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72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left="137" w:right="0"/>
              <w:jc w:val="center"/>
              <w:rPr>
                <w:rFonts w:ascii="Times New Roman" w:hAnsi="Times New Roman" w:cs="Times New Roman" w:eastAsia="Times New Roman" w:hint="default"/>
                <w:sz w:val="15"/>
                <w:szCs w:val="15"/>
              </w:rPr>
            </w:pPr>
            <w:r>
              <w:rPr>
                <w:rFonts w:ascii="Times New Roman"/>
                <w:sz w:val="15"/>
              </w:rPr>
              <w:t>---</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right="138"/>
              <w:jc w:val="right"/>
              <w:rPr>
                <w:rFonts w:ascii="Times New Roman" w:hAnsi="Times New Roman" w:cs="Times New Roman" w:eastAsia="Times New Roman" w:hint="default"/>
                <w:sz w:val="15"/>
                <w:szCs w:val="15"/>
              </w:rPr>
            </w:pPr>
            <w:r>
              <w:rPr>
                <w:rFonts w:ascii="Times New Roman"/>
                <w:sz w:val="15"/>
              </w:rPr>
              <w:t>---</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right="170"/>
              <w:jc w:val="right"/>
              <w:rPr>
                <w:rFonts w:ascii="Times New Roman" w:hAnsi="Times New Roman" w:cs="Times New Roman" w:eastAsia="Times New Roman" w:hint="default"/>
                <w:sz w:val="15"/>
                <w:szCs w:val="15"/>
              </w:rPr>
            </w:pPr>
            <w:r>
              <w:rPr>
                <w:rFonts w:ascii="Times New Roman"/>
                <w:sz w:val="15"/>
              </w:rPr>
              <w:t>---</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right="3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528"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94"/>
              <w:jc w:val="right"/>
              <w:rPr>
                <w:rFonts w:ascii="Times New Roman" w:hAnsi="Times New Roman" w:cs="Times New Roman" w:eastAsia="Times New Roman" w:hint="default"/>
                <w:sz w:val="15"/>
                <w:szCs w:val="15"/>
              </w:rPr>
            </w:pPr>
            <w:r>
              <w:rPr>
                <w:rFonts w:ascii="Times New Roman"/>
                <w:spacing w:val="-1"/>
                <w:sz w:val="15"/>
              </w:rPr>
              <w:t>187,915,706.00</w:t>
            </w:r>
          </w:p>
        </w:tc>
        <w:tc>
          <w:tcPr>
            <w:tcW w:w="68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177"/>
              <w:jc w:val="right"/>
              <w:rPr>
                <w:rFonts w:ascii="Times New Roman" w:hAnsi="Times New Roman" w:cs="Times New Roman" w:eastAsia="Times New Roman" w:hint="default"/>
                <w:sz w:val="15"/>
                <w:szCs w:val="15"/>
              </w:rPr>
            </w:pPr>
            <w:r>
              <w:rPr>
                <w:rFonts w:ascii="Times New Roman"/>
                <w:spacing w:val="-1"/>
                <w:sz w:val="15"/>
              </w:rPr>
              <w:t>100</w:t>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14,025,485.17</w:t>
            </w:r>
          </w:p>
        </w:tc>
        <w:tc>
          <w:tcPr>
            <w:tcW w:w="72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left="27" w:right="0"/>
              <w:jc w:val="center"/>
              <w:rPr>
                <w:rFonts w:ascii="Times New Roman" w:hAnsi="Times New Roman" w:cs="Times New Roman" w:eastAsia="Times New Roman" w:hint="default"/>
                <w:sz w:val="15"/>
                <w:szCs w:val="15"/>
              </w:rPr>
            </w:pPr>
            <w:r>
              <w:rPr>
                <w:rFonts w:ascii="Times New Roman"/>
                <w:sz w:val="15"/>
              </w:rPr>
              <w:t>7.46</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137"/>
              <w:jc w:val="right"/>
              <w:rPr>
                <w:rFonts w:ascii="Times New Roman" w:hAnsi="Times New Roman" w:cs="Times New Roman" w:eastAsia="Times New Roman" w:hint="default"/>
                <w:sz w:val="15"/>
                <w:szCs w:val="15"/>
              </w:rPr>
            </w:pPr>
            <w:r>
              <w:rPr>
                <w:rFonts w:ascii="Times New Roman"/>
                <w:spacing w:val="-1"/>
                <w:sz w:val="15"/>
              </w:rPr>
              <w:t>201,332,969.37</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233"/>
              <w:jc w:val="right"/>
              <w:rPr>
                <w:rFonts w:ascii="Times New Roman" w:hAnsi="Times New Roman" w:cs="Times New Roman" w:eastAsia="Times New Roman" w:hint="default"/>
                <w:sz w:val="15"/>
                <w:szCs w:val="15"/>
              </w:rPr>
            </w:pPr>
            <w:r>
              <w:rPr>
                <w:rFonts w:ascii="Times New Roman"/>
                <w:spacing w:val="-1"/>
                <w:sz w:val="15"/>
              </w:rPr>
              <w:t>100.00</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15,732,812.62</w:t>
            </w:r>
          </w:p>
        </w:tc>
      </w:tr>
    </w:tbl>
    <w:p>
      <w:pPr>
        <w:spacing w:after="0" w:line="240" w:lineRule="auto"/>
        <w:jc w:val="right"/>
        <w:rPr>
          <w:rFonts w:ascii="Times New Roman" w:hAnsi="Times New Roman" w:cs="Times New Roman" w:eastAsia="Times New Roman" w:hint="default"/>
          <w:sz w:val="15"/>
          <w:szCs w:val="15"/>
        </w:rPr>
        <w:sectPr>
          <w:pgSz w:w="11910" w:h="16840"/>
          <w:pgMar w:header="0" w:footer="1270" w:top="1360" w:bottom="1460" w:left="1540" w:right="720"/>
        </w:sectPr>
      </w:pPr>
    </w:p>
    <w:p>
      <w:pPr>
        <w:spacing w:before="126"/>
        <w:ind w:left="260" w:right="0" w:firstLine="0"/>
        <w:jc w:val="left"/>
        <w:rPr>
          <w:rFonts w:ascii="宋体" w:hAnsi="宋体" w:cs="宋体" w:eastAsia="宋体" w:hint="default"/>
          <w:sz w:val="21"/>
          <w:szCs w:val="21"/>
        </w:rPr>
      </w:pPr>
      <w:r>
        <w:rPr>
          <w:rFonts w:ascii="宋体" w:hAnsi="宋体" w:cs="宋体" w:eastAsia="宋体" w:hint="default"/>
          <w:sz w:val="21"/>
          <w:szCs w:val="21"/>
        </w:rPr>
        <w:t>应收账款种类说明：</w:t>
      </w:r>
    </w:p>
    <w:p>
      <w:pPr>
        <w:spacing w:before="125"/>
        <w:ind w:left="875"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）年末数中无单项金额重大并单项计提坏账准备的应收账款</w:t>
      </w:r>
    </w:p>
    <w:p>
      <w:pPr>
        <w:spacing w:before="109"/>
        <w:ind w:left="875" w:right="0" w:firstLine="0"/>
        <w:jc w:val="left"/>
        <w:rPr>
          <w:rFonts w:ascii="宋体" w:hAnsi="宋体" w:cs="宋体" w:eastAsia="宋体" w:hint="default"/>
          <w:sz w:val="21"/>
          <w:szCs w:val="21"/>
        </w:rPr>
      </w:pPr>
      <w:r>
        <w:rPr/>
        <w:pict>
          <v:group style="position:absolute;margin-left:83.160004pt;margin-top:20.833097pt;width:440.8pt;height:211.95pt;mso-position-horizontal-relative:page;mso-position-vertical-relative:paragraph;z-index:-769984" coordorigin="1663,417" coordsize="8816,4239">
            <v:group style="position:absolute;left:1692;top:432;width:8756;height:2" coordorigin="1692,432" coordsize="8756,2">
              <v:shape style="position:absolute;left:1692;top:432;width:8756;height:2" coordorigin="1692,432" coordsize="8756,0" path="m1692,432l10447,432e" filled="false" stroked="true" strokeweight="1.5pt" strokecolor="#000000">
                <v:path arrowok="t"/>
              </v:shape>
              <v:shape style="position:absolute;left:3319;top:418;width:3493;height:432" type="#_x0000_t75" stroked="false">
                <v:imagedata r:id="rId297" o:title=""/>
              </v:shape>
              <v:shape style="position:absolute;left:3319;top:792;width:7159;height:442" type="#_x0000_t75" stroked="false">
                <v:imagedata r:id="rId298" o:title=""/>
              </v:shape>
              <v:shape style="position:absolute;left:3319;top:1176;width:5758;height:816" type="#_x0000_t75" stroked="false">
                <v:imagedata r:id="rId299" o:title=""/>
              </v:shape>
              <v:shape style="position:absolute;left:1663;top:1944;width:8815;height:2711" type="#_x0000_t75" stroked="false">
                <v:imagedata r:id="rId300" o:title=""/>
              </v:shape>
              <v:shape style="position:absolute;left:4705;top:54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8252;top:54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rFonts w:ascii="宋体" w:hAnsi="宋体" w:cs="宋体" w:eastAsia="宋体" w:hint="default"/>
          <w:sz w:val="21"/>
          <w:szCs w:val="21"/>
        </w:rPr>
        <w:t>（2）组合中，采用账龄分析法计提坏账准备的应收账款</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tbl>
      <w:tblPr>
        <w:tblW w:w="0" w:type="auto"/>
        <w:jc w:val="left"/>
        <w:tblInd w:w="225" w:type="dxa"/>
        <w:tblLayout w:type="fixed"/>
        <w:tblCellMar>
          <w:top w:w="0" w:type="dxa"/>
          <w:left w:w="0" w:type="dxa"/>
          <w:bottom w:w="0" w:type="dxa"/>
          <w:right w:w="0" w:type="dxa"/>
        </w:tblCellMar>
        <w:tblLook w:val="01E0"/>
      </w:tblPr>
      <w:tblGrid>
        <w:gridCol w:w="1350"/>
        <w:gridCol w:w="1709"/>
        <w:gridCol w:w="684"/>
        <w:gridCol w:w="1301"/>
        <w:gridCol w:w="1503"/>
        <w:gridCol w:w="772"/>
        <w:gridCol w:w="1290"/>
      </w:tblGrid>
      <w:tr>
        <w:trPr>
          <w:trHeight w:val="1146"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577"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1709" w:type="dxa"/>
            <w:tcBorders>
              <w:top w:val="nil" w:sz="6" w:space="0" w:color="auto"/>
              <w:left w:val="nil" w:sz="6" w:space="0" w:color="auto"/>
              <w:bottom w:val="nil" w:sz="6" w:space="0" w:color="auto"/>
              <w:right w:val="nil" w:sz="6" w:space="0" w:color="auto"/>
            </w:tcBorders>
          </w:tcPr>
          <w:p>
            <w:pPr>
              <w:pStyle w:val="TableParagraph"/>
              <w:spacing w:line="580" w:lineRule="auto" w:before="44"/>
              <w:ind w:left="760" w:right="42" w:firstLine="183"/>
              <w:jc w:val="left"/>
              <w:rPr>
                <w:rFonts w:ascii="宋体" w:hAnsi="宋体" w:cs="宋体" w:eastAsia="宋体" w:hint="default"/>
                <w:sz w:val="18"/>
                <w:szCs w:val="18"/>
              </w:rPr>
            </w:pPr>
            <w:r>
              <w:rPr>
                <w:rFonts w:ascii="宋体" w:hAnsi="宋体" w:cs="宋体" w:eastAsia="宋体" w:hint="default"/>
                <w:sz w:val="18"/>
                <w:szCs w:val="18"/>
              </w:rPr>
              <w:t>账面余额 金额</w:t>
            </w:r>
          </w:p>
        </w:tc>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18"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4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6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03" w:type="dxa"/>
            <w:tcBorders>
              <w:top w:val="nil" w:sz="6" w:space="0" w:color="auto"/>
              <w:left w:val="nil" w:sz="6" w:space="0" w:color="auto"/>
              <w:bottom w:val="nil" w:sz="6" w:space="0" w:color="auto"/>
              <w:right w:val="nil" w:sz="6" w:space="0" w:color="auto"/>
            </w:tcBorders>
          </w:tcPr>
          <w:p>
            <w:pPr>
              <w:pStyle w:val="TableParagraph"/>
              <w:spacing w:line="580" w:lineRule="auto" w:before="44"/>
              <w:ind w:left="488" w:right="40" w:firstLine="252"/>
              <w:jc w:val="left"/>
              <w:rPr>
                <w:rFonts w:ascii="宋体" w:hAnsi="宋体" w:cs="宋体" w:eastAsia="宋体" w:hint="default"/>
                <w:sz w:val="18"/>
                <w:szCs w:val="18"/>
              </w:rPr>
            </w:pPr>
            <w:r>
              <w:rPr>
                <w:rFonts w:ascii="宋体" w:hAnsi="宋体" w:cs="宋体" w:eastAsia="宋体" w:hint="default"/>
                <w:sz w:val="18"/>
                <w:szCs w:val="18"/>
              </w:rPr>
              <w:t>账面余额 金额</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18"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4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00"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99"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68"/>
              <w:jc w:val="right"/>
              <w:rPr>
                <w:rFonts w:ascii="Times New Roman" w:hAnsi="Times New Roman" w:cs="Times New Roman" w:eastAsia="Times New Roman" w:hint="default"/>
                <w:sz w:val="18"/>
                <w:szCs w:val="18"/>
              </w:rPr>
            </w:pPr>
            <w:r>
              <w:rPr>
                <w:rFonts w:ascii="Times New Roman"/>
                <w:spacing w:val="-1"/>
                <w:sz w:val="18"/>
              </w:rPr>
              <w:t>145,541,803.44</w:t>
            </w:r>
          </w:p>
        </w:tc>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6"/>
              <w:jc w:val="right"/>
              <w:rPr>
                <w:rFonts w:ascii="Times New Roman" w:hAnsi="Times New Roman" w:cs="Times New Roman" w:eastAsia="Times New Roman" w:hint="default"/>
                <w:sz w:val="18"/>
                <w:szCs w:val="18"/>
              </w:rPr>
            </w:pPr>
            <w:r>
              <w:rPr>
                <w:rFonts w:ascii="Times New Roman"/>
                <w:sz w:val="18"/>
              </w:rPr>
              <w:t>77.45</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34"/>
              <w:jc w:val="right"/>
              <w:rPr>
                <w:rFonts w:ascii="Times New Roman" w:hAnsi="Times New Roman" w:cs="Times New Roman" w:eastAsia="Times New Roman" w:hint="default"/>
                <w:sz w:val="18"/>
                <w:szCs w:val="18"/>
              </w:rPr>
            </w:pPr>
            <w:r>
              <w:rPr>
                <w:rFonts w:ascii="Times New Roman"/>
                <w:spacing w:val="-1"/>
                <w:sz w:val="18"/>
              </w:rPr>
              <w:t>7,276,973.05</w:t>
            </w: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8"/>
              <w:jc w:val="right"/>
              <w:rPr>
                <w:rFonts w:ascii="Times New Roman" w:hAnsi="Times New Roman" w:cs="Times New Roman" w:eastAsia="Times New Roman" w:hint="default"/>
                <w:sz w:val="18"/>
                <w:szCs w:val="18"/>
              </w:rPr>
            </w:pPr>
            <w:r>
              <w:rPr>
                <w:rFonts w:ascii="Times New Roman"/>
                <w:spacing w:val="-1"/>
                <w:sz w:val="18"/>
              </w:rPr>
              <w:t>154,977,213.18</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82"/>
              <w:ind w:left="95" w:right="0"/>
              <w:jc w:val="left"/>
              <w:rPr>
                <w:rFonts w:ascii="Times New Roman" w:hAnsi="Times New Roman" w:cs="Times New Roman" w:eastAsia="Times New Roman" w:hint="default"/>
                <w:sz w:val="18"/>
                <w:szCs w:val="18"/>
              </w:rPr>
            </w:pPr>
            <w:r>
              <w:rPr>
                <w:rFonts w:ascii="Times New Roman"/>
                <w:sz w:val="18"/>
              </w:rPr>
              <w:t>76.98</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7,748,860.66</w:t>
            </w:r>
          </w:p>
        </w:tc>
      </w:tr>
      <w:tr>
        <w:trPr>
          <w:trHeight w:val="384"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68"/>
              <w:jc w:val="right"/>
              <w:rPr>
                <w:rFonts w:ascii="Times New Roman" w:hAnsi="Times New Roman" w:cs="Times New Roman" w:eastAsia="Times New Roman" w:hint="default"/>
                <w:sz w:val="18"/>
                <w:szCs w:val="18"/>
              </w:rPr>
            </w:pPr>
            <w:r>
              <w:rPr>
                <w:rFonts w:ascii="Times New Roman"/>
                <w:spacing w:val="-1"/>
                <w:sz w:val="18"/>
              </w:rPr>
              <w:t>30,678,618.17</w:t>
            </w:r>
          </w:p>
        </w:tc>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26"/>
              <w:jc w:val="right"/>
              <w:rPr>
                <w:rFonts w:ascii="Times New Roman" w:hAnsi="Times New Roman" w:cs="Times New Roman" w:eastAsia="Times New Roman" w:hint="default"/>
                <w:sz w:val="18"/>
                <w:szCs w:val="18"/>
              </w:rPr>
            </w:pPr>
            <w:r>
              <w:rPr>
                <w:rFonts w:ascii="Times New Roman"/>
                <w:sz w:val="18"/>
              </w:rPr>
              <w:t>16.33</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34"/>
              <w:jc w:val="right"/>
              <w:rPr>
                <w:rFonts w:ascii="Times New Roman" w:hAnsi="Times New Roman" w:cs="Times New Roman" w:eastAsia="Times New Roman" w:hint="default"/>
                <w:sz w:val="18"/>
                <w:szCs w:val="18"/>
              </w:rPr>
            </w:pPr>
            <w:r>
              <w:rPr>
                <w:rFonts w:ascii="Times New Roman"/>
                <w:spacing w:val="-1"/>
                <w:sz w:val="18"/>
              </w:rPr>
              <w:t>3,067,861.82</w:t>
            </w: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39"/>
              <w:jc w:val="right"/>
              <w:rPr>
                <w:rFonts w:ascii="Times New Roman" w:hAnsi="Times New Roman" w:cs="Times New Roman" w:eastAsia="Times New Roman" w:hint="default"/>
                <w:sz w:val="18"/>
                <w:szCs w:val="18"/>
              </w:rPr>
            </w:pPr>
            <w:r>
              <w:rPr>
                <w:rFonts w:ascii="Times New Roman"/>
                <w:spacing w:val="-1"/>
                <w:sz w:val="18"/>
              </w:rPr>
              <w:t>27,658,422.11</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67"/>
              <w:ind w:left="95" w:right="0"/>
              <w:jc w:val="left"/>
              <w:rPr>
                <w:rFonts w:ascii="Times New Roman" w:hAnsi="Times New Roman" w:cs="Times New Roman" w:eastAsia="Times New Roman" w:hint="default"/>
                <w:sz w:val="18"/>
                <w:szCs w:val="18"/>
              </w:rPr>
            </w:pPr>
            <w:r>
              <w:rPr>
                <w:rFonts w:ascii="Times New Roman"/>
                <w:sz w:val="18"/>
              </w:rPr>
              <w:t>13.74</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pacing w:val="-1"/>
                <w:sz w:val="18"/>
              </w:rPr>
              <w:t>2,765,842.21</w:t>
            </w:r>
          </w:p>
        </w:tc>
      </w:tr>
      <w:tr>
        <w:trPr>
          <w:trHeight w:val="385"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68"/>
              <w:jc w:val="right"/>
              <w:rPr>
                <w:rFonts w:ascii="Times New Roman" w:hAnsi="Times New Roman" w:cs="Times New Roman" w:eastAsia="Times New Roman" w:hint="default"/>
                <w:sz w:val="18"/>
                <w:szCs w:val="18"/>
              </w:rPr>
            </w:pPr>
            <w:r>
              <w:rPr>
                <w:rFonts w:ascii="Times New Roman"/>
                <w:spacing w:val="-1"/>
                <w:sz w:val="18"/>
              </w:rPr>
              <w:t>5,131,177.50</w:t>
            </w:r>
          </w:p>
        </w:tc>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26"/>
              <w:jc w:val="right"/>
              <w:rPr>
                <w:rFonts w:ascii="Times New Roman" w:hAnsi="Times New Roman" w:cs="Times New Roman" w:eastAsia="Times New Roman" w:hint="default"/>
                <w:sz w:val="18"/>
                <w:szCs w:val="18"/>
              </w:rPr>
            </w:pPr>
            <w:r>
              <w:rPr>
                <w:rFonts w:ascii="Times New Roman"/>
                <w:sz w:val="18"/>
              </w:rPr>
              <w:t>2.73</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34"/>
              <w:jc w:val="right"/>
              <w:rPr>
                <w:rFonts w:ascii="Times New Roman" w:hAnsi="Times New Roman" w:cs="Times New Roman" w:eastAsia="Times New Roman" w:hint="default"/>
                <w:sz w:val="18"/>
                <w:szCs w:val="18"/>
              </w:rPr>
            </w:pPr>
            <w:r>
              <w:rPr>
                <w:rFonts w:ascii="Times New Roman"/>
                <w:spacing w:val="-1"/>
                <w:sz w:val="18"/>
              </w:rPr>
              <w:t>1,026,235.50</w:t>
            </w: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38"/>
              <w:jc w:val="right"/>
              <w:rPr>
                <w:rFonts w:ascii="Times New Roman" w:hAnsi="Times New Roman" w:cs="Times New Roman" w:eastAsia="Times New Roman" w:hint="default"/>
                <w:sz w:val="18"/>
                <w:szCs w:val="18"/>
              </w:rPr>
            </w:pPr>
            <w:r>
              <w:rPr>
                <w:rFonts w:ascii="Times New Roman"/>
                <w:spacing w:val="-1"/>
                <w:sz w:val="18"/>
              </w:rPr>
              <w:t>11,085,991.55</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40" w:right="0"/>
              <w:jc w:val="left"/>
              <w:rPr>
                <w:rFonts w:ascii="Times New Roman" w:hAnsi="Times New Roman" w:cs="Times New Roman" w:eastAsia="Times New Roman" w:hint="default"/>
                <w:sz w:val="18"/>
                <w:szCs w:val="18"/>
              </w:rPr>
            </w:pPr>
            <w:r>
              <w:rPr>
                <w:rFonts w:ascii="Times New Roman"/>
                <w:sz w:val="18"/>
              </w:rPr>
              <w:t>5.51</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pacing w:val="-1"/>
                <w:sz w:val="18"/>
              </w:rPr>
              <w:t>2,217,198.31</w:t>
            </w:r>
          </w:p>
        </w:tc>
      </w:tr>
      <w:tr>
        <w:trPr>
          <w:trHeight w:val="385"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68"/>
              <w:jc w:val="right"/>
              <w:rPr>
                <w:rFonts w:ascii="Times New Roman" w:hAnsi="Times New Roman" w:cs="Times New Roman" w:eastAsia="Times New Roman" w:hint="default"/>
                <w:sz w:val="18"/>
                <w:szCs w:val="18"/>
              </w:rPr>
            </w:pPr>
            <w:r>
              <w:rPr>
                <w:rFonts w:ascii="Times New Roman"/>
                <w:spacing w:val="-1"/>
                <w:sz w:val="18"/>
              </w:rPr>
              <w:t>4,015,789.88</w:t>
            </w:r>
          </w:p>
        </w:tc>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26"/>
              <w:jc w:val="right"/>
              <w:rPr>
                <w:rFonts w:ascii="Times New Roman" w:hAnsi="Times New Roman" w:cs="Times New Roman" w:eastAsia="Times New Roman" w:hint="default"/>
                <w:sz w:val="18"/>
                <w:szCs w:val="18"/>
              </w:rPr>
            </w:pPr>
            <w:r>
              <w:rPr>
                <w:rFonts w:ascii="Times New Roman"/>
                <w:sz w:val="18"/>
              </w:rPr>
              <w:t>2.14</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34"/>
              <w:jc w:val="right"/>
              <w:rPr>
                <w:rFonts w:ascii="Times New Roman" w:hAnsi="Times New Roman" w:cs="Times New Roman" w:eastAsia="Times New Roman" w:hint="default"/>
                <w:sz w:val="18"/>
                <w:szCs w:val="18"/>
              </w:rPr>
            </w:pPr>
            <w:r>
              <w:rPr>
                <w:rFonts w:ascii="Times New Roman"/>
                <w:spacing w:val="-1"/>
                <w:sz w:val="18"/>
              </w:rPr>
              <w:t>1,204,736.96</w:t>
            </w: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38"/>
              <w:jc w:val="right"/>
              <w:rPr>
                <w:rFonts w:ascii="Times New Roman" w:hAnsi="Times New Roman" w:cs="Times New Roman" w:eastAsia="Times New Roman" w:hint="default"/>
                <w:sz w:val="18"/>
                <w:szCs w:val="18"/>
              </w:rPr>
            </w:pPr>
            <w:r>
              <w:rPr>
                <w:rFonts w:ascii="Times New Roman"/>
                <w:spacing w:val="-1"/>
                <w:sz w:val="18"/>
              </w:rPr>
              <w:t>4,696,779.88</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40" w:right="0"/>
              <w:jc w:val="left"/>
              <w:rPr>
                <w:rFonts w:ascii="Times New Roman" w:hAnsi="Times New Roman" w:cs="Times New Roman" w:eastAsia="Times New Roman" w:hint="default"/>
                <w:sz w:val="18"/>
                <w:szCs w:val="18"/>
              </w:rPr>
            </w:pPr>
            <w:r>
              <w:rPr>
                <w:rFonts w:ascii="Times New Roman"/>
                <w:sz w:val="18"/>
              </w:rPr>
              <w:t>2.33</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pacing w:val="-1"/>
                <w:sz w:val="18"/>
              </w:rPr>
              <w:t>1,409,033.96</w:t>
            </w:r>
          </w:p>
        </w:tc>
      </w:tr>
      <w:tr>
        <w:trPr>
          <w:trHeight w:val="384"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68"/>
              <w:jc w:val="right"/>
              <w:rPr>
                <w:rFonts w:ascii="Times New Roman" w:hAnsi="Times New Roman" w:cs="Times New Roman" w:eastAsia="Times New Roman" w:hint="default"/>
                <w:sz w:val="18"/>
                <w:szCs w:val="18"/>
              </w:rPr>
            </w:pPr>
            <w:r>
              <w:rPr>
                <w:rFonts w:ascii="Times New Roman"/>
                <w:spacing w:val="-1"/>
                <w:sz w:val="18"/>
              </w:rPr>
              <w:t>1,831,065.29</w:t>
            </w:r>
          </w:p>
        </w:tc>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26"/>
              <w:jc w:val="right"/>
              <w:rPr>
                <w:rFonts w:ascii="Times New Roman" w:hAnsi="Times New Roman" w:cs="Times New Roman" w:eastAsia="Times New Roman" w:hint="default"/>
                <w:sz w:val="18"/>
                <w:szCs w:val="18"/>
              </w:rPr>
            </w:pPr>
            <w:r>
              <w:rPr>
                <w:rFonts w:ascii="Times New Roman"/>
                <w:sz w:val="18"/>
              </w:rPr>
              <w:t>0.97</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34"/>
              <w:jc w:val="right"/>
              <w:rPr>
                <w:rFonts w:ascii="Times New Roman" w:hAnsi="Times New Roman" w:cs="Times New Roman" w:eastAsia="Times New Roman" w:hint="default"/>
                <w:sz w:val="18"/>
                <w:szCs w:val="18"/>
              </w:rPr>
            </w:pPr>
            <w:r>
              <w:rPr>
                <w:rFonts w:ascii="Times New Roman"/>
                <w:sz w:val="18"/>
              </w:rPr>
              <w:t>732,426.12</w:t>
            </w: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38"/>
              <w:jc w:val="right"/>
              <w:rPr>
                <w:rFonts w:ascii="Times New Roman" w:hAnsi="Times New Roman" w:cs="Times New Roman" w:eastAsia="Times New Roman" w:hint="default"/>
                <w:sz w:val="18"/>
                <w:szCs w:val="18"/>
              </w:rPr>
            </w:pPr>
            <w:r>
              <w:rPr>
                <w:rFonts w:ascii="Times New Roman"/>
                <w:spacing w:val="-1"/>
                <w:sz w:val="18"/>
              </w:rPr>
              <w:t>2,204,475.29</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40" w:right="0"/>
              <w:jc w:val="left"/>
              <w:rPr>
                <w:rFonts w:ascii="Times New Roman" w:hAnsi="Times New Roman" w:cs="Times New Roman" w:eastAsia="Times New Roman" w:hint="default"/>
                <w:sz w:val="18"/>
                <w:szCs w:val="18"/>
              </w:rPr>
            </w:pPr>
            <w:r>
              <w:rPr>
                <w:rFonts w:ascii="Times New Roman"/>
                <w:sz w:val="18"/>
              </w:rPr>
              <w:t>1.09</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z w:val="18"/>
              </w:rPr>
              <w:t>881,790.12</w:t>
            </w:r>
          </w:p>
        </w:tc>
      </w:tr>
      <w:tr>
        <w:trPr>
          <w:trHeight w:val="385"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68"/>
              <w:jc w:val="right"/>
              <w:rPr>
                <w:rFonts w:ascii="Times New Roman" w:hAnsi="Times New Roman" w:cs="Times New Roman" w:eastAsia="Times New Roman" w:hint="default"/>
                <w:sz w:val="18"/>
                <w:szCs w:val="18"/>
              </w:rPr>
            </w:pPr>
            <w:r>
              <w:rPr>
                <w:rFonts w:ascii="Times New Roman"/>
                <w:sz w:val="18"/>
              </w:rPr>
              <w:t>717,251.72</w:t>
            </w:r>
          </w:p>
        </w:tc>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26"/>
              <w:jc w:val="right"/>
              <w:rPr>
                <w:rFonts w:ascii="Times New Roman" w:hAnsi="Times New Roman" w:cs="Times New Roman" w:eastAsia="Times New Roman" w:hint="default"/>
                <w:sz w:val="18"/>
                <w:szCs w:val="18"/>
              </w:rPr>
            </w:pPr>
            <w:r>
              <w:rPr>
                <w:rFonts w:ascii="Times New Roman"/>
                <w:sz w:val="18"/>
              </w:rPr>
              <w:t>0.38</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34"/>
              <w:jc w:val="right"/>
              <w:rPr>
                <w:rFonts w:ascii="Times New Roman" w:hAnsi="Times New Roman" w:cs="Times New Roman" w:eastAsia="Times New Roman" w:hint="default"/>
                <w:sz w:val="18"/>
                <w:szCs w:val="18"/>
              </w:rPr>
            </w:pPr>
            <w:r>
              <w:rPr>
                <w:rFonts w:ascii="Times New Roman"/>
                <w:sz w:val="18"/>
              </w:rPr>
              <w:t>717,251.72</w:t>
            </w: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38"/>
              <w:jc w:val="right"/>
              <w:rPr>
                <w:rFonts w:ascii="Times New Roman" w:hAnsi="Times New Roman" w:cs="Times New Roman" w:eastAsia="Times New Roman" w:hint="default"/>
                <w:sz w:val="18"/>
                <w:szCs w:val="18"/>
              </w:rPr>
            </w:pPr>
            <w:r>
              <w:rPr>
                <w:rFonts w:ascii="Times New Roman"/>
                <w:sz w:val="18"/>
              </w:rPr>
              <w:t>710,087.36</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40" w:right="0"/>
              <w:jc w:val="left"/>
              <w:rPr>
                <w:rFonts w:ascii="Times New Roman" w:hAnsi="Times New Roman" w:cs="Times New Roman" w:eastAsia="Times New Roman" w:hint="default"/>
                <w:sz w:val="18"/>
                <w:szCs w:val="18"/>
              </w:rPr>
            </w:pPr>
            <w:r>
              <w:rPr>
                <w:rFonts w:ascii="Times New Roman"/>
                <w:sz w:val="18"/>
              </w:rPr>
              <w:t>0.35</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z w:val="18"/>
              </w:rPr>
              <w:t>710,087.36</w:t>
            </w:r>
          </w:p>
        </w:tc>
      </w:tr>
      <w:tr>
        <w:trPr>
          <w:trHeight w:val="375" w:hRule="exact"/>
        </w:trPr>
        <w:tc>
          <w:tcPr>
            <w:tcW w:w="1350"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09"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right="168"/>
              <w:jc w:val="right"/>
              <w:rPr>
                <w:rFonts w:ascii="Times New Roman" w:hAnsi="Times New Roman" w:cs="Times New Roman" w:eastAsia="Times New Roman" w:hint="default"/>
                <w:sz w:val="18"/>
                <w:szCs w:val="18"/>
              </w:rPr>
            </w:pPr>
            <w:r>
              <w:rPr>
                <w:rFonts w:ascii="Times New Roman"/>
                <w:spacing w:val="-1"/>
                <w:sz w:val="18"/>
              </w:rPr>
              <w:t>187,915,706.00</w:t>
            </w:r>
          </w:p>
        </w:tc>
        <w:tc>
          <w:tcPr>
            <w:tcW w:w="684"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right="127"/>
              <w:jc w:val="right"/>
              <w:rPr>
                <w:rFonts w:ascii="Times New Roman" w:hAnsi="Times New Roman" w:cs="Times New Roman" w:eastAsia="Times New Roman" w:hint="default"/>
                <w:sz w:val="18"/>
                <w:szCs w:val="18"/>
              </w:rPr>
            </w:pPr>
            <w:r>
              <w:rPr>
                <w:rFonts w:ascii="Times New Roman"/>
                <w:sz w:val="18"/>
              </w:rPr>
              <w:t>100.00</w:t>
            </w:r>
          </w:p>
        </w:tc>
        <w:tc>
          <w:tcPr>
            <w:tcW w:w="1301"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right="135"/>
              <w:jc w:val="right"/>
              <w:rPr>
                <w:rFonts w:ascii="Times New Roman" w:hAnsi="Times New Roman" w:cs="Times New Roman" w:eastAsia="Times New Roman" w:hint="default"/>
                <w:sz w:val="18"/>
                <w:szCs w:val="18"/>
              </w:rPr>
            </w:pPr>
            <w:r>
              <w:rPr>
                <w:rFonts w:ascii="Times New Roman"/>
                <w:spacing w:val="-1"/>
                <w:sz w:val="18"/>
              </w:rPr>
              <w:t>14,025,485.17</w:t>
            </w:r>
          </w:p>
        </w:tc>
        <w:tc>
          <w:tcPr>
            <w:tcW w:w="1503"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right="238"/>
              <w:jc w:val="right"/>
              <w:rPr>
                <w:rFonts w:ascii="Times New Roman" w:hAnsi="Times New Roman" w:cs="Times New Roman" w:eastAsia="Times New Roman" w:hint="default"/>
                <w:sz w:val="18"/>
                <w:szCs w:val="18"/>
              </w:rPr>
            </w:pPr>
            <w:r>
              <w:rPr>
                <w:rFonts w:ascii="Times New Roman"/>
                <w:spacing w:val="-1"/>
                <w:sz w:val="18"/>
              </w:rPr>
              <w:t>201,332,969.37</w:t>
            </w:r>
          </w:p>
        </w:tc>
        <w:tc>
          <w:tcPr>
            <w:tcW w:w="772"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left="50" w:right="0"/>
              <w:jc w:val="left"/>
              <w:rPr>
                <w:rFonts w:ascii="Times New Roman" w:hAnsi="Times New Roman" w:cs="Times New Roman" w:eastAsia="Times New Roman" w:hint="default"/>
                <w:sz w:val="18"/>
                <w:szCs w:val="18"/>
              </w:rPr>
            </w:pPr>
            <w:r>
              <w:rPr>
                <w:rFonts w:ascii="Times New Roman"/>
                <w:sz w:val="18"/>
              </w:rPr>
              <w:t>100.00</w:t>
            </w:r>
          </w:p>
        </w:tc>
        <w:tc>
          <w:tcPr>
            <w:tcW w:w="1290"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pacing w:val="-1"/>
                <w:sz w:val="18"/>
              </w:rPr>
              <w:t>15,732,812.62</w:t>
            </w:r>
          </w:p>
        </w:tc>
      </w:tr>
    </w:tbl>
    <w:p>
      <w:pPr>
        <w:spacing w:before="78"/>
        <w:ind w:left="875"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）年末数中无单项金额虽不重大但单项计提坏账准备的应收账款。</w:t>
      </w:r>
    </w:p>
    <w:p>
      <w:pPr>
        <w:tabs>
          <w:tab w:pos="1403" w:val="left" w:leader="none"/>
        </w:tabs>
        <w:spacing w:before="109"/>
        <w:ind w:left="87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本期无转回或收回应收账款情况</w:t>
      </w:r>
      <w:r>
        <w:rPr>
          <w:rFonts w:ascii="宋体" w:hAnsi="宋体" w:cs="宋体" w:eastAsia="宋体" w:hint="default"/>
          <w:sz w:val="21"/>
          <w:szCs w:val="21"/>
        </w:rPr>
      </w:r>
    </w:p>
    <w:p>
      <w:pPr>
        <w:tabs>
          <w:tab w:pos="1414" w:val="left" w:leader="none"/>
        </w:tabs>
        <w:spacing w:before="109"/>
        <w:ind w:left="87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本报告期无实际核销的应收账款情况。</w:t>
      </w:r>
      <w:r>
        <w:rPr>
          <w:rFonts w:ascii="宋体" w:hAnsi="宋体" w:cs="宋体" w:eastAsia="宋体" w:hint="default"/>
          <w:sz w:val="21"/>
          <w:szCs w:val="21"/>
        </w:rPr>
      </w:r>
    </w:p>
    <w:p>
      <w:pPr>
        <w:tabs>
          <w:tab w:pos="1414" w:val="left" w:leader="none"/>
        </w:tabs>
        <w:spacing w:before="110"/>
        <w:ind w:left="87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年末应收账款中无持本公司</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sz w:val="21"/>
          <w:szCs w:val="21"/>
        </w:rPr>
      </w:r>
    </w:p>
    <w:p>
      <w:pPr>
        <w:tabs>
          <w:tab w:pos="1414" w:val="left" w:leader="none"/>
        </w:tabs>
        <w:spacing w:before="109"/>
        <w:ind w:left="875" w:right="0" w:firstLine="0"/>
        <w:jc w:val="left"/>
        <w:rPr>
          <w:rFonts w:ascii="宋体" w:hAnsi="宋体" w:cs="宋体" w:eastAsia="宋体" w:hint="default"/>
          <w:sz w:val="21"/>
          <w:szCs w:val="21"/>
        </w:rPr>
      </w:pPr>
      <w:r>
        <w:rPr/>
        <w:pict>
          <v:group style="position:absolute;margin-left:83.160004pt;margin-top:20.772333pt;width:440.95pt;height:113.25pt;mso-position-horizontal-relative:page;mso-position-vertical-relative:paragraph;z-index:-769840" coordorigin="1663,415" coordsize="8819,2265">
            <v:group style="position:absolute;left:1692;top:430;width:8756;height:2" coordorigin="1692,430" coordsize="8756,2">
              <v:shape style="position:absolute;left:1692;top:430;width:8756;height:2" coordorigin="1692,430" coordsize="8756,0" path="m1692,430l10447,430e" filled="false" stroked="true" strokeweight="1.5pt" strokecolor="#000000">
                <v:path arrowok="t"/>
              </v:shape>
              <v:shape style="position:absolute;left:4460;top:417;width:4150;height:682" type="#_x0000_t75" stroked="false">
                <v:imagedata r:id="rId301" o:title=""/>
              </v:shape>
              <v:shape style="position:absolute;left:1663;top:1041;width:8819;height:1639" type="#_x0000_t75" stroked="false">
                <v:imagedata r:id="rId302" o:title=""/>
              </v:shape>
              <v:shape style="position:absolute;left:2912;top:66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名次</w:t>
                      </w:r>
                    </w:p>
                  </w:txbxContent>
                </v:textbox>
                <w10:wrap type="none"/>
              </v:shape>
              <v:shape style="position:absolute;left:4805;top:66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与本公司关系</w:t>
                      </w:r>
                    </w:p>
                  </w:txbxContent>
                </v:textbox>
                <w10:wrap type="none"/>
              </v:shape>
              <v:shape style="position:absolute;left:6512;top:6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883;top:66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8701;top:512;width:1620;height:50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占应收账款总额的比</w:t>
                      </w:r>
                    </w:p>
                    <w:p>
                      <w:pPr>
                        <w:spacing w:line="245" w:lineRule="exact" w:before="76"/>
                        <w:ind w:left="1" w:right="0" w:firstLine="0"/>
                        <w:jc w:val="center"/>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txbxContent>
                </v:textbox>
                <w10:wrap type="none"/>
              </v:shape>
            </v:group>
            <w10:wrap type="none"/>
          </v:group>
        </w:pict>
      </w: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应收账款中欠款金额前五名</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9"/>
          <w:szCs w:val="29"/>
        </w:rPr>
      </w:pPr>
    </w:p>
    <w:tbl>
      <w:tblPr>
        <w:tblW w:w="0" w:type="auto"/>
        <w:jc w:val="left"/>
        <w:tblInd w:w="137" w:type="dxa"/>
        <w:tblLayout w:type="fixed"/>
        <w:tblCellMar>
          <w:top w:w="0" w:type="dxa"/>
          <w:left w:w="0" w:type="dxa"/>
          <w:bottom w:w="0" w:type="dxa"/>
          <w:right w:w="0" w:type="dxa"/>
        </w:tblCellMar>
        <w:tblLook w:val="01E0"/>
      </w:tblPr>
      <w:tblGrid>
        <w:gridCol w:w="1793"/>
        <w:gridCol w:w="2484"/>
        <w:gridCol w:w="1630"/>
        <w:gridCol w:w="1586"/>
        <w:gridCol w:w="1277"/>
      </w:tblGrid>
      <w:tr>
        <w:trPr>
          <w:trHeight w:val="349" w:hRule="exact"/>
        </w:trPr>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484"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452"/>
              <w:jc w:val="right"/>
              <w:rPr>
                <w:rFonts w:ascii="宋体" w:hAnsi="宋体" w:cs="宋体" w:eastAsia="宋体" w:hint="default"/>
                <w:sz w:val="18"/>
                <w:szCs w:val="18"/>
              </w:rPr>
            </w:pPr>
            <w:r>
              <w:rPr>
                <w:rFonts w:ascii="宋体" w:hAnsi="宋体" w:cs="宋体" w:eastAsia="宋体" w:hint="default"/>
                <w:sz w:val="18"/>
                <w:szCs w:val="18"/>
              </w:rPr>
              <w:t>无关联客户</w:t>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9"/>
              <w:jc w:val="right"/>
              <w:rPr>
                <w:rFonts w:ascii="Times New Roman" w:hAnsi="Times New Roman" w:cs="Times New Roman" w:eastAsia="Times New Roman" w:hint="default"/>
                <w:sz w:val="18"/>
                <w:szCs w:val="18"/>
              </w:rPr>
            </w:pPr>
            <w:r>
              <w:rPr>
                <w:rFonts w:ascii="Times New Roman"/>
                <w:spacing w:val="-1"/>
                <w:sz w:val="18"/>
              </w:rPr>
              <w:t>20,764,751.67</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7"/>
              <w:jc w:val="right"/>
              <w:rPr>
                <w:rFonts w:ascii="Times New Roman" w:hAnsi="Times New Roman" w:cs="Times New Roman" w:eastAsia="Times New Roman" w:hint="default"/>
                <w:sz w:val="18"/>
                <w:szCs w:val="18"/>
              </w:rPr>
            </w:pPr>
            <w:r>
              <w:rPr>
                <w:rFonts w:ascii="Times New Roman"/>
                <w:spacing w:val="-2"/>
                <w:sz w:val="18"/>
              </w:rPr>
              <w:t>11.05</w:t>
            </w:r>
          </w:p>
        </w:tc>
      </w:tr>
      <w:tr>
        <w:trPr>
          <w:trHeight w:val="322" w:hRule="exact"/>
        </w:trPr>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48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452"/>
              <w:jc w:val="right"/>
              <w:rPr>
                <w:rFonts w:ascii="宋体" w:hAnsi="宋体" w:cs="宋体" w:eastAsia="宋体" w:hint="default"/>
                <w:sz w:val="18"/>
                <w:szCs w:val="18"/>
              </w:rPr>
            </w:pPr>
            <w:r>
              <w:rPr>
                <w:rFonts w:ascii="宋体" w:hAnsi="宋体" w:cs="宋体" w:eastAsia="宋体" w:hint="default"/>
                <w:sz w:val="18"/>
                <w:szCs w:val="18"/>
              </w:rPr>
              <w:t>无关联客户</w:t>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9"/>
              <w:jc w:val="right"/>
              <w:rPr>
                <w:rFonts w:ascii="Times New Roman" w:hAnsi="Times New Roman" w:cs="Times New Roman" w:eastAsia="Times New Roman" w:hint="default"/>
                <w:sz w:val="18"/>
                <w:szCs w:val="18"/>
              </w:rPr>
            </w:pPr>
            <w:r>
              <w:rPr>
                <w:rFonts w:ascii="Times New Roman"/>
                <w:spacing w:val="-1"/>
                <w:sz w:val="18"/>
              </w:rPr>
              <w:t>13,228,668.56</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z w:val="18"/>
              </w:rPr>
              <w:t>7.04</w:t>
            </w:r>
          </w:p>
        </w:tc>
      </w:tr>
      <w:tr>
        <w:trPr>
          <w:trHeight w:val="322" w:hRule="exact"/>
        </w:trPr>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48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452"/>
              <w:jc w:val="right"/>
              <w:rPr>
                <w:rFonts w:ascii="宋体" w:hAnsi="宋体" w:cs="宋体" w:eastAsia="宋体" w:hint="default"/>
                <w:sz w:val="18"/>
                <w:szCs w:val="18"/>
              </w:rPr>
            </w:pPr>
            <w:r>
              <w:rPr>
                <w:rFonts w:ascii="宋体" w:hAnsi="宋体" w:cs="宋体" w:eastAsia="宋体" w:hint="default"/>
                <w:sz w:val="18"/>
                <w:szCs w:val="18"/>
              </w:rPr>
              <w:t>无关联客户</w:t>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9"/>
              <w:jc w:val="right"/>
              <w:rPr>
                <w:rFonts w:ascii="Times New Roman" w:hAnsi="Times New Roman" w:cs="Times New Roman" w:eastAsia="Times New Roman" w:hint="default"/>
                <w:sz w:val="18"/>
                <w:szCs w:val="18"/>
              </w:rPr>
            </w:pPr>
            <w:r>
              <w:rPr>
                <w:rFonts w:ascii="Times New Roman"/>
                <w:spacing w:val="-1"/>
                <w:sz w:val="18"/>
              </w:rPr>
              <w:t>6,554,418.70</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z w:val="18"/>
              </w:rPr>
              <w:t>3.49</w:t>
            </w:r>
          </w:p>
        </w:tc>
      </w:tr>
      <w:tr>
        <w:trPr>
          <w:trHeight w:val="322" w:hRule="exact"/>
        </w:trPr>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4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52"/>
              <w:jc w:val="right"/>
              <w:rPr>
                <w:rFonts w:ascii="宋体" w:hAnsi="宋体" w:cs="宋体" w:eastAsia="宋体" w:hint="default"/>
                <w:sz w:val="18"/>
                <w:szCs w:val="18"/>
              </w:rPr>
            </w:pPr>
            <w:r>
              <w:rPr>
                <w:rFonts w:ascii="宋体" w:hAnsi="宋体" w:cs="宋体" w:eastAsia="宋体" w:hint="default"/>
                <w:sz w:val="18"/>
                <w:szCs w:val="18"/>
              </w:rPr>
              <w:t>无关联客户</w:t>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9"/>
              <w:jc w:val="right"/>
              <w:rPr>
                <w:rFonts w:ascii="Times New Roman" w:hAnsi="Times New Roman" w:cs="Times New Roman" w:eastAsia="Times New Roman" w:hint="default"/>
                <w:sz w:val="18"/>
                <w:szCs w:val="18"/>
              </w:rPr>
            </w:pPr>
            <w:r>
              <w:rPr>
                <w:rFonts w:ascii="Times New Roman"/>
                <w:spacing w:val="-1"/>
                <w:sz w:val="18"/>
              </w:rPr>
              <w:t>6,045,616.80</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z w:val="18"/>
              </w:rPr>
              <w:t>3.22</w:t>
            </w:r>
          </w:p>
        </w:tc>
      </w:tr>
      <w:tr>
        <w:trPr>
          <w:trHeight w:val="327" w:hRule="exact"/>
        </w:trPr>
        <w:tc>
          <w:tcPr>
            <w:tcW w:w="179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484"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452"/>
              <w:jc w:val="right"/>
              <w:rPr>
                <w:rFonts w:ascii="宋体" w:hAnsi="宋体" w:cs="宋体" w:eastAsia="宋体" w:hint="default"/>
                <w:sz w:val="18"/>
                <w:szCs w:val="18"/>
              </w:rPr>
            </w:pPr>
            <w:r>
              <w:rPr>
                <w:rFonts w:ascii="宋体" w:hAnsi="宋体" w:cs="宋体" w:eastAsia="宋体" w:hint="default"/>
                <w:sz w:val="18"/>
                <w:szCs w:val="18"/>
              </w:rPr>
              <w:t>无关联客户</w:t>
            </w:r>
          </w:p>
        </w:tc>
        <w:tc>
          <w:tcPr>
            <w:tcW w:w="1630"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39"/>
              <w:jc w:val="right"/>
              <w:rPr>
                <w:rFonts w:ascii="Times New Roman" w:hAnsi="Times New Roman" w:cs="Times New Roman" w:eastAsia="Times New Roman" w:hint="default"/>
                <w:sz w:val="18"/>
                <w:szCs w:val="18"/>
              </w:rPr>
            </w:pPr>
            <w:r>
              <w:rPr>
                <w:rFonts w:ascii="Times New Roman"/>
                <w:spacing w:val="-1"/>
                <w:sz w:val="18"/>
              </w:rPr>
              <w:t>5,929,180.00</w:t>
            </w:r>
          </w:p>
        </w:tc>
        <w:tc>
          <w:tcPr>
            <w:tcW w:w="158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7"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z w:val="18"/>
              </w:rPr>
              <w:t>3.16</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973" w:val="left" w:leader="none"/>
        </w:tabs>
        <w:spacing w:before="35"/>
        <w:ind w:left="24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其他应收款</w:t>
      </w:r>
      <w:r>
        <w:rPr>
          <w:rFonts w:ascii="宋体" w:hAnsi="宋体" w:cs="宋体" w:eastAsia="宋体" w:hint="default"/>
          <w:sz w:val="21"/>
          <w:szCs w:val="21"/>
        </w:rPr>
      </w:r>
    </w:p>
    <w:p>
      <w:pPr>
        <w:tabs>
          <w:tab w:pos="1414" w:val="left" w:leader="none"/>
        </w:tabs>
        <w:spacing w:before="110"/>
        <w:ind w:left="875" w:right="0" w:firstLine="0"/>
        <w:jc w:val="left"/>
        <w:rPr>
          <w:rFonts w:ascii="宋体" w:hAnsi="宋体" w:cs="宋体" w:eastAsia="宋体" w:hint="default"/>
          <w:sz w:val="21"/>
          <w:szCs w:val="21"/>
        </w:rPr>
      </w:pPr>
      <w:r>
        <w:rPr/>
        <w:pict>
          <v:group style="position:absolute;margin-left:83.639999pt;margin-top:20.883217pt;width:440.5pt;height:145.35pt;mso-position-horizontal-relative:page;mso-position-vertical-relative:paragraph;z-index:-769816" coordorigin="1673,418" coordsize="8810,2907">
            <v:shape style="position:absolute;left:2663;top:418;width:4088;height:370" type="#_x0000_t75" stroked="false">
              <v:imagedata r:id="rId303" o:title=""/>
            </v:shape>
            <v:shape style="position:absolute;left:2663;top:730;width:7819;height:1004" type="#_x0000_t75" stroked="false">
              <v:imagedata r:id="rId304" o:title=""/>
            </v:shape>
            <v:shape style="position:absolute;left:1673;top:1696;width:8798;height:1628" type="#_x0000_t75" stroked="false">
              <v:imagedata r:id="rId305" o:title=""/>
            </v:shape>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其他应收款账龄分析</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225" w:type="dxa"/>
        <w:tblLayout w:type="fixed"/>
        <w:tblCellMar>
          <w:top w:w="0" w:type="dxa"/>
          <w:left w:w="0" w:type="dxa"/>
          <w:bottom w:w="0" w:type="dxa"/>
          <w:right w:w="0" w:type="dxa"/>
        </w:tblCellMar>
        <w:tblLook w:val="01E0"/>
      </w:tblPr>
      <w:tblGrid>
        <w:gridCol w:w="953"/>
        <w:gridCol w:w="1409"/>
        <w:gridCol w:w="925"/>
        <w:gridCol w:w="1048"/>
        <w:gridCol w:w="690"/>
        <w:gridCol w:w="1265"/>
        <w:gridCol w:w="884"/>
        <w:gridCol w:w="982"/>
        <w:gridCol w:w="529"/>
      </w:tblGrid>
      <w:tr>
        <w:trPr>
          <w:trHeight w:val="569" w:hRule="exact"/>
        </w:trPr>
        <w:tc>
          <w:tcPr>
            <w:tcW w:w="953" w:type="dxa"/>
            <w:tcBorders>
              <w:top w:val="single" w:sz="12" w:space="0" w:color="000000"/>
              <w:left w:val="nil" w:sz="6" w:space="0" w:color="auto"/>
              <w:bottom w:val="nil" w:sz="6" w:space="0" w:color="auto"/>
              <w:right w:val="nil" w:sz="6" w:space="0" w:color="auto"/>
            </w:tcBorders>
          </w:tcPr>
          <w:p>
            <w:pPr/>
          </w:p>
        </w:tc>
        <w:tc>
          <w:tcPr>
            <w:tcW w:w="140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727"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925" w:type="dxa"/>
            <w:tcBorders>
              <w:top w:val="single" w:sz="12" w:space="0" w:color="000000"/>
              <w:left w:val="nil" w:sz="6" w:space="0" w:color="auto"/>
              <w:bottom w:val="nil" w:sz="6" w:space="0" w:color="auto"/>
              <w:right w:val="nil" w:sz="6" w:space="0" w:color="auto"/>
            </w:tcBorders>
          </w:tcPr>
          <w:p>
            <w:pPr>
              <w:pStyle w:val="TableParagraph"/>
              <w:spacing w:line="240" w:lineRule="auto" w:before="33"/>
              <w:ind w:left="280" w:right="0"/>
              <w:jc w:val="left"/>
              <w:rPr>
                <w:rFonts w:ascii="宋体" w:hAnsi="宋体" w:cs="宋体" w:eastAsia="宋体" w:hint="default"/>
                <w:sz w:val="15"/>
                <w:szCs w:val="15"/>
              </w:rPr>
            </w:pPr>
            <w:r>
              <w:rPr>
                <w:rFonts w:ascii="宋体" w:hAnsi="宋体" w:cs="宋体" w:eastAsia="宋体" w:hint="default"/>
                <w:sz w:val="15"/>
                <w:szCs w:val="15"/>
              </w:rPr>
              <w:t>年末余额</w:t>
            </w:r>
          </w:p>
        </w:tc>
        <w:tc>
          <w:tcPr>
            <w:tcW w:w="1048"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403"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690" w:type="dxa"/>
            <w:tcBorders>
              <w:top w:val="single" w:sz="12" w:space="0" w:color="000000"/>
              <w:left w:val="nil" w:sz="6" w:space="0" w:color="auto"/>
              <w:bottom w:val="nil" w:sz="6" w:space="0" w:color="auto"/>
              <w:right w:val="nil" w:sz="6" w:space="0" w:color="auto"/>
            </w:tcBorders>
          </w:tcPr>
          <w:p>
            <w:pPr/>
          </w:p>
        </w:tc>
        <w:tc>
          <w:tcPr>
            <w:tcW w:w="126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613"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884" w:type="dxa"/>
            <w:tcBorders>
              <w:top w:val="single" w:sz="12" w:space="0" w:color="000000"/>
              <w:left w:val="nil" w:sz="6" w:space="0" w:color="auto"/>
              <w:bottom w:val="nil" w:sz="6" w:space="0" w:color="auto"/>
              <w:right w:val="nil" w:sz="6" w:space="0" w:color="auto"/>
            </w:tcBorders>
          </w:tcPr>
          <w:p>
            <w:pPr>
              <w:pStyle w:val="TableParagraph"/>
              <w:spacing w:line="240" w:lineRule="auto" w:before="33"/>
              <w:ind w:left="228"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98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331"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529" w:type="dxa"/>
            <w:vMerge w:val="restart"/>
            <w:tcBorders>
              <w:top w:val="single" w:sz="12" w:space="0" w:color="000000"/>
              <w:left w:val="nil" w:sz="6" w:space="0" w:color="auto"/>
              <w:right w:val="nil" w:sz="6" w:space="0" w:color="auto"/>
            </w:tcBorders>
          </w:tcPr>
          <w:p>
            <w:pPr/>
          </w:p>
        </w:tc>
      </w:tr>
      <w:tr>
        <w:trPr>
          <w:trHeight w:val="161" w:hRule="exact"/>
        </w:trPr>
        <w:tc>
          <w:tcPr>
            <w:tcW w:w="953" w:type="dxa"/>
            <w:tcBorders>
              <w:top w:val="nil" w:sz="6" w:space="0" w:color="auto"/>
              <w:left w:val="nil" w:sz="6" w:space="0" w:color="auto"/>
              <w:bottom w:val="nil" w:sz="6" w:space="0" w:color="auto"/>
              <w:right w:val="nil" w:sz="6" w:space="0" w:color="auto"/>
            </w:tcBorders>
          </w:tcPr>
          <w:p>
            <w:pPr>
              <w:pStyle w:val="TableParagraph"/>
              <w:spacing w:line="153" w:lineRule="exact"/>
              <w:ind w:right="372"/>
              <w:jc w:val="right"/>
              <w:rPr>
                <w:rFonts w:ascii="宋体" w:hAnsi="宋体" w:cs="宋体" w:eastAsia="宋体" w:hint="default"/>
                <w:sz w:val="15"/>
                <w:szCs w:val="15"/>
              </w:rPr>
            </w:pPr>
            <w:r>
              <w:rPr>
                <w:rFonts w:ascii="宋体" w:hAnsi="宋体" w:cs="宋体" w:eastAsia="宋体" w:hint="default"/>
                <w:sz w:val="15"/>
                <w:szCs w:val="15"/>
              </w:rPr>
              <w:t>账龄</w:t>
            </w:r>
          </w:p>
        </w:tc>
        <w:tc>
          <w:tcPr>
            <w:tcW w:w="1409"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1048" w:type="dxa"/>
            <w:tcBorders>
              <w:top w:val="nil" w:sz="6" w:space="0" w:color="auto"/>
              <w:left w:val="nil" w:sz="6" w:space="0" w:color="auto"/>
              <w:bottom w:val="nil" w:sz="6" w:space="0" w:color="auto"/>
              <w:right w:val="nil" w:sz="6" w:space="0" w:color="auto"/>
            </w:tcBorders>
          </w:tcPr>
          <w:p>
            <w:pPr/>
          </w:p>
        </w:tc>
        <w:tc>
          <w:tcPr>
            <w:tcW w:w="690"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529" w:type="dxa"/>
            <w:vMerge/>
            <w:tcBorders>
              <w:left w:val="nil" w:sz="6" w:space="0" w:color="auto"/>
              <w:bottom w:val="nil" w:sz="6" w:space="0" w:color="auto"/>
              <w:right w:val="nil" w:sz="6" w:space="0" w:color="auto"/>
            </w:tcBorders>
          </w:tcPr>
          <w:p>
            <w:pPr/>
          </w:p>
        </w:tc>
      </w:tr>
      <w:tr>
        <w:trPr>
          <w:trHeight w:val="560" w:hRule="exact"/>
        </w:trPr>
        <w:tc>
          <w:tcPr>
            <w:tcW w:w="953"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96"/>
              <w:jc w:val="center"/>
              <w:rPr>
                <w:rFonts w:ascii="宋体" w:hAnsi="宋体" w:cs="宋体" w:eastAsia="宋体" w:hint="default"/>
                <w:sz w:val="15"/>
                <w:szCs w:val="15"/>
              </w:rPr>
            </w:pPr>
            <w:r>
              <w:rPr>
                <w:rFonts w:ascii="宋体" w:hAnsi="宋体" w:cs="宋体" w:eastAsia="宋体" w:hint="default"/>
                <w:sz w:val="15"/>
                <w:szCs w:val="15"/>
              </w:rPr>
              <w:t>金额</w:t>
            </w:r>
          </w:p>
        </w:tc>
        <w:tc>
          <w:tcPr>
            <w:tcW w:w="925" w:type="dxa"/>
            <w:tcBorders>
              <w:top w:val="nil" w:sz="6" w:space="0" w:color="auto"/>
              <w:left w:val="nil" w:sz="6" w:space="0" w:color="auto"/>
              <w:bottom w:val="nil" w:sz="6" w:space="0" w:color="auto"/>
              <w:right w:val="nil" w:sz="6" w:space="0" w:color="auto"/>
            </w:tcBorders>
          </w:tcPr>
          <w:p>
            <w:pPr>
              <w:pStyle w:val="TableParagraph"/>
              <w:spacing w:line="158" w:lineRule="exact"/>
              <w:ind w:left="143"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115"/>
              <w:ind w:left="81"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193"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690" w:type="dxa"/>
            <w:tcBorders>
              <w:top w:val="nil" w:sz="6" w:space="0" w:color="auto"/>
              <w:left w:val="nil" w:sz="6" w:space="0" w:color="auto"/>
              <w:bottom w:val="nil" w:sz="6" w:space="0" w:color="auto"/>
              <w:right w:val="nil" w:sz="6" w:space="0" w:color="auto"/>
            </w:tcBorders>
          </w:tcPr>
          <w:p>
            <w:pPr>
              <w:pStyle w:val="TableParagraph"/>
              <w:spacing w:line="158" w:lineRule="exact"/>
              <w:ind w:left="107"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115"/>
              <w:ind w:left="44"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91"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884" w:type="dxa"/>
            <w:tcBorders>
              <w:top w:val="nil" w:sz="6" w:space="0" w:color="auto"/>
              <w:left w:val="nil" w:sz="6" w:space="0" w:color="auto"/>
              <w:bottom w:val="nil" w:sz="6" w:space="0" w:color="auto"/>
              <w:right w:val="nil" w:sz="6" w:space="0" w:color="auto"/>
            </w:tcBorders>
          </w:tcPr>
          <w:p>
            <w:pPr>
              <w:pStyle w:val="TableParagraph"/>
              <w:spacing w:line="158" w:lineRule="exact"/>
              <w:ind w:left="113"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115"/>
              <w:ind w:left="50"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203"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529" w:type="dxa"/>
            <w:tcBorders>
              <w:top w:val="nil" w:sz="6" w:space="0" w:color="auto"/>
              <w:left w:val="nil" w:sz="6" w:space="0" w:color="auto"/>
              <w:bottom w:val="nil" w:sz="6" w:space="0" w:color="auto"/>
              <w:right w:val="nil" w:sz="6" w:space="0" w:color="auto"/>
            </w:tcBorders>
          </w:tcPr>
          <w:p>
            <w:pPr>
              <w:pStyle w:val="TableParagraph"/>
              <w:spacing w:line="158" w:lineRule="exact"/>
              <w:ind w:left="103"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115"/>
              <w:ind w:left="50"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r>
      <w:tr>
        <w:trPr>
          <w:trHeight w:val="322" w:hRule="exact"/>
        </w:trPr>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53"/>
              <w:jc w:val="right"/>
              <w:rPr>
                <w:rFonts w:ascii="宋体" w:hAnsi="宋体" w:cs="宋体" w:eastAsia="宋体" w:hint="default"/>
                <w:sz w:val="15"/>
                <w:szCs w:val="15"/>
              </w:rPr>
            </w:pPr>
            <w:r>
              <w:rPr>
                <w:rFonts w:ascii="Times New Roman" w:hAnsi="Times New Roman" w:cs="Times New Roman" w:eastAsia="Times New Roman" w:hint="default"/>
                <w:sz w:val="15"/>
                <w:szCs w:val="15"/>
              </w:rPr>
              <w:t>1 </w:t>
            </w:r>
            <w:r>
              <w:rPr>
                <w:rFonts w:ascii="宋体" w:hAnsi="宋体" w:cs="宋体" w:eastAsia="宋体" w:hint="default"/>
                <w:sz w:val="15"/>
                <w:szCs w:val="15"/>
              </w:rPr>
              <w:t>年以内</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5" w:right="0"/>
              <w:jc w:val="left"/>
              <w:rPr>
                <w:rFonts w:ascii="Times New Roman" w:hAnsi="Times New Roman" w:cs="Times New Roman" w:eastAsia="Times New Roman" w:hint="default"/>
                <w:sz w:val="15"/>
                <w:szCs w:val="15"/>
              </w:rPr>
            </w:pPr>
            <w:r>
              <w:rPr>
                <w:rFonts w:ascii="Times New Roman"/>
                <w:sz w:val="15"/>
              </w:rPr>
              <w:t>18,999,607.68</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20" w:right="0"/>
              <w:jc w:val="left"/>
              <w:rPr>
                <w:rFonts w:ascii="Times New Roman" w:hAnsi="Times New Roman" w:cs="Times New Roman" w:eastAsia="Times New Roman" w:hint="default"/>
                <w:sz w:val="15"/>
                <w:szCs w:val="15"/>
              </w:rPr>
            </w:pPr>
            <w:r>
              <w:rPr>
                <w:rFonts w:ascii="Times New Roman"/>
                <w:sz w:val="15"/>
              </w:rPr>
              <w:t>89.58</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69"/>
              <w:ind w:left="44" w:right="0"/>
              <w:jc w:val="left"/>
              <w:rPr>
                <w:rFonts w:ascii="Times New Roman" w:hAnsi="Times New Roman" w:cs="Times New Roman" w:eastAsia="Times New Roman" w:hint="default"/>
                <w:sz w:val="15"/>
                <w:szCs w:val="15"/>
              </w:rPr>
            </w:pPr>
            <w:r>
              <w:rPr>
                <w:rFonts w:ascii="Times New Roman"/>
                <w:sz w:val="15"/>
              </w:rPr>
              <w:t>5,754,314.46</w:t>
            </w:r>
          </w:p>
        </w:tc>
        <w:tc>
          <w:tcPr>
            <w:tcW w:w="6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5"/>
              <w:jc w:val="center"/>
              <w:rPr>
                <w:rFonts w:ascii="Times New Roman" w:hAnsi="Times New Roman" w:cs="Times New Roman" w:eastAsia="Times New Roman" w:hint="default"/>
                <w:sz w:val="15"/>
                <w:szCs w:val="15"/>
              </w:rPr>
            </w:pPr>
            <w:r>
              <w:rPr>
                <w:rFonts w:ascii="Times New Roman"/>
                <w:sz w:val="15"/>
              </w:rPr>
              <w:t>30.29</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79" w:right="0"/>
              <w:jc w:val="left"/>
              <w:rPr>
                <w:rFonts w:ascii="Times New Roman" w:hAnsi="Times New Roman" w:cs="Times New Roman" w:eastAsia="Times New Roman" w:hint="default"/>
                <w:sz w:val="15"/>
                <w:szCs w:val="15"/>
              </w:rPr>
            </w:pPr>
            <w:r>
              <w:rPr>
                <w:rFonts w:ascii="Times New Roman"/>
                <w:sz w:val="15"/>
              </w:rPr>
              <w:t>14,268,835.37</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90" w:right="0"/>
              <w:jc w:val="left"/>
              <w:rPr>
                <w:rFonts w:ascii="Times New Roman" w:hAnsi="Times New Roman" w:cs="Times New Roman" w:eastAsia="Times New Roman" w:hint="default"/>
                <w:sz w:val="15"/>
                <w:szCs w:val="15"/>
              </w:rPr>
            </w:pPr>
            <w:r>
              <w:rPr>
                <w:rFonts w:ascii="Times New Roman"/>
                <w:sz w:val="15"/>
              </w:rPr>
              <w:t>92.42</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69"/>
              <w:ind w:left="55" w:right="0"/>
              <w:jc w:val="left"/>
              <w:rPr>
                <w:rFonts w:ascii="Times New Roman" w:hAnsi="Times New Roman" w:cs="Times New Roman" w:eastAsia="Times New Roman" w:hint="default"/>
                <w:sz w:val="15"/>
                <w:szCs w:val="15"/>
              </w:rPr>
            </w:pPr>
            <w:r>
              <w:rPr>
                <w:rFonts w:ascii="Times New Roman"/>
                <w:sz w:val="15"/>
              </w:rPr>
              <w:t>3,640,451.39</w:t>
            </w:r>
          </w:p>
        </w:tc>
        <w:tc>
          <w:tcPr>
            <w:tcW w:w="529" w:type="dxa"/>
            <w:tcBorders>
              <w:top w:val="nil" w:sz="6" w:space="0" w:color="auto"/>
              <w:left w:val="nil" w:sz="6" w:space="0" w:color="auto"/>
              <w:bottom w:val="nil" w:sz="6" w:space="0" w:color="auto"/>
              <w:right w:val="nil" w:sz="6" w:space="0" w:color="auto"/>
            </w:tcBorders>
          </w:tcPr>
          <w:p>
            <w:pPr>
              <w:pStyle w:val="TableParagraph"/>
              <w:spacing w:line="240" w:lineRule="auto" w:before="69"/>
              <w:ind w:left="85" w:right="0"/>
              <w:jc w:val="left"/>
              <w:rPr>
                <w:rFonts w:ascii="Times New Roman" w:hAnsi="Times New Roman" w:cs="Times New Roman" w:eastAsia="Times New Roman" w:hint="default"/>
                <w:sz w:val="15"/>
                <w:szCs w:val="15"/>
              </w:rPr>
            </w:pPr>
            <w:r>
              <w:rPr>
                <w:rFonts w:ascii="Times New Roman"/>
                <w:sz w:val="15"/>
              </w:rPr>
              <w:t>25.51</w:t>
            </w:r>
          </w:p>
        </w:tc>
      </w:tr>
      <w:tr>
        <w:trPr>
          <w:trHeight w:val="322" w:hRule="exact"/>
        </w:trPr>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27"/>
              <w:jc w:val="righ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w:t>
            </w:r>
            <w:r>
              <w:rPr>
                <w:rFonts w:ascii="Times New Roman" w:hAnsi="Times New Roman" w:cs="Times New Roman" w:eastAsia="Times New Roman" w:hint="default"/>
                <w:sz w:val="15"/>
                <w:szCs w:val="15"/>
              </w:rPr>
              <w:t>2 </w:t>
            </w:r>
            <w:r>
              <w:rPr>
                <w:rFonts w:ascii="宋体" w:hAnsi="宋体" w:cs="宋体" w:eastAsia="宋体" w:hint="default"/>
                <w:sz w:val="15"/>
                <w:szCs w:val="15"/>
              </w:rPr>
              <w:t>年</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69"/>
              <w:ind w:left="430" w:right="0"/>
              <w:jc w:val="left"/>
              <w:rPr>
                <w:rFonts w:ascii="Times New Roman" w:hAnsi="Times New Roman" w:cs="Times New Roman" w:eastAsia="Times New Roman" w:hint="default"/>
                <w:sz w:val="15"/>
                <w:szCs w:val="15"/>
              </w:rPr>
            </w:pPr>
            <w:r>
              <w:rPr>
                <w:rFonts w:ascii="Times New Roman"/>
                <w:sz w:val="15"/>
              </w:rPr>
              <w:t>1,228,827.47</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95" w:right="0"/>
              <w:jc w:val="left"/>
              <w:rPr>
                <w:rFonts w:ascii="Times New Roman" w:hAnsi="Times New Roman" w:cs="Times New Roman" w:eastAsia="Times New Roman" w:hint="default"/>
                <w:sz w:val="15"/>
                <w:szCs w:val="15"/>
              </w:rPr>
            </w:pPr>
            <w:r>
              <w:rPr>
                <w:rFonts w:ascii="Times New Roman"/>
                <w:sz w:val="15"/>
              </w:rPr>
              <w:t>5.79</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57" w:right="0"/>
              <w:jc w:val="left"/>
              <w:rPr>
                <w:rFonts w:ascii="Times New Roman" w:hAnsi="Times New Roman" w:cs="Times New Roman" w:eastAsia="Times New Roman" w:hint="default"/>
                <w:sz w:val="15"/>
                <w:szCs w:val="15"/>
              </w:rPr>
            </w:pPr>
            <w:r>
              <w:rPr>
                <w:rFonts w:ascii="Times New Roman"/>
                <w:sz w:val="15"/>
              </w:rPr>
              <w:t>108,422.98</w:t>
            </w:r>
          </w:p>
        </w:tc>
        <w:tc>
          <w:tcPr>
            <w:tcW w:w="69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7" w:right="0"/>
              <w:jc w:val="center"/>
              <w:rPr>
                <w:rFonts w:ascii="Times New Roman" w:hAnsi="Times New Roman" w:cs="Times New Roman" w:eastAsia="Times New Roman" w:hint="default"/>
                <w:sz w:val="15"/>
                <w:szCs w:val="15"/>
              </w:rPr>
            </w:pPr>
            <w:r>
              <w:rPr>
                <w:rFonts w:ascii="Times New Roman"/>
                <w:sz w:val="15"/>
              </w:rPr>
              <w:t>8.82</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67" w:right="0"/>
              <w:jc w:val="left"/>
              <w:rPr>
                <w:rFonts w:ascii="Times New Roman" w:hAnsi="Times New Roman" w:cs="Times New Roman" w:eastAsia="Times New Roman" w:hint="default"/>
                <w:sz w:val="15"/>
                <w:szCs w:val="15"/>
              </w:rPr>
            </w:pPr>
            <w:r>
              <w:rPr>
                <w:rFonts w:ascii="Times New Roman"/>
                <w:sz w:val="15"/>
              </w:rPr>
              <w:t>974,653.27</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64" w:right="0"/>
              <w:jc w:val="left"/>
              <w:rPr>
                <w:rFonts w:ascii="Times New Roman" w:hAnsi="Times New Roman" w:cs="Times New Roman" w:eastAsia="Times New Roman" w:hint="default"/>
                <w:sz w:val="15"/>
                <w:szCs w:val="15"/>
              </w:rPr>
            </w:pPr>
            <w:r>
              <w:rPr>
                <w:rFonts w:ascii="Times New Roman"/>
                <w:sz w:val="15"/>
              </w:rPr>
              <w:t>6.31</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42" w:right="0"/>
              <w:jc w:val="left"/>
              <w:rPr>
                <w:rFonts w:ascii="Times New Roman" w:hAnsi="Times New Roman" w:cs="Times New Roman" w:eastAsia="Times New Roman" w:hint="default"/>
                <w:sz w:val="15"/>
                <w:szCs w:val="15"/>
              </w:rPr>
            </w:pPr>
            <w:r>
              <w:rPr>
                <w:rFonts w:ascii="Times New Roman"/>
                <w:sz w:val="15"/>
              </w:rPr>
              <w:t>97,465.33</w:t>
            </w:r>
          </w:p>
        </w:tc>
        <w:tc>
          <w:tcPr>
            <w:tcW w:w="529" w:type="dxa"/>
            <w:tcBorders>
              <w:top w:val="nil" w:sz="6" w:space="0" w:color="auto"/>
              <w:left w:val="nil" w:sz="6" w:space="0" w:color="auto"/>
              <w:bottom w:val="nil" w:sz="6" w:space="0" w:color="auto"/>
              <w:right w:val="nil" w:sz="6" w:space="0" w:color="auto"/>
            </w:tcBorders>
          </w:tcPr>
          <w:p>
            <w:pPr>
              <w:pStyle w:val="TableParagraph"/>
              <w:spacing w:line="240" w:lineRule="auto" w:before="69"/>
              <w:ind w:left="85" w:right="0"/>
              <w:jc w:val="left"/>
              <w:rPr>
                <w:rFonts w:ascii="Times New Roman" w:hAnsi="Times New Roman" w:cs="Times New Roman" w:eastAsia="Times New Roman" w:hint="default"/>
                <w:sz w:val="15"/>
                <w:szCs w:val="15"/>
              </w:rPr>
            </w:pPr>
            <w:r>
              <w:rPr>
                <w:rFonts w:ascii="Times New Roman"/>
                <w:sz w:val="15"/>
              </w:rPr>
              <w:t>10.00</w:t>
            </w:r>
          </w:p>
        </w:tc>
      </w:tr>
      <w:tr>
        <w:trPr>
          <w:trHeight w:val="322" w:hRule="exact"/>
        </w:trPr>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427"/>
              <w:jc w:val="righ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w:t>
            </w:r>
            <w:r>
              <w:rPr>
                <w:rFonts w:ascii="Times New Roman" w:hAnsi="Times New Roman" w:cs="Times New Roman" w:eastAsia="Times New Roman" w:hint="default"/>
                <w:sz w:val="15"/>
                <w:szCs w:val="15"/>
              </w:rPr>
              <w:t>3 </w:t>
            </w:r>
            <w:r>
              <w:rPr>
                <w:rFonts w:ascii="宋体" w:hAnsi="宋体" w:cs="宋体" w:eastAsia="宋体" w:hint="default"/>
                <w:sz w:val="15"/>
                <w:szCs w:val="15"/>
              </w:rPr>
              <w:t>年</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70"/>
              <w:ind w:left="543" w:right="0"/>
              <w:jc w:val="left"/>
              <w:rPr>
                <w:rFonts w:ascii="Times New Roman" w:hAnsi="Times New Roman" w:cs="Times New Roman" w:eastAsia="Times New Roman" w:hint="default"/>
                <w:sz w:val="15"/>
                <w:szCs w:val="15"/>
              </w:rPr>
            </w:pPr>
            <w:r>
              <w:rPr>
                <w:rFonts w:ascii="Times New Roman"/>
                <w:sz w:val="15"/>
              </w:rPr>
              <w:t>810,099.00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95" w:right="0"/>
              <w:jc w:val="left"/>
              <w:rPr>
                <w:rFonts w:ascii="Times New Roman" w:hAnsi="Times New Roman" w:cs="Times New Roman" w:eastAsia="Times New Roman" w:hint="default"/>
                <w:sz w:val="15"/>
                <w:szCs w:val="15"/>
              </w:rPr>
            </w:pPr>
            <w:r>
              <w:rPr>
                <w:rFonts w:ascii="Times New Roman"/>
                <w:sz w:val="15"/>
              </w:rPr>
              <w:t>3.82</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57" w:right="0"/>
              <w:jc w:val="left"/>
              <w:rPr>
                <w:rFonts w:ascii="Times New Roman" w:hAnsi="Times New Roman" w:cs="Times New Roman" w:eastAsia="Times New Roman" w:hint="default"/>
                <w:sz w:val="15"/>
                <w:szCs w:val="15"/>
              </w:rPr>
            </w:pPr>
            <w:r>
              <w:rPr>
                <w:rFonts w:ascii="Times New Roman"/>
                <w:sz w:val="15"/>
              </w:rPr>
              <w:t>162,019.80</w:t>
            </w:r>
          </w:p>
        </w:tc>
        <w:tc>
          <w:tcPr>
            <w:tcW w:w="69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5"/>
              <w:jc w:val="center"/>
              <w:rPr>
                <w:rFonts w:ascii="Times New Roman" w:hAnsi="Times New Roman" w:cs="Times New Roman" w:eastAsia="Times New Roman" w:hint="default"/>
                <w:sz w:val="15"/>
                <w:szCs w:val="15"/>
              </w:rPr>
            </w:pPr>
            <w:r>
              <w:rPr>
                <w:rFonts w:ascii="Times New Roman"/>
                <w:sz w:val="15"/>
              </w:rPr>
              <w:t>20.00</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442" w:right="0"/>
              <w:jc w:val="left"/>
              <w:rPr>
                <w:rFonts w:ascii="Times New Roman" w:hAnsi="Times New Roman" w:cs="Times New Roman" w:eastAsia="Times New Roman" w:hint="default"/>
                <w:sz w:val="15"/>
                <w:szCs w:val="15"/>
              </w:rPr>
            </w:pPr>
            <w:r>
              <w:rPr>
                <w:rFonts w:ascii="Times New Roman"/>
                <w:sz w:val="15"/>
              </w:rPr>
              <w:t>63,430.00</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64" w:right="0"/>
              <w:jc w:val="left"/>
              <w:rPr>
                <w:rFonts w:ascii="Times New Roman" w:hAnsi="Times New Roman" w:cs="Times New Roman" w:eastAsia="Times New Roman" w:hint="default"/>
                <w:sz w:val="15"/>
                <w:szCs w:val="15"/>
              </w:rPr>
            </w:pPr>
            <w:r>
              <w:rPr>
                <w:rFonts w:ascii="Times New Roman"/>
                <w:sz w:val="15"/>
              </w:rPr>
              <w:t>0.41</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42" w:right="0"/>
              <w:jc w:val="left"/>
              <w:rPr>
                <w:rFonts w:ascii="Times New Roman" w:hAnsi="Times New Roman" w:cs="Times New Roman" w:eastAsia="Times New Roman" w:hint="default"/>
                <w:sz w:val="15"/>
                <w:szCs w:val="15"/>
              </w:rPr>
            </w:pPr>
            <w:r>
              <w:rPr>
                <w:rFonts w:ascii="Times New Roman"/>
                <w:sz w:val="15"/>
              </w:rPr>
              <w:t>12,686.00</w:t>
            </w:r>
          </w:p>
        </w:tc>
        <w:tc>
          <w:tcPr>
            <w:tcW w:w="529" w:type="dxa"/>
            <w:tcBorders>
              <w:top w:val="nil" w:sz="6" w:space="0" w:color="auto"/>
              <w:left w:val="nil" w:sz="6" w:space="0" w:color="auto"/>
              <w:bottom w:val="nil" w:sz="6" w:space="0" w:color="auto"/>
              <w:right w:val="nil" w:sz="6" w:space="0" w:color="auto"/>
            </w:tcBorders>
          </w:tcPr>
          <w:p>
            <w:pPr>
              <w:pStyle w:val="TableParagraph"/>
              <w:spacing w:line="240" w:lineRule="auto" w:before="70"/>
              <w:ind w:left="85" w:right="0"/>
              <w:jc w:val="left"/>
              <w:rPr>
                <w:rFonts w:ascii="Times New Roman" w:hAnsi="Times New Roman" w:cs="Times New Roman" w:eastAsia="Times New Roman" w:hint="default"/>
                <w:sz w:val="15"/>
                <w:szCs w:val="15"/>
              </w:rPr>
            </w:pPr>
            <w:r>
              <w:rPr>
                <w:rFonts w:ascii="Times New Roman"/>
                <w:sz w:val="15"/>
              </w:rPr>
              <w:t>20.00</w:t>
            </w:r>
          </w:p>
        </w:tc>
      </w:tr>
      <w:tr>
        <w:trPr>
          <w:trHeight w:val="322" w:hRule="exact"/>
        </w:trPr>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27"/>
              <w:jc w:val="righ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w:t>
            </w:r>
            <w:r>
              <w:rPr>
                <w:rFonts w:ascii="Times New Roman" w:hAnsi="Times New Roman" w:cs="Times New Roman" w:eastAsia="Times New Roman" w:hint="default"/>
                <w:sz w:val="15"/>
                <w:szCs w:val="15"/>
              </w:rPr>
              <w:t>4 </w:t>
            </w:r>
            <w:r>
              <w:rPr>
                <w:rFonts w:ascii="宋体" w:hAnsi="宋体" w:cs="宋体" w:eastAsia="宋体" w:hint="default"/>
                <w:sz w:val="15"/>
                <w:szCs w:val="15"/>
              </w:rPr>
              <w:t>年</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17" w:right="0"/>
              <w:jc w:val="left"/>
              <w:rPr>
                <w:rFonts w:ascii="Times New Roman" w:hAnsi="Times New Roman" w:cs="Times New Roman" w:eastAsia="Times New Roman" w:hint="default"/>
                <w:sz w:val="15"/>
                <w:szCs w:val="15"/>
              </w:rPr>
            </w:pPr>
            <w:r>
              <w:rPr>
                <w:rFonts w:ascii="Times New Roman"/>
                <w:sz w:val="15"/>
              </w:rPr>
              <w:t>38,430.00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95" w:right="0"/>
              <w:jc w:val="left"/>
              <w:rPr>
                <w:rFonts w:ascii="Times New Roman" w:hAnsi="Times New Roman" w:cs="Times New Roman" w:eastAsia="Times New Roman" w:hint="default"/>
                <w:sz w:val="15"/>
                <w:szCs w:val="15"/>
              </w:rPr>
            </w:pPr>
            <w:r>
              <w:rPr>
                <w:rFonts w:ascii="Times New Roman"/>
                <w:sz w:val="15"/>
              </w:rPr>
              <w:t>0.18</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37" w:right="0"/>
              <w:jc w:val="left"/>
              <w:rPr>
                <w:rFonts w:ascii="Times New Roman" w:hAnsi="Times New Roman" w:cs="Times New Roman" w:eastAsia="Times New Roman" w:hint="default"/>
                <w:sz w:val="15"/>
                <w:szCs w:val="15"/>
              </w:rPr>
            </w:pPr>
            <w:r>
              <w:rPr>
                <w:rFonts w:ascii="Times New Roman"/>
                <w:sz w:val="15"/>
              </w:rPr>
              <w:t>11,529.00</w:t>
            </w:r>
          </w:p>
        </w:tc>
        <w:tc>
          <w:tcPr>
            <w:tcW w:w="6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5"/>
              <w:jc w:val="center"/>
              <w:rPr>
                <w:rFonts w:ascii="Times New Roman" w:hAnsi="Times New Roman" w:cs="Times New Roman" w:eastAsia="Times New Roman" w:hint="default"/>
                <w:sz w:val="15"/>
                <w:szCs w:val="15"/>
              </w:rPr>
            </w:pPr>
            <w:r>
              <w:rPr>
                <w:rFonts w:ascii="Times New Roman"/>
                <w:sz w:val="15"/>
              </w:rPr>
              <w:t>30.00</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69"/>
              <w:ind w:left="442" w:right="0"/>
              <w:jc w:val="left"/>
              <w:rPr>
                <w:rFonts w:ascii="Times New Roman" w:hAnsi="Times New Roman" w:cs="Times New Roman" w:eastAsia="Times New Roman" w:hint="default"/>
                <w:sz w:val="15"/>
                <w:szCs w:val="15"/>
              </w:rPr>
            </w:pPr>
            <w:r>
              <w:rPr>
                <w:rFonts w:ascii="Times New Roman"/>
                <w:sz w:val="15"/>
              </w:rPr>
              <w:t>72,000.00</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64" w:right="0"/>
              <w:jc w:val="left"/>
              <w:rPr>
                <w:rFonts w:ascii="Times New Roman" w:hAnsi="Times New Roman" w:cs="Times New Roman" w:eastAsia="Times New Roman" w:hint="default"/>
                <w:sz w:val="15"/>
                <w:szCs w:val="15"/>
              </w:rPr>
            </w:pPr>
            <w:r>
              <w:rPr>
                <w:rFonts w:ascii="Times New Roman"/>
                <w:sz w:val="15"/>
              </w:rPr>
              <w:t>0.47</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42" w:right="0"/>
              <w:jc w:val="left"/>
              <w:rPr>
                <w:rFonts w:ascii="Times New Roman" w:hAnsi="Times New Roman" w:cs="Times New Roman" w:eastAsia="Times New Roman" w:hint="default"/>
                <w:sz w:val="15"/>
                <w:szCs w:val="15"/>
              </w:rPr>
            </w:pPr>
            <w:r>
              <w:rPr>
                <w:rFonts w:ascii="Times New Roman"/>
                <w:sz w:val="15"/>
              </w:rPr>
              <w:t>21,600.00</w:t>
            </w:r>
          </w:p>
        </w:tc>
        <w:tc>
          <w:tcPr>
            <w:tcW w:w="529" w:type="dxa"/>
            <w:tcBorders>
              <w:top w:val="nil" w:sz="6" w:space="0" w:color="auto"/>
              <w:left w:val="nil" w:sz="6" w:space="0" w:color="auto"/>
              <w:bottom w:val="nil" w:sz="6" w:space="0" w:color="auto"/>
              <w:right w:val="nil" w:sz="6" w:space="0" w:color="auto"/>
            </w:tcBorders>
          </w:tcPr>
          <w:p>
            <w:pPr>
              <w:pStyle w:val="TableParagraph"/>
              <w:spacing w:line="240" w:lineRule="auto" w:before="69"/>
              <w:ind w:left="85" w:right="0"/>
              <w:jc w:val="left"/>
              <w:rPr>
                <w:rFonts w:ascii="Times New Roman" w:hAnsi="Times New Roman" w:cs="Times New Roman" w:eastAsia="Times New Roman" w:hint="default"/>
                <w:sz w:val="15"/>
                <w:szCs w:val="15"/>
              </w:rPr>
            </w:pPr>
            <w:r>
              <w:rPr>
                <w:rFonts w:ascii="Times New Roman"/>
                <w:sz w:val="15"/>
              </w:rPr>
              <w:t>30.00</w:t>
            </w:r>
          </w:p>
        </w:tc>
      </w:tr>
      <w:tr>
        <w:trPr>
          <w:trHeight w:val="329" w:hRule="exact"/>
        </w:trPr>
        <w:tc>
          <w:tcPr>
            <w:tcW w:w="953"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427"/>
              <w:jc w:val="righ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w:t>
            </w:r>
            <w:r>
              <w:rPr>
                <w:rFonts w:ascii="Times New Roman" w:hAnsi="Times New Roman" w:cs="Times New Roman" w:eastAsia="Times New Roman" w:hint="default"/>
                <w:sz w:val="15"/>
                <w:szCs w:val="15"/>
              </w:rPr>
              <w:t>5 </w:t>
            </w:r>
            <w:r>
              <w:rPr>
                <w:rFonts w:ascii="宋体" w:hAnsi="宋体" w:cs="宋体" w:eastAsia="宋体" w:hint="default"/>
                <w:sz w:val="15"/>
                <w:szCs w:val="15"/>
              </w:rPr>
              <w:t>年</w:t>
            </w:r>
          </w:p>
        </w:tc>
        <w:tc>
          <w:tcPr>
            <w:tcW w:w="1409"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left="617" w:right="0"/>
              <w:jc w:val="left"/>
              <w:rPr>
                <w:rFonts w:ascii="Times New Roman" w:hAnsi="Times New Roman" w:cs="Times New Roman" w:eastAsia="Times New Roman" w:hint="default"/>
                <w:sz w:val="15"/>
                <w:szCs w:val="15"/>
              </w:rPr>
            </w:pPr>
            <w:r>
              <w:rPr>
                <w:rFonts w:ascii="Times New Roman"/>
                <w:sz w:val="15"/>
              </w:rPr>
              <w:t>72,000.00</w:t>
            </w:r>
          </w:p>
        </w:tc>
        <w:tc>
          <w:tcPr>
            <w:tcW w:w="925"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left="295" w:right="0"/>
              <w:jc w:val="left"/>
              <w:rPr>
                <w:rFonts w:ascii="Times New Roman" w:hAnsi="Times New Roman" w:cs="Times New Roman" w:eastAsia="Times New Roman" w:hint="default"/>
                <w:sz w:val="15"/>
                <w:szCs w:val="15"/>
              </w:rPr>
            </w:pPr>
            <w:r>
              <w:rPr>
                <w:rFonts w:ascii="Times New Roman"/>
                <w:sz w:val="15"/>
              </w:rPr>
              <w:t>0.34</w:t>
            </w:r>
          </w:p>
        </w:tc>
        <w:tc>
          <w:tcPr>
            <w:tcW w:w="1048"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left="231" w:right="0"/>
              <w:jc w:val="left"/>
              <w:rPr>
                <w:rFonts w:ascii="Times New Roman" w:hAnsi="Times New Roman" w:cs="Times New Roman" w:eastAsia="Times New Roman" w:hint="default"/>
                <w:sz w:val="15"/>
                <w:szCs w:val="15"/>
              </w:rPr>
            </w:pPr>
            <w:r>
              <w:rPr>
                <w:rFonts w:ascii="Times New Roman"/>
                <w:sz w:val="15"/>
              </w:rPr>
              <w:t>28,800.00</w:t>
            </w:r>
          </w:p>
        </w:tc>
        <w:tc>
          <w:tcPr>
            <w:tcW w:w="690"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5"/>
              <w:jc w:val="center"/>
              <w:rPr>
                <w:rFonts w:ascii="Times New Roman" w:hAnsi="Times New Roman" w:cs="Times New Roman" w:eastAsia="Times New Roman" w:hint="default"/>
                <w:sz w:val="15"/>
                <w:szCs w:val="15"/>
              </w:rPr>
            </w:pPr>
            <w:r>
              <w:rPr>
                <w:rFonts w:ascii="Times New Roman"/>
                <w:sz w:val="15"/>
              </w:rPr>
              <w:t>40.00</w:t>
            </w:r>
          </w:p>
        </w:tc>
        <w:tc>
          <w:tcPr>
            <w:tcW w:w="1265"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left="442" w:right="0"/>
              <w:jc w:val="left"/>
              <w:rPr>
                <w:rFonts w:ascii="Times New Roman" w:hAnsi="Times New Roman" w:cs="Times New Roman" w:eastAsia="Times New Roman" w:hint="default"/>
                <w:sz w:val="15"/>
                <w:szCs w:val="15"/>
              </w:rPr>
            </w:pPr>
            <w:r>
              <w:rPr>
                <w:rFonts w:ascii="Times New Roman"/>
                <w:sz w:val="15"/>
              </w:rPr>
              <w:t>60,000.00</w:t>
            </w:r>
          </w:p>
        </w:tc>
        <w:tc>
          <w:tcPr>
            <w:tcW w:w="884"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left="264" w:right="0"/>
              <w:jc w:val="left"/>
              <w:rPr>
                <w:rFonts w:ascii="Times New Roman" w:hAnsi="Times New Roman" w:cs="Times New Roman" w:eastAsia="Times New Roman" w:hint="default"/>
                <w:sz w:val="15"/>
                <w:szCs w:val="15"/>
              </w:rPr>
            </w:pPr>
            <w:r>
              <w:rPr>
                <w:rFonts w:ascii="Times New Roman"/>
                <w:sz w:val="15"/>
              </w:rPr>
              <w:t>0.39</w:t>
            </w:r>
          </w:p>
        </w:tc>
        <w:tc>
          <w:tcPr>
            <w:tcW w:w="982"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left="242" w:right="0"/>
              <w:jc w:val="left"/>
              <w:rPr>
                <w:rFonts w:ascii="Times New Roman" w:hAnsi="Times New Roman" w:cs="Times New Roman" w:eastAsia="Times New Roman" w:hint="default"/>
                <w:sz w:val="15"/>
                <w:szCs w:val="15"/>
              </w:rPr>
            </w:pPr>
            <w:r>
              <w:rPr>
                <w:rFonts w:ascii="Times New Roman"/>
                <w:sz w:val="15"/>
              </w:rPr>
              <w:t>24,000.00</w:t>
            </w:r>
          </w:p>
        </w:tc>
        <w:tc>
          <w:tcPr>
            <w:tcW w:w="529"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left="85" w:right="0"/>
              <w:jc w:val="left"/>
              <w:rPr>
                <w:rFonts w:ascii="Times New Roman" w:hAnsi="Times New Roman" w:cs="Times New Roman" w:eastAsia="Times New Roman" w:hint="default"/>
                <w:sz w:val="15"/>
                <w:szCs w:val="15"/>
              </w:rPr>
            </w:pPr>
            <w:r>
              <w:rPr>
                <w:rFonts w:ascii="Times New Roman"/>
                <w:sz w:val="15"/>
              </w:rPr>
              <w:t>40.00</w:t>
            </w:r>
          </w:p>
        </w:tc>
      </w:tr>
    </w:tbl>
    <w:p>
      <w:pPr>
        <w:spacing w:after="0" w:line="240" w:lineRule="auto"/>
        <w:jc w:val="left"/>
        <w:rPr>
          <w:rFonts w:ascii="Times New Roman" w:hAnsi="Times New Roman" w:cs="Times New Roman" w:eastAsia="Times New Roman" w:hint="default"/>
          <w:sz w:val="15"/>
          <w:szCs w:val="15"/>
        </w:rPr>
        <w:sectPr>
          <w:pgSz w:w="11910" w:h="16840"/>
          <w:pgMar w:header="0" w:footer="1270" w:top="1360" w:bottom="1460" w:left="1540" w:right="1320"/>
        </w:sectPr>
      </w:pPr>
    </w:p>
    <w:p>
      <w:pPr>
        <w:spacing w:line="240" w:lineRule="auto" w:before="10"/>
        <w:rPr>
          <w:rFonts w:ascii="宋体" w:hAnsi="宋体" w:cs="宋体" w:eastAsia="宋体" w:hint="default"/>
          <w:b/>
          <w:bCs/>
          <w:sz w:val="6"/>
          <w:szCs w:val="6"/>
        </w:rPr>
      </w:pPr>
    </w:p>
    <w:tbl>
      <w:tblPr>
        <w:tblW w:w="0" w:type="auto"/>
        <w:jc w:val="left"/>
        <w:tblInd w:w="225" w:type="dxa"/>
        <w:tblLayout w:type="fixed"/>
        <w:tblCellMar>
          <w:top w:w="0" w:type="dxa"/>
          <w:left w:w="0" w:type="dxa"/>
          <w:bottom w:w="0" w:type="dxa"/>
          <w:right w:w="0" w:type="dxa"/>
        </w:tblCellMar>
        <w:tblLook w:val="01E0"/>
      </w:tblPr>
      <w:tblGrid>
        <w:gridCol w:w="953"/>
        <w:gridCol w:w="1387"/>
        <w:gridCol w:w="787"/>
        <w:gridCol w:w="1150"/>
        <w:gridCol w:w="749"/>
        <w:gridCol w:w="1211"/>
        <w:gridCol w:w="787"/>
        <w:gridCol w:w="1590"/>
      </w:tblGrid>
      <w:tr>
        <w:trPr>
          <w:trHeight w:val="343" w:hRule="exact"/>
        </w:trPr>
        <w:tc>
          <w:tcPr>
            <w:tcW w:w="953" w:type="dxa"/>
            <w:tcBorders>
              <w:top w:val="single" w:sz="12" w:space="0" w:color="000000"/>
              <w:left w:val="nil" w:sz="6" w:space="0" w:color="auto"/>
              <w:bottom w:val="nil" w:sz="6" w:space="0" w:color="auto"/>
              <w:right w:val="nil" w:sz="6" w:space="0" w:color="auto"/>
            </w:tcBorders>
          </w:tcPr>
          <w:p>
            <w:pPr>
              <w:pStyle w:val="TableParagraph"/>
              <w:spacing w:line="240" w:lineRule="auto" w:before="33"/>
              <w:ind w:right="353"/>
              <w:jc w:val="right"/>
              <w:rPr>
                <w:rFonts w:ascii="宋体" w:hAnsi="宋体" w:cs="宋体" w:eastAsia="宋体" w:hint="default"/>
                <w:sz w:val="15"/>
                <w:szCs w:val="15"/>
              </w:rPr>
            </w:pPr>
            <w:r>
              <w:rPr>
                <w:rFonts w:ascii="Times New Roman" w:hAnsi="Times New Roman" w:cs="Times New Roman" w:eastAsia="Times New Roman" w:hint="default"/>
                <w:sz w:val="15"/>
                <w:szCs w:val="15"/>
              </w:rPr>
              <w:t>5 </w:t>
            </w:r>
            <w:r>
              <w:rPr>
                <w:rFonts w:ascii="宋体" w:hAnsi="宋体" w:cs="宋体" w:eastAsia="宋体" w:hint="default"/>
                <w:sz w:val="15"/>
                <w:szCs w:val="15"/>
              </w:rPr>
              <w:t>年以上</w:t>
            </w:r>
          </w:p>
        </w:tc>
        <w:tc>
          <w:tcPr>
            <w:tcW w:w="1387" w:type="dxa"/>
            <w:tcBorders>
              <w:top w:val="single" w:sz="12" w:space="0" w:color="000000"/>
              <w:left w:val="nil" w:sz="6" w:space="0" w:color="auto"/>
              <w:bottom w:val="nil" w:sz="6" w:space="0" w:color="auto"/>
              <w:right w:val="nil" w:sz="6" w:space="0" w:color="auto"/>
            </w:tcBorders>
          </w:tcPr>
          <w:p>
            <w:pPr>
              <w:pStyle w:val="TableParagraph"/>
              <w:spacing w:line="240" w:lineRule="auto" w:before="67"/>
              <w:ind w:right="165"/>
              <w:jc w:val="right"/>
              <w:rPr>
                <w:rFonts w:ascii="Times New Roman" w:hAnsi="Times New Roman" w:cs="Times New Roman" w:eastAsia="Times New Roman" w:hint="default"/>
                <w:sz w:val="15"/>
                <w:szCs w:val="15"/>
              </w:rPr>
            </w:pPr>
            <w:r>
              <w:rPr>
                <w:rFonts w:ascii="Times New Roman"/>
                <w:spacing w:val="-1"/>
                <w:sz w:val="15"/>
              </w:rPr>
              <w:t>60,000.00</w:t>
            </w:r>
          </w:p>
        </w:tc>
        <w:tc>
          <w:tcPr>
            <w:tcW w:w="787" w:type="dxa"/>
            <w:tcBorders>
              <w:top w:val="single" w:sz="12" w:space="0" w:color="000000"/>
              <w:left w:val="nil" w:sz="6" w:space="0" w:color="auto"/>
              <w:bottom w:val="nil" w:sz="6" w:space="0" w:color="auto"/>
              <w:right w:val="nil" w:sz="6" w:space="0" w:color="auto"/>
            </w:tcBorders>
          </w:tcPr>
          <w:p>
            <w:pPr>
              <w:pStyle w:val="TableParagraph"/>
              <w:spacing w:line="240" w:lineRule="auto" w:before="67"/>
              <w:ind w:right="203"/>
              <w:jc w:val="right"/>
              <w:rPr>
                <w:rFonts w:ascii="Times New Roman" w:hAnsi="Times New Roman" w:cs="Times New Roman" w:eastAsia="Times New Roman" w:hint="default"/>
                <w:sz w:val="15"/>
                <w:szCs w:val="15"/>
              </w:rPr>
            </w:pPr>
            <w:r>
              <w:rPr>
                <w:rFonts w:ascii="Times New Roman"/>
                <w:spacing w:val="-1"/>
                <w:sz w:val="15"/>
              </w:rPr>
              <w:t>0.28</w:t>
            </w:r>
          </w:p>
        </w:tc>
        <w:tc>
          <w:tcPr>
            <w:tcW w:w="1150" w:type="dxa"/>
            <w:tcBorders>
              <w:top w:val="single" w:sz="12" w:space="0" w:color="000000"/>
              <w:left w:val="nil" w:sz="6" w:space="0" w:color="auto"/>
              <w:bottom w:val="nil" w:sz="6" w:space="0" w:color="auto"/>
              <w:right w:val="nil" w:sz="6" w:space="0" w:color="auto"/>
            </w:tcBorders>
          </w:tcPr>
          <w:p>
            <w:pPr>
              <w:pStyle w:val="TableParagraph"/>
              <w:spacing w:line="240" w:lineRule="auto" w:before="67"/>
              <w:ind w:right="154"/>
              <w:jc w:val="right"/>
              <w:rPr>
                <w:rFonts w:ascii="Times New Roman" w:hAnsi="Times New Roman" w:cs="Times New Roman" w:eastAsia="Times New Roman" w:hint="default"/>
                <w:sz w:val="15"/>
                <w:szCs w:val="15"/>
              </w:rPr>
            </w:pPr>
            <w:r>
              <w:rPr>
                <w:rFonts w:ascii="Times New Roman"/>
                <w:spacing w:val="-1"/>
                <w:sz w:val="15"/>
              </w:rPr>
              <w:t>60,000.00</w:t>
            </w:r>
          </w:p>
        </w:tc>
        <w:tc>
          <w:tcPr>
            <w:tcW w:w="749" w:type="dxa"/>
            <w:tcBorders>
              <w:top w:val="single" w:sz="12" w:space="0" w:color="000000"/>
              <w:left w:val="nil" w:sz="6" w:space="0" w:color="auto"/>
              <w:bottom w:val="nil" w:sz="6" w:space="0" w:color="auto"/>
              <w:right w:val="nil" w:sz="6" w:space="0" w:color="auto"/>
            </w:tcBorders>
          </w:tcPr>
          <w:p>
            <w:pPr>
              <w:pStyle w:val="TableParagraph"/>
              <w:spacing w:line="240" w:lineRule="auto" w:before="67"/>
              <w:ind w:right="177"/>
              <w:jc w:val="right"/>
              <w:rPr>
                <w:rFonts w:ascii="Times New Roman" w:hAnsi="Times New Roman" w:cs="Times New Roman" w:eastAsia="Times New Roman" w:hint="default"/>
                <w:sz w:val="15"/>
                <w:szCs w:val="15"/>
              </w:rPr>
            </w:pPr>
            <w:r>
              <w:rPr>
                <w:rFonts w:ascii="Times New Roman"/>
                <w:spacing w:val="-1"/>
                <w:sz w:val="15"/>
              </w:rPr>
              <w:t>100.00</w:t>
            </w:r>
          </w:p>
        </w:tc>
        <w:tc>
          <w:tcPr>
            <w:tcW w:w="1211"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right="167"/>
              <w:jc w:val="right"/>
              <w:rPr>
                <w:rFonts w:ascii="Times New Roman" w:hAnsi="Times New Roman" w:cs="Times New Roman" w:eastAsia="Times New Roman" w:hint="default"/>
                <w:sz w:val="18"/>
                <w:szCs w:val="18"/>
              </w:rPr>
            </w:pPr>
            <w:r>
              <w:rPr>
                <w:rFonts w:ascii="Times New Roman"/>
                <w:sz w:val="18"/>
              </w:rPr>
              <w:t>---</w:t>
            </w:r>
          </w:p>
        </w:tc>
        <w:tc>
          <w:tcPr>
            <w:tcW w:w="787"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right="20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90" w:type="dxa"/>
            <w:tcBorders>
              <w:top w:val="single" w:sz="12" w:space="0" w:color="000000"/>
              <w:left w:val="nil" w:sz="6" w:space="0" w:color="auto"/>
              <w:bottom w:val="nil" w:sz="6" w:space="0" w:color="auto"/>
              <w:right w:val="nil" w:sz="6" w:space="0" w:color="auto"/>
            </w:tcBorders>
          </w:tcPr>
          <w:p>
            <w:pPr>
              <w:pStyle w:val="TableParagraph"/>
              <w:tabs>
                <w:tab w:pos="561" w:val="left" w:leader="none"/>
              </w:tabs>
              <w:spacing w:line="240" w:lineRule="auto" w:before="50"/>
              <w:ind w:right="33"/>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321" w:hRule="exact"/>
        </w:trPr>
        <w:tc>
          <w:tcPr>
            <w:tcW w:w="953"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right="372"/>
              <w:jc w:val="right"/>
              <w:rPr>
                <w:rFonts w:ascii="宋体" w:hAnsi="宋体" w:cs="宋体" w:eastAsia="宋体" w:hint="default"/>
                <w:sz w:val="15"/>
                <w:szCs w:val="15"/>
              </w:rPr>
            </w:pPr>
            <w:r>
              <w:rPr>
                <w:rFonts w:ascii="宋体" w:hAnsi="宋体" w:cs="宋体" w:eastAsia="宋体" w:hint="default"/>
                <w:sz w:val="15"/>
                <w:szCs w:val="15"/>
              </w:rPr>
              <w:t>合计</w:t>
            </w:r>
          </w:p>
        </w:tc>
        <w:tc>
          <w:tcPr>
            <w:tcW w:w="1387" w:type="dxa"/>
            <w:tcBorders>
              <w:top w:val="nil" w:sz="6" w:space="0" w:color="auto"/>
              <w:left w:val="nil" w:sz="6" w:space="0" w:color="auto"/>
              <w:bottom w:val="single" w:sz="12" w:space="0" w:color="000000"/>
              <w:right w:val="nil" w:sz="6" w:space="0" w:color="auto"/>
            </w:tcBorders>
          </w:tcPr>
          <w:p>
            <w:pPr>
              <w:pStyle w:val="TableParagraph"/>
              <w:spacing w:line="240" w:lineRule="auto" w:before="61"/>
              <w:ind w:right="165"/>
              <w:jc w:val="right"/>
              <w:rPr>
                <w:rFonts w:ascii="Times New Roman" w:hAnsi="Times New Roman" w:cs="Times New Roman" w:eastAsia="Times New Roman" w:hint="default"/>
                <w:sz w:val="15"/>
                <w:szCs w:val="15"/>
              </w:rPr>
            </w:pPr>
            <w:r>
              <w:rPr>
                <w:rFonts w:ascii="Times New Roman"/>
                <w:spacing w:val="-1"/>
                <w:sz w:val="15"/>
              </w:rPr>
              <w:t>21,208,964.15</w:t>
            </w:r>
          </w:p>
        </w:tc>
        <w:tc>
          <w:tcPr>
            <w:tcW w:w="787" w:type="dxa"/>
            <w:tcBorders>
              <w:top w:val="nil" w:sz="6" w:space="0" w:color="auto"/>
              <w:left w:val="nil" w:sz="6" w:space="0" w:color="auto"/>
              <w:bottom w:val="single" w:sz="12" w:space="0" w:color="000000"/>
              <w:right w:val="nil" w:sz="6" w:space="0" w:color="auto"/>
            </w:tcBorders>
          </w:tcPr>
          <w:p>
            <w:pPr>
              <w:pStyle w:val="TableParagraph"/>
              <w:spacing w:line="240" w:lineRule="auto" w:before="61"/>
              <w:ind w:right="203"/>
              <w:jc w:val="right"/>
              <w:rPr>
                <w:rFonts w:ascii="Times New Roman" w:hAnsi="Times New Roman" w:cs="Times New Roman" w:eastAsia="Times New Roman" w:hint="default"/>
                <w:sz w:val="15"/>
                <w:szCs w:val="15"/>
              </w:rPr>
            </w:pPr>
            <w:r>
              <w:rPr>
                <w:rFonts w:ascii="Times New Roman"/>
                <w:spacing w:val="-1"/>
                <w:sz w:val="15"/>
              </w:rPr>
              <w:t>100.00</w:t>
            </w:r>
          </w:p>
        </w:tc>
        <w:tc>
          <w:tcPr>
            <w:tcW w:w="1150" w:type="dxa"/>
            <w:tcBorders>
              <w:top w:val="nil" w:sz="6" w:space="0" w:color="auto"/>
              <w:left w:val="nil" w:sz="6" w:space="0" w:color="auto"/>
              <w:bottom w:val="single" w:sz="12" w:space="0" w:color="000000"/>
              <w:right w:val="nil" w:sz="6" w:space="0" w:color="auto"/>
            </w:tcBorders>
          </w:tcPr>
          <w:p>
            <w:pPr>
              <w:pStyle w:val="TableParagraph"/>
              <w:spacing w:line="240" w:lineRule="auto" w:before="61"/>
              <w:ind w:right="154"/>
              <w:jc w:val="right"/>
              <w:rPr>
                <w:rFonts w:ascii="Times New Roman" w:hAnsi="Times New Roman" w:cs="Times New Roman" w:eastAsia="Times New Roman" w:hint="default"/>
                <w:sz w:val="15"/>
                <w:szCs w:val="15"/>
              </w:rPr>
            </w:pPr>
            <w:r>
              <w:rPr>
                <w:rFonts w:ascii="Times New Roman"/>
                <w:spacing w:val="-1"/>
                <w:sz w:val="15"/>
              </w:rPr>
              <w:t>6,125,086.24</w:t>
            </w:r>
          </w:p>
        </w:tc>
        <w:tc>
          <w:tcPr>
            <w:tcW w:w="749" w:type="dxa"/>
            <w:tcBorders>
              <w:top w:val="nil" w:sz="6" w:space="0" w:color="auto"/>
              <w:left w:val="nil" w:sz="6" w:space="0" w:color="auto"/>
              <w:bottom w:val="single" w:sz="12" w:space="0" w:color="000000"/>
              <w:right w:val="nil" w:sz="6" w:space="0" w:color="auto"/>
            </w:tcBorders>
          </w:tcPr>
          <w:p>
            <w:pPr>
              <w:pStyle w:val="TableParagraph"/>
              <w:spacing w:line="240" w:lineRule="auto" w:before="61"/>
              <w:ind w:right="179"/>
              <w:jc w:val="right"/>
              <w:rPr>
                <w:rFonts w:ascii="Times New Roman" w:hAnsi="Times New Roman" w:cs="Times New Roman" w:eastAsia="Times New Roman" w:hint="default"/>
                <w:sz w:val="15"/>
                <w:szCs w:val="15"/>
              </w:rPr>
            </w:pPr>
            <w:r>
              <w:rPr>
                <w:rFonts w:ascii="Times New Roman"/>
                <w:spacing w:val="-1"/>
                <w:sz w:val="15"/>
              </w:rPr>
              <w:t>28.88</w:t>
            </w:r>
          </w:p>
        </w:tc>
        <w:tc>
          <w:tcPr>
            <w:tcW w:w="1211" w:type="dxa"/>
            <w:tcBorders>
              <w:top w:val="nil" w:sz="6" w:space="0" w:color="auto"/>
              <w:left w:val="nil" w:sz="6" w:space="0" w:color="auto"/>
              <w:bottom w:val="single" w:sz="12" w:space="0" w:color="000000"/>
              <w:right w:val="nil" w:sz="6" w:space="0" w:color="auto"/>
            </w:tcBorders>
          </w:tcPr>
          <w:p>
            <w:pPr>
              <w:pStyle w:val="TableParagraph"/>
              <w:spacing w:line="240" w:lineRule="auto" w:before="61"/>
              <w:ind w:right="166"/>
              <w:jc w:val="right"/>
              <w:rPr>
                <w:rFonts w:ascii="Times New Roman" w:hAnsi="Times New Roman" w:cs="Times New Roman" w:eastAsia="Times New Roman" w:hint="default"/>
                <w:sz w:val="15"/>
                <w:szCs w:val="15"/>
              </w:rPr>
            </w:pPr>
            <w:r>
              <w:rPr>
                <w:rFonts w:ascii="Times New Roman"/>
                <w:spacing w:val="-1"/>
                <w:sz w:val="15"/>
              </w:rPr>
              <w:t>15,438,918.64</w:t>
            </w:r>
          </w:p>
        </w:tc>
        <w:tc>
          <w:tcPr>
            <w:tcW w:w="787" w:type="dxa"/>
            <w:tcBorders>
              <w:top w:val="nil" w:sz="6" w:space="0" w:color="auto"/>
              <w:left w:val="nil" w:sz="6" w:space="0" w:color="auto"/>
              <w:bottom w:val="single" w:sz="12" w:space="0" w:color="000000"/>
              <w:right w:val="nil" w:sz="6" w:space="0" w:color="auto"/>
            </w:tcBorders>
          </w:tcPr>
          <w:p>
            <w:pPr>
              <w:pStyle w:val="TableParagraph"/>
              <w:spacing w:line="240" w:lineRule="auto" w:before="61"/>
              <w:ind w:right="203"/>
              <w:jc w:val="right"/>
              <w:rPr>
                <w:rFonts w:ascii="Times New Roman" w:hAnsi="Times New Roman" w:cs="Times New Roman" w:eastAsia="Times New Roman" w:hint="default"/>
                <w:sz w:val="15"/>
                <w:szCs w:val="15"/>
              </w:rPr>
            </w:pPr>
            <w:r>
              <w:rPr>
                <w:rFonts w:ascii="Times New Roman"/>
                <w:spacing w:val="-1"/>
                <w:sz w:val="15"/>
              </w:rPr>
              <w:t>100.00</w:t>
            </w:r>
          </w:p>
        </w:tc>
        <w:tc>
          <w:tcPr>
            <w:tcW w:w="1590" w:type="dxa"/>
            <w:tcBorders>
              <w:top w:val="nil" w:sz="6" w:space="0" w:color="auto"/>
              <w:left w:val="nil" w:sz="6" w:space="0" w:color="auto"/>
              <w:bottom w:val="single" w:sz="12" w:space="0" w:color="000000"/>
              <w:right w:val="nil" w:sz="6" w:space="0" w:color="auto"/>
            </w:tcBorders>
          </w:tcPr>
          <w:p>
            <w:pPr>
              <w:pStyle w:val="TableParagraph"/>
              <w:tabs>
                <w:tab w:pos="1011" w:val="left" w:leader="none"/>
              </w:tabs>
              <w:spacing w:line="240" w:lineRule="auto" w:before="61"/>
              <w:ind w:right="33"/>
              <w:jc w:val="right"/>
              <w:rPr>
                <w:rFonts w:ascii="Times New Roman" w:hAnsi="Times New Roman" w:cs="Times New Roman" w:eastAsia="Times New Roman" w:hint="default"/>
                <w:sz w:val="15"/>
                <w:szCs w:val="15"/>
              </w:rPr>
            </w:pPr>
            <w:r>
              <w:rPr>
                <w:rFonts w:ascii="Times New Roman"/>
                <w:spacing w:val="-1"/>
                <w:sz w:val="15"/>
              </w:rPr>
              <w:t>3,796,202.72</w:t>
              <w:tab/>
              <w:t>24.59</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tabs>
          <w:tab w:pos="1414" w:val="left" w:leader="none"/>
        </w:tabs>
        <w:spacing w:before="35"/>
        <w:ind w:left="875" w:right="259" w:firstLine="0"/>
        <w:jc w:val="left"/>
        <w:rPr>
          <w:rFonts w:ascii="宋体" w:hAnsi="宋体" w:cs="宋体" w:eastAsia="宋体" w:hint="default"/>
          <w:sz w:val="21"/>
          <w:szCs w:val="21"/>
        </w:rPr>
      </w:pPr>
      <w:r>
        <w:rPr/>
        <w:pict>
          <v:shape style="position:absolute;margin-left:83.639999pt;margin-top:-57.566341pt;width:438.96pt;height:33.120pt;mso-position-horizontal-relative:page;mso-position-vertical-relative:paragraph;z-index:-768688" type="#_x0000_t75" stroked="false">
            <v:imagedata r:id="rId306" o:title=""/>
          </v:shape>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其他应收款按种类披露</w:t>
      </w:r>
      <w:r>
        <w:rPr>
          <w:rFonts w:ascii="宋体" w:hAnsi="宋体" w:cs="宋体" w:eastAsia="宋体" w:hint="default"/>
          <w:sz w:val="21"/>
          <w:szCs w:val="21"/>
        </w:rPr>
      </w:r>
    </w:p>
    <w:p>
      <w:pPr>
        <w:spacing w:line="6058" w:lineRule="exact"/>
        <w:ind w:left="122" w:right="0" w:firstLine="0"/>
        <w:rPr>
          <w:rFonts w:ascii="宋体" w:hAnsi="宋体" w:cs="宋体" w:eastAsia="宋体" w:hint="default"/>
          <w:sz w:val="20"/>
          <w:szCs w:val="20"/>
        </w:rPr>
      </w:pPr>
      <w:r>
        <w:rPr>
          <w:rFonts w:ascii="宋体" w:hAnsi="宋体" w:cs="宋体" w:eastAsia="宋体" w:hint="default"/>
          <w:position w:val="-120"/>
          <w:sz w:val="20"/>
          <w:szCs w:val="20"/>
        </w:rPr>
        <w:pict>
          <v:group style="width:448.5pt;height:302.95pt;mso-position-horizontal-relative:char;mso-position-vertical-relative:line" coordorigin="0,0" coordsize="8970,6059">
            <v:group style="position:absolute;left:29;top:15;width:8897;height:2" coordorigin="29,15" coordsize="8897,2">
              <v:shape style="position:absolute;left:29;top:15;width:8897;height:2" coordorigin="29,15" coordsize="8897,0" path="m29,15l8926,15e" filled="false" stroked="true" strokeweight="1.5pt" strokecolor="#000000">
                <v:path arrowok="t"/>
              </v:shape>
              <v:shape style="position:absolute;left:1532;top:10;width:3733;height:437" type="#_x0000_t75" stroked="false">
                <v:imagedata r:id="rId307" o:title=""/>
              </v:shape>
              <v:shape style="position:absolute;left:1532;top:407;width:7420;height:853" type="#_x0000_t75" stroked="false">
                <v:imagedata r:id="rId308" o:title=""/>
              </v:shape>
            </v:group>
            <v:group style="position:absolute;left:15;top:6044;width:1538;height:2" coordorigin="15,6044" coordsize="1538,2">
              <v:shape style="position:absolute;left:15;top:6044;width:1538;height:2" coordorigin="15,6044" coordsize="1538,0" path="m15,6044l1552,6044e" filled="false" stroked="true" strokeweight="1.5pt" strokecolor="#000000">
                <v:path arrowok="t"/>
              </v:shape>
            </v:group>
            <v:group style="position:absolute;left:1552;top:6044;width:1134;height:2" coordorigin="1552,6044" coordsize="1134,2">
              <v:shape style="position:absolute;left:1552;top:6044;width:1134;height:2" coordorigin="1552,6044" coordsize="1134,0" path="m1552,6044l2686,6044e" filled="false" stroked="true" strokeweight="1.5pt" strokecolor="#000000">
                <v:path arrowok="t"/>
              </v:shape>
            </v:group>
            <v:group style="position:absolute;left:2686;top:6044;width:671;height:2" coordorigin="2686,6044" coordsize="671,2">
              <v:shape style="position:absolute;left:2686;top:6044;width:671;height:2" coordorigin="2686,6044" coordsize="671,0" path="m2686,6044l3357,6044e" filled="false" stroked="true" strokeweight="1.5pt" strokecolor="#000000">
                <v:path arrowok="t"/>
              </v:shape>
            </v:group>
            <v:group style="position:absolute;left:3357;top:6044;width:1172;height:2" coordorigin="3357,6044" coordsize="1172,2">
              <v:shape style="position:absolute;left:3357;top:6044;width:1172;height:2" coordorigin="3357,6044" coordsize="1172,0" path="m3357,6044l4528,6044e" filled="false" stroked="true" strokeweight="1.5pt" strokecolor="#000000">
                <v:path arrowok="t"/>
              </v:shape>
            </v:group>
            <v:group style="position:absolute;left:4528;top:6044;width:708;height:2" coordorigin="4528,6044" coordsize="708,2">
              <v:shape style="position:absolute;left:4528;top:6044;width:708;height:2" coordorigin="4528,6044" coordsize="708,0" path="m4528,6044l5236,6044e" filled="false" stroked="true" strokeweight="1.5pt" strokecolor="#000000">
                <v:path arrowok="t"/>
              </v:shape>
            </v:group>
            <v:group style="position:absolute;left:5236;top:6044;width:1134;height:2" coordorigin="5236,6044" coordsize="1134,2">
              <v:shape style="position:absolute;left:5236;top:6044;width:1134;height:2" coordorigin="5236,6044" coordsize="1134,0" path="m5236,6044l6370,6044e" filled="false" stroked="true" strokeweight="1.5pt" strokecolor="#000000">
                <v:path arrowok="t"/>
              </v:shape>
            </v:group>
            <v:group style="position:absolute;left:6370;top:6044;width:708;height:2" coordorigin="6370,6044" coordsize="708,2">
              <v:shape style="position:absolute;left:6370;top:6044;width:708;height:2" coordorigin="6370,6044" coordsize="708,0" path="m6370,6044l7078,6044e" filled="false" stroked="true" strokeweight="1.5pt" strokecolor="#000000">
                <v:path arrowok="t"/>
              </v:shape>
            </v:group>
            <v:group style="position:absolute;left:7078;top:6044;width:1134;height:2" coordorigin="7078,6044" coordsize="1134,2">
              <v:shape style="position:absolute;left:7078;top:6044;width:1134;height:2" coordorigin="7078,6044" coordsize="1134,0" path="m7078,6044l8212,6044e" filled="false" stroked="true" strokeweight="1.5pt" strokecolor="#000000">
                <v:path arrowok="t"/>
              </v:shape>
              <v:shape style="position:absolute;left:1;top:1219;width:8960;height:4810" type="#_x0000_t75" stroked="false">
                <v:imagedata r:id="rId309" o:title=""/>
              </v:shape>
            </v:group>
            <v:group style="position:absolute;left:8212;top:6044;width:714;height:2" coordorigin="8212,6044" coordsize="714,2">
              <v:shape style="position:absolute;left:8212;top:6044;width:714;height:2" coordorigin="8212,6044" coordsize="714,0" path="m8212,6044l8926,6044e" filled="false" stroked="true" strokeweight="1.5pt" strokecolor="#000000">
                <v:path arrowok="t"/>
              </v:shape>
              <v:shape style="position:absolute;left:3098;top:15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shape style="position:absolute;left:6783;top:15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643;top:560;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种类</w:t>
                      </w:r>
                    </w:p>
                  </w:txbxContent>
                </v:textbox>
                <w10:wrap type="none"/>
              </v:shape>
              <v:shape style="position:absolute;left:2158;top:560;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4001;top:560;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5861;top:560;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7705;top:560;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1979;top:967;width:6990;height:159" type="#_x0000_t202" filled="false" stroked="false">
                <v:textbox inset="0,0,0,0">
                  <w:txbxContent>
                    <w:p>
                      <w:pPr>
                        <w:tabs>
                          <w:tab w:pos="755" w:val="left" w:leader="none"/>
                          <w:tab w:pos="1823" w:val="left" w:leader="none"/>
                          <w:tab w:pos="2597" w:val="left" w:leader="none"/>
                          <w:tab w:pos="3683" w:val="left" w:leader="none"/>
                          <w:tab w:pos="4441" w:val="left" w:leader="none"/>
                          <w:tab w:pos="5527" w:val="left" w:leader="none"/>
                          <w:tab w:pos="6283" w:val="left" w:leader="none"/>
                        </w:tabs>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tab/>
                      </w:r>
                      <w:r>
                        <w:rPr>
                          <w:rFonts w:ascii="宋体" w:hAnsi="宋体" w:cs="宋体" w:eastAsia="宋体" w:hint="default"/>
                          <w:spacing w:val="-12"/>
                          <w:sz w:val="15"/>
                          <w:szCs w:val="15"/>
                        </w:rPr>
                        <w:t>比例（</w:t>
                      </w:r>
                      <w:r>
                        <w:rPr>
                          <w:rFonts w:ascii="Times New Roman" w:hAnsi="Times New Roman" w:cs="Times New Roman" w:eastAsia="Times New Roman" w:hint="default"/>
                          <w:spacing w:val="-12"/>
                          <w:sz w:val="15"/>
                          <w:szCs w:val="15"/>
                        </w:rPr>
                        <w:t>%</w:t>
                      </w:r>
                      <w:r>
                        <w:rPr>
                          <w:rFonts w:ascii="宋体" w:hAnsi="宋体" w:cs="宋体" w:eastAsia="宋体" w:hint="default"/>
                          <w:spacing w:val="-12"/>
                          <w:sz w:val="15"/>
                          <w:szCs w:val="15"/>
                        </w:rPr>
                        <w:t>）</w:t>
                        <w:tab/>
                      </w:r>
                      <w:r>
                        <w:rPr>
                          <w:rFonts w:ascii="宋体" w:hAnsi="宋体" w:cs="宋体" w:eastAsia="宋体" w:hint="default"/>
                          <w:sz w:val="15"/>
                          <w:szCs w:val="15"/>
                        </w:rPr>
                        <w:t>金额</w:t>
                        <w:tab/>
                      </w:r>
                      <w:r>
                        <w:rPr>
                          <w:rFonts w:ascii="宋体" w:hAnsi="宋体" w:cs="宋体" w:eastAsia="宋体" w:hint="default"/>
                          <w:spacing w:val="-5"/>
                          <w:sz w:val="15"/>
                          <w:szCs w:val="15"/>
                        </w:rPr>
                        <w:t>比例（</w:t>
                      </w:r>
                      <w:r>
                        <w:rPr>
                          <w:rFonts w:ascii="Times New Roman" w:hAnsi="Times New Roman" w:cs="Times New Roman" w:eastAsia="Times New Roman" w:hint="default"/>
                          <w:spacing w:val="-5"/>
                          <w:sz w:val="15"/>
                          <w:szCs w:val="15"/>
                        </w:rPr>
                        <w:t>%</w:t>
                      </w:r>
                      <w:r>
                        <w:rPr>
                          <w:rFonts w:ascii="宋体" w:hAnsi="宋体" w:cs="宋体" w:eastAsia="宋体" w:hint="default"/>
                          <w:spacing w:val="-5"/>
                          <w:sz w:val="15"/>
                          <w:szCs w:val="15"/>
                        </w:rPr>
                        <w:t>）</w:t>
                        <w:tab/>
                      </w:r>
                      <w:r>
                        <w:rPr>
                          <w:rFonts w:ascii="宋体" w:hAnsi="宋体" w:cs="宋体" w:eastAsia="宋体" w:hint="default"/>
                          <w:sz w:val="15"/>
                          <w:szCs w:val="15"/>
                        </w:rPr>
                        <w:t>金额</w:t>
                        <w:tab/>
                      </w:r>
                      <w:r>
                        <w:rPr>
                          <w:rFonts w:ascii="宋体" w:hAnsi="宋体" w:cs="宋体" w:eastAsia="宋体" w:hint="default"/>
                          <w:spacing w:val="-4"/>
                          <w:sz w:val="15"/>
                          <w:szCs w:val="15"/>
                        </w:rPr>
                        <w:t>比例（</w:t>
                      </w:r>
                      <w:r>
                        <w:rPr>
                          <w:rFonts w:ascii="Times New Roman" w:hAnsi="Times New Roman" w:cs="Times New Roman" w:eastAsia="Times New Roman" w:hint="default"/>
                          <w:spacing w:val="-4"/>
                          <w:sz w:val="15"/>
                          <w:szCs w:val="15"/>
                        </w:rPr>
                        <w:t>%</w:t>
                      </w:r>
                      <w:r>
                        <w:rPr>
                          <w:rFonts w:ascii="宋体" w:hAnsi="宋体" w:cs="宋体" w:eastAsia="宋体" w:hint="default"/>
                          <w:spacing w:val="-4"/>
                          <w:sz w:val="15"/>
                          <w:szCs w:val="15"/>
                        </w:rPr>
                        <w:t>）</w:t>
                        <w:tab/>
                      </w:r>
                      <w:r>
                        <w:rPr>
                          <w:rFonts w:ascii="宋体" w:hAnsi="宋体" w:cs="宋体" w:eastAsia="宋体" w:hint="default"/>
                          <w:sz w:val="15"/>
                          <w:szCs w:val="15"/>
                        </w:rPr>
                        <w:t>金额</w:t>
                        <w:tab/>
                      </w:r>
                      <w:r>
                        <w:rPr>
                          <w:rFonts w:ascii="宋体" w:hAnsi="宋体" w:cs="宋体" w:eastAsia="宋体" w:hint="default"/>
                          <w:spacing w:val="-4"/>
                          <w:sz w:val="15"/>
                          <w:szCs w:val="15"/>
                        </w:rPr>
                        <w:t>比例（</w:t>
                      </w:r>
                      <w:r>
                        <w:rPr>
                          <w:rFonts w:ascii="Times New Roman" w:hAnsi="Times New Roman" w:cs="Times New Roman" w:eastAsia="Times New Roman" w:hint="default"/>
                          <w:spacing w:val="-4"/>
                          <w:sz w:val="15"/>
                          <w:szCs w:val="15"/>
                        </w:rPr>
                        <w:t>%</w:t>
                      </w:r>
                      <w:r>
                        <w:rPr>
                          <w:rFonts w:ascii="宋体" w:hAnsi="宋体" w:cs="宋体" w:eastAsia="宋体" w:hint="default"/>
                          <w:spacing w:val="-4"/>
                          <w:sz w:val="15"/>
                          <w:szCs w:val="15"/>
                        </w:rPr>
                        <w:t>）</w:t>
                      </w:r>
                    </w:p>
                  </w:txbxContent>
                </v:textbox>
                <w10:wrap type="none"/>
              </v:shape>
              <v:shape style="position:absolute;left:137;top:1331;width:1311;height:773"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3"/>
                          <w:sz w:val="15"/>
                          <w:szCs w:val="15"/>
                        </w:rPr>
                        <w:t>单项金额重大并单</w:t>
                      </w:r>
                    </w:p>
                    <w:p>
                      <w:pPr>
                        <w:spacing w:line="312" w:lineRule="exact" w:before="40"/>
                        <w:ind w:left="0" w:right="0" w:firstLine="0"/>
                        <w:jc w:val="left"/>
                        <w:rPr>
                          <w:rFonts w:ascii="宋体" w:hAnsi="宋体" w:cs="宋体" w:eastAsia="宋体" w:hint="default"/>
                          <w:sz w:val="15"/>
                          <w:szCs w:val="15"/>
                        </w:rPr>
                      </w:pPr>
                      <w:r>
                        <w:rPr>
                          <w:rFonts w:ascii="宋体" w:hAnsi="宋体" w:cs="宋体" w:eastAsia="宋体" w:hint="default"/>
                          <w:spacing w:val="13"/>
                          <w:sz w:val="15"/>
                          <w:szCs w:val="15"/>
                        </w:rPr>
                        <w:t>项计提坏账准备的</w:t>
                      </w:r>
                      <w:r>
                        <w:rPr>
                          <w:rFonts w:ascii="宋体" w:hAnsi="宋体" w:cs="宋体" w:eastAsia="宋体" w:hint="default"/>
                          <w:sz w:val="15"/>
                          <w:szCs w:val="15"/>
                        </w:rPr>
                        <w:t> 其他应收款</w:t>
                      </w:r>
                    </w:p>
                  </w:txbxContent>
                </v:textbox>
                <w10:wrap type="none"/>
              </v:shape>
              <v:shape style="position:absolute;left:2402;top:163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3073;top:163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245;top:163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952;top:163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086;top:163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796;top:163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929;top:163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638;top:163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2277;width:4289;height:834"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3"/>
                          <w:sz w:val="15"/>
                          <w:szCs w:val="15"/>
                        </w:rPr>
                        <w:t>按组合计提坏账准</w:t>
                      </w:r>
                    </w:p>
                    <w:p>
                      <w:pPr>
                        <w:spacing w:before="115"/>
                        <w:ind w:left="0" w:right="0" w:firstLine="0"/>
                        <w:jc w:val="left"/>
                        <w:rPr>
                          <w:rFonts w:ascii="宋体" w:hAnsi="宋体" w:cs="宋体" w:eastAsia="宋体" w:hint="default"/>
                          <w:sz w:val="15"/>
                          <w:szCs w:val="15"/>
                        </w:rPr>
                      </w:pPr>
                      <w:r>
                        <w:rPr>
                          <w:rFonts w:ascii="宋体" w:hAnsi="宋体" w:cs="宋体" w:eastAsia="宋体" w:hint="default"/>
                          <w:sz w:val="15"/>
                          <w:szCs w:val="15"/>
                        </w:rPr>
                        <w:t>备的其他应收款</w:t>
                      </w:r>
                    </w:p>
                    <w:p>
                      <w:pPr>
                        <w:spacing w:line="240" w:lineRule="auto" w:before="11"/>
                        <w:rPr>
                          <w:rFonts w:ascii="宋体" w:hAnsi="宋体" w:cs="宋体" w:eastAsia="宋体" w:hint="default"/>
                          <w:b/>
                          <w:bCs/>
                          <w:sz w:val="12"/>
                          <w:szCs w:val="12"/>
                        </w:rPr>
                      </w:pPr>
                    </w:p>
                    <w:p>
                      <w:pPr>
                        <w:tabs>
                          <w:tab w:pos="1581" w:val="left" w:leader="none"/>
                          <w:tab w:pos="2777" w:val="left" w:leader="none"/>
                          <w:tab w:pos="3500" w:val="left" w:leader="none"/>
                        </w:tabs>
                        <w:spacing w:line="203"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账龄分析法</w:t>
                        <w:tab/>
                      </w:r>
                      <w:r>
                        <w:rPr>
                          <w:rFonts w:ascii="Times New Roman" w:hAnsi="Times New Roman" w:cs="Times New Roman" w:eastAsia="Times New Roman" w:hint="default"/>
                          <w:spacing w:val="-1"/>
                          <w:sz w:val="15"/>
                          <w:szCs w:val="15"/>
                        </w:rPr>
                        <w:t>15,570,172.70</w:t>
                        <w:tab/>
                        <w:t>73.41</w:t>
                        <w:tab/>
                        <w:t>1,046,042.48</w:t>
                      </w:r>
                    </w:p>
                  </w:txbxContent>
                </v:textbox>
                <w10:wrap type="none"/>
              </v:shape>
              <v:shape style="position:absolute;left:4869;top:2961;width:2108;height:150" type="#_x0000_t202" filled="false" stroked="false">
                <v:textbox inset="0,0,0,0">
                  <w:txbxContent>
                    <w:p>
                      <w:pPr>
                        <w:tabs>
                          <w:tab w:pos="533" w:val="left" w:leader="none"/>
                          <w:tab w:pos="176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6.72</w:t>
                        <w:tab/>
                        <w:t>12,181,847.78</w:t>
                        <w:tab/>
                        <w:t>78.90</w:t>
                      </w:r>
                    </w:p>
                  </w:txbxContent>
                </v:textbox>
                <w10:wrap type="none"/>
              </v:shape>
              <v:shape style="position:absolute;left:7435;top:2961;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707,529.55</w:t>
                      </w:r>
                    </w:p>
                  </w:txbxContent>
                </v:textbox>
                <w10:wrap type="none"/>
              </v:shape>
              <v:shape style="position:absolute;left:8555;top:2961;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5.81</w:t>
                      </w:r>
                    </w:p>
                  </w:txbxContent>
                </v:textbox>
                <w10:wrap type="none"/>
              </v:shape>
              <v:shape style="position:absolute;left:137;top:3317;width:1311;height:462"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3"/>
                          <w:sz w:val="15"/>
                          <w:szCs w:val="15"/>
                        </w:rPr>
                        <w:t>合并范围内关联方</w:t>
                      </w:r>
                    </w:p>
                    <w:p>
                      <w:pPr>
                        <w:spacing w:before="115"/>
                        <w:ind w:left="0" w:right="0" w:firstLine="0"/>
                        <w:jc w:val="left"/>
                        <w:rPr>
                          <w:rFonts w:ascii="宋体" w:hAnsi="宋体" w:cs="宋体" w:eastAsia="宋体" w:hint="default"/>
                          <w:sz w:val="15"/>
                          <w:szCs w:val="15"/>
                        </w:rPr>
                      </w:pPr>
                      <w:r>
                        <w:rPr>
                          <w:rFonts w:ascii="宋体" w:hAnsi="宋体" w:cs="宋体" w:eastAsia="宋体" w:hint="default"/>
                          <w:sz w:val="15"/>
                          <w:szCs w:val="15"/>
                        </w:rPr>
                        <w:t>组合</w:t>
                      </w:r>
                    </w:p>
                  </w:txbxContent>
                </v:textbox>
                <w10:wrap type="none"/>
              </v:shape>
              <v:shape style="position:absolute;left:1907;top:3480;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559,747.69</w:t>
                      </w:r>
                    </w:p>
                  </w:txbxContent>
                </v:textbox>
                <w10:wrap type="none"/>
              </v:shape>
              <v:shape style="position:absolute;left:2990;top:3480;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2.64</w:t>
                      </w:r>
                    </w:p>
                  </w:txbxContent>
                </v:textbox>
                <w10:wrap type="none"/>
              </v:shape>
              <v:shape style="position:absolute;left:4245;top:3467;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952;top:3467;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591;top:3480;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168,397.69</w:t>
                      </w:r>
                    </w:p>
                  </w:txbxContent>
                </v:textbox>
                <w10:wrap type="none"/>
              </v:shape>
              <v:shape style="position:absolute;left:6713;top:3480;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1.09</w:t>
                      </w:r>
                    </w:p>
                  </w:txbxContent>
                </v:textbox>
                <w10:wrap type="none"/>
              </v:shape>
              <v:shape style="position:absolute;left:7929;top:3467;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638;top:3467;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3994;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业务费组合</w:t>
                      </w:r>
                    </w:p>
                  </w:txbxContent>
                </v:textbox>
                <w10:wrap type="none"/>
              </v:shape>
              <v:shape style="position:absolute;left:1795;top:4001;width:7025;height:150" type="#_x0000_t202" filled="false" stroked="false">
                <v:textbox inset="0,0,0,0">
                  <w:txbxContent>
                    <w:p>
                      <w:pPr>
                        <w:tabs>
                          <w:tab w:pos="1120" w:val="left" w:leader="none"/>
                          <w:tab w:pos="1843" w:val="left" w:leader="none"/>
                          <w:tab w:pos="2924" w:val="left" w:leader="none"/>
                          <w:tab w:pos="3683" w:val="left" w:leader="none"/>
                          <w:tab w:pos="4844" w:val="left" w:leader="none"/>
                          <w:tab w:pos="5527" w:val="left" w:leader="none"/>
                          <w:tab w:pos="6610"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5,079,043.76</w:t>
                        <w:tab/>
                        <w:t>23.95</w:t>
                        <w:tab/>
                        <w:t>5,079,043.76</w:t>
                        <w:tab/>
                        <w:t>100.00</w:t>
                        <w:tab/>
                        <w:t>3,088,673.17</w:t>
                        <w:tab/>
                        <w:t>20.01</w:t>
                        <w:tab/>
                        <w:t>3,088,673.17</w:t>
                        <w:tab/>
                        <w:t>100.00</w:t>
                      </w:r>
                    </w:p>
                  </w:txbxContent>
                </v:textbox>
                <w10:wrap type="none"/>
              </v:shape>
              <v:shape style="position:absolute;left:137;top:440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组合小计</w:t>
                      </w:r>
                    </w:p>
                  </w:txbxContent>
                </v:textbox>
                <w10:wrap type="none"/>
              </v:shape>
              <v:shape style="position:absolute;left:1719;top:4408;width:7100;height:150" type="#_x0000_t202" filled="false" stroked="false">
                <v:textbox inset="0,0,0,0">
                  <w:txbxContent>
                    <w:p>
                      <w:pPr>
                        <w:tabs>
                          <w:tab w:pos="1120" w:val="left" w:leader="none"/>
                          <w:tab w:pos="1918" w:val="left" w:leader="none"/>
                          <w:tab w:pos="3075" w:val="left" w:leader="none"/>
                          <w:tab w:pos="3683" w:val="left" w:leader="none"/>
                          <w:tab w:pos="4844" w:val="left" w:leader="none"/>
                          <w:tab w:pos="5602" w:val="left" w:leader="none"/>
                          <w:tab w:pos="6761"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21,208,964.15</w:t>
                        <w:tab/>
                        <w:t>100.00</w:t>
                        <w:tab/>
                        <w:t>6,125,086.24</w:t>
                        <w:tab/>
                        <w:t>28.88</w:t>
                        <w:tab/>
                        <w:t>15,438,918.64</w:t>
                        <w:tab/>
                        <w:t>100.00</w:t>
                        <w:tab/>
                        <w:t>3,796,202.72</w:t>
                        <w:tab/>
                        <w:t>24.59</w:t>
                      </w:r>
                    </w:p>
                  </w:txbxContent>
                </v:textbox>
                <w10:wrap type="none"/>
              </v:shape>
              <v:shape style="position:absolute;left:137;top:4766;width:1311;height:774"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3"/>
                          <w:sz w:val="15"/>
                          <w:szCs w:val="15"/>
                        </w:rPr>
                        <w:t>单项金额虽不重大</w:t>
                      </w:r>
                    </w:p>
                    <w:p>
                      <w:pPr>
                        <w:spacing w:line="310" w:lineRule="atLeast" w:before="2"/>
                        <w:ind w:left="0" w:right="0" w:firstLine="0"/>
                        <w:jc w:val="left"/>
                        <w:rPr>
                          <w:rFonts w:ascii="宋体" w:hAnsi="宋体" w:cs="宋体" w:eastAsia="宋体" w:hint="default"/>
                          <w:sz w:val="15"/>
                          <w:szCs w:val="15"/>
                        </w:rPr>
                      </w:pPr>
                      <w:r>
                        <w:rPr>
                          <w:rFonts w:ascii="宋体" w:hAnsi="宋体" w:cs="宋体" w:eastAsia="宋体" w:hint="default"/>
                          <w:spacing w:val="13"/>
                          <w:sz w:val="15"/>
                          <w:szCs w:val="15"/>
                        </w:rPr>
                        <w:t>但单项计提坏账准</w:t>
                      </w:r>
                      <w:r>
                        <w:rPr>
                          <w:rFonts w:ascii="宋体" w:hAnsi="宋体" w:cs="宋体" w:eastAsia="宋体" w:hint="default"/>
                          <w:sz w:val="15"/>
                          <w:szCs w:val="15"/>
                        </w:rPr>
                        <w:t> 备的其他应收款</w:t>
                      </w:r>
                    </w:p>
                  </w:txbxContent>
                </v:textbox>
                <w10:wrap type="none"/>
              </v:shape>
              <v:shape style="position:absolute;left:2402;top:5072;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3073;top:5072;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245;top:5072;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952;top:5072;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086;top:5072;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796;top:5072;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929;top:5072;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638;top:5072;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43;top:575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shape style="position:absolute;left:1719;top:5762;width:7100;height:150" type="#_x0000_t202" filled="false" stroked="false">
                <v:textbox inset="0,0,0,0">
                  <w:txbxContent>
                    <w:p>
                      <w:pPr>
                        <w:tabs>
                          <w:tab w:pos="1120" w:val="left" w:leader="none"/>
                          <w:tab w:pos="1918" w:val="left" w:leader="none"/>
                          <w:tab w:pos="3075" w:val="left" w:leader="none"/>
                          <w:tab w:pos="3683" w:val="left" w:leader="none"/>
                          <w:tab w:pos="4844" w:val="left" w:leader="none"/>
                          <w:tab w:pos="5602" w:val="left" w:leader="none"/>
                          <w:tab w:pos="6761"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21,208,964.15</w:t>
                        <w:tab/>
                        <w:t>100.00</w:t>
                        <w:tab/>
                        <w:t>6,125,086.24</w:t>
                        <w:tab/>
                        <w:t>28.88</w:t>
                        <w:tab/>
                        <w:t>15,438,918.64</w:t>
                        <w:tab/>
                        <w:t>100.00</w:t>
                        <w:tab/>
                        <w:t>3,796,202.72</w:t>
                        <w:tab/>
                        <w:t>24.59</w:t>
                      </w:r>
                    </w:p>
                  </w:txbxContent>
                </v:textbox>
                <w10:wrap type="none"/>
              </v:shape>
            </v:group>
          </v:group>
        </w:pict>
      </w:r>
      <w:r>
        <w:rPr>
          <w:rFonts w:ascii="宋体" w:hAnsi="宋体" w:cs="宋体" w:eastAsia="宋体" w:hint="default"/>
          <w:position w:val="-120"/>
          <w:sz w:val="20"/>
          <w:szCs w:val="20"/>
        </w:rPr>
      </w:r>
    </w:p>
    <w:p>
      <w:pPr>
        <w:spacing w:before="70"/>
        <w:ind w:left="260" w:right="259" w:firstLine="0"/>
        <w:jc w:val="left"/>
        <w:rPr>
          <w:rFonts w:ascii="宋体" w:hAnsi="宋体" w:cs="宋体" w:eastAsia="宋体" w:hint="default"/>
          <w:sz w:val="21"/>
          <w:szCs w:val="21"/>
        </w:rPr>
      </w:pPr>
      <w:r>
        <w:rPr>
          <w:rFonts w:ascii="宋体" w:hAnsi="宋体" w:cs="宋体" w:eastAsia="宋体" w:hint="default"/>
          <w:sz w:val="21"/>
          <w:szCs w:val="21"/>
        </w:rPr>
        <w:t>其他应收款种类说明：</w:t>
      </w:r>
    </w:p>
    <w:p>
      <w:pPr>
        <w:spacing w:before="125"/>
        <w:ind w:left="875" w:right="25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）年末数中无单项金额重大并单项计提坏账准备的其他应收款</w:t>
      </w:r>
    </w:p>
    <w:p>
      <w:pPr>
        <w:spacing w:before="109"/>
        <w:ind w:left="875" w:right="25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）按组合计提坏账准备的其他应收款</w:t>
      </w:r>
    </w:p>
    <w:p>
      <w:pPr>
        <w:spacing w:before="110"/>
        <w:ind w:left="875" w:right="259" w:firstLine="0"/>
        <w:jc w:val="left"/>
        <w:rPr>
          <w:rFonts w:ascii="宋体" w:hAnsi="宋体" w:cs="宋体" w:eastAsia="宋体" w:hint="default"/>
          <w:sz w:val="21"/>
          <w:szCs w:val="21"/>
        </w:rPr>
      </w:pPr>
      <w:r>
        <w:rPr/>
        <w:pict>
          <v:group style="position:absolute;margin-left:83.160004pt;margin-top:20.822769pt;width:447.8pt;height:190.2pt;mso-position-horizontal-relative:page;mso-position-vertical-relative:paragraph;z-index:-768496" coordorigin="1663,416" coordsize="8956,3804">
            <v:group style="position:absolute;left:1692;top:431;width:8897;height:2" coordorigin="1692,431" coordsize="8897,2">
              <v:shape style="position:absolute;left:1692;top:431;width:8897;height:2" coordorigin="1692,431" coordsize="8897,0" path="m1692,431l10589,431e" filled="false" stroked="true" strokeweight="1.5pt" strokecolor="#000000">
                <v:path arrowok="t"/>
              </v:shape>
              <v:shape style="position:absolute;left:3423;top:427;width:3493;height:379" type="#_x0000_t75" stroked="false">
                <v:imagedata r:id="rId310" o:title=""/>
              </v:shape>
              <v:shape style="position:absolute;left:3424;top:767;width:7193;height:389" type="#_x0000_t75" stroked="false">
                <v:imagedata r:id="rId311" o:title=""/>
              </v:shape>
              <v:shape style="position:absolute;left:3414;top:1108;width:5983;height:691" type="#_x0000_t75" stroked="false">
                <v:imagedata r:id="rId312" o:title=""/>
              </v:shape>
              <v:shape style="position:absolute;left:1663;top:1748;width:8956;height:2472" type="#_x0000_t75" stroked="false">
                <v:imagedata r:id="rId313" o:title=""/>
              </v:shape>
              <v:shape style="position:absolute;left:4159;top:527;width:1371;height:530" type="#_x0000_t202" filled="false" stroked="false">
                <v:textbox inset="0,0,0,0">
                  <w:txbxContent>
                    <w:p>
                      <w:pPr>
                        <w:spacing w:line="180" w:lineRule="exact" w:before="0"/>
                        <w:ind w:left="65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p>
                      <w:pPr>
                        <w:spacing w:before="113"/>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2389;top:10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5000;top:121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5880;top:119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768;top:527;width:1332;height:866" type="#_x0000_t202" filled="false" stroked="false">
                <v:textbox inset="0,0,0,0">
                  <w:txbxContent>
                    <w:p>
                      <w:pPr>
                        <w:spacing w:line="180" w:lineRule="exact" w:before="0"/>
                        <w:ind w:left="611"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p>
                      <w:pPr>
                        <w:spacing w:before="113"/>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p>
                      <w:pPr>
                        <w:spacing w:before="100"/>
                        <w:ind w:left="0" w:right="47" w:firstLine="0"/>
                        <w:jc w:val="righ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9616;top:119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3929;top:1368;width:3886;height:180" type="#_x0000_t202" filled="false" stroked="false">
                <v:textbox inset="0,0,0,0">
                  <w:txbxContent>
                    <w:p>
                      <w:pPr>
                        <w:tabs>
                          <w:tab w:pos="352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tab/>
                        <w:t>金额</w:t>
                      </w:r>
                    </w:p>
                  </w:txbxContent>
                </v:textbox>
                <w10:wrap type="none"/>
              </v:shape>
            </v:group>
            <w10:wrap type="none"/>
          </v:group>
        </w:pict>
      </w:r>
      <w:r>
        <w:rPr>
          <w:rFonts w:ascii="宋体" w:hAnsi="宋体" w:cs="宋体" w:eastAsia="宋体" w:hint="default"/>
          <w:sz w:val="21"/>
          <w:szCs w:val="21"/>
        </w:rPr>
        <w:t>①组合中，采用账龄分析法计提坏账准备的其他应收款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7"/>
          <w:szCs w:val="27"/>
        </w:rPr>
      </w:pPr>
    </w:p>
    <w:tbl>
      <w:tblPr>
        <w:tblW w:w="0" w:type="auto"/>
        <w:jc w:val="left"/>
        <w:tblInd w:w="225" w:type="dxa"/>
        <w:tblLayout w:type="fixed"/>
        <w:tblCellMar>
          <w:top w:w="0" w:type="dxa"/>
          <w:left w:w="0" w:type="dxa"/>
          <w:bottom w:w="0" w:type="dxa"/>
          <w:right w:w="0" w:type="dxa"/>
        </w:tblCellMar>
        <w:tblLook w:val="01E0"/>
      </w:tblPr>
      <w:tblGrid>
        <w:gridCol w:w="1424"/>
        <w:gridCol w:w="1606"/>
        <w:gridCol w:w="842"/>
        <w:gridCol w:w="1373"/>
        <w:gridCol w:w="1433"/>
        <w:gridCol w:w="955"/>
        <w:gridCol w:w="1119"/>
      </w:tblGrid>
      <w:tr>
        <w:trPr>
          <w:trHeight w:val="606" w:hRule="exact"/>
        </w:trPr>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28"/>
              <w:jc w:val="right"/>
              <w:rPr>
                <w:rFonts w:ascii="Times New Roman" w:hAnsi="Times New Roman" w:cs="Times New Roman" w:eastAsia="Times New Roman" w:hint="default"/>
                <w:sz w:val="18"/>
                <w:szCs w:val="18"/>
              </w:rPr>
            </w:pPr>
            <w:r>
              <w:rPr>
                <w:rFonts w:ascii="Times New Roman"/>
                <w:spacing w:val="-1"/>
                <w:sz w:val="18"/>
              </w:rPr>
              <w:t>13,505,413.92</w:t>
            </w:r>
          </w:p>
        </w:tc>
        <w:tc>
          <w:tcPr>
            <w:tcW w:w="842" w:type="dxa"/>
            <w:tcBorders>
              <w:top w:val="nil" w:sz="6" w:space="0" w:color="auto"/>
              <w:left w:val="nil" w:sz="6" w:space="0" w:color="auto"/>
              <w:bottom w:val="nil" w:sz="6" w:space="0" w:color="auto"/>
              <w:right w:val="nil" w:sz="6" w:space="0" w:color="auto"/>
            </w:tcBorders>
          </w:tcPr>
          <w:p>
            <w:pPr>
              <w:pStyle w:val="TableParagraph"/>
              <w:spacing w:line="194" w:lineRule="exact"/>
              <w:ind w:left="182" w:right="0" w:hanging="53"/>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126"/>
              <w:ind w:left="182" w:right="0"/>
              <w:jc w:val="left"/>
              <w:rPr>
                <w:rFonts w:ascii="Times New Roman" w:hAnsi="Times New Roman" w:cs="Times New Roman" w:eastAsia="Times New Roman" w:hint="default"/>
                <w:sz w:val="18"/>
                <w:szCs w:val="18"/>
              </w:rPr>
            </w:pPr>
            <w:r>
              <w:rPr>
                <w:rFonts w:ascii="Times New Roman"/>
                <w:sz w:val="18"/>
              </w:rPr>
              <w:t>86.74</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223"/>
              <w:jc w:val="right"/>
              <w:rPr>
                <w:rFonts w:ascii="Times New Roman" w:hAnsi="Times New Roman" w:cs="Times New Roman" w:eastAsia="Times New Roman" w:hint="default"/>
                <w:sz w:val="18"/>
                <w:szCs w:val="18"/>
              </w:rPr>
            </w:pPr>
            <w:r>
              <w:rPr>
                <w:rFonts w:ascii="Times New Roman"/>
                <w:sz w:val="18"/>
              </w:rPr>
              <w:t>675,270.70</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70"/>
              <w:jc w:val="right"/>
              <w:rPr>
                <w:rFonts w:ascii="Times New Roman" w:hAnsi="Times New Roman" w:cs="Times New Roman" w:eastAsia="Times New Roman" w:hint="default"/>
                <w:sz w:val="18"/>
                <w:szCs w:val="18"/>
              </w:rPr>
            </w:pPr>
            <w:r>
              <w:rPr>
                <w:rFonts w:ascii="Times New Roman"/>
                <w:spacing w:val="-2"/>
                <w:sz w:val="18"/>
              </w:rPr>
              <w:t>11,011,764.51</w:t>
            </w:r>
          </w:p>
        </w:tc>
        <w:tc>
          <w:tcPr>
            <w:tcW w:w="955" w:type="dxa"/>
            <w:tcBorders>
              <w:top w:val="nil" w:sz="6" w:space="0" w:color="auto"/>
              <w:left w:val="nil" w:sz="6" w:space="0" w:color="auto"/>
              <w:bottom w:val="nil" w:sz="6" w:space="0" w:color="auto"/>
              <w:right w:val="nil" w:sz="6" w:space="0" w:color="auto"/>
            </w:tcBorders>
          </w:tcPr>
          <w:p>
            <w:pPr>
              <w:pStyle w:val="TableParagraph"/>
              <w:spacing w:line="194" w:lineRule="exact"/>
              <w:ind w:left="224" w:right="0" w:hanging="53"/>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126"/>
              <w:ind w:left="224" w:right="0"/>
              <w:jc w:val="left"/>
              <w:rPr>
                <w:rFonts w:ascii="Times New Roman" w:hAnsi="Times New Roman" w:cs="Times New Roman" w:eastAsia="Times New Roman" w:hint="default"/>
                <w:sz w:val="18"/>
                <w:szCs w:val="18"/>
              </w:rPr>
            </w:pPr>
            <w:r>
              <w:rPr>
                <w:rFonts w:ascii="Times New Roman"/>
                <w:sz w:val="18"/>
              </w:rPr>
              <w:t>90.39</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551,778.22</w:t>
            </w:r>
          </w:p>
        </w:tc>
      </w:tr>
      <w:tr>
        <w:trPr>
          <w:trHeight w:val="350" w:hRule="exact"/>
        </w:trPr>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28"/>
              <w:jc w:val="right"/>
              <w:rPr>
                <w:rFonts w:ascii="Times New Roman" w:hAnsi="Times New Roman" w:cs="Times New Roman" w:eastAsia="Times New Roman" w:hint="default"/>
                <w:sz w:val="18"/>
                <w:szCs w:val="18"/>
              </w:rPr>
            </w:pPr>
            <w:r>
              <w:rPr>
                <w:rFonts w:ascii="Times New Roman"/>
                <w:spacing w:val="-1"/>
                <w:sz w:val="18"/>
              </w:rPr>
              <w:t>1,084,229.78</w:t>
            </w:r>
          </w:p>
        </w:tc>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67"/>
              <w:jc w:val="center"/>
              <w:rPr>
                <w:rFonts w:ascii="Times New Roman" w:hAnsi="Times New Roman" w:cs="Times New Roman" w:eastAsia="Times New Roman" w:hint="default"/>
                <w:sz w:val="18"/>
                <w:szCs w:val="18"/>
              </w:rPr>
            </w:pPr>
            <w:r>
              <w:rPr>
                <w:rFonts w:ascii="Times New Roman"/>
                <w:sz w:val="18"/>
              </w:rPr>
              <w:t>6.96</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223"/>
              <w:jc w:val="right"/>
              <w:rPr>
                <w:rFonts w:ascii="Times New Roman" w:hAnsi="Times New Roman" w:cs="Times New Roman" w:eastAsia="Times New Roman" w:hint="default"/>
                <w:sz w:val="18"/>
                <w:szCs w:val="18"/>
              </w:rPr>
            </w:pPr>
            <w:r>
              <w:rPr>
                <w:rFonts w:ascii="Times New Roman"/>
                <w:sz w:val="18"/>
              </w:rPr>
              <w:t>108,422.98</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70"/>
              <w:jc w:val="right"/>
              <w:rPr>
                <w:rFonts w:ascii="Times New Roman" w:hAnsi="Times New Roman" w:cs="Times New Roman" w:eastAsia="Times New Roman" w:hint="default"/>
                <w:sz w:val="18"/>
                <w:szCs w:val="18"/>
              </w:rPr>
            </w:pPr>
            <w:r>
              <w:rPr>
                <w:rFonts w:ascii="Times New Roman"/>
                <w:sz w:val="18"/>
              </w:rPr>
              <w:t>974,653.27</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98"/>
              <w:jc w:val="center"/>
              <w:rPr>
                <w:rFonts w:ascii="Times New Roman" w:hAnsi="Times New Roman" w:cs="Times New Roman" w:eastAsia="Times New Roman" w:hint="default"/>
                <w:sz w:val="18"/>
                <w:szCs w:val="18"/>
              </w:rPr>
            </w:pPr>
            <w:r>
              <w:rPr>
                <w:rFonts w:ascii="Times New Roman"/>
                <w:sz w:val="18"/>
              </w:rPr>
              <w:t>8.00</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
              <w:jc w:val="right"/>
              <w:rPr>
                <w:rFonts w:ascii="Times New Roman" w:hAnsi="Times New Roman" w:cs="Times New Roman" w:eastAsia="Times New Roman" w:hint="default"/>
                <w:sz w:val="18"/>
                <w:szCs w:val="18"/>
              </w:rPr>
            </w:pPr>
            <w:r>
              <w:rPr>
                <w:rFonts w:ascii="Times New Roman"/>
                <w:sz w:val="18"/>
              </w:rPr>
              <w:t>97,465.33</w:t>
            </w:r>
          </w:p>
        </w:tc>
      </w:tr>
      <w:tr>
        <w:trPr>
          <w:trHeight w:val="350" w:hRule="exact"/>
        </w:trPr>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28"/>
              <w:jc w:val="right"/>
              <w:rPr>
                <w:rFonts w:ascii="Times New Roman" w:hAnsi="Times New Roman" w:cs="Times New Roman" w:eastAsia="Times New Roman" w:hint="default"/>
                <w:sz w:val="18"/>
                <w:szCs w:val="18"/>
              </w:rPr>
            </w:pPr>
            <w:r>
              <w:rPr>
                <w:rFonts w:ascii="Times New Roman"/>
                <w:sz w:val="18"/>
              </w:rPr>
              <w:t>810,099.00</w:t>
            </w:r>
          </w:p>
        </w:tc>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67"/>
              <w:jc w:val="center"/>
              <w:rPr>
                <w:rFonts w:ascii="Times New Roman" w:hAnsi="Times New Roman" w:cs="Times New Roman" w:eastAsia="Times New Roman" w:hint="default"/>
                <w:sz w:val="18"/>
                <w:szCs w:val="18"/>
              </w:rPr>
            </w:pPr>
            <w:r>
              <w:rPr>
                <w:rFonts w:ascii="Times New Roman"/>
                <w:sz w:val="18"/>
              </w:rPr>
              <w:t>5.20</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223"/>
              <w:jc w:val="right"/>
              <w:rPr>
                <w:rFonts w:ascii="Times New Roman" w:hAnsi="Times New Roman" w:cs="Times New Roman" w:eastAsia="Times New Roman" w:hint="default"/>
                <w:sz w:val="18"/>
                <w:szCs w:val="18"/>
              </w:rPr>
            </w:pPr>
            <w:r>
              <w:rPr>
                <w:rFonts w:ascii="Times New Roman"/>
                <w:sz w:val="18"/>
              </w:rPr>
              <w:t>162,019.80</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70"/>
              <w:jc w:val="right"/>
              <w:rPr>
                <w:rFonts w:ascii="Times New Roman" w:hAnsi="Times New Roman" w:cs="Times New Roman" w:eastAsia="Times New Roman" w:hint="default"/>
                <w:sz w:val="18"/>
                <w:szCs w:val="18"/>
              </w:rPr>
            </w:pPr>
            <w:r>
              <w:rPr>
                <w:rFonts w:ascii="Times New Roman"/>
                <w:sz w:val="18"/>
              </w:rPr>
              <w:t>63,430.00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98"/>
              <w:jc w:val="center"/>
              <w:rPr>
                <w:rFonts w:ascii="Times New Roman" w:hAnsi="Times New Roman" w:cs="Times New Roman" w:eastAsia="Times New Roman" w:hint="default"/>
                <w:sz w:val="18"/>
                <w:szCs w:val="18"/>
              </w:rPr>
            </w:pPr>
            <w:r>
              <w:rPr>
                <w:rFonts w:ascii="Times New Roman"/>
                <w:sz w:val="18"/>
              </w:rPr>
              <w:t>0.52</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
              <w:jc w:val="right"/>
              <w:rPr>
                <w:rFonts w:ascii="Times New Roman" w:hAnsi="Times New Roman" w:cs="Times New Roman" w:eastAsia="Times New Roman" w:hint="default"/>
                <w:sz w:val="18"/>
                <w:szCs w:val="18"/>
              </w:rPr>
            </w:pPr>
            <w:r>
              <w:rPr>
                <w:rFonts w:ascii="Times New Roman"/>
                <w:sz w:val="18"/>
              </w:rPr>
              <w:t>12,686.00</w:t>
            </w:r>
          </w:p>
        </w:tc>
      </w:tr>
      <w:tr>
        <w:trPr>
          <w:trHeight w:val="350" w:hRule="exact"/>
        </w:trPr>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28"/>
              <w:jc w:val="right"/>
              <w:rPr>
                <w:rFonts w:ascii="Times New Roman" w:hAnsi="Times New Roman" w:cs="Times New Roman" w:eastAsia="Times New Roman" w:hint="default"/>
                <w:sz w:val="18"/>
                <w:szCs w:val="18"/>
              </w:rPr>
            </w:pPr>
            <w:r>
              <w:rPr>
                <w:rFonts w:ascii="Times New Roman"/>
                <w:sz w:val="18"/>
              </w:rPr>
              <w:t>38,430.00</w:t>
            </w:r>
          </w:p>
        </w:tc>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67"/>
              <w:jc w:val="center"/>
              <w:rPr>
                <w:rFonts w:ascii="Times New Roman" w:hAnsi="Times New Roman" w:cs="Times New Roman" w:eastAsia="Times New Roman" w:hint="default"/>
                <w:sz w:val="18"/>
                <w:szCs w:val="18"/>
              </w:rPr>
            </w:pPr>
            <w:r>
              <w:rPr>
                <w:rFonts w:ascii="Times New Roman"/>
                <w:sz w:val="18"/>
              </w:rPr>
              <w:t>0.25</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223"/>
              <w:jc w:val="right"/>
              <w:rPr>
                <w:rFonts w:ascii="Times New Roman" w:hAnsi="Times New Roman" w:cs="Times New Roman" w:eastAsia="Times New Roman" w:hint="default"/>
                <w:sz w:val="18"/>
                <w:szCs w:val="18"/>
              </w:rPr>
            </w:pPr>
            <w:r>
              <w:rPr>
                <w:rFonts w:ascii="Times New Roman"/>
                <w:spacing w:val="-1"/>
                <w:sz w:val="18"/>
              </w:rPr>
              <w:t>11,529.00</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70"/>
              <w:jc w:val="right"/>
              <w:rPr>
                <w:rFonts w:ascii="Times New Roman" w:hAnsi="Times New Roman" w:cs="Times New Roman" w:eastAsia="Times New Roman" w:hint="default"/>
                <w:sz w:val="18"/>
                <w:szCs w:val="18"/>
              </w:rPr>
            </w:pPr>
            <w:r>
              <w:rPr>
                <w:rFonts w:ascii="Times New Roman"/>
                <w:sz w:val="18"/>
              </w:rPr>
              <w:t>72,000.00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98"/>
              <w:jc w:val="center"/>
              <w:rPr>
                <w:rFonts w:ascii="Times New Roman" w:hAnsi="Times New Roman" w:cs="Times New Roman" w:eastAsia="Times New Roman" w:hint="default"/>
                <w:sz w:val="18"/>
                <w:szCs w:val="18"/>
              </w:rPr>
            </w:pPr>
            <w:r>
              <w:rPr>
                <w:rFonts w:ascii="Times New Roman"/>
                <w:sz w:val="18"/>
              </w:rPr>
              <w:t>0.59</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
              <w:jc w:val="right"/>
              <w:rPr>
                <w:rFonts w:ascii="Times New Roman" w:hAnsi="Times New Roman" w:cs="Times New Roman" w:eastAsia="Times New Roman" w:hint="default"/>
                <w:sz w:val="18"/>
                <w:szCs w:val="18"/>
              </w:rPr>
            </w:pPr>
            <w:r>
              <w:rPr>
                <w:rFonts w:ascii="Times New Roman"/>
                <w:sz w:val="18"/>
              </w:rPr>
              <w:t>21,600.00</w:t>
            </w:r>
          </w:p>
        </w:tc>
      </w:tr>
      <w:tr>
        <w:trPr>
          <w:trHeight w:val="350" w:hRule="exact"/>
        </w:trPr>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28"/>
              <w:jc w:val="right"/>
              <w:rPr>
                <w:rFonts w:ascii="Times New Roman" w:hAnsi="Times New Roman" w:cs="Times New Roman" w:eastAsia="Times New Roman" w:hint="default"/>
                <w:sz w:val="18"/>
                <w:szCs w:val="18"/>
              </w:rPr>
            </w:pPr>
            <w:r>
              <w:rPr>
                <w:rFonts w:ascii="Times New Roman"/>
                <w:sz w:val="18"/>
              </w:rPr>
              <w:t>72,000.00</w:t>
            </w:r>
          </w:p>
        </w:tc>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67"/>
              <w:jc w:val="center"/>
              <w:rPr>
                <w:rFonts w:ascii="Times New Roman" w:hAnsi="Times New Roman" w:cs="Times New Roman" w:eastAsia="Times New Roman" w:hint="default"/>
                <w:sz w:val="18"/>
                <w:szCs w:val="18"/>
              </w:rPr>
            </w:pPr>
            <w:r>
              <w:rPr>
                <w:rFonts w:ascii="Times New Roman"/>
                <w:sz w:val="18"/>
              </w:rPr>
              <w:t>0.46</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223"/>
              <w:jc w:val="right"/>
              <w:rPr>
                <w:rFonts w:ascii="Times New Roman" w:hAnsi="Times New Roman" w:cs="Times New Roman" w:eastAsia="Times New Roman" w:hint="default"/>
                <w:sz w:val="18"/>
                <w:szCs w:val="18"/>
              </w:rPr>
            </w:pPr>
            <w:r>
              <w:rPr>
                <w:rFonts w:ascii="Times New Roman"/>
                <w:sz w:val="18"/>
              </w:rPr>
              <w:t>28,800.00</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70"/>
              <w:jc w:val="right"/>
              <w:rPr>
                <w:rFonts w:ascii="Times New Roman" w:hAnsi="Times New Roman" w:cs="Times New Roman" w:eastAsia="Times New Roman" w:hint="default"/>
                <w:sz w:val="18"/>
                <w:szCs w:val="18"/>
              </w:rPr>
            </w:pPr>
            <w:r>
              <w:rPr>
                <w:rFonts w:ascii="Times New Roman"/>
                <w:sz w:val="18"/>
              </w:rPr>
              <w:t>60,000.00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98"/>
              <w:jc w:val="center"/>
              <w:rPr>
                <w:rFonts w:ascii="Times New Roman" w:hAnsi="Times New Roman" w:cs="Times New Roman" w:eastAsia="Times New Roman" w:hint="default"/>
                <w:sz w:val="18"/>
                <w:szCs w:val="18"/>
              </w:rPr>
            </w:pPr>
            <w:r>
              <w:rPr>
                <w:rFonts w:ascii="Times New Roman"/>
                <w:sz w:val="18"/>
              </w:rPr>
              <w:t>0.49</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
              <w:jc w:val="right"/>
              <w:rPr>
                <w:rFonts w:ascii="Times New Roman" w:hAnsi="Times New Roman" w:cs="Times New Roman" w:eastAsia="Times New Roman" w:hint="default"/>
                <w:sz w:val="18"/>
                <w:szCs w:val="18"/>
              </w:rPr>
            </w:pPr>
            <w:r>
              <w:rPr>
                <w:rFonts w:ascii="Times New Roman"/>
                <w:sz w:val="18"/>
              </w:rPr>
              <w:t>24,000.00</w:t>
            </w:r>
          </w:p>
        </w:tc>
      </w:tr>
      <w:tr>
        <w:trPr>
          <w:trHeight w:val="350" w:hRule="exact"/>
        </w:trPr>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28"/>
              <w:jc w:val="right"/>
              <w:rPr>
                <w:rFonts w:ascii="Times New Roman" w:hAnsi="Times New Roman" w:cs="Times New Roman" w:eastAsia="Times New Roman" w:hint="default"/>
                <w:sz w:val="18"/>
                <w:szCs w:val="18"/>
              </w:rPr>
            </w:pPr>
            <w:r>
              <w:rPr>
                <w:rFonts w:ascii="Times New Roman"/>
                <w:sz w:val="18"/>
              </w:rPr>
              <w:t>60,000.00</w:t>
            </w:r>
          </w:p>
        </w:tc>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67"/>
              <w:jc w:val="center"/>
              <w:rPr>
                <w:rFonts w:ascii="Times New Roman" w:hAnsi="Times New Roman" w:cs="Times New Roman" w:eastAsia="Times New Roman" w:hint="default"/>
                <w:sz w:val="18"/>
                <w:szCs w:val="18"/>
              </w:rPr>
            </w:pPr>
            <w:r>
              <w:rPr>
                <w:rFonts w:ascii="Times New Roman"/>
                <w:sz w:val="18"/>
              </w:rPr>
              <w:t>0.39</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223"/>
              <w:jc w:val="right"/>
              <w:rPr>
                <w:rFonts w:ascii="Times New Roman" w:hAnsi="Times New Roman" w:cs="Times New Roman" w:eastAsia="Times New Roman" w:hint="default"/>
                <w:sz w:val="18"/>
                <w:szCs w:val="18"/>
              </w:rPr>
            </w:pPr>
            <w:r>
              <w:rPr>
                <w:rFonts w:ascii="Times New Roman"/>
                <w:sz w:val="18"/>
              </w:rPr>
              <w:t>60,000.00</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71"/>
              <w:jc w:val="right"/>
              <w:rPr>
                <w:rFonts w:ascii="Times New Roman" w:hAnsi="Times New Roman" w:cs="Times New Roman" w:eastAsia="Times New Roman" w:hint="default"/>
                <w:sz w:val="18"/>
                <w:szCs w:val="18"/>
              </w:rPr>
            </w:pPr>
            <w:r>
              <w:rPr>
                <w:rFonts w:ascii="Times New Roman"/>
                <w:sz w:val="18"/>
              </w:rPr>
              <w:t>---</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99"/>
              <w:jc w:val="center"/>
              <w:rPr>
                <w:rFonts w:ascii="Times New Roman" w:hAnsi="Times New Roman" w:cs="Times New Roman" w:eastAsia="Times New Roman" w:hint="default"/>
                <w:sz w:val="18"/>
                <w:szCs w:val="18"/>
              </w:rPr>
            </w:pPr>
            <w:r>
              <w:rPr>
                <w:rFonts w:ascii="Times New Roman"/>
                <w:sz w:val="18"/>
              </w:rPr>
              <w:t>---</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4"/>
              <w:jc w:val="right"/>
              <w:rPr>
                <w:rFonts w:ascii="Times New Roman" w:hAnsi="Times New Roman" w:cs="Times New Roman" w:eastAsia="Times New Roman" w:hint="default"/>
                <w:sz w:val="18"/>
                <w:szCs w:val="18"/>
              </w:rPr>
            </w:pPr>
            <w:r>
              <w:rPr>
                <w:rFonts w:ascii="Times New Roman"/>
                <w:sz w:val="18"/>
              </w:rPr>
              <w:t>---</w:t>
            </w:r>
          </w:p>
        </w:tc>
      </w:tr>
      <w:tr>
        <w:trPr>
          <w:trHeight w:val="355" w:hRule="exact"/>
        </w:trPr>
        <w:tc>
          <w:tcPr>
            <w:tcW w:w="142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6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6" w:type="dxa"/>
            <w:tcBorders>
              <w:top w:val="nil" w:sz="6" w:space="0" w:color="auto"/>
              <w:left w:val="nil" w:sz="6" w:space="0" w:color="auto"/>
              <w:bottom w:val="single" w:sz="12" w:space="0" w:color="000000"/>
              <w:right w:val="nil" w:sz="6" w:space="0" w:color="auto"/>
            </w:tcBorders>
          </w:tcPr>
          <w:p>
            <w:pPr>
              <w:pStyle w:val="TableParagraph"/>
              <w:spacing w:line="240" w:lineRule="auto" w:before="64"/>
              <w:ind w:right="128"/>
              <w:jc w:val="right"/>
              <w:rPr>
                <w:rFonts w:ascii="Times New Roman" w:hAnsi="Times New Roman" w:cs="Times New Roman" w:eastAsia="Times New Roman" w:hint="default"/>
                <w:sz w:val="18"/>
                <w:szCs w:val="18"/>
              </w:rPr>
            </w:pPr>
            <w:r>
              <w:rPr>
                <w:rFonts w:ascii="Times New Roman"/>
                <w:spacing w:val="-1"/>
                <w:sz w:val="18"/>
              </w:rPr>
              <w:t>15,570,172.70</w:t>
            </w:r>
          </w:p>
        </w:tc>
        <w:tc>
          <w:tcPr>
            <w:tcW w:w="842" w:type="dxa"/>
            <w:tcBorders>
              <w:top w:val="nil" w:sz="6" w:space="0" w:color="auto"/>
              <w:left w:val="nil" w:sz="6" w:space="0" w:color="auto"/>
              <w:bottom w:val="single" w:sz="12" w:space="0" w:color="000000"/>
              <w:right w:val="nil" w:sz="6" w:space="0" w:color="auto"/>
            </w:tcBorders>
          </w:tcPr>
          <w:p>
            <w:pPr>
              <w:pStyle w:val="TableParagraph"/>
              <w:spacing w:line="240" w:lineRule="auto" w:before="64"/>
              <w:ind w:right="67"/>
              <w:jc w:val="center"/>
              <w:rPr>
                <w:rFonts w:ascii="Times New Roman" w:hAnsi="Times New Roman" w:cs="Times New Roman" w:eastAsia="Times New Roman" w:hint="default"/>
                <w:sz w:val="18"/>
                <w:szCs w:val="18"/>
              </w:rPr>
            </w:pPr>
            <w:r>
              <w:rPr>
                <w:rFonts w:ascii="Times New Roman"/>
                <w:sz w:val="18"/>
              </w:rPr>
              <w:t>100.00</w:t>
            </w:r>
          </w:p>
        </w:tc>
        <w:tc>
          <w:tcPr>
            <w:tcW w:w="1373" w:type="dxa"/>
            <w:tcBorders>
              <w:top w:val="nil" w:sz="6" w:space="0" w:color="auto"/>
              <w:left w:val="nil" w:sz="6" w:space="0" w:color="auto"/>
              <w:bottom w:val="single" w:sz="12" w:space="0" w:color="000000"/>
              <w:right w:val="nil" w:sz="6" w:space="0" w:color="auto"/>
            </w:tcBorders>
          </w:tcPr>
          <w:p>
            <w:pPr>
              <w:pStyle w:val="TableParagraph"/>
              <w:spacing w:line="240" w:lineRule="auto" w:before="64"/>
              <w:ind w:right="223"/>
              <w:jc w:val="right"/>
              <w:rPr>
                <w:rFonts w:ascii="Times New Roman" w:hAnsi="Times New Roman" w:cs="Times New Roman" w:eastAsia="Times New Roman" w:hint="default"/>
                <w:sz w:val="18"/>
                <w:szCs w:val="18"/>
              </w:rPr>
            </w:pPr>
            <w:r>
              <w:rPr>
                <w:rFonts w:ascii="Times New Roman"/>
                <w:spacing w:val="-1"/>
                <w:sz w:val="18"/>
              </w:rPr>
              <w:t>1,046,042.48</w:t>
            </w:r>
          </w:p>
        </w:tc>
        <w:tc>
          <w:tcPr>
            <w:tcW w:w="1433" w:type="dxa"/>
            <w:tcBorders>
              <w:top w:val="nil" w:sz="6" w:space="0" w:color="auto"/>
              <w:left w:val="nil" w:sz="6" w:space="0" w:color="auto"/>
              <w:bottom w:val="single" w:sz="12" w:space="0" w:color="000000"/>
              <w:right w:val="nil" w:sz="6" w:space="0" w:color="auto"/>
            </w:tcBorders>
          </w:tcPr>
          <w:p>
            <w:pPr>
              <w:pStyle w:val="TableParagraph"/>
              <w:spacing w:line="240" w:lineRule="auto" w:before="64"/>
              <w:ind w:right="170"/>
              <w:jc w:val="right"/>
              <w:rPr>
                <w:rFonts w:ascii="Times New Roman" w:hAnsi="Times New Roman" w:cs="Times New Roman" w:eastAsia="Times New Roman" w:hint="default"/>
                <w:sz w:val="18"/>
                <w:szCs w:val="18"/>
              </w:rPr>
            </w:pPr>
            <w:r>
              <w:rPr>
                <w:rFonts w:ascii="Times New Roman"/>
                <w:spacing w:val="-1"/>
                <w:sz w:val="18"/>
              </w:rPr>
              <w:t>12,181,847.78</w:t>
            </w:r>
          </w:p>
        </w:tc>
        <w:tc>
          <w:tcPr>
            <w:tcW w:w="955" w:type="dxa"/>
            <w:tcBorders>
              <w:top w:val="nil" w:sz="6" w:space="0" w:color="auto"/>
              <w:left w:val="nil" w:sz="6" w:space="0" w:color="auto"/>
              <w:bottom w:val="single" w:sz="12" w:space="0" w:color="000000"/>
              <w:right w:val="nil" w:sz="6" w:space="0" w:color="auto"/>
            </w:tcBorders>
          </w:tcPr>
          <w:p>
            <w:pPr>
              <w:pStyle w:val="TableParagraph"/>
              <w:spacing w:line="240" w:lineRule="auto" w:before="64"/>
              <w:ind w:right="98"/>
              <w:jc w:val="center"/>
              <w:rPr>
                <w:rFonts w:ascii="Times New Roman" w:hAnsi="Times New Roman" w:cs="Times New Roman" w:eastAsia="Times New Roman" w:hint="default"/>
                <w:sz w:val="18"/>
                <w:szCs w:val="18"/>
              </w:rPr>
            </w:pPr>
            <w:r>
              <w:rPr>
                <w:rFonts w:ascii="Times New Roman"/>
                <w:sz w:val="18"/>
              </w:rPr>
              <w:t>100.00</w:t>
            </w:r>
          </w:p>
        </w:tc>
        <w:tc>
          <w:tcPr>
            <w:tcW w:w="1119" w:type="dxa"/>
            <w:tcBorders>
              <w:top w:val="nil" w:sz="6" w:space="0" w:color="auto"/>
              <w:left w:val="nil" w:sz="6" w:space="0" w:color="auto"/>
              <w:bottom w:val="single" w:sz="12" w:space="0" w:color="000000"/>
              <w:right w:val="nil" w:sz="6" w:space="0" w:color="auto"/>
            </w:tcBorders>
          </w:tcPr>
          <w:p>
            <w:pPr>
              <w:pStyle w:val="TableParagraph"/>
              <w:spacing w:line="240" w:lineRule="auto" w:before="64"/>
              <w:ind w:right="33"/>
              <w:jc w:val="right"/>
              <w:rPr>
                <w:rFonts w:ascii="Times New Roman" w:hAnsi="Times New Roman" w:cs="Times New Roman" w:eastAsia="Times New Roman" w:hint="default"/>
                <w:sz w:val="18"/>
                <w:szCs w:val="18"/>
              </w:rPr>
            </w:pPr>
            <w:r>
              <w:rPr>
                <w:rFonts w:ascii="Times New Roman"/>
                <w:sz w:val="18"/>
              </w:rPr>
              <w:t>707,529.55</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spacing w:before="35"/>
        <w:ind w:left="867" w:right="259" w:firstLine="0"/>
        <w:jc w:val="left"/>
        <w:rPr>
          <w:rFonts w:ascii="宋体" w:hAnsi="宋体" w:cs="宋体" w:eastAsia="宋体" w:hint="default"/>
          <w:sz w:val="21"/>
          <w:szCs w:val="21"/>
        </w:rPr>
      </w:pPr>
      <w:r>
        <w:rPr>
          <w:rFonts w:ascii="宋体" w:hAnsi="宋体" w:cs="宋体" w:eastAsia="宋体" w:hint="default"/>
          <w:sz w:val="21"/>
          <w:szCs w:val="21"/>
        </w:rPr>
        <w:t>②组合中，采用其他方法计提坏账准备的其他应收款</w:t>
      </w:r>
    </w:p>
    <w:p>
      <w:pPr>
        <w:spacing w:after="0"/>
        <w:jc w:val="left"/>
        <w:rPr>
          <w:rFonts w:ascii="宋体" w:hAnsi="宋体" w:cs="宋体" w:eastAsia="宋体" w:hint="default"/>
          <w:sz w:val="21"/>
          <w:szCs w:val="21"/>
        </w:rPr>
        <w:sectPr>
          <w:pgSz w:w="11910" w:h="16840"/>
          <w:pgMar w:header="0" w:footer="1270" w:top="1360" w:bottom="1460" w:left="1540" w:right="1160"/>
        </w:sectPr>
      </w:pPr>
    </w:p>
    <w:p>
      <w:pPr>
        <w:spacing w:line="240" w:lineRule="auto" w:before="10"/>
        <w:rPr>
          <w:rFonts w:ascii="宋体" w:hAnsi="宋体" w:cs="宋体" w:eastAsia="宋体" w:hint="default"/>
          <w:sz w:val="6"/>
          <w:szCs w:val="6"/>
        </w:rPr>
      </w:pPr>
    </w:p>
    <w:tbl>
      <w:tblPr>
        <w:tblW w:w="0" w:type="auto"/>
        <w:jc w:val="left"/>
        <w:tblInd w:w="225" w:type="dxa"/>
        <w:tblLayout w:type="fixed"/>
        <w:tblCellMar>
          <w:top w:w="0" w:type="dxa"/>
          <w:left w:w="0" w:type="dxa"/>
          <w:bottom w:w="0" w:type="dxa"/>
          <w:right w:w="0" w:type="dxa"/>
        </w:tblCellMar>
        <w:tblLook w:val="01E0"/>
      </w:tblPr>
      <w:tblGrid>
        <w:gridCol w:w="1249"/>
        <w:gridCol w:w="2326"/>
        <w:gridCol w:w="3298"/>
        <w:gridCol w:w="1879"/>
      </w:tblGrid>
      <w:tr>
        <w:trPr>
          <w:trHeight w:val="394" w:hRule="exact"/>
        </w:trPr>
        <w:tc>
          <w:tcPr>
            <w:tcW w:w="1249" w:type="dxa"/>
            <w:tcBorders>
              <w:top w:val="single" w:sz="12" w:space="0" w:color="000000"/>
              <w:left w:val="nil" w:sz="6" w:space="0" w:color="auto"/>
              <w:bottom w:val="nil" w:sz="6" w:space="0" w:color="auto"/>
              <w:right w:val="nil" w:sz="6" w:space="0" w:color="auto"/>
            </w:tcBorders>
          </w:tcPr>
          <w:p>
            <w:pPr/>
          </w:p>
        </w:tc>
        <w:tc>
          <w:tcPr>
            <w:tcW w:w="232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975"/>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329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5"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87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45"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88" w:hRule="exact"/>
        </w:trPr>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业务费组合</w:t>
            </w:r>
          </w:p>
        </w:tc>
        <w:tc>
          <w:tcPr>
            <w:tcW w:w="2326" w:type="dxa"/>
            <w:tcBorders>
              <w:top w:val="nil" w:sz="6" w:space="0" w:color="auto"/>
              <w:left w:val="nil" w:sz="6" w:space="0" w:color="auto"/>
              <w:bottom w:val="nil" w:sz="6" w:space="0" w:color="auto"/>
              <w:right w:val="nil" w:sz="6" w:space="0" w:color="auto"/>
            </w:tcBorders>
          </w:tcPr>
          <w:p>
            <w:pPr/>
          </w:p>
        </w:tc>
        <w:tc>
          <w:tcPr>
            <w:tcW w:w="329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43"/>
              <w:jc w:val="right"/>
              <w:rPr>
                <w:rFonts w:ascii="Times New Roman" w:hAnsi="Times New Roman" w:cs="Times New Roman" w:eastAsia="Times New Roman" w:hint="default"/>
                <w:sz w:val="18"/>
                <w:szCs w:val="18"/>
              </w:rPr>
            </w:pPr>
            <w:r>
              <w:rPr>
                <w:rFonts w:ascii="Times New Roman"/>
                <w:spacing w:val="-1"/>
                <w:sz w:val="18"/>
              </w:rPr>
              <w:t>5,079,043.76</w:t>
            </w:r>
          </w:p>
        </w:tc>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18"/>
                <w:szCs w:val="18"/>
              </w:rPr>
            </w:pPr>
            <w:r>
              <w:rPr>
                <w:rFonts w:ascii="Times New Roman"/>
                <w:spacing w:val="-1"/>
                <w:sz w:val="18"/>
              </w:rPr>
              <w:t>5,079,043.76</w:t>
            </w:r>
          </w:p>
        </w:tc>
      </w:tr>
      <w:tr>
        <w:trPr>
          <w:trHeight w:val="391" w:hRule="exact"/>
        </w:trPr>
        <w:tc>
          <w:tcPr>
            <w:tcW w:w="1249" w:type="dxa"/>
            <w:tcBorders>
              <w:top w:val="nil" w:sz="6" w:space="0" w:color="auto"/>
              <w:left w:val="nil" w:sz="6" w:space="0" w:color="auto"/>
              <w:bottom w:val="single" w:sz="12" w:space="0" w:color="000000"/>
              <w:right w:val="nil" w:sz="6" w:space="0" w:color="auto"/>
            </w:tcBorders>
          </w:tcPr>
          <w:p>
            <w:pPr/>
          </w:p>
        </w:tc>
        <w:tc>
          <w:tcPr>
            <w:tcW w:w="2326"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right="975"/>
              <w:jc w:val="center"/>
              <w:rPr>
                <w:rFonts w:ascii="宋体" w:hAnsi="宋体" w:cs="宋体" w:eastAsia="宋体" w:hint="default"/>
                <w:sz w:val="18"/>
                <w:szCs w:val="18"/>
              </w:rPr>
            </w:pPr>
            <w:r>
              <w:rPr>
                <w:rFonts w:ascii="宋体" w:hAnsi="宋体" w:cs="宋体" w:eastAsia="宋体" w:hint="default"/>
                <w:sz w:val="18"/>
                <w:szCs w:val="18"/>
              </w:rPr>
              <w:t>合计</w:t>
            </w:r>
          </w:p>
        </w:tc>
        <w:tc>
          <w:tcPr>
            <w:tcW w:w="3298"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443"/>
              <w:jc w:val="right"/>
              <w:rPr>
                <w:rFonts w:ascii="Times New Roman" w:hAnsi="Times New Roman" w:cs="Times New Roman" w:eastAsia="Times New Roman" w:hint="default"/>
                <w:sz w:val="18"/>
                <w:szCs w:val="18"/>
              </w:rPr>
            </w:pPr>
            <w:r>
              <w:rPr>
                <w:rFonts w:ascii="Times New Roman"/>
                <w:spacing w:val="-1"/>
                <w:sz w:val="18"/>
              </w:rPr>
              <w:t>5,079,043.76</w:t>
            </w:r>
          </w:p>
        </w:tc>
        <w:tc>
          <w:tcPr>
            <w:tcW w:w="1879"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pacing w:val="-1"/>
                <w:sz w:val="18"/>
              </w:rPr>
              <w:t>5,079,043.76</w:t>
            </w:r>
          </w:p>
        </w:tc>
      </w:tr>
    </w:tbl>
    <w:p>
      <w:pPr>
        <w:spacing w:before="78"/>
        <w:ind w:left="875" w:right="0" w:firstLine="0"/>
        <w:jc w:val="left"/>
        <w:rPr>
          <w:rFonts w:ascii="宋体" w:hAnsi="宋体" w:cs="宋体" w:eastAsia="宋体" w:hint="default"/>
          <w:sz w:val="21"/>
          <w:szCs w:val="21"/>
        </w:rPr>
      </w:pPr>
      <w:r>
        <w:rPr/>
        <w:pict>
          <v:group style="position:absolute;margin-left:83.160004pt;margin-top:-60.875999pt;width:447.8pt;height:58.65pt;mso-position-horizontal-relative:page;mso-position-vertical-relative:paragraph;z-index:-768208" coordorigin="1663,-1218" coordsize="8956,1173">
            <v:shape style="position:absolute;left:5652;top:-1218;width:2682;height:432" type="#_x0000_t75" stroked="false">
              <v:imagedata r:id="rId314" o:title=""/>
            </v:shape>
            <v:shape style="position:absolute;left:1663;top:-843;width:8956;height:798" type="#_x0000_t75" stroked="false">
              <v:imagedata r:id="rId315" o:title=""/>
            </v:shape>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）年末数中无单项金额虽不重大但单项计提坏账准备的其他应收款。</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1414" w:val="left" w:leader="none"/>
        </w:tabs>
        <w:spacing w:before="0"/>
        <w:ind w:left="87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本期转回或收回其他应收款情况</w:t>
      </w:r>
      <w:r>
        <w:rPr>
          <w:rFonts w:ascii="宋体" w:hAnsi="宋体" w:cs="宋体" w:eastAsia="宋体" w:hint="default"/>
          <w:sz w:val="21"/>
          <w:szCs w:val="21"/>
        </w:rPr>
      </w:r>
    </w:p>
    <w:p>
      <w:pPr>
        <w:spacing w:line="1837" w:lineRule="exact"/>
        <w:ind w:left="780"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14.85pt;height:91.9pt;mso-position-horizontal-relative:char;mso-position-vertical-relative:line" coordorigin="0,0" coordsize="8297,1838">
            <v:group style="position:absolute;left:29;top:15;width:4718;height:2" coordorigin="29,15" coordsize="4718,2">
              <v:shape style="position:absolute;left:29;top:15;width:4718;height:2" coordorigin="29,15" coordsize="4718,0" path="m29,15l4747,15e" filled="false" stroked="true" strokeweight="1.5pt" strokecolor="#000000">
                <v:path arrowok="t"/>
              </v:shape>
            </v:group>
            <v:group style="position:absolute;left:4747;top:15;width:1553;height:2" coordorigin="4747,15" coordsize="1553,2">
              <v:shape style="position:absolute;left:4747;top:15;width:1553;height:2" coordorigin="4747,15" coordsize="1553,0" path="m4747,15l6299,15e" filled="false" stroked="true" strokeweight="1.5pt" strokecolor="#000000">
                <v:path arrowok="t"/>
              </v:shape>
            </v:group>
            <v:group style="position:absolute;left:6299;top:15;width:1970;height:2" coordorigin="6299,15" coordsize="1970,2">
              <v:shape style="position:absolute;left:6299;top:15;width:1970;height:2" coordorigin="6299,15" coordsize="1970,0" path="m6299,15l8269,15e" filled="false" stroked="true" strokeweight="1.5pt" strokecolor="#000000">
                <v:path arrowok="t"/>
              </v:shape>
              <v:shape style="position:absolute;left:1622;top:1;width:4716;height:682" type="#_x0000_t75" stroked="false">
                <v:imagedata r:id="rId316" o:title=""/>
              </v:shape>
            </v:group>
            <v:group style="position:absolute;left:15;top:1822;width:1636;height:2" coordorigin="15,1822" coordsize="1636,2">
              <v:shape style="position:absolute;left:15;top:1822;width:1636;height:2" coordorigin="15,1822" coordsize="1636,0" path="m15,1822l1651,1822e" filled="false" stroked="true" strokeweight="1.5pt" strokecolor="#000000">
                <v:path arrowok="t"/>
              </v:shape>
              <v:shape style="position:absolute;left:1;top:635;width:8296;height:1192" type="#_x0000_t75" stroked="false">
                <v:imagedata r:id="rId317" o:title=""/>
              </v:shape>
            </v:group>
            <v:group style="position:absolute;left:1651;top:1822;width:1368;height:2" coordorigin="1651,1822" coordsize="1368,2">
              <v:shape style="position:absolute;left:1651;top:1822;width:1368;height:2" coordorigin="1651,1822" coordsize="1368,0" path="m1651,1822l3019,1822e" filled="false" stroked="true" strokeweight="1.5pt" strokecolor="#000000">
                <v:path arrowok="t"/>
              </v:shape>
              <v:shape style="position:absolute;left:2999;top:1278;width:48;height:548" type="#_x0000_t75" stroked="false">
                <v:imagedata r:id="rId318" o:title=""/>
              </v:shape>
            </v:group>
            <v:group style="position:absolute;left:3019;top:1822;width:1698;height:2" coordorigin="3019,1822" coordsize="1698,2">
              <v:shape style="position:absolute;left:3019;top:1822;width:1698;height:2" coordorigin="3019,1822" coordsize="1698,0" path="m3019,1822l4717,1822e" filled="false" stroked="true" strokeweight="1.5pt" strokecolor="#000000">
                <v:path arrowok="t"/>
              </v:shape>
              <v:shape style="position:absolute;left:4697;top:1278;width:48;height:548" type="#_x0000_t75" stroked="false">
                <v:imagedata r:id="rId319" o:title=""/>
              </v:shape>
            </v:group>
            <v:group style="position:absolute;left:4717;top:1822;width:30;height:2" coordorigin="4717,1822" coordsize="30,2">
              <v:shape style="position:absolute;left:4717;top:1822;width:30;height:2" coordorigin="4717,1822" coordsize="30,0" path="m4717,1822l4747,1822e" filled="false" stroked="true" strokeweight="1.5pt" strokecolor="#000000">
                <v:path arrowok="t"/>
              </v:shape>
            </v:group>
            <v:group style="position:absolute;left:4747;top:1822;width:1553;height:2" coordorigin="4747,1822" coordsize="1553,2">
              <v:shape style="position:absolute;left:4747;top:1822;width:1553;height:2" coordorigin="4747,1822" coordsize="1553,0" path="m4747,1822l6299,1822e" filled="false" stroked="true" strokeweight="1.5pt" strokecolor="#000000">
                <v:path arrowok="t"/>
              </v:shape>
              <v:shape style="position:absolute;left:6280;top:1278;width:48;height:548" type="#_x0000_t75" stroked="false">
                <v:imagedata r:id="rId320" o:title=""/>
              </v:shape>
            </v:group>
            <v:group style="position:absolute;left:6299;top:1822;width:1970;height:2" coordorigin="6299,1822" coordsize="1970,2">
              <v:shape style="position:absolute;left:6299;top:1822;width:1970;height:2" coordorigin="6299,1822" coordsize="1970,0" path="m6299,1822l8269,1822e" filled="false" stroked="true" strokeweight="1.5pt" strokecolor="#000000">
                <v:path arrowok="t"/>
              </v:shape>
              <v:shape style="position:absolute;left:212;top:96;width:2668;height:492" type="#_x0000_t202" filled="false" stroked="false">
                <v:textbox inset="0,0,0,0">
                  <w:txbxContent>
                    <w:p>
                      <w:pPr>
                        <w:spacing w:line="140" w:lineRule="exact" w:before="0"/>
                        <w:ind w:left="1587" w:right="0" w:firstLine="0"/>
                        <w:jc w:val="center"/>
                        <w:rPr>
                          <w:rFonts w:ascii="宋体" w:hAnsi="宋体" w:cs="宋体" w:eastAsia="宋体" w:hint="default"/>
                          <w:sz w:val="18"/>
                          <w:szCs w:val="18"/>
                        </w:rPr>
                      </w:pPr>
                      <w:r>
                        <w:rPr>
                          <w:rFonts w:ascii="宋体" w:hAnsi="宋体" w:cs="宋体" w:eastAsia="宋体" w:hint="default"/>
                          <w:sz w:val="18"/>
                          <w:szCs w:val="18"/>
                        </w:rPr>
                        <w:t>转回或收回原</w:t>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其他应收款内容</w:t>
                      </w:r>
                    </w:p>
                    <w:p>
                      <w:pPr>
                        <w:spacing w:line="196" w:lineRule="exact" w:before="0"/>
                        <w:ind w:left="0" w:right="448" w:firstLine="0"/>
                        <w:jc w:val="right"/>
                        <w:rPr>
                          <w:rFonts w:ascii="宋体" w:hAnsi="宋体" w:cs="宋体" w:eastAsia="宋体" w:hint="default"/>
                          <w:sz w:val="18"/>
                          <w:szCs w:val="18"/>
                        </w:rPr>
                      </w:pPr>
                      <w:r>
                        <w:rPr>
                          <w:rFonts w:ascii="宋体" w:hAnsi="宋体" w:cs="宋体" w:eastAsia="宋体" w:hint="default"/>
                          <w:sz w:val="18"/>
                          <w:szCs w:val="18"/>
                        </w:rPr>
                        <w:t>因</w:t>
                      </w:r>
                    </w:p>
                  </w:txbxContent>
                </v:textbox>
                <w10:wrap type="none"/>
              </v:shape>
              <v:shape style="position:absolute;left:3152;top:96;width:1440;height:1126"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确定原坏账准备的</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依据</w:t>
                      </w:r>
                    </w:p>
                    <w:p>
                      <w:pPr>
                        <w:spacing w:line="310" w:lineRule="atLeast" w:before="11"/>
                        <w:ind w:left="0" w:right="0" w:firstLine="0"/>
                        <w:jc w:val="center"/>
                        <w:rPr>
                          <w:rFonts w:ascii="宋体" w:hAnsi="宋体" w:cs="宋体" w:eastAsia="宋体" w:hint="default"/>
                          <w:sz w:val="18"/>
                          <w:szCs w:val="18"/>
                        </w:rPr>
                      </w:pPr>
                      <w:r>
                        <w:rPr>
                          <w:rFonts w:ascii="宋体" w:hAnsi="宋体" w:cs="宋体" w:eastAsia="宋体" w:hint="default"/>
                          <w:sz w:val="18"/>
                          <w:szCs w:val="18"/>
                        </w:rPr>
                        <w:t>已形成费用，但尚 未取得发票</w:t>
                      </w:r>
                    </w:p>
                  </w:txbxContent>
                </v:textbox>
                <w10:wrap type="none"/>
              </v:shape>
              <v:shape style="position:absolute;left:4882;top:96;width:3214;height:492" type="#_x0000_t202" filled="false" stroked="false">
                <v:textbox inset="0,0,0,0">
                  <w:txbxContent>
                    <w:p>
                      <w:pPr>
                        <w:spacing w:line="140" w:lineRule="exact" w:before="0"/>
                        <w:ind w:left="1593" w:right="0" w:firstLine="0"/>
                        <w:jc w:val="left"/>
                        <w:rPr>
                          <w:rFonts w:ascii="宋体" w:hAnsi="宋体" w:cs="宋体" w:eastAsia="宋体" w:hint="default"/>
                          <w:sz w:val="18"/>
                          <w:szCs w:val="18"/>
                        </w:rPr>
                      </w:pPr>
                      <w:r>
                        <w:rPr>
                          <w:rFonts w:ascii="宋体" w:hAnsi="宋体" w:cs="宋体" w:eastAsia="宋体" w:hint="default"/>
                          <w:sz w:val="18"/>
                          <w:szCs w:val="18"/>
                        </w:rPr>
                        <w:t>转回或收回前累计已</w:t>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转回或收回金额</w:t>
                      </w:r>
                    </w:p>
                    <w:p>
                      <w:pPr>
                        <w:spacing w:line="196" w:lineRule="exact" w:before="0"/>
                        <w:ind w:left="1683" w:right="0" w:firstLine="0"/>
                        <w:jc w:val="left"/>
                        <w:rPr>
                          <w:rFonts w:ascii="宋体" w:hAnsi="宋体" w:cs="宋体" w:eastAsia="宋体" w:hint="default"/>
                          <w:sz w:val="18"/>
                          <w:szCs w:val="18"/>
                        </w:rPr>
                      </w:pPr>
                      <w:r>
                        <w:rPr>
                          <w:rFonts w:ascii="宋体" w:hAnsi="宋体" w:cs="宋体" w:eastAsia="宋体" w:hint="default"/>
                          <w:sz w:val="18"/>
                          <w:szCs w:val="18"/>
                        </w:rPr>
                        <w:t>计提坏账准备金额</w:t>
                      </w:r>
                    </w:p>
                  </w:txbxContent>
                </v:textbox>
                <w10:wrap type="none"/>
              </v:shape>
              <v:shape style="position:absolute;left:137;top:730;width:1436;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0"/>
                          <w:sz w:val="18"/>
                          <w:szCs w:val="18"/>
                        </w:rPr>
                        <w:t>暂未取得发</w:t>
                      </w:r>
                      <w:r>
                        <w:rPr>
                          <w:rFonts w:ascii="宋体" w:hAnsi="宋体" w:cs="宋体" w:eastAsia="宋体" w:hint="default"/>
                          <w:spacing w:val="-65"/>
                          <w:sz w:val="18"/>
                          <w:szCs w:val="18"/>
                        </w:rPr>
                        <w:t> </w:t>
                      </w:r>
                      <w:r>
                        <w:rPr>
                          <w:rFonts w:ascii="宋体" w:hAnsi="宋体" w:cs="宋体" w:eastAsia="宋体" w:hint="default"/>
                          <w:spacing w:val="12"/>
                          <w:sz w:val="18"/>
                          <w:szCs w:val="18"/>
                        </w:rPr>
                        <w:t>票的</w:t>
                      </w:r>
                      <w:r>
                        <w:rPr>
                          <w:rFonts w:ascii="宋体" w:hAnsi="宋体" w:cs="宋体" w:eastAsia="宋体" w:hint="default"/>
                          <w:spacing w:val="-65"/>
                          <w:sz w:val="18"/>
                          <w:szCs w:val="18"/>
                        </w:rPr>
                        <w:t> </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业务费</w:t>
                      </w:r>
                    </w:p>
                  </w:txbxContent>
                </v:textbox>
                <w10:wrap type="none"/>
              </v:shape>
              <v:shape style="position:absolute;left:1979;top:88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收到发票</w:t>
                      </w:r>
                    </w:p>
                  </w:txbxContent>
                </v:textbox>
                <w10:wrap type="none"/>
              </v:shape>
              <v:shape style="position:absolute;left:5251;top:89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3,088,673.17</w:t>
                      </w:r>
                    </w:p>
                  </w:txbxContent>
                </v:textbox>
                <w10:wrap type="none"/>
              </v:shape>
              <v:shape style="position:absolute;left:7216;top:89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3,088,673.17</w:t>
                      </w:r>
                    </w:p>
                  </w:txbxContent>
                </v:textbox>
                <w10:wrap type="none"/>
              </v:shape>
              <v:shape style="position:absolute;left:662;top:146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5251;top:147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3,088,673.17</w:t>
                      </w:r>
                    </w:p>
                  </w:txbxContent>
                </v:textbox>
                <w10:wrap type="none"/>
              </v:shape>
              <v:shape style="position:absolute;left:7216;top:147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3,088,673.17</w:t>
                      </w:r>
                    </w:p>
                  </w:txbxContent>
                </v:textbox>
                <w10:wrap type="none"/>
              </v:shape>
            </v:group>
          </v:group>
        </w:pict>
      </w:r>
      <w:r>
        <w:rPr>
          <w:rFonts w:ascii="宋体" w:hAnsi="宋体" w:cs="宋体" w:eastAsia="宋体" w:hint="default"/>
          <w:position w:val="-36"/>
          <w:sz w:val="20"/>
          <w:szCs w:val="2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6"/>
          <w:szCs w:val="16"/>
        </w:rPr>
      </w:pPr>
    </w:p>
    <w:p>
      <w:pPr>
        <w:tabs>
          <w:tab w:pos="1414" w:val="left" w:leader="none"/>
        </w:tabs>
        <w:spacing w:before="35"/>
        <w:ind w:left="87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本报告期无实际核销的其他应收款情况。</w:t>
      </w:r>
      <w:r>
        <w:rPr>
          <w:rFonts w:ascii="宋体" w:hAnsi="宋体" w:cs="宋体" w:eastAsia="宋体" w:hint="default"/>
          <w:sz w:val="21"/>
          <w:szCs w:val="21"/>
        </w:rPr>
      </w:r>
    </w:p>
    <w:p>
      <w:pPr>
        <w:tabs>
          <w:tab w:pos="1414" w:val="left" w:leader="none"/>
        </w:tabs>
        <w:spacing w:before="109"/>
        <w:ind w:left="87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年末其他应收款中无持本公司</w:t>
      </w:r>
      <w:r>
        <w:rPr>
          <w:rFonts w:ascii="宋体" w:hAnsi="宋体" w:cs="宋体" w:eastAsia="宋体" w:hint="default"/>
          <w:b/>
          <w:bCs/>
          <w:spacing w:val="-62"/>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％以上（含</w:t>
      </w:r>
      <w:r>
        <w:rPr>
          <w:rFonts w:ascii="宋体" w:hAnsi="宋体" w:cs="宋体" w:eastAsia="宋体" w:hint="default"/>
          <w:b/>
          <w:bCs/>
          <w:spacing w:val="-62"/>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sz w:val="21"/>
          <w:szCs w:val="21"/>
        </w:rPr>
      </w:r>
    </w:p>
    <w:p>
      <w:pPr>
        <w:tabs>
          <w:tab w:pos="1414" w:val="left" w:leader="none"/>
        </w:tabs>
        <w:spacing w:before="109"/>
        <w:ind w:left="875" w:right="0" w:firstLine="0"/>
        <w:jc w:val="left"/>
        <w:rPr>
          <w:rFonts w:ascii="宋体" w:hAnsi="宋体" w:cs="宋体" w:eastAsia="宋体" w:hint="default"/>
          <w:sz w:val="21"/>
          <w:szCs w:val="21"/>
        </w:rPr>
      </w:pPr>
      <w:r>
        <w:rPr/>
        <w:pict>
          <v:group style="position:absolute;margin-left:115.529999pt;margin-top:20.833071pt;width:393.15pt;height:208.3pt;mso-position-horizontal-relative:page;mso-position-vertical-relative:paragraph;z-index:-768040" coordorigin="2311,417" coordsize="7863,4166">
            <v:group style="position:absolute;left:2340;top:432;width:7812;height:2" coordorigin="2340,432" coordsize="7812,2">
              <v:shape style="position:absolute;left:2340;top:432;width:7812;height:2" coordorigin="2340,432" coordsize="7812,0" path="m2340,432l10152,432e" filled="false" stroked="true" strokeweight="1.5pt" strokecolor="#000000">
                <v:path arrowok="t"/>
              </v:shape>
              <v:shape style="position:absolute;left:4468;top:425;width:4595;height:979" type="#_x0000_t75" stroked="false">
                <v:imagedata r:id="rId321" o:title=""/>
              </v:shape>
            </v:group>
            <v:group style="position:absolute;left:2326;top:4567;width:2164;height:2" coordorigin="2326,4567" coordsize="2164,2">
              <v:shape style="position:absolute;left:2326;top:4567;width:2164;height:2" coordorigin="2326,4567" coordsize="2164,0" path="m2326,4567l4489,4567e" filled="false" stroked="true" strokeweight="1.5pt" strokecolor="#000000">
                <v:path arrowok="t"/>
              </v:shape>
              <v:shape style="position:absolute;left:2321;top:1363;width:7853;height:3217" type="#_x0000_t75" stroked="false">
                <v:imagedata r:id="rId322" o:title=""/>
              </v:shape>
            </v:group>
            <v:group style="position:absolute;left:4489;top:4567;width:1017;height:2" coordorigin="4489,4567" coordsize="1017,2">
              <v:shape style="position:absolute;left:4489;top:4567;width:1017;height:2" coordorigin="4489,4567" coordsize="1017,0" path="m4489,4567l5506,4567e" filled="false" stroked="true" strokeweight="1.5pt" strokecolor="#000000">
                <v:path arrowok="t"/>
              </v:shape>
              <v:shape style="position:absolute;left:5477;top:3899;width:67;height:682" type="#_x0000_t75" stroked="false">
                <v:imagedata r:id="rId323" o:title=""/>
              </v:shape>
            </v:group>
            <v:group style="position:absolute;left:5506;top:4567;width:1182;height:2" coordorigin="5506,4567" coordsize="1182,2">
              <v:shape style="position:absolute;left:5506;top:4567;width:1182;height:2" coordorigin="5506,4567" coordsize="1182,0" path="m5506,4567l6688,4567e" filled="false" stroked="true" strokeweight="1.5pt" strokecolor="#000000">
                <v:path arrowok="t"/>
              </v:shape>
              <v:shape style="position:absolute;left:6659;top:3899;width:67;height:682" type="#_x0000_t75" stroked="false">
                <v:imagedata r:id="rId323" o:title=""/>
              </v:shape>
            </v:group>
            <v:group style="position:absolute;left:6688;top:4567;width:1062;height:2" coordorigin="6688,4567" coordsize="1062,2">
              <v:shape style="position:absolute;left:6688;top:4567;width:1062;height:2" coordorigin="6688,4567" coordsize="1062,0" path="m6688,4567l7750,4567e" filled="false" stroked="true" strokeweight="1.5pt" strokecolor="#000000">
                <v:path arrowok="t"/>
              </v:shape>
              <v:shape style="position:absolute;left:7721;top:3899;width:67;height:682" type="#_x0000_t75" stroked="false">
                <v:imagedata r:id="rId323" o:title=""/>
              </v:shape>
            </v:group>
            <v:group style="position:absolute;left:7750;top:4567;width:1282;height:2" coordorigin="7750,4567" coordsize="1282,2">
              <v:shape style="position:absolute;left:7750;top:4567;width:1282;height:2" coordorigin="7750,4567" coordsize="1282,0" path="m7750,4567l9031,4567e" filled="false" stroked="true" strokeweight="1.5pt" strokecolor="#000000">
                <v:path arrowok="t"/>
              </v:shape>
              <v:shape style="position:absolute;left:9002;top:3899;width:67;height:682" type="#_x0000_t75" stroked="false">
                <v:imagedata r:id="rId323" o:title=""/>
              </v:shape>
            </v:group>
            <v:group style="position:absolute;left:9031;top:4567;width:1121;height:2" coordorigin="9031,4567" coordsize="1121,2">
              <v:shape style="position:absolute;left:9031;top:4567;width:1121;height:2" coordorigin="9031,4567" coordsize="1121,0" path="m9031,4567l10152,4567e" filled="false" stroked="true" strokeweight="1.5pt" strokecolor="#000000">
                <v:path arrowok="t"/>
              </v:shape>
              <v:shape style="position:absolute;left:3056;top:82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4642;top:669;width:720;height:492"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与本公司</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关系</w:t>
                      </w:r>
                    </w:p>
                  </w:txbxContent>
                </v:textbox>
                <w10:wrap type="none"/>
              </v:shape>
              <v:shape style="position:absolute;left:5741;top:82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043;top:82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7945;top:513;width:2099;height:81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占其他应收</w:t>
                      </w:r>
                    </w:p>
                    <w:p>
                      <w:pPr>
                        <w:tabs>
                          <w:tab w:pos="1198" w:val="left" w:leader="none"/>
                        </w:tabs>
                        <w:spacing w:line="312" w:lineRule="exact" w:before="37"/>
                        <w:ind w:left="224" w:right="0" w:hanging="225"/>
                        <w:jc w:val="left"/>
                        <w:rPr>
                          <w:rFonts w:ascii="Times New Roman" w:hAnsi="Times New Roman" w:cs="Times New Roman" w:eastAsia="Times New Roman" w:hint="default"/>
                          <w:sz w:val="18"/>
                          <w:szCs w:val="18"/>
                        </w:rPr>
                      </w:pPr>
                      <w:r>
                        <w:rPr>
                          <w:rFonts w:ascii="宋体" w:hAnsi="宋体" w:cs="宋体" w:eastAsia="宋体" w:hint="default"/>
                          <w:sz w:val="18"/>
                          <w:szCs w:val="18"/>
                        </w:rPr>
                        <w:t>款总额的比</w:t>
                        <w:tab/>
                        <w:t>性质或内容 例</w:t>
                      </w:r>
                      <w:r>
                        <w:rPr>
                          <w:rFonts w:ascii="Times New Roman" w:hAnsi="Times New Roman" w:cs="Times New Roman" w:eastAsia="Times New Roman" w:hint="default"/>
                          <w:sz w:val="18"/>
                          <w:szCs w:val="18"/>
                        </w:rPr>
                        <w:t>(%)</w:t>
                      </w:r>
                    </w:p>
                  </w:txbxContent>
                </v:textbox>
                <w10:wrap type="none"/>
              </v:shape>
              <v:shape style="position:absolute;left:2448;top:1458;width:2980;height:3028" type="#_x0000_t202" filled="false" stroked="false">
                <v:textbox inset="0,0,0,0">
                  <w:txbxContent>
                    <w:p>
                      <w:pPr>
                        <w:spacing w:line="140" w:lineRule="exact" w:before="0"/>
                        <w:ind w:left="0" w:right="103" w:firstLine="0"/>
                        <w:jc w:val="right"/>
                        <w:rPr>
                          <w:rFonts w:ascii="宋体" w:hAnsi="宋体" w:cs="宋体" w:eastAsia="宋体" w:hint="default"/>
                          <w:sz w:val="18"/>
                          <w:szCs w:val="18"/>
                        </w:rPr>
                      </w:pPr>
                      <w:r>
                        <w:rPr>
                          <w:rFonts w:ascii="宋体" w:hAnsi="宋体" w:cs="宋体" w:eastAsia="宋体" w:hint="default"/>
                          <w:sz w:val="18"/>
                          <w:szCs w:val="18"/>
                        </w:rPr>
                        <w:t>无关联客</w:t>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中招国际招标有限公司</w:t>
                      </w:r>
                    </w:p>
                    <w:p>
                      <w:pPr>
                        <w:spacing w:line="196" w:lineRule="exact" w:before="0"/>
                        <w:ind w:left="2154" w:right="0" w:firstLine="0"/>
                        <w:jc w:val="left"/>
                        <w:rPr>
                          <w:rFonts w:ascii="宋体" w:hAnsi="宋体" w:cs="宋体" w:eastAsia="宋体" w:hint="default"/>
                          <w:sz w:val="18"/>
                          <w:szCs w:val="18"/>
                        </w:rPr>
                      </w:pPr>
                      <w:r>
                        <w:rPr>
                          <w:rFonts w:ascii="宋体" w:hAnsi="宋体" w:cs="宋体" w:eastAsia="宋体" w:hint="default"/>
                          <w:sz w:val="18"/>
                          <w:szCs w:val="18"/>
                        </w:rPr>
                        <w:t>户</w:t>
                      </w:r>
                    </w:p>
                    <w:p>
                      <w:pPr>
                        <w:tabs>
                          <w:tab w:pos="2153" w:val="left" w:leader="none"/>
                        </w:tabs>
                        <w:spacing w:line="316" w:lineRule="auto" w:before="86"/>
                        <w:ind w:left="0" w:right="103" w:firstLine="0"/>
                        <w:jc w:val="left"/>
                        <w:rPr>
                          <w:rFonts w:ascii="宋体" w:hAnsi="宋体" w:cs="宋体" w:eastAsia="宋体" w:hint="default"/>
                          <w:sz w:val="18"/>
                          <w:szCs w:val="18"/>
                        </w:rPr>
                      </w:pPr>
                      <w:r>
                        <w:rPr>
                          <w:rFonts w:ascii="宋体" w:hAnsi="宋体" w:cs="宋体" w:eastAsia="宋体" w:hint="default"/>
                          <w:sz w:val="18"/>
                          <w:szCs w:val="18"/>
                        </w:rPr>
                        <w:t>浙江浙电工程招标咨询</w:t>
                        <w:tab/>
                        <w:t>无关联客 公司</w:t>
                        <w:tab/>
                        <w:t>户</w:t>
                      </w:r>
                    </w:p>
                    <w:p>
                      <w:pPr>
                        <w:spacing w:line="196" w:lineRule="exact" w:before="29"/>
                        <w:ind w:left="0" w:right="0" w:firstLine="0"/>
                        <w:jc w:val="right"/>
                        <w:rPr>
                          <w:rFonts w:ascii="宋体" w:hAnsi="宋体" w:cs="宋体" w:eastAsia="宋体" w:hint="default"/>
                          <w:sz w:val="18"/>
                          <w:szCs w:val="18"/>
                        </w:rPr>
                      </w:pPr>
                      <w:r>
                        <w:rPr>
                          <w:rFonts w:ascii="宋体" w:hAnsi="宋体" w:cs="宋体" w:eastAsia="宋体" w:hint="default"/>
                          <w:spacing w:val="19"/>
                          <w:sz w:val="18"/>
                          <w:szCs w:val="18"/>
                        </w:rPr>
                        <w:t>无关联客</w:t>
                      </w:r>
                      <w:r>
                        <w:rPr>
                          <w:rFonts w:ascii="宋体" w:hAnsi="宋体" w:cs="宋体" w:eastAsia="宋体" w:hint="default"/>
                          <w:spacing w:val="-64"/>
                          <w:sz w:val="18"/>
                          <w:szCs w:val="18"/>
                        </w:rPr>
                        <w:t> </w:t>
                      </w:r>
                      <w:r>
                        <w:rPr>
                          <w:rFonts w:ascii="宋体" w:hAnsi="宋体" w:cs="宋体" w:eastAsia="宋体" w:hint="default"/>
                          <w:sz w:val="18"/>
                          <w:szCs w:val="18"/>
                        </w:rPr>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广东省电力物资总公司</w:t>
                      </w:r>
                    </w:p>
                    <w:p>
                      <w:pPr>
                        <w:spacing w:line="196" w:lineRule="exact" w:before="0"/>
                        <w:ind w:left="2154" w:right="0" w:firstLine="0"/>
                        <w:jc w:val="left"/>
                        <w:rPr>
                          <w:rFonts w:ascii="宋体" w:hAnsi="宋体" w:cs="宋体" w:eastAsia="宋体" w:hint="default"/>
                          <w:sz w:val="18"/>
                          <w:szCs w:val="18"/>
                        </w:rPr>
                      </w:pPr>
                      <w:r>
                        <w:rPr>
                          <w:rFonts w:ascii="宋体" w:hAnsi="宋体" w:cs="宋体" w:eastAsia="宋体" w:hint="default"/>
                          <w:sz w:val="18"/>
                          <w:szCs w:val="18"/>
                        </w:rPr>
                        <w:t>户</w:t>
                      </w:r>
                    </w:p>
                    <w:p>
                      <w:pPr>
                        <w:tabs>
                          <w:tab w:pos="2153" w:val="left" w:leader="none"/>
                        </w:tabs>
                        <w:spacing w:line="316" w:lineRule="auto" w:before="86"/>
                        <w:ind w:left="0" w:right="0" w:firstLine="0"/>
                        <w:jc w:val="left"/>
                        <w:rPr>
                          <w:rFonts w:ascii="宋体" w:hAnsi="宋体" w:cs="宋体" w:eastAsia="宋体" w:hint="default"/>
                          <w:sz w:val="18"/>
                          <w:szCs w:val="18"/>
                        </w:rPr>
                      </w:pPr>
                      <w:r>
                        <w:rPr>
                          <w:rFonts w:ascii="宋体" w:hAnsi="宋体" w:cs="宋体" w:eastAsia="宋体" w:hint="default"/>
                          <w:sz w:val="18"/>
                          <w:szCs w:val="18"/>
                        </w:rPr>
                        <w:t>杭州中浙招标有限公司</w:t>
                        <w:tab/>
                      </w:r>
                      <w:r>
                        <w:rPr>
                          <w:rFonts w:ascii="宋体" w:hAnsi="宋体" w:cs="宋体" w:eastAsia="宋体" w:hint="default"/>
                          <w:spacing w:val="19"/>
                          <w:sz w:val="18"/>
                          <w:szCs w:val="18"/>
                        </w:rPr>
                        <w:t>无关联客</w:t>
                      </w:r>
                      <w:r>
                        <w:rPr>
                          <w:rFonts w:ascii="宋体" w:hAnsi="宋体" w:cs="宋体" w:eastAsia="宋体" w:hint="default"/>
                          <w:spacing w:val="-64"/>
                          <w:sz w:val="18"/>
                          <w:szCs w:val="18"/>
                        </w:rPr>
                        <w:t> </w:t>
                      </w:r>
                      <w:r>
                        <w:rPr>
                          <w:rFonts w:ascii="宋体" w:hAnsi="宋体" w:cs="宋体" w:eastAsia="宋体" w:hint="default"/>
                          <w:sz w:val="18"/>
                          <w:szCs w:val="18"/>
                        </w:rPr>
                        <w:t>嘉兴分公司</w:t>
                        <w:tab/>
                        <w:t>户</w:t>
                      </w:r>
                    </w:p>
                    <w:p>
                      <w:pPr>
                        <w:tabs>
                          <w:tab w:pos="2153" w:val="left" w:leader="none"/>
                        </w:tabs>
                        <w:spacing w:before="28"/>
                        <w:ind w:left="0" w:right="0" w:firstLine="0"/>
                        <w:jc w:val="left"/>
                        <w:rPr>
                          <w:rFonts w:ascii="宋体" w:hAnsi="宋体" w:cs="宋体" w:eastAsia="宋体" w:hint="default"/>
                          <w:sz w:val="18"/>
                          <w:szCs w:val="18"/>
                        </w:rPr>
                      </w:pPr>
                      <w:r>
                        <w:rPr>
                          <w:rFonts w:ascii="宋体" w:hAnsi="宋体" w:cs="宋体" w:eastAsia="宋体" w:hint="default"/>
                          <w:sz w:val="18"/>
                          <w:szCs w:val="18"/>
                        </w:rPr>
                        <w:t>山西电能工程招标代理</w:t>
                        <w:tab/>
                      </w:r>
                      <w:r>
                        <w:rPr>
                          <w:rFonts w:ascii="宋体" w:hAnsi="宋体" w:cs="宋体" w:eastAsia="宋体" w:hint="default"/>
                          <w:spacing w:val="19"/>
                          <w:sz w:val="18"/>
                          <w:szCs w:val="18"/>
                        </w:rPr>
                        <w:t>无关联客</w:t>
                      </w:r>
                      <w:r>
                        <w:rPr>
                          <w:rFonts w:ascii="宋体" w:hAnsi="宋体" w:cs="宋体" w:eastAsia="宋体" w:hint="default"/>
                          <w:spacing w:val="-64"/>
                          <w:sz w:val="18"/>
                          <w:szCs w:val="18"/>
                        </w:rPr>
                        <w:t> </w:t>
                      </w:r>
                      <w:r>
                        <w:rPr>
                          <w:rFonts w:ascii="宋体" w:hAnsi="宋体" w:cs="宋体" w:eastAsia="宋体" w:hint="default"/>
                          <w:sz w:val="18"/>
                          <w:szCs w:val="18"/>
                        </w:rPr>
                      </w:r>
                    </w:p>
                    <w:p>
                      <w:pPr>
                        <w:tabs>
                          <w:tab w:pos="2153" w:val="left" w:leader="none"/>
                        </w:tabs>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tab/>
                        <w:t>户</w:t>
                      </w:r>
                    </w:p>
                  </w:txbxContent>
                </v:textbox>
                <w10:wrap type="none"/>
              </v:shape>
            </v:group>
            <w10:wrap type="none"/>
          </v:group>
        </w:pict>
      </w: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其他应收款金额前五名情况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4065" w:type="dxa"/>
        <w:tblLayout w:type="fixed"/>
        <w:tblCellMar>
          <w:top w:w="0" w:type="dxa"/>
          <w:left w:w="0" w:type="dxa"/>
          <w:bottom w:w="0" w:type="dxa"/>
          <w:right w:w="0" w:type="dxa"/>
        </w:tblCellMar>
        <w:tblLook w:val="01E0"/>
      </w:tblPr>
      <w:tblGrid>
        <w:gridCol w:w="1088"/>
        <w:gridCol w:w="1306"/>
        <w:gridCol w:w="1037"/>
        <w:gridCol w:w="682"/>
      </w:tblGrid>
      <w:tr>
        <w:trPr>
          <w:trHeight w:val="512" w:hRule="exact"/>
        </w:trPr>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3,511,400.00</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z w:val="18"/>
              </w:rPr>
              <w:t>16.56</w:t>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hAnsi="宋体" w:cs="宋体" w:eastAsia="宋体" w:hint="default"/>
                <w:sz w:val="18"/>
                <w:szCs w:val="18"/>
              </w:rPr>
              <w:t>保证金</w:t>
            </w:r>
          </w:p>
        </w:tc>
      </w:tr>
      <w:tr>
        <w:trPr>
          <w:trHeight w:val="634" w:hRule="exact"/>
        </w:trPr>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1,378,000.00</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6.50</w:t>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sz w:val="18"/>
                <w:szCs w:val="18"/>
              </w:rPr>
              <w:t>保证金</w:t>
            </w:r>
          </w:p>
        </w:tc>
      </w:tr>
      <w:tr>
        <w:trPr>
          <w:trHeight w:val="634" w:hRule="exact"/>
        </w:trPr>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1,037,147.15</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4.89</w:t>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sz w:val="18"/>
                <w:szCs w:val="18"/>
              </w:rPr>
              <w:t>保证金</w:t>
            </w:r>
          </w:p>
        </w:tc>
      </w:tr>
      <w:tr>
        <w:trPr>
          <w:trHeight w:val="634" w:hRule="exact"/>
        </w:trPr>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894,581.00</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4.22</w:t>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sz w:val="18"/>
                <w:szCs w:val="18"/>
              </w:rPr>
              <w:t>保证金</w:t>
            </w:r>
          </w:p>
        </w:tc>
      </w:tr>
      <w:tr>
        <w:trPr>
          <w:trHeight w:val="512" w:hRule="exact"/>
        </w:trPr>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829,760.00</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3.91</w:t>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sz w:val="18"/>
                <w:szCs w:val="18"/>
              </w:rPr>
              <w:t>保证金</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5"/>
          <w:szCs w:val="25"/>
        </w:rPr>
      </w:pPr>
    </w:p>
    <w:p>
      <w:pPr>
        <w:tabs>
          <w:tab w:pos="1414" w:val="left" w:leader="none"/>
        </w:tabs>
        <w:spacing w:before="35"/>
        <w:ind w:left="875" w:right="0" w:firstLine="0"/>
        <w:jc w:val="left"/>
        <w:rPr>
          <w:rFonts w:ascii="宋体" w:hAnsi="宋体" w:cs="宋体" w:eastAsia="宋体" w:hint="default"/>
          <w:sz w:val="21"/>
          <w:szCs w:val="21"/>
        </w:rPr>
      </w:pPr>
      <w:r>
        <w:rPr/>
        <w:pict>
          <v:group style="position:absolute;margin-left:117.510002pt;margin-top:17.073669pt;width:390.2pt;height:95.25pt;mso-position-horizontal-relative:page;mso-position-vertical-relative:paragraph;z-index:-767920" coordorigin="2350,341" coordsize="7804,1905">
            <v:group style="position:absolute;left:2380;top:356;width:7755;height:2" coordorigin="2380,356" coordsize="7755,2">
              <v:shape style="position:absolute;left:2380;top:356;width:7755;height:2" coordorigin="2380,356" coordsize="7755,0" path="m2380,356l10134,356e" filled="false" stroked="true" strokeweight="1.5pt" strokecolor="#000000">
                <v:path arrowok="t"/>
              </v:shape>
              <v:shape style="position:absolute;left:4885;top:343;width:3598;height:682" type="#_x0000_t75" stroked="false">
                <v:imagedata r:id="rId324" o:title=""/>
              </v:shape>
            </v:group>
            <v:group style="position:absolute;left:2365;top:2231;width:2549;height:2" coordorigin="2365,2231" coordsize="2549,2">
              <v:shape style="position:absolute;left:2365;top:2231;width:2549;height:2" coordorigin="2365,2231" coordsize="2549,0" path="m2365,2231l4914,2231e" filled="false" stroked="true" strokeweight="1.5pt" strokecolor="#000000">
                <v:path arrowok="t"/>
              </v:shape>
            </v:group>
            <v:group style="position:absolute;left:4914;top:2231;width:1796;height:2" coordorigin="4914,2231" coordsize="1796,2">
              <v:shape style="position:absolute;left:4914;top:2231;width:1796;height:2" coordorigin="4914,2231" coordsize="1796,0" path="m4914,2231l6709,2231e" filled="false" stroked="true" strokeweight="1.5pt" strokecolor="#000000">
                <v:path arrowok="t"/>
              </v:shape>
            </v:group>
            <v:group style="position:absolute;left:6709;top:2231;width:1736;height:2" coordorigin="6709,2231" coordsize="1736,2">
              <v:shape style="position:absolute;left:6709;top:2231;width:1736;height:2" coordorigin="6709,2231" coordsize="1736,0" path="m6709,2231l8444,2231e" filled="false" stroked="true" strokeweight="1.5pt" strokecolor="#000000">
                <v:path arrowok="t"/>
              </v:shape>
              <v:shape style="position:absolute;left:2351;top:976;width:7803;height:1240" type="#_x0000_t75" stroked="false">
                <v:imagedata r:id="rId325" o:title=""/>
              </v:shape>
            </v:group>
            <v:group style="position:absolute;left:8444;top:2231;width:1690;height:2" coordorigin="8444,2231" coordsize="1690,2">
              <v:shape style="position:absolute;left:8444;top:2231;width:1690;height:2" coordorigin="8444,2231" coordsize="1690,0" path="m8444,2231l10134,2231e" filled="false" stroked="true" strokeweight="1.5pt" strokecolor="#000000">
                <v:path arrowok="t"/>
              </v:shape>
              <v:shape style="position:absolute;left:8572;top:438;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占其他应收款总额</w:t>
                      </w:r>
                    </w:p>
                  </w:txbxContent>
                </v:textbox>
                <w10:wrap type="none"/>
              </v:shape>
              <v:shape style="position:absolute;left:3289;top:59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5276;top:59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与本公司关系</w:t>
                      </w:r>
                    </w:p>
                  </w:txbxContent>
                </v:textbox>
                <w10:wrap type="none"/>
              </v:shape>
              <v:shape style="position:absolute;left:7222;top:59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group>
            <w10:wrap type="none"/>
          </v:group>
        </w:pict>
      </w:r>
      <w:r>
        <w:rPr>
          <w:rFonts w:ascii="Times New Roman" w:hAnsi="Times New Roman" w:cs="Times New Roman" w:eastAsia="Times New Roman" w:hint="default"/>
          <w:b/>
          <w:bCs/>
          <w:w w:val="95"/>
          <w:sz w:val="21"/>
          <w:szCs w:val="21"/>
        </w:rPr>
        <w:t>7</w:t>
      </w:r>
      <w:r>
        <w:rPr>
          <w:rFonts w:ascii="宋体" w:hAnsi="宋体" w:cs="宋体" w:eastAsia="宋体" w:hint="default"/>
          <w:b/>
          <w:bCs/>
          <w:w w:val="95"/>
          <w:sz w:val="21"/>
          <w:szCs w:val="21"/>
        </w:rPr>
        <w:t>、</w:t>
        <w:tab/>
      </w:r>
      <w:r>
        <w:rPr>
          <w:rFonts w:ascii="宋体" w:hAnsi="宋体" w:cs="宋体" w:eastAsia="宋体" w:hint="default"/>
          <w:b/>
          <w:bCs/>
          <w:sz w:val="21"/>
          <w:szCs w:val="21"/>
        </w:rPr>
        <w:t>应收关联方账款情况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2"/>
          <w:szCs w:val="12"/>
        </w:rPr>
      </w:pPr>
    </w:p>
    <w:tbl>
      <w:tblPr>
        <w:tblW w:w="0" w:type="auto"/>
        <w:jc w:val="left"/>
        <w:tblInd w:w="1092" w:type="dxa"/>
        <w:tblLayout w:type="fixed"/>
        <w:tblCellMar>
          <w:top w:w="0" w:type="dxa"/>
          <w:left w:w="0" w:type="dxa"/>
          <w:bottom w:w="0" w:type="dxa"/>
          <w:right w:w="0" w:type="dxa"/>
        </w:tblCellMar>
        <w:tblLook w:val="01E0"/>
      </w:tblPr>
      <w:tblGrid>
        <w:gridCol w:w="2374"/>
        <w:gridCol w:w="1801"/>
        <w:gridCol w:w="1805"/>
        <w:gridCol w:w="1117"/>
      </w:tblGrid>
      <w:tr>
        <w:trPr>
          <w:trHeight w:val="662" w:hRule="exact"/>
        </w:trPr>
        <w:tc>
          <w:tcPr>
            <w:tcW w:w="237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3"/>
                <w:szCs w:val="23"/>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香港惠程有限公司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3"/>
                <w:szCs w:val="23"/>
              </w:rPr>
            </w:pPr>
          </w:p>
          <w:p>
            <w:pPr>
              <w:pStyle w:val="TableParagraph"/>
              <w:spacing w:line="240" w:lineRule="auto"/>
              <w:ind w:left="539"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6"/>
                <w:szCs w:val="26"/>
              </w:rPr>
            </w:pPr>
          </w:p>
          <w:p>
            <w:pPr>
              <w:pStyle w:val="TableParagraph"/>
              <w:spacing w:line="240" w:lineRule="auto"/>
              <w:ind w:right="270"/>
              <w:jc w:val="right"/>
              <w:rPr>
                <w:rFonts w:ascii="Times New Roman" w:hAnsi="Times New Roman" w:cs="Times New Roman" w:eastAsia="Times New Roman" w:hint="default"/>
                <w:sz w:val="18"/>
                <w:szCs w:val="18"/>
              </w:rPr>
            </w:pPr>
            <w:r>
              <w:rPr>
                <w:rFonts w:ascii="Times New Roman"/>
                <w:sz w:val="18"/>
              </w:rPr>
              <w:t>415,150.00</w:t>
            </w:r>
          </w:p>
        </w:tc>
        <w:tc>
          <w:tcPr>
            <w:tcW w:w="1117" w:type="dxa"/>
            <w:tcBorders>
              <w:top w:val="nil" w:sz="6" w:space="0" w:color="auto"/>
              <w:left w:val="nil" w:sz="6" w:space="0" w:color="auto"/>
              <w:bottom w:val="nil" w:sz="6" w:space="0" w:color="auto"/>
              <w:right w:val="nil" w:sz="6" w:space="0" w:color="auto"/>
            </w:tcBorders>
          </w:tcPr>
          <w:p>
            <w:pPr>
              <w:pStyle w:val="TableParagraph"/>
              <w:spacing w:line="194" w:lineRule="exact"/>
              <w:ind w:left="237"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的比例</w:t>
            </w:r>
            <w:r>
              <w:rPr>
                <w:rFonts w:ascii="Times New Roman" w:hAnsi="Times New Roman" w:cs="Times New Roman" w:eastAsia="Times New Roman" w:hint="default"/>
                <w:sz w:val="18"/>
                <w:szCs w:val="18"/>
              </w:rPr>
              <w:t>(%)</w:t>
            </w:r>
          </w:p>
          <w:p>
            <w:pPr>
              <w:pStyle w:val="TableParagraph"/>
              <w:spacing w:line="240" w:lineRule="auto" w:before="155"/>
              <w:ind w:left="239" w:right="0"/>
              <w:jc w:val="center"/>
              <w:rPr>
                <w:rFonts w:ascii="Times New Roman" w:hAnsi="Times New Roman" w:cs="Times New Roman" w:eastAsia="Times New Roman" w:hint="default"/>
                <w:sz w:val="18"/>
                <w:szCs w:val="18"/>
              </w:rPr>
            </w:pPr>
            <w:r>
              <w:rPr>
                <w:rFonts w:ascii="Times New Roman"/>
                <w:sz w:val="18"/>
              </w:rPr>
              <w:t>1.96</w:t>
            </w:r>
          </w:p>
        </w:tc>
      </w:tr>
      <w:tr>
        <w:trPr>
          <w:trHeight w:val="407" w:hRule="exact"/>
        </w:trPr>
        <w:tc>
          <w:tcPr>
            <w:tcW w:w="237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宋体" w:hAnsi="宋体" w:cs="宋体" w:eastAsia="宋体" w:hint="default"/>
                <w:sz w:val="18"/>
                <w:szCs w:val="18"/>
              </w:rPr>
            </w:pPr>
            <w:r>
              <w:rPr>
                <w:rFonts w:ascii="宋体" w:hAnsi="宋体" w:cs="宋体" w:eastAsia="宋体" w:hint="default"/>
                <w:sz w:val="18"/>
                <w:szCs w:val="18"/>
              </w:rPr>
              <w:t>惠程高能能源有限公司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539"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70"/>
              <w:jc w:val="right"/>
              <w:rPr>
                <w:rFonts w:ascii="Times New Roman" w:hAnsi="Times New Roman" w:cs="Times New Roman" w:eastAsia="Times New Roman" w:hint="default"/>
                <w:sz w:val="18"/>
                <w:szCs w:val="18"/>
              </w:rPr>
            </w:pPr>
            <w:r>
              <w:rPr>
                <w:rFonts w:ascii="Times New Roman"/>
                <w:sz w:val="18"/>
              </w:rPr>
              <w:t>144,597.69</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79"/>
              <w:jc w:val="right"/>
              <w:rPr>
                <w:rFonts w:ascii="Times New Roman" w:hAnsi="Times New Roman" w:cs="Times New Roman" w:eastAsia="Times New Roman" w:hint="default"/>
                <w:sz w:val="18"/>
                <w:szCs w:val="18"/>
              </w:rPr>
            </w:pPr>
            <w:r>
              <w:rPr>
                <w:rFonts w:ascii="Times New Roman"/>
                <w:sz w:val="18"/>
              </w:rPr>
              <w:t>0.68</w:t>
            </w:r>
          </w:p>
        </w:tc>
      </w:tr>
      <w:tr>
        <w:trPr>
          <w:trHeight w:val="413" w:hRule="exact"/>
        </w:trPr>
        <w:tc>
          <w:tcPr>
            <w:tcW w:w="237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9"/>
              <w:jc w:val="center"/>
              <w:rPr>
                <w:rFonts w:ascii="宋体" w:hAnsi="宋体" w:cs="宋体" w:eastAsia="宋体" w:hint="default"/>
                <w:sz w:val="18"/>
                <w:szCs w:val="18"/>
              </w:rPr>
            </w:pPr>
            <w:r>
              <w:rPr>
                <w:rFonts w:ascii="宋体" w:hAnsi="宋体" w:cs="宋体" w:eastAsia="宋体" w:hint="default"/>
                <w:sz w:val="18"/>
                <w:szCs w:val="18"/>
              </w:rPr>
              <w:t>合计</w:t>
            </w:r>
          </w:p>
        </w:tc>
        <w:tc>
          <w:tcPr>
            <w:tcW w:w="1801"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70"/>
              <w:jc w:val="right"/>
              <w:rPr>
                <w:rFonts w:ascii="Times New Roman" w:hAnsi="Times New Roman" w:cs="Times New Roman" w:eastAsia="Times New Roman" w:hint="default"/>
                <w:sz w:val="18"/>
                <w:szCs w:val="18"/>
              </w:rPr>
            </w:pPr>
            <w:r>
              <w:rPr>
                <w:rFonts w:ascii="Times New Roman"/>
                <w:sz w:val="18"/>
              </w:rPr>
              <w:t>559,747.69</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79"/>
              <w:jc w:val="right"/>
              <w:rPr>
                <w:rFonts w:ascii="Times New Roman" w:hAnsi="Times New Roman" w:cs="Times New Roman" w:eastAsia="Times New Roman" w:hint="default"/>
                <w:sz w:val="18"/>
                <w:szCs w:val="18"/>
              </w:rPr>
            </w:pPr>
            <w:r>
              <w:rPr>
                <w:rFonts w:ascii="Times New Roman"/>
                <w:sz w:val="18"/>
              </w:rPr>
              <w:t>2.64</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270" w:top="1360" w:bottom="1460" w:left="1540" w:right="1180"/>
        </w:sectPr>
      </w:pPr>
    </w:p>
    <w:p>
      <w:pPr>
        <w:spacing w:line="240" w:lineRule="auto" w:before="5"/>
        <w:rPr>
          <w:rFonts w:ascii="宋体" w:hAnsi="宋体" w:cs="宋体" w:eastAsia="宋体" w:hint="default"/>
          <w:b/>
          <w:bCs/>
          <w:sz w:val="5"/>
          <w:szCs w:val="5"/>
        </w:rPr>
      </w:pPr>
    </w:p>
    <w:p>
      <w:pPr>
        <w:spacing w:line="434" w:lineRule="exact"/>
        <w:ind w:left="118"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706.9pt;height:21.75pt;mso-position-horizontal-relative:char;mso-position-vertical-relative:line" coordorigin="0,0" coordsize="14138,435">
            <v:shape style="position:absolute;left:0;top:0;width:1546;height:434" type="#_x0000_t75" stroked="false">
              <v:imagedata r:id="rId26" o:title=""/>
            </v:shape>
            <v:group style="position:absolute;left:112;top:398;width:14019;height:2" coordorigin="112,398" coordsize="14019,2">
              <v:shape style="position:absolute;left:112;top:398;width:14019;height:2" coordorigin="112,398" coordsize="14019,0" path="m112,398l14130,398e" filled="false" stroked="true" strokeweight=".71999pt" strokecolor="#000000">
                <v:path arrowok="t"/>
              </v:shape>
              <v:shape style="position:absolute;left:12796;top:163;width:130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v:group>
          </v:group>
        </w:pict>
      </w:r>
      <w:r>
        <w:rPr>
          <w:rFonts w:ascii="宋体" w:hAnsi="宋体" w:cs="宋体" w:eastAsia="宋体" w:hint="default"/>
          <w:position w:val="-8"/>
          <w:sz w:val="20"/>
          <w:szCs w:val="2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4"/>
          <w:szCs w:val="24"/>
        </w:rPr>
      </w:pPr>
    </w:p>
    <w:p>
      <w:pPr>
        <w:spacing w:after="0" w:line="240" w:lineRule="auto"/>
        <w:rPr>
          <w:rFonts w:ascii="宋体" w:hAnsi="宋体" w:cs="宋体" w:eastAsia="宋体" w:hint="default"/>
          <w:sz w:val="24"/>
          <w:szCs w:val="24"/>
        </w:rPr>
        <w:sectPr>
          <w:headerReference w:type="default" r:id="rId326"/>
          <w:footerReference w:type="default" r:id="rId327"/>
          <w:pgSz w:w="16840" w:h="11910" w:orient="landscape"/>
          <w:pgMar w:header="0" w:footer="0" w:top="680" w:bottom="280" w:left="1180" w:right="380"/>
        </w:sectPr>
      </w:pPr>
    </w:p>
    <w:p>
      <w:pPr>
        <w:tabs>
          <w:tab w:pos="973" w:val="left" w:leader="none"/>
        </w:tabs>
        <w:spacing w:before="35"/>
        <w:ind w:left="24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长期股权投资</w:t>
      </w:r>
      <w:r>
        <w:rPr>
          <w:rFonts w:ascii="宋体" w:hAnsi="宋体" w:cs="宋体" w:eastAsia="宋体" w:hint="default"/>
          <w:sz w:val="21"/>
          <w:szCs w:val="21"/>
        </w:rPr>
      </w:r>
    </w:p>
    <w:p>
      <w:pPr>
        <w:tabs>
          <w:tab w:pos="1414" w:val="left" w:leader="none"/>
        </w:tabs>
        <w:spacing w:before="109"/>
        <w:ind w:left="87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长期股权投资明细情况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7"/>
          <w:szCs w:val="17"/>
        </w:rPr>
      </w:pPr>
    </w:p>
    <w:p>
      <w:pPr>
        <w:spacing w:before="0"/>
        <w:ind w:left="245" w:right="0" w:firstLine="0"/>
        <w:jc w:val="left"/>
        <w:rPr>
          <w:rFonts w:ascii="宋体" w:hAnsi="宋体" w:cs="宋体" w:eastAsia="宋体" w:hint="default"/>
          <w:sz w:val="21"/>
          <w:szCs w:val="21"/>
        </w:rPr>
      </w:pPr>
      <w:r>
        <w:rPr/>
        <w:pict>
          <v:group style="position:absolute;margin-left:65.121002pt;margin-top:15.323368pt;width:752.65pt;height:259.45pt;mso-position-horizontal-relative:page;mso-position-vertical-relative:paragraph;z-index:-767656" coordorigin="1302,306" coordsize="15053,5189">
            <v:group style="position:absolute;left:1332;top:321;width:2205;height:2" coordorigin="1332,321" coordsize="2205,2">
              <v:shape style="position:absolute;left:1332;top:321;width:2205;height:2" coordorigin="1332,321" coordsize="2205,0" path="m1332,321l3536,321e" filled="false" stroked="true" strokeweight="1.5pt" strokecolor="#000000">
                <v:path arrowok="t"/>
              </v:shape>
            </v:group>
            <v:group style="position:absolute;left:3536;top:321;width:1403;height:2" coordorigin="3536,321" coordsize="1403,2">
              <v:shape style="position:absolute;left:3536;top:321;width:1403;height:2" coordorigin="3536,321" coordsize="1403,0" path="m3536,321l4939,321e" filled="false" stroked="true" strokeweight="1.5pt" strokecolor="#000000">
                <v:path arrowok="t"/>
              </v:shape>
            </v:group>
            <v:group style="position:absolute;left:4939;top:321;width:11396;height:2" coordorigin="4939,321" coordsize="11396,2">
              <v:shape style="position:absolute;left:4939;top:321;width:11396;height:2" coordorigin="4939,321" coordsize="11396,0" path="m4939,321l16334,321e" filled="false" stroked="true" strokeweight="1.5pt" strokecolor="#000000">
                <v:path arrowok="t"/>
              </v:shape>
              <v:shape style="position:absolute;left:2522;top:308;width:12920;height:1930" type="#_x0000_t75" stroked="false">
                <v:imagedata r:id="rId328" o:title=""/>
              </v:shape>
            </v:group>
            <v:group style="position:absolute;left:1317;top:5480;width:1234;height:2" coordorigin="1317,5480" coordsize="1234,2">
              <v:shape style="position:absolute;left:1317;top:5480;width:1234;height:2" coordorigin="1317,5480" coordsize="1234,0" path="m1317,5480l2551,5480e" filled="false" stroked="true" strokeweight="1.5pt" strokecolor="#000000">
                <v:path arrowok="t"/>
              </v:shape>
            </v:group>
            <v:group style="position:absolute;left:2551;top:5480;width:956;height:2" coordorigin="2551,5480" coordsize="956,2">
              <v:shape style="position:absolute;left:2551;top:5480;width:956;height:2" coordorigin="2551,5480" coordsize="956,0" path="m2551,5480l3506,5480e" filled="false" stroked="true" strokeweight="1.5pt" strokecolor="#000000">
                <v:path arrowok="t"/>
              </v:shape>
            </v:group>
            <v:group style="position:absolute;left:3506;top:5480;width:30;height:2" coordorigin="3506,5480" coordsize="30,2">
              <v:shape style="position:absolute;left:3506;top:5480;width:30;height:2" coordorigin="3506,5480" coordsize="30,0" path="m3506,5480l3536,5480e" filled="false" stroked="true" strokeweight="1.5pt" strokecolor="#000000">
                <v:path arrowok="t"/>
              </v:shape>
            </v:group>
            <v:group style="position:absolute;left:3536;top:5480;width:1403;height:2" coordorigin="3536,5480" coordsize="1403,2">
              <v:shape style="position:absolute;left:3536;top:5480;width:1403;height:2" coordorigin="3536,5480" coordsize="1403,0" path="m3536,5480l4939,5480e" filled="false" stroked="true" strokeweight="1.5pt" strokecolor="#000000">
                <v:path arrowok="t"/>
              </v:shape>
            </v:group>
            <v:group style="position:absolute;left:4939;top:5480;width:1274;height:2" coordorigin="4939,5480" coordsize="1274,2">
              <v:shape style="position:absolute;left:4939;top:5480;width:1274;height:2" coordorigin="4939,5480" coordsize="1274,0" path="m4939,5480l6212,5480e" filled="false" stroked="true" strokeweight="1.5pt" strokecolor="#000000">
                <v:path arrowok="t"/>
              </v:shape>
            </v:group>
            <v:group style="position:absolute;left:6212;top:5480;width:1432;height:2" coordorigin="6212,5480" coordsize="1432,2">
              <v:shape style="position:absolute;left:6212;top:5480;width:1432;height:2" coordorigin="6212,5480" coordsize="1432,0" path="m6212,5480l7644,5480e" filled="false" stroked="true" strokeweight="1.5pt" strokecolor="#000000">
                <v:path arrowok="t"/>
              </v:shape>
            </v:group>
            <v:group style="position:absolute;left:7644;top:5480;width:956;height:2" coordorigin="7644,5480" coordsize="956,2">
              <v:shape style="position:absolute;left:7644;top:5480;width:956;height:2" coordorigin="7644,5480" coordsize="956,0" path="m7644,5480l8599,5480e" filled="false" stroked="true" strokeweight="1.5pt" strokecolor="#000000">
                <v:path arrowok="t"/>
              </v:shape>
            </v:group>
            <v:group style="position:absolute;left:8599;top:5480;width:1433;height:2" coordorigin="8599,5480" coordsize="1433,2">
              <v:shape style="position:absolute;left:8599;top:5480;width:1433;height:2" coordorigin="8599,5480" coordsize="1433,0" path="m8599,5480l10032,5480e" filled="false" stroked="true" strokeweight="1.5pt" strokecolor="#000000">
                <v:path arrowok="t"/>
              </v:shape>
            </v:group>
            <v:group style="position:absolute;left:10032;top:5480;width:1115;height:2" coordorigin="10032,5480" coordsize="1115,2">
              <v:shape style="position:absolute;left:10032;top:5480;width:1115;height:2" coordorigin="10032,5480" coordsize="1115,0" path="m10032,5480l11147,5480e" filled="false" stroked="true" strokeweight="1.5pt" strokecolor="#000000">
                <v:path arrowok="t"/>
              </v:shape>
            </v:group>
            <v:group style="position:absolute;left:11147;top:5480;width:797;height:2" coordorigin="11147,5480" coordsize="797,2">
              <v:shape style="position:absolute;left:11147;top:5480;width:797;height:2" coordorigin="11147,5480" coordsize="797,0" path="m11147,5480l11943,5480e" filled="false" stroked="true" strokeweight="1.5pt" strokecolor="#000000">
                <v:path arrowok="t"/>
              </v:shape>
            </v:group>
            <v:group style="position:absolute;left:11943;top:5480;width:1550;height:2" coordorigin="11943,5480" coordsize="1550,2">
              <v:shape style="position:absolute;left:11943;top:5480;width:1550;height:2" coordorigin="11943,5480" coordsize="1550,0" path="m11943,5480l13493,5480e" filled="false" stroked="true" strokeweight="1.5pt" strokecolor="#000000">
                <v:path arrowok="t"/>
              </v:shape>
            </v:group>
            <v:group style="position:absolute;left:13493;top:5480;width:797;height:2" coordorigin="13493,5480" coordsize="797,2">
              <v:shape style="position:absolute;left:13493;top:5480;width:797;height:2" coordorigin="13493,5480" coordsize="797,0" path="m13493,5480l14289,5480e" filled="false" stroked="true" strokeweight="1.5pt" strokecolor="#000000">
                <v:path arrowok="t"/>
              </v:shape>
            </v:group>
            <v:group style="position:absolute;left:14289;top:5480;width:1115;height:2" coordorigin="14289,5480" coordsize="1115,2">
              <v:shape style="position:absolute;left:14289;top:5480;width:1115;height:2" coordorigin="14289,5480" coordsize="1115,0" path="m14289,5480l15404,5480e" filled="false" stroked="true" strokeweight="1.5pt" strokecolor="#000000">
                <v:path arrowok="t"/>
              </v:shape>
              <v:shape style="position:absolute;left:1313;top:2189;width:15042;height:3276" type="#_x0000_t75" stroked="false">
                <v:imagedata r:id="rId329" o:title=""/>
              </v:shape>
            </v:group>
            <v:group style="position:absolute;left:15404;top:5480;width:930;height:2" coordorigin="15404,5480" coordsize="930,2">
              <v:shape style="position:absolute;left:15404;top:5480;width:930;height:2" coordorigin="15404,5480" coordsize="930,0" path="m15404,5480l16334,5480e" filled="false" stroked="true" strokeweight="1.5pt" strokecolor="#000000">
                <v:path arrowok="t"/>
              </v:shape>
              <v:shape style="position:absolute;left:1494;top:1183;width:1900;height:180" type="#_x0000_t202" filled="false" stroked="false">
                <v:textbox inset="0,0,0,0">
                  <w:txbxContent>
                    <w:p>
                      <w:pPr>
                        <w:tabs>
                          <w:tab w:pos="117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被投资单位</w:t>
                        <w:tab/>
                        <w:t>核算方法</w:t>
                      </w:r>
                    </w:p>
                  </w:txbxContent>
                </v:textbox>
                <w10:wrap type="none"/>
              </v:shape>
              <v:shape style="position:absolute;left:3867;top:118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投资成本</w:t>
                      </w:r>
                    </w:p>
                  </w:txbxContent>
                </v:textbox>
                <w10:wrap type="none"/>
              </v:shape>
              <v:shape style="position:absolute;left:5220;top:118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6572;top:118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增减变动</w:t>
                      </w:r>
                    </w:p>
                  </w:txbxContent>
                </v:textbox>
                <w10:wrap type="none"/>
              </v:shape>
              <v:shape style="position:absolute;left:7766;top:403;width:720;height:174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其中：联</w:t>
                      </w:r>
                    </w:p>
                    <w:p>
                      <w:pPr>
                        <w:spacing w:line="310" w:lineRule="atLeast" w:before="2"/>
                        <w:ind w:left="0" w:right="0" w:firstLine="0"/>
                        <w:jc w:val="both"/>
                        <w:rPr>
                          <w:rFonts w:ascii="宋体" w:hAnsi="宋体" w:cs="宋体" w:eastAsia="宋体" w:hint="default"/>
                          <w:sz w:val="18"/>
                          <w:szCs w:val="18"/>
                        </w:rPr>
                      </w:pPr>
                      <w:r>
                        <w:rPr>
                          <w:rFonts w:ascii="宋体" w:hAnsi="宋体" w:cs="宋体" w:eastAsia="宋体" w:hint="default"/>
                          <w:sz w:val="18"/>
                          <w:szCs w:val="18"/>
                        </w:rPr>
                        <w:t>营及合营 企业其他 综合收益 变动中享 有的份额</w:t>
                      </w:r>
                    </w:p>
                  </w:txbxContent>
                </v:textbox>
                <w10:wrap type="none"/>
              </v:shape>
              <v:shape style="position:absolute;left:8960;top:118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10233;top:559;width:1586;height:1436" type="#_x0000_t202" filled="false" stroked="false">
                <v:textbox inset="0,0,0,0">
                  <w:txbxContent>
                    <w:p>
                      <w:pPr>
                        <w:spacing w:line="180" w:lineRule="exact" w:before="0"/>
                        <w:ind w:left="1045" w:right="0" w:firstLine="0"/>
                        <w:jc w:val="center"/>
                        <w:rPr>
                          <w:rFonts w:ascii="宋体" w:hAnsi="宋体" w:cs="宋体" w:eastAsia="宋体" w:hint="default"/>
                          <w:sz w:val="18"/>
                          <w:szCs w:val="18"/>
                        </w:rPr>
                      </w:pPr>
                      <w:r>
                        <w:rPr>
                          <w:rFonts w:ascii="宋体" w:hAnsi="宋体" w:cs="宋体" w:eastAsia="宋体" w:hint="default"/>
                          <w:sz w:val="18"/>
                          <w:szCs w:val="18"/>
                        </w:rPr>
                        <w:t>在被投</w:t>
                      </w:r>
                    </w:p>
                    <w:p>
                      <w:pPr>
                        <w:tabs>
                          <w:tab w:pos="1045" w:val="left" w:leader="none"/>
                        </w:tabs>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在被投资</w:t>
                        <w:tab/>
                        <w:t>资单位</w:t>
                      </w:r>
                    </w:p>
                    <w:p>
                      <w:pPr>
                        <w:tabs>
                          <w:tab w:pos="1045" w:val="left" w:leader="none"/>
                        </w:tabs>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单位持股</w:t>
                        <w:tab/>
                        <w:t>表决权</w:t>
                      </w:r>
                    </w:p>
                    <w:p>
                      <w:pPr>
                        <w:tabs>
                          <w:tab w:pos="1135" w:val="left" w:leader="none"/>
                        </w:tabs>
                        <w:spacing w:before="76"/>
                        <w:ind w:left="44" w:right="0" w:firstLine="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比例</w:t>
                      </w:r>
                    </w:p>
                    <w:p>
                      <w:pPr>
                        <w:spacing w:line="203" w:lineRule="exact" w:before="102"/>
                        <w:ind w:left="0" w:right="133" w:firstLine="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xbxContent>
                </v:textbox>
                <w10:wrap type="none"/>
              </v:shape>
              <v:shape style="position:absolute;left:1440;top:23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w:t>
                      </w:r>
                    </w:p>
                  </w:txbxContent>
                </v:textbox>
                <w10:wrap type="none"/>
              </v:shape>
            </v:group>
            <w10:wrap type="none"/>
          </v:group>
        </w:pict>
      </w:r>
      <w:r>
        <w:rPr>
          <w:rFonts w:ascii="宋体" w:hAnsi="宋体" w:cs="宋体" w:eastAsia="宋体" w:hint="default"/>
          <w:sz w:val="21"/>
          <w:szCs w:val="21"/>
        </w:rPr>
        <w:t>单位：人民币元</w:t>
      </w:r>
    </w:p>
    <w:p>
      <w:pPr>
        <w:spacing w:after="0"/>
        <w:jc w:val="left"/>
        <w:rPr>
          <w:rFonts w:ascii="宋体" w:hAnsi="宋体" w:cs="宋体" w:eastAsia="宋体" w:hint="default"/>
          <w:sz w:val="21"/>
          <w:szCs w:val="21"/>
        </w:rPr>
        <w:sectPr>
          <w:type w:val="continuous"/>
          <w:pgSz w:w="16840" w:h="11910" w:orient="landscape"/>
          <w:pgMar w:top="900" w:bottom="1460" w:left="1180" w:right="380"/>
          <w:cols w:num="2" w:equalWidth="0">
            <w:col w:w="3522" w:space="8334"/>
            <w:col w:w="3424"/>
          </w:cols>
        </w:sectPr>
      </w:pPr>
    </w:p>
    <w:p>
      <w:pPr>
        <w:spacing w:line="240" w:lineRule="auto" w:before="8"/>
        <w:rPr>
          <w:rFonts w:ascii="宋体" w:hAnsi="宋体" w:cs="宋体" w:eastAsia="宋体" w:hint="default"/>
          <w:sz w:val="26"/>
          <w:szCs w:val="26"/>
        </w:rPr>
      </w:pPr>
    </w:p>
    <w:tbl>
      <w:tblPr>
        <w:tblW w:w="0" w:type="auto"/>
        <w:jc w:val="left"/>
        <w:tblInd w:w="10877" w:type="dxa"/>
        <w:tblLayout w:type="fixed"/>
        <w:tblCellMar>
          <w:top w:w="0" w:type="dxa"/>
          <w:left w:w="0" w:type="dxa"/>
          <w:bottom w:w="0" w:type="dxa"/>
          <w:right w:w="0" w:type="dxa"/>
        </w:tblCellMar>
        <w:tblLook w:val="01E0"/>
      </w:tblPr>
      <w:tblGrid>
        <w:gridCol w:w="1432"/>
        <w:gridCol w:w="839"/>
        <w:gridCol w:w="1078"/>
        <w:gridCol w:w="770"/>
      </w:tblGrid>
      <w:tr>
        <w:trPr>
          <w:trHeight w:val="338" w:hRule="exact"/>
        </w:trPr>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99"/>
              <w:jc w:val="center"/>
              <w:rPr>
                <w:rFonts w:ascii="宋体" w:hAnsi="宋体" w:cs="宋体" w:eastAsia="宋体" w:hint="default"/>
                <w:sz w:val="18"/>
                <w:szCs w:val="18"/>
              </w:rPr>
            </w:pPr>
            <w:r>
              <w:rPr>
                <w:rFonts w:ascii="宋体" w:hAnsi="宋体" w:cs="宋体" w:eastAsia="宋体" w:hint="default"/>
                <w:sz w:val="18"/>
                <w:szCs w:val="18"/>
              </w:rPr>
              <w:t>在被投资单位持</w:t>
            </w:r>
          </w:p>
        </w:tc>
        <w:tc>
          <w:tcPr>
            <w:tcW w:w="2687" w:type="dxa"/>
            <w:gridSpan w:val="3"/>
            <w:tcBorders>
              <w:top w:val="nil" w:sz="6" w:space="0" w:color="auto"/>
              <w:left w:val="nil" w:sz="6" w:space="0" w:color="auto"/>
              <w:bottom w:val="nil" w:sz="6" w:space="0" w:color="auto"/>
              <w:right w:val="nil" w:sz="6" w:space="0" w:color="auto"/>
            </w:tcBorders>
          </w:tcPr>
          <w:p>
            <w:pPr/>
          </w:p>
        </w:tc>
      </w:tr>
      <w:tr>
        <w:trPr>
          <w:trHeight w:val="312" w:hRule="exact"/>
        </w:trPr>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center"/>
              <w:rPr>
                <w:rFonts w:ascii="宋体" w:hAnsi="宋体" w:cs="宋体" w:eastAsia="宋体" w:hint="default"/>
                <w:sz w:val="18"/>
                <w:szCs w:val="18"/>
              </w:rPr>
            </w:pPr>
            <w:r>
              <w:rPr>
                <w:rFonts w:ascii="宋体" w:hAnsi="宋体" w:cs="宋体" w:eastAsia="宋体" w:hint="default"/>
                <w:sz w:val="18"/>
                <w:szCs w:val="18"/>
              </w:rPr>
              <w:t>股比例与表决权</w:t>
            </w:r>
          </w:p>
        </w:tc>
        <w:tc>
          <w:tcPr>
            <w:tcW w:w="83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
              <w:jc w:val="center"/>
              <w:rPr>
                <w:rFonts w:ascii="宋体" w:hAnsi="宋体" w:cs="宋体" w:eastAsia="宋体" w:hint="default"/>
                <w:sz w:val="18"/>
                <w:szCs w:val="18"/>
              </w:rPr>
            </w:pPr>
            <w:r>
              <w:rPr>
                <w:rFonts w:ascii="宋体" w:hAnsi="宋体" w:cs="宋体" w:eastAsia="宋体" w:hint="default"/>
                <w:sz w:val="18"/>
                <w:szCs w:val="18"/>
              </w:rPr>
              <w:t>减值准</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62" w:right="0"/>
              <w:jc w:val="left"/>
              <w:rPr>
                <w:rFonts w:ascii="宋体" w:hAnsi="宋体" w:cs="宋体" w:eastAsia="宋体" w:hint="default"/>
                <w:sz w:val="18"/>
                <w:szCs w:val="18"/>
              </w:rPr>
            </w:pPr>
            <w:r>
              <w:rPr>
                <w:rFonts w:ascii="宋体" w:hAnsi="宋体" w:cs="宋体" w:eastAsia="宋体" w:hint="default"/>
                <w:sz w:val="18"/>
                <w:szCs w:val="18"/>
              </w:rPr>
              <w:t>本年计提</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18"/>
                <w:szCs w:val="18"/>
              </w:rPr>
            </w:pPr>
            <w:r>
              <w:rPr>
                <w:rFonts w:ascii="宋体" w:hAnsi="宋体" w:cs="宋体" w:eastAsia="宋体" w:hint="default"/>
                <w:sz w:val="18"/>
                <w:szCs w:val="18"/>
              </w:rPr>
              <w:t>本年现</w:t>
            </w:r>
          </w:p>
        </w:tc>
      </w:tr>
      <w:tr>
        <w:trPr>
          <w:trHeight w:val="312" w:hRule="exact"/>
        </w:trPr>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center"/>
              <w:rPr>
                <w:rFonts w:ascii="宋体" w:hAnsi="宋体" w:cs="宋体" w:eastAsia="宋体" w:hint="default"/>
                <w:sz w:val="18"/>
                <w:szCs w:val="18"/>
              </w:rPr>
            </w:pPr>
            <w:r>
              <w:rPr>
                <w:rFonts w:ascii="宋体" w:hAnsi="宋体" w:cs="宋体" w:eastAsia="宋体" w:hint="default"/>
                <w:sz w:val="18"/>
                <w:szCs w:val="18"/>
              </w:rPr>
              <w:t>比例不一致的说</w:t>
            </w:r>
          </w:p>
        </w:tc>
        <w:tc>
          <w:tcPr>
            <w:tcW w:w="83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
              <w:jc w:val="center"/>
              <w:rPr>
                <w:rFonts w:ascii="宋体" w:hAnsi="宋体" w:cs="宋体" w:eastAsia="宋体" w:hint="default"/>
                <w:sz w:val="18"/>
                <w:szCs w:val="18"/>
              </w:rPr>
            </w:pPr>
            <w:r>
              <w:rPr>
                <w:rFonts w:ascii="宋体" w:hAnsi="宋体" w:cs="宋体" w:eastAsia="宋体" w:hint="default"/>
                <w:sz w:val="18"/>
                <w:szCs w:val="18"/>
              </w:rPr>
              <w:t>备</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6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18"/>
                <w:szCs w:val="18"/>
              </w:rPr>
            </w:pPr>
            <w:r>
              <w:rPr>
                <w:rFonts w:ascii="宋体" w:hAnsi="宋体" w:cs="宋体" w:eastAsia="宋体" w:hint="default"/>
                <w:sz w:val="18"/>
                <w:szCs w:val="18"/>
              </w:rPr>
              <w:t>金红利</w:t>
            </w:r>
          </w:p>
        </w:tc>
      </w:tr>
      <w:tr>
        <w:trPr>
          <w:trHeight w:val="246" w:hRule="exact"/>
        </w:trPr>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center"/>
              <w:rPr>
                <w:rFonts w:ascii="宋体" w:hAnsi="宋体" w:cs="宋体" w:eastAsia="宋体" w:hint="default"/>
                <w:sz w:val="18"/>
                <w:szCs w:val="18"/>
              </w:rPr>
            </w:pPr>
            <w:r>
              <w:rPr>
                <w:rFonts w:ascii="宋体" w:hAnsi="宋体" w:cs="宋体" w:eastAsia="宋体" w:hint="default"/>
                <w:sz w:val="18"/>
                <w:szCs w:val="18"/>
              </w:rPr>
              <w:t>明</w:t>
            </w:r>
          </w:p>
        </w:tc>
        <w:tc>
          <w:tcPr>
            <w:tcW w:w="839"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
        </w:tc>
        <w:tc>
          <w:tcPr>
            <w:tcW w:w="770"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tbl>
      <w:tblPr>
        <w:tblW w:w="0" w:type="auto"/>
        <w:jc w:val="left"/>
        <w:tblInd w:w="278" w:type="dxa"/>
        <w:tblLayout w:type="fixed"/>
        <w:tblCellMar>
          <w:top w:w="0" w:type="dxa"/>
          <w:left w:w="0" w:type="dxa"/>
          <w:bottom w:w="0" w:type="dxa"/>
          <w:right w:w="0" w:type="dxa"/>
        </w:tblCellMar>
        <w:tblLook w:val="01E0"/>
      </w:tblPr>
      <w:tblGrid>
        <w:gridCol w:w="1070"/>
        <w:gridCol w:w="929"/>
        <w:gridCol w:w="1498"/>
        <w:gridCol w:w="1307"/>
        <w:gridCol w:w="1665"/>
        <w:gridCol w:w="722"/>
        <w:gridCol w:w="1589"/>
        <w:gridCol w:w="955"/>
        <w:gridCol w:w="1330"/>
        <w:gridCol w:w="1173"/>
        <w:gridCol w:w="956"/>
        <w:gridCol w:w="1020"/>
        <w:gridCol w:w="588"/>
      </w:tblGrid>
      <w:tr>
        <w:trPr>
          <w:trHeight w:val="397"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9"/>
              <w:jc w:val="center"/>
              <w:rPr>
                <w:rFonts w:ascii="宋体" w:hAnsi="宋体" w:cs="宋体" w:eastAsia="宋体" w:hint="default"/>
                <w:sz w:val="18"/>
                <w:szCs w:val="18"/>
              </w:rPr>
            </w:pPr>
            <w:r>
              <w:rPr>
                <w:rFonts w:ascii="宋体" w:hAnsi="宋体" w:cs="宋体" w:eastAsia="宋体" w:hint="default"/>
                <w:sz w:val="18"/>
                <w:szCs w:val="18"/>
              </w:rPr>
              <w:t>香港惠程</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4"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17"/>
              <w:jc w:val="right"/>
              <w:rPr>
                <w:rFonts w:ascii="Times New Roman" w:hAnsi="Times New Roman" w:cs="Times New Roman" w:eastAsia="Times New Roman" w:hint="default"/>
                <w:sz w:val="18"/>
                <w:szCs w:val="18"/>
              </w:rPr>
            </w:pPr>
            <w:r>
              <w:rPr>
                <w:rFonts w:ascii="Times New Roman"/>
                <w:spacing w:val="-1"/>
                <w:sz w:val="18"/>
              </w:rPr>
              <w:t>1,709,525.00</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51"/>
              <w:jc w:val="right"/>
              <w:rPr>
                <w:rFonts w:ascii="Times New Roman" w:hAnsi="Times New Roman" w:cs="Times New Roman" w:eastAsia="Times New Roman" w:hint="default"/>
                <w:sz w:val="18"/>
                <w:szCs w:val="18"/>
              </w:rPr>
            </w:pPr>
            <w:r>
              <w:rPr>
                <w:rFonts w:ascii="Times New Roman"/>
                <w:spacing w:val="-1"/>
                <w:sz w:val="18"/>
              </w:rPr>
              <w:t>1,709,525.00</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86"/>
              <w:jc w:val="right"/>
              <w:rPr>
                <w:rFonts w:ascii="Times New Roman" w:hAnsi="Times New Roman" w:cs="Times New Roman" w:eastAsia="Times New Roman" w:hint="default"/>
                <w:sz w:val="18"/>
                <w:szCs w:val="18"/>
              </w:rPr>
            </w:pPr>
            <w:r>
              <w:rPr>
                <w:rFonts w:ascii="Times New Roman"/>
                <w:sz w:val="18"/>
              </w:rPr>
              <w:t>---</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53"/>
              <w:jc w:val="right"/>
              <w:rPr>
                <w:rFonts w:ascii="Times New Roman" w:hAnsi="Times New Roman" w:cs="Times New Roman" w:eastAsia="Times New Roman" w:hint="default"/>
                <w:sz w:val="18"/>
                <w:szCs w:val="18"/>
              </w:rPr>
            </w:pPr>
            <w:r>
              <w:rPr>
                <w:rFonts w:ascii="Times New Roman"/>
                <w:sz w:val="18"/>
              </w:rPr>
              <w:t>---</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07"/>
              <w:jc w:val="right"/>
              <w:rPr>
                <w:rFonts w:ascii="Times New Roman" w:hAnsi="Times New Roman" w:cs="Times New Roman" w:eastAsia="Times New Roman" w:hint="default"/>
                <w:sz w:val="18"/>
                <w:szCs w:val="18"/>
              </w:rPr>
            </w:pPr>
            <w:r>
              <w:rPr>
                <w:rFonts w:ascii="Times New Roman"/>
                <w:spacing w:val="-1"/>
                <w:sz w:val="18"/>
              </w:rPr>
              <w:t>1,709,525.00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48"/>
              <w:jc w:val="right"/>
              <w:rPr>
                <w:rFonts w:ascii="Times New Roman" w:hAnsi="Times New Roman" w:cs="Times New Roman" w:eastAsia="Times New Roman" w:hint="default"/>
                <w:sz w:val="18"/>
                <w:szCs w:val="18"/>
              </w:rPr>
            </w:pPr>
            <w:r>
              <w:rPr>
                <w:rFonts w:ascii="Times New Roman"/>
                <w:sz w:val="18"/>
              </w:rPr>
              <w:t>100.00</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50" w:right="0"/>
              <w:jc w:val="left"/>
              <w:rPr>
                <w:rFonts w:ascii="Times New Roman" w:hAnsi="Times New Roman" w:cs="Times New Roman" w:eastAsia="Times New Roman" w:hint="default"/>
                <w:sz w:val="18"/>
                <w:szCs w:val="18"/>
              </w:rPr>
            </w:pPr>
            <w:r>
              <w:rPr>
                <w:rFonts w:ascii="Times New Roman"/>
                <w:sz w:val="18"/>
              </w:rPr>
              <w:t>100.00</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06"/>
              <w:jc w:val="right"/>
              <w:rPr>
                <w:rFonts w:ascii="Times New Roman" w:hAnsi="Times New Roman" w:cs="Times New Roman" w:eastAsia="Times New Roman" w:hint="default"/>
                <w:sz w:val="18"/>
                <w:szCs w:val="18"/>
              </w:rPr>
            </w:pPr>
            <w:r>
              <w:rPr>
                <w:rFonts w:ascii="Times New Roman"/>
                <w:sz w:val="18"/>
              </w:rPr>
              <w:t>---</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08" w:right="0"/>
              <w:jc w:val="left"/>
              <w:rPr>
                <w:rFonts w:ascii="Times New Roman" w:hAnsi="Times New Roman" w:cs="Times New Roman" w:eastAsia="Times New Roman" w:hint="default"/>
                <w:sz w:val="18"/>
                <w:szCs w:val="18"/>
              </w:rPr>
            </w:pPr>
            <w:r>
              <w:rPr>
                <w:rFonts w:ascii="Times New Roman"/>
                <w:sz w:val="18"/>
              </w:rPr>
              <w:t>---</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70"/>
              <w:jc w:val="right"/>
              <w:rPr>
                <w:rFonts w:ascii="Times New Roman" w:hAnsi="Times New Roman" w:cs="Times New Roman" w:eastAsia="Times New Roman" w:hint="default"/>
                <w:sz w:val="18"/>
                <w:szCs w:val="18"/>
              </w:rPr>
            </w:pPr>
            <w:r>
              <w:rPr>
                <w:rFonts w:ascii="Times New Roman"/>
                <w:sz w:val="18"/>
              </w:rPr>
              <w:t>---</w:t>
            </w:r>
          </w:p>
        </w:tc>
        <w:tc>
          <w:tcPr>
            <w:tcW w:w="58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Times New Roman" w:hAnsi="Times New Roman" w:cs="Times New Roman" w:eastAsia="Times New Roman" w:hint="default"/>
                <w:sz w:val="18"/>
                <w:szCs w:val="18"/>
              </w:rPr>
            </w:pPr>
            <w:r>
              <w:rPr>
                <w:rFonts w:ascii="Times New Roman"/>
                <w:sz w:val="18"/>
              </w:rPr>
              <w:t>---</w:t>
            </w:r>
          </w:p>
        </w:tc>
      </w:tr>
      <w:tr>
        <w:trPr>
          <w:trHeight w:val="407"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9"/>
              <w:jc w:val="center"/>
              <w:rPr>
                <w:rFonts w:ascii="宋体" w:hAnsi="宋体" w:cs="宋体" w:eastAsia="宋体" w:hint="default"/>
                <w:sz w:val="18"/>
                <w:szCs w:val="18"/>
              </w:rPr>
            </w:pPr>
            <w:r>
              <w:rPr>
                <w:rFonts w:ascii="宋体" w:hAnsi="宋体" w:cs="宋体" w:eastAsia="宋体" w:hint="default"/>
                <w:sz w:val="18"/>
                <w:szCs w:val="18"/>
              </w:rPr>
              <w:t>长春高琦</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34"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16"/>
              <w:jc w:val="right"/>
              <w:rPr>
                <w:rFonts w:ascii="Times New Roman" w:hAnsi="Times New Roman" w:cs="Times New Roman" w:eastAsia="Times New Roman" w:hint="default"/>
                <w:sz w:val="18"/>
                <w:szCs w:val="18"/>
              </w:rPr>
            </w:pPr>
            <w:r>
              <w:rPr>
                <w:rFonts w:ascii="Times New Roman"/>
                <w:spacing w:val="-1"/>
                <w:sz w:val="18"/>
              </w:rPr>
              <w:t>396,960,000.00</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50"/>
              <w:jc w:val="right"/>
              <w:rPr>
                <w:rFonts w:ascii="Times New Roman" w:hAnsi="Times New Roman" w:cs="Times New Roman" w:eastAsia="Times New Roman" w:hint="default"/>
                <w:sz w:val="18"/>
                <w:szCs w:val="18"/>
              </w:rPr>
            </w:pPr>
            <w:r>
              <w:rPr>
                <w:rFonts w:ascii="Times New Roman"/>
                <w:spacing w:val="-1"/>
                <w:sz w:val="18"/>
              </w:rPr>
              <w:t>62,400,000.00</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84"/>
              <w:jc w:val="right"/>
              <w:rPr>
                <w:rFonts w:ascii="Times New Roman" w:hAnsi="Times New Roman" w:cs="Times New Roman" w:eastAsia="Times New Roman" w:hint="default"/>
                <w:sz w:val="18"/>
                <w:szCs w:val="18"/>
              </w:rPr>
            </w:pPr>
            <w:r>
              <w:rPr>
                <w:rFonts w:ascii="Times New Roman"/>
                <w:spacing w:val="-1"/>
                <w:sz w:val="18"/>
              </w:rPr>
              <w:t>334,560,000.00</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52"/>
              <w:jc w:val="right"/>
              <w:rPr>
                <w:rFonts w:ascii="Times New Roman" w:hAnsi="Times New Roman" w:cs="Times New Roman" w:eastAsia="Times New Roman" w:hint="default"/>
                <w:sz w:val="18"/>
                <w:szCs w:val="18"/>
              </w:rPr>
            </w:pPr>
            <w:r>
              <w:rPr>
                <w:rFonts w:ascii="Times New Roman"/>
                <w:sz w:val="18"/>
              </w:rPr>
              <w:t>---</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07"/>
              <w:jc w:val="right"/>
              <w:rPr>
                <w:rFonts w:ascii="Times New Roman" w:hAnsi="Times New Roman" w:cs="Times New Roman" w:eastAsia="Times New Roman" w:hint="default"/>
                <w:sz w:val="18"/>
                <w:szCs w:val="18"/>
              </w:rPr>
            </w:pPr>
            <w:r>
              <w:rPr>
                <w:rFonts w:ascii="Times New Roman"/>
                <w:spacing w:val="-1"/>
                <w:sz w:val="18"/>
              </w:rPr>
              <w:t>396,960,000.00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49"/>
              <w:jc w:val="right"/>
              <w:rPr>
                <w:rFonts w:ascii="Times New Roman" w:hAnsi="Times New Roman" w:cs="Times New Roman" w:eastAsia="Times New Roman" w:hint="default"/>
                <w:sz w:val="18"/>
                <w:szCs w:val="18"/>
              </w:rPr>
            </w:pPr>
            <w:r>
              <w:rPr>
                <w:rFonts w:ascii="Times New Roman"/>
                <w:sz w:val="18"/>
              </w:rPr>
              <w:t>84.63</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94"/>
              <w:ind w:left="240" w:right="0"/>
              <w:jc w:val="left"/>
              <w:rPr>
                <w:rFonts w:ascii="Times New Roman" w:hAnsi="Times New Roman" w:cs="Times New Roman" w:eastAsia="Times New Roman" w:hint="default"/>
                <w:sz w:val="18"/>
                <w:szCs w:val="18"/>
              </w:rPr>
            </w:pPr>
            <w:r>
              <w:rPr>
                <w:rFonts w:ascii="Times New Roman"/>
                <w:sz w:val="18"/>
              </w:rPr>
              <w:t>84.63</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06"/>
              <w:jc w:val="right"/>
              <w:rPr>
                <w:rFonts w:ascii="Times New Roman" w:hAnsi="Times New Roman" w:cs="Times New Roman" w:eastAsia="Times New Roman" w:hint="default"/>
                <w:sz w:val="18"/>
                <w:szCs w:val="18"/>
              </w:rPr>
            </w:pPr>
            <w:r>
              <w:rPr>
                <w:rFonts w:ascii="Times New Roman"/>
                <w:sz w:val="18"/>
              </w:rPr>
              <w:t>---</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08" w:right="0"/>
              <w:jc w:val="left"/>
              <w:rPr>
                <w:rFonts w:ascii="Times New Roman" w:hAnsi="Times New Roman" w:cs="Times New Roman" w:eastAsia="Times New Roman" w:hint="default"/>
                <w:sz w:val="18"/>
                <w:szCs w:val="18"/>
              </w:rPr>
            </w:pPr>
            <w:r>
              <w:rPr>
                <w:rFonts w:ascii="Times New Roman"/>
                <w:sz w:val="18"/>
              </w:rPr>
              <w:t>---</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70"/>
              <w:jc w:val="right"/>
              <w:rPr>
                <w:rFonts w:ascii="Times New Roman" w:hAnsi="Times New Roman" w:cs="Times New Roman" w:eastAsia="Times New Roman" w:hint="default"/>
                <w:sz w:val="18"/>
                <w:szCs w:val="18"/>
              </w:rPr>
            </w:pPr>
            <w:r>
              <w:rPr>
                <w:rFonts w:ascii="Times New Roman"/>
                <w:sz w:val="18"/>
              </w:rPr>
              <w:t>---</w:t>
            </w:r>
          </w:p>
        </w:tc>
        <w:tc>
          <w:tcPr>
            <w:tcW w:w="58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3"/>
              <w:jc w:val="right"/>
              <w:rPr>
                <w:rFonts w:ascii="Times New Roman" w:hAnsi="Times New Roman" w:cs="Times New Roman" w:eastAsia="Times New Roman" w:hint="default"/>
                <w:sz w:val="18"/>
                <w:szCs w:val="18"/>
              </w:rPr>
            </w:pPr>
            <w:r>
              <w:rPr>
                <w:rFonts w:ascii="Times New Roman"/>
                <w:sz w:val="18"/>
              </w:rPr>
              <w:t>---</w:t>
            </w:r>
          </w:p>
        </w:tc>
      </w:tr>
      <w:tr>
        <w:trPr>
          <w:trHeight w:val="407"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9"/>
              <w:jc w:val="center"/>
              <w:rPr>
                <w:rFonts w:ascii="宋体" w:hAnsi="宋体" w:cs="宋体" w:eastAsia="宋体" w:hint="default"/>
                <w:sz w:val="18"/>
                <w:szCs w:val="18"/>
              </w:rPr>
            </w:pPr>
            <w:r>
              <w:rPr>
                <w:rFonts w:ascii="宋体" w:hAnsi="宋体" w:cs="宋体" w:eastAsia="宋体" w:hint="default"/>
                <w:sz w:val="18"/>
                <w:szCs w:val="18"/>
              </w:rPr>
              <w:t>惠程高能</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34"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16"/>
              <w:jc w:val="right"/>
              <w:rPr>
                <w:rFonts w:ascii="Times New Roman" w:hAnsi="Times New Roman" w:cs="Times New Roman" w:eastAsia="Times New Roman" w:hint="default"/>
                <w:sz w:val="18"/>
                <w:szCs w:val="18"/>
              </w:rPr>
            </w:pPr>
            <w:r>
              <w:rPr>
                <w:rFonts w:ascii="Times New Roman"/>
                <w:spacing w:val="-1"/>
                <w:sz w:val="18"/>
              </w:rPr>
              <w:t>5,000,000.00</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51"/>
              <w:jc w:val="right"/>
              <w:rPr>
                <w:rFonts w:ascii="Times New Roman" w:hAnsi="Times New Roman" w:cs="Times New Roman" w:eastAsia="Times New Roman" w:hint="default"/>
                <w:sz w:val="18"/>
                <w:szCs w:val="18"/>
              </w:rPr>
            </w:pPr>
            <w:r>
              <w:rPr>
                <w:rFonts w:ascii="Times New Roman"/>
                <w:spacing w:val="-1"/>
                <w:sz w:val="18"/>
              </w:rPr>
              <w:t>4,500,000.00</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84"/>
              <w:jc w:val="right"/>
              <w:rPr>
                <w:rFonts w:ascii="Times New Roman" w:hAnsi="Times New Roman" w:cs="Times New Roman" w:eastAsia="Times New Roman" w:hint="default"/>
                <w:sz w:val="18"/>
                <w:szCs w:val="18"/>
              </w:rPr>
            </w:pPr>
            <w:r>
              <w:rPr>
                <w:rFonts w:ascii="Times New Roman"/>
                <w:sz w:val="18"/>
              </w:rPr>
              <w:t>500,000.00</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52"/>
              <w:jc w:val="right"/>
              <w:rPr>
                <w:rFonts w:ascii="Times New Roman" w:hAnsi="Times New Roman" w:cs="Times New Roman" w:eastAsia="Times New Roman" w:hint="default"/>
                <w:sz w:val="18"/>
                <w:szCs w:val="18"/>
              </w:rPr>
            </w:pPr>
            <w:r>
              <w:rPr>
                <w:rFonts w:ascii="Times New Roman"/>
                <w:sz w:val="18"/>
              </w:rPr>
              <w:t>---</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08"/>
              <w:jc w:val="right"/>
              <w:rPr>
                <w:rFonts w:ascii="Times New Roman" w:hAnsi="Times New Roman" w:cs="Times New Roman" w:eastAsia="Times New Roman" w:hint="default"/>
                <w:sz w:val="18"/>
                <w:szCs w:val="18"/>
              </w:rPr>
            </w:pPr>
            <w:r>
              <w:rPr>
                <w:rFonts w:ascii="Times New Roman"/>
                <w:spacing w:val="-1"/>
                <w:sz w:val="18"/>
              </w:rPr>
              <w:t>5,000,000.00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48"/>
              <w:jc w:val="right"/>
              <w:rPr>
                <w:rFonts w:ascii="Times New Roman" w:hAnsi="Times New Roman" w:cs="Times New Roman" w:eastAsia="Times New Roman" w:hint="default"/>
                <w:sz w:val="18"/>
                <w:szCs w:val="18"/>
              </w:rPr>
            </w:pPr>
            <w:r>
              <w:rPr>
                <w:rFonts w:ascii="Times New Roman"/>
                <w:sz w:val="18"/>
              </w:rPr>
              <w:t>100.00</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50" w:right="0"/>
              <w:jc w:val="left"/>
              <w:rPr>
                <w:rFonts w:ascii="Times New Roman" w:hAnsi="Times New Roman" w:cs="Times New Roman" w:eastAsia="Times New Roman" w:hint="default"/>
                <w:sz w:val="18"/>
                <w:szCs w:val="18"/>
              </w:rPr>
            </w:pPr>
            <w:r>
              <w:rPr>
                <w:rFonts w:ascii="Times New Roman"/>
                <w:sz w:val="18"/>
              </w:rPr>
              <w:t>100.00</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06"/>
              <w:jc w:val="right"/>
              <w:rPr>
                <w:rFonts w:ascii="Times New Roman" w:hAnsi="Times New Roman" w:cs="Times New Roman" w:eastAsia="Times New Roman" w:hint="default"/>
                <w:sz w:val="18"/>
                <w:szCs w:val="18"/>
              </w:rPr>
            </w:pPr>
            <w:r>
              <w:rPr>
                <w:rFonts w:ascii="Times New Roman"/>
                <w:sz w:val="18"/>
              </w:rPr>
              <w:t>---</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08" w:right="0"/>
              <w:jc w:val="left"/>
              <w:rPr>
                <w:rFonts w:ascii="Times New Roman" w:hAnsi="Times New Roman" w:cs="Times New Roman" w:eastAsia="Times New Roman" w:hint="default"/>
                <w:sz w:val="18"/>
                <w:szCs w:val="18"/>
              </w:rPr>
            </w:pPr>
            <w:r>
              <w:rPr>
                <w:rFonts w:ascii="Times New Roman"/>
                <w:sz w:val="18"/>
              </w:rPr>
              <w:t>---</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70"/>
              <w:jc w:val="right"/>
              <w:rPr>
                <w:rFonts w:ascii="Times New Roman" w:hAnsi="Times New Roman" w:cs="Times New Roman" w:eastAsia="Times New Roman" w:hint="default"/>
                <w:sz w:val="18"/>
                <w:szCs w:val="18"/>
              </w:rPr>
            </w:pPr>
            <w:r>
              <w:rPr>
                <w:rFonts w:ascii="Times New Roman"/>
                <w:sz w:val="18"/>
              </w:rPr>
              <w:t>---</w:t>
            </w:r>
          </w:p>
        </w:tc>
        <w:tc>
          <w:tcPr>
            <w:tcW w:w="58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3"/>
              <w:jc w:val="right"/>
              <w:rPr>
                <w:rFonts w:ascii="Times New Roman" w:hAnsi="Times New Roman" w:cs="Times New Roman" w:eastAsia="Times New Roman" w:hint="default"/>
                <w:sz w:val="18"/>
                <w:szCs w:val="18"/>
              </w:rPr>
            </w:pPr>
            <w:r>
              <w:rPr>
                <w:rFonts w:ascii="Times New Roman"/>
                <w:sz w:val="18"/>
              </w:rPr>
              <w:t>---</w:t>
            </w:r>
          </w:p>
        </w:tc>
      </w:tr>
      <w:tr>
        <w:trPr>
          <w:trHeight w:val="407"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9"/>
              <w:jc w:val="center"/>
              <w:rPr>
                <w:rFonts w:ascii="宋体" w:hAnsi="宋体" w:cs="宋体" w:eastAsia="宋体" w:hint="default"/>
                <w:sz w:val="18"/>
                <w:szCs w:val="18"/>
              </w:rPr>
            </w:pPr>
            <w:r>
              <w:rPr>
                <w:rFonts w:ascii="宋体" w:hAnsi="宋体" w:cs="宋体" w:eastAsia="宋体" w:hint="default"/>
                <w:sz w:val="18"/>
                <w:szCs w:val="18"/>
              </w:rPr>
              <w:t>北京高航</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34"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17"/>
              <w:jc w:val="right"/>
              <w:rPr>
                <w:rFonts w:ascii="Times New Roman" w:hAnsi="Times New Roman" w:cs="Times New Roman" w:eastAsia="Times New Roman" w:hint="default"/>
                <w:sz w:val="18"/>
                <w:szCs w:val="18"/>
              </w:rPr>
            </w:pPr>
            <w:r>
              <w:rPr>
                <w:rFonts w:ascii="Times New Roman"/>
                <w:spacing w:val="-1"/>
                <w:sz w:val="18"/>
              </w:rPr>
              <w:t>6,300,000.00</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52"/>
              <w:jc w:val="right"/>
              <w:rPr>
                <w:rFonts w:ascii="Times New Roman" w:hAnsi="Times New Roman" w:cs="Times New Roman" w:eastAsia="Times New Roman" w:hint="default"/>
                <w:sz w:val="18"/>
                <w:szCs w:val="18"/>
              </w:rPr>
            </w:pPr>
            <w:r>
              <w:rPr>
                <w:rFonts w:ascii="Times New Roman"/>
                <w:sz w:val="18"/>
              </w:rPr>
              <w:t>---</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86"/>
              <w:jc w:val="right"/>
              <w:rPr>
                <w:rFonts w:ascii="Times New Roman" w:hAnsi="Times New Roman" w:cs="Times New Roman" w:eastAsia="Times New Roman" w:hint="default"/>
                <w:sz w:val="18"/>
                <w:szCs w:val="18"/>
              </w:rPr>
            </w:pPr>
            <w:r>
              <w:rPr>
                <w:rFonts w:ascii="Times New Roman"/>
                <w:spacing w:val="-1"/>
                <w:sz w:val="18"/>
              </w:rPr>
              <w:t>6,300,000.00</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52"/>
              <w:jc w:val="right"/>
              <w:rPr>
                <w:rFonts w:ascii="Times New Roman" w:hAnsi="Times New Roman" w:cs="Times New Roman" w:eastAsia="Times New Roman" w:hint="default"/>
                <w:sz w:val="18"/>
                <w:szCs w:val="18"/>
              </w:rPr>
            </w:pPr>
            <w:r>
              <w:rPr>
                <w:rFonts w:ascii="Times New Roman"/>
                <w:sz w:val="18"/>
              </w:rPr>
              <w:t>---</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08"/>
              <w:jc w:val="right"/>
              <w:rPr>
                <w:rFonts w:ascii="Times New Roman" w:hAnsi="Times New Roman" w:cs="Times New Roman" w:eastAsia="Times New Roman" w:hint="default"/>
                <w:sz w:val="18"/>
                <w:szCs w:val="18"/>
              </w:rPr>
            </w:pPr>
            <w:r>
              <w:rPr>
                <w:rFonts w:ascii="Times New Roman"/>
                <w:spacing w:val="-1"/>
                <w:sz w:val="18"/>
              </w:rPr>
              <w:t>6,300,000.00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48"/>
              <w:jc w:val="right"/>
              <w:rPr>
                <w:rFonts w:ascii="Times New Roman" w:hAnsi="Times New Roman" w:cs="Times New Roman" w:eastAsia="Times New Roman" w:hint="default"/>
                <w:sz w:val="18"/>
                <w:szCs w:val="18"/>
              </w:rPr>
            </w:pPr>
            <w:r>
              <w:rPr>
                <w:rFonts w:ascii="Times New Roman"/>
                <w:sz w:val="18"/>
              </w:rPr>
              <w:t>63.00</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94"/>
              <w:ind w:left="240" w:right="0"/>
              <w:jc w:val="left"/>
              <w:rPr>
                <w:rFonts w:ascii="Times New Roman" w:hAnsi="Times New Roman" w:cs="Times New Roman" w:eastAsia="Times New Roman" w:hint="default"/>
                <w:sz w:val="18"/>
                <w:szCs w:val="18"/>
              </w:rPr>
            </w:pPr>
            <w:r>
              <w:rPr>
                <w:rFonts w:ascii="Times New Roman"/>
                <w:sz w:val="18"/>
              </w:rPr>
              <w:t>63.00</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06"/>
              <w:jc w:val="right"/>
              <w:rPr>
                <w:rFonts w:ascii="Times New Roman" w:hAnsi="Times New Roman" w:cs="Times New Roman" w:eastAsia="Times New Roman" w:hint="default"/>
                <w:sz w:val="18"/>
                <w:szCs w:val="18"/>
              </w:rPr>
            </w:pPr>
            <w:r>
              <w:rPr>
                <w:rFonts w:ascii="Times New Roman"/>
                <w:sz w:val="18"/>
              </w:rPr>
              <w:t>---</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08" w:right="0"/>
              <w:jc w:val="left"/>
              <w:rPr>
                <w:rFonts w:ascii="Times New Roman" w:hAnsi="Times New Roman" w:cs="Times New Roman" w:eastAsia="Times New Roman" w:hint="default"/>
                <w:sz w:val="18"/>
                <w:szCs w:val="18"/>
              </w:rPr>
            </w:pPr>
            <w:r>
              <w:rPr>
                <w:rFonts w:ascii="Times New Roman"/>
                <w:sz w:val="18"/>
              </w:rPr>
              <w:t>---</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70"/>
              <w:jc w:val="right"/>
              <w:rPr>
                <w:rFonts w:ascii="Times New Roman" w:hAnsi="Times New Roman" w:cs="Times New Roman" w:eastAsia="Times New Roman" w:hint="default"/>
                <w:sz w:val="18"/>
                <w:szCs w:val="18"/>
              </w:rPr>
            </w:pPr>
            <w:r>
              <w:rPr>
                <w:rFonts w:ascii="Times New Roman"/>
                <w:sz w:val="18"/>
              </w:rPr>
              <w:t>---</w:t>
            </w:r>
          </w:p>
        </w:tc>
        <w:tc>
          <w:tcPr>
            <w:tcW w:w="58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3"/>
              <w:jc w:val="right"/>
              <w:rPr>
                <w:rFonts w:ascii="Times New Roman" w:hAnsi="Times New Roman" w:cs="Times New Roman" w:eastAsia="Times New Roman" w:hint="default"/>
                <w:sz w:val="18"/>
                <w:szCs w:val="18"/>
              </w:rPr>
            </w:pPr>
            <w:r>
              <w:rPr>
                <w:rFonts w:ascii="Times New Roman"/>
                <w:sz w:val="18"/>
              </w:rPr>
              <w:t>---</w:t>
            </w:r>
          </w:p>
        </w:tc>
      </w:tr>
      <w:tr>
        <w:trPr>
          <w:trHeight w:val="407"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9"/>
              <w:jc w:val="center"/>
              <w:rPr>
                <w:rFonts w:ascii="宋体" w:hAnsi="宋体" w:cs="宋体" w:eastAsia="宋体" w:hint="default"/>
                <w:sz w:val="18"/>
                <w:szCs w:val="18"/>
              </w:rPr>
            </w:pPr>
            <w:r>
              <w:rPr>
                <w:rFonts w:ascii="宋体" w:hAnsi="宋体" w:cs="宋体" w:eastAsia="宋体" w:hint="default"/>
                <w:sz w:val="18"/>
                <w:szCs w:val="18"/>
              </w:rPr>
              <w:t>江西先材</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34"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17"/>
              <w:jc w:val="right"/>
              <w:rPr>
                <w:rFonts w:ascii="Times New Roman" w:hAnsi="Times New Roman" w:cs="Times New Roman" w:eastAsia="Times New Roman" w:hint="default"/>
                <w:sz w:val="18"/>
                <w:szCs w:val="18"/>
              </w:rPr>
            </w:pPr>
            <w:r>
              <w:rPr>
                <w:rFonts w:ascii="Times New Roman"/>
                <w:spacing w:val="-1"/>
                <w:sz w:val="18"/>
              </w:rPr>
              <w:t>47,520,000.00</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52"/>
              <w:jc w:val="right"/>
              <w:rPr>
                <w:rFonts w:ascii="Times New Roman" w:hAnsi="Times New Roman" w:cs="Times New Roman" w:eastAsia="Times New Roman" w:hint="default"/>
                <w:sz w:val="18"/>
                <w:szCs w:val="18"/>
              </w:rPr>
            </w:pPr>
            <w:r>
              <w:rPr>
                <w:rFonts w:ascii="Times New Roman"/>
                <w:sz w:val="18"/>
              </w:rPr>
              <w:t>---</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85"/>
              <w:jc w:val="right"/>
              <w:rPr>
                <w:rFonts w:ascii="Times New Roman" w:hAnsi="Times New Roman" w:cs="Times New Roman" w:eastAsia="Times New Roman" w:hint="default"/>
                <w:sz w:val="18"/>
                <w:szCs w:val="18"/>
              </w:rPr>
            </w:pPr>
            <w:r>
              <w:rPr>
                <w:rFonts w:ascii="Times New Roman"/>
                <w:spacing w:val="-1"/>
                <w:sz w:val="18"/>
              </w:rPr>
              <w:t>47,520,000.00</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52"/>
              <w:jc w:val="right"/>
              <w:rPr>
                <w:rFonts w:ascii="Times New Roman" w:hAnsi="Times New Roman" w:cs="Times New Roman" w:eastAsia="Times New Roman" w:hint="default"/>
                <w:sz w:val="18"/>
                <w:szCs w:val="18"/>
              </w:rPr>
            </w:pPr>
            <w:r>
              <w:rPr>
                <w:rFonts w:ascii="Times New Roman"/>
                <w:sz w:val="18"/>
              </w:rPr>
              <w:t>---</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08"/>
              <w:jc w:val="right"/>
              <w:rPr>
                <w:rFonts w:ascii="Times New Roman" w:hAnsi="Times New Roman" w:cs="Times New Roman" w:eastAsia="Times New Roman" w:hint="default"/>
                <w:sz w:val="18"/>
                <w:szCs w:val="18"/>
              </w:rPr>
            </w:pPr>
            <w:r>
              <w:rPr>
                <w:rFonts w:ascii="Times New Roman"/>
                <w:spacing w:val="-1"/>
                <w:sz w:val="18"/>
              </w:rPr>
              <w:t>47,520,000.00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48"/>
              <w:jc w:val="right"/>
              <w:rPr>
                <w:rFonts w:ascii="Times New Roman" w:hAnsi="Times New Roman" w:cs="Times New Roman" w:eastAsia="Times New Roman" w:hint="default"/>
                <w:sz w:val="18"/>
                <w:szCs w:val="18"/>
              </w:rPr>
            </w:pPr>
            <w:r>
              <w:rPr>
                <w:rFonts w:ascii="Times New Roman"/>
                <w:sz w:val="18"/>
              </w:rPr>
              <w:t>52.80</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94"/>
              <w:ind w:left="240" w:right="0"/>
              <w:jc w:val="left"/>
              <w:rPr>
                <w:rFonts w:ascii="Times New Roman" w:hAnsi="Times New Roman" w:cs="Times New Roman" w:eastAsia="Times New Roman" w:hint="default"/>
                <w:sz w:val="18"/>
                <w:szCs w:val="18"/>
              </w:rPr>
            </w:pPr>
            <w:r>
              <w:rPr>
                <w:rFonts w:ascii="Times New Roman"/>
                <w:sz w:val="18"/>
              </w:rPr>
              <w:t>52.80</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06"/>
              <w:jc w:val="right"/>
              <w:rPr>
                <w:rFonts w:ascii="Times New Roman" w:hAnsi="Times New Roman" w:cs="Times New Roman" w:eastAsia="Times New Roman" w:hint="default"/>
                <w:sz w:val="18"/>
                <w:szCs w:val="18"/>
              </w:rPr>
            </w:pPr>
            <w:r>
              <w:rPr>
                <w:rFonts w:ascii="Times New Roman"/>
                <w:sz w:val="18"/>
              </w:rPr>
              <w:t>---</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08" w:right="0"/>
              <w:jc w:val="left"/>
              <w:rPr>
                <w:rFonts w:ascii="Times New Roman" w:hAnsi="Times New Roman" w:cs="Times New Roman" w:eastAsia="Times New Roman" w:hint="default"/>
                <w:sz w:val="18"/>
                <w:szCs w:val="18"/>
              </w:rPr>
            </w:pPr>
            <w:r>
              <w:rPr>
                <w:rFonts w:ascii="Times New Roman"/>
                <w:sz w:val="18"/>
              </w:rPr>
              <w:t>---</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70"/>
              <w:jc w:val="right"/>
              <w:rPr>
                <w:rFonts w:ascii="Times New Roman" w:hAnsi="Times New Roman" w:cs="Times New Roman" w:eastAsia="Times New Roman" w:hint="default"/>
                <w:sz w:val="18"/>
                <w:szCs w:val="18"/>
              </w:rPr>
            </w:pPr>
            <w:r>
              <w:rPr>
                <w:rFonts w:ascii="Times New Roman"/>
                <w:sz w:val="18"/>
              </w:rPr>
              <w:t>---</w:t>
            </w:r>
          </w:p>
        </w:tc>
        <w:tc>
          <w:tcPr>
            <w:tcW w:w="58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3"/>
              <w:jc w:val="right"/>
              <w:rPr>
                <w:rFonts w:ascii="Times New Roman" w:hAnsi="Times New Roman" w:cs="Times New Roman" w:eastAsia="Times New Roman" w:hint="default"/>
                <w:sz w:val="18"/>
                <w:szCs w:val="18"/>
              </w:rPr>
            </w:pPr>
            <w:r>
              <w:rPr>
                <w:rFonts w:ascii="Times New Roman"/>
                <w:sz w:val="18"/>
              </w:rPr>
              <w:t>---</w:t>
            </w:r>
          </w:p>
        </w:tc>
      </w:tr>
      <w:tr>
        <w:trPr>
          <w:trHeight w:val="407"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9"/>
              <w:jc w:val="center"/>
              <w:rPr>
                <w:rFonts w:ascii="宋体" w:hAnsi="宋体" w:cs="宋体" w:eastAsia="宋体" w:hint="default"/>
                <w:sz w:val="18"/>
                <w:szCs w:val="18"/>
              </w:rPr>
            </w:pPr>
            <w:r>
              <w:rPr>
                <w:rFonts w:ascii="宋体" w:hAnsi="宋体" w:cs="宋体" w:eastAsia="宋体" w:hint="default"/>
                <w:sz w:val="18"/>
                <w:szCs w:val="18"/>
              </w:rPr>
              <w:t>成本法小计</w:t>
            </w:r>
          </w:p>
        </w:tc>
        <w:tc>
          <w:tcPr>
            <w:tcW w:w="929"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16"/>
              <w:jc w:val="right"/>
              <w:rPr>
                <w:rFonts w:ascii="Times New Roman" w:hAnsi="Times New Roman" w:cs="Times New Roman" w:eastAsia="Times New Roman" w:hint="default"/>
                <w:sz w:val="18"/>
                <w:szCs w:val="18"/>
              </w:rPr>
            </w:pPr>
            <w:r>
              <w:rPr>
                <w:rFonts w:ascii="Times New Roman"/>
                <w:spacing w:val="-1"/>
                <w:sz w:val="18"/>
              </w:rPr>
              <w:t>457,489,525.00</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50"/>
              <w:jc w:val="right"/>
              <w:rPr>
                <w:rFonts w:ascii="Times New Roman" w:hAnsi="Times New Roman" w:cs="Times New Roman" w:eastAsia="Times New Roman" w:hint="default"/>
                <w:sz w:val="18"/>
                <w:szCs w:val="18"/>
              </w:rPr>
            </w:pPr>
            <w:r>
              <w:rPr>
                <w:rFonts w:ascii="Times New Roman"/>
                <w:spacing w:val="-1"/>
                <w:sz w:val="18"/>
              </w:rPr>
              <w:t>68,609,525.00</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84"/>
              <w:jc w:val="right"/>
              <w:rPr>
                <w:rFonts w:ascii="Times New Roman" w:hAnsi="Times New Roman" w:cs="Times New Roman" w:eastAsia="Times New Roman" w:hint="default"/>
                <w:sz w:val="18"/>
                <w:szCs w:val="18"/>
              </w:rPr>
            </w:pPr>
            <w:r>
              <w:rPr>
                <w:rFonts w:ascii="Times New Roman"/>
                <w:spacing w:val="-1"/>
                <w:sz w:val="18"/>
              </w:rPr>
              <w:t>388,880,000.00</w:t>
            </w:r>
          </w:p>
        </w:tc>
        <w:tc>
          <w:tcPr>
            <w:tcW w:w="722" w:type="dxa"/>
            <w:tcBorders>
              <w:top w:val="nil" w:sz="6" w:space="0" w:color="auto"/>
              <w:left w:val="nil" w:sz="6" w:space="0" w:color="auto"/>
              <w:bottom w:val="nil" w:sz="6" w:space="0" w:color="auto"/>
              <w:right w:val="nil" w:sz="6" w:space="0" w:color="auto"/>
            </w:tcBorders>
          </w:tcPr>
          <w:p>
            <w:pP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06"/>
              <w:jc w:val="right"/>
              <w:rPr>
                <w:rFonts w:ascii="Times New Roman" w:hAnsi="Times New Roman" w:cs="Times New Roman" w:eastAsia="Times New Roman" w:hint="default"/>
                <w:sz w:val="18"/>
                <w:szCs w:val="18"/>
              </w:rPr>
            </w:pPr>
            <w:r>
              <w:rPr>
                <w:rFonts w:ascii="Times New Roman"/>
                <w:spacing w:val="-1"/>
                <w:sz w:val="18"/>
              </w:rPr>
              <w:t>457,489,525.00</w:t>
            </w:r>
          </w:p>
        </w:tc>
        <w:tc>
          <w:tcPr>
            <w:tcW w:w="955"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
        </w:tc>
        <w:tc>
          <w:tcPr>
            <w:tcW w:w="1173" w:type="dxa"/>
            <w:tcBorders>
              <w:top w:val="nil" w:sz="6" w:space="0" w:color="auto"/>
              <w:left w:val="nil" w:sz="6" w:space="0" w:color="auto"/>
              <w:bottom w:val="nil" w:sz="6" w:space="0" w:color="auto"/>
              <w:right w:val="nil" w:sz="6" w:space="0" w:color="auto"/>
            </w:tcBorders>
          </w:tcPr>
          <w:p>
            <w:pPr/>
          </w:p>
        </w:tc>
        <w:tc>
          <w:tcPr>
            <w:tcW w:w="956"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p>
        </w:tc>
        <w:tc>
          <w:tcPr>
            <w:tcW w:w="588" w:type="dxa"/>
            <w:tcBorders>
              <w:top w:val="nil" w:sz="6" w:space="0" w:color="auto"/>
              <w:left w:val="nil" w:sz="6" w:space="0" w:color="auto"/>
              <w:bottom w:val="nil" w:sz="6" w:space="0" w:color="auto"/>
              <w:right w:val="nil" w:sz="6" w:space="0" w:color="auto"/>
            </w:tcBorders>
          </w:tcPr>
          <w:p>
            <w:pPr/>
          </w:p>
        </w:tc>
      </w:tr>
      <w:tr>
        <w:trPr>
          <w:trHeight w:val="414"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8"/>
              <w:jc w:val="center"/>
              <w:rPr>
                <w:rFonts w:ascii="宋体" w:hAnsi="宋体" w:cs="宋体" w:eastAsia="宋体" w:hint="default"/>
                <w:sz w:val="18"/>
                <w:szCs w:val="18"/>
              </w:rPr>
            </w:pPr>
            <w:r>
              <w:rPr>
                <w:rFonts w:ascii="宋体" w:hAnsi="宋体" w:cs="宋体" w:eastAsia="宋体" w:hint="default"/>
                <w:sz w:val="18"/>
                <w:szCs w:val="18"/>
              </w:rPr>
              <w:t>合计</w:t>
            </w:r>
          </w:p>
        </w:tc>
        <w:tc>
          <w:tcPr>
            <w:tcW w:w="929"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16"/>
              <w:jc w:val="right"/>
              <w:rPr>
                <w:rFonts w:ascii="Times New Roman" w:hAnsi="Times New Roman" w:cs="Times New Roman" w:eastAsia="Times New Roman" w:hint="default"/>
                <w:sz w:val="18"/>
                <w:szCs w:val="18"/>
              </w:rPr>
            </w:pPr>
            <w:r>
              <w:rPr>
                <w:rFonts w:ascii="Times New Roman"/>
                <w:spacing w:val="-1"/>
                <w:sz w:val="18"/>
              </w:rPr>
              <w:t>457,489,525.00</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50"/>
              <w:jc w:val="right"/>
              <w:rPr>
                <w:rFonts w:ascii="Times New Roman" w:hAnsi="Times New Roman" w:cs="Times New Roman" w:eastAsia="Times New Roman" w:hint="default"/>
                <w:sz w:val="18"/>
                <w:szCs w:val="18"/>
              </w:rPr>
            </w:pPr>
            <w:r>
              <w:rPr>
                <w:rFonts w:ascii="Times New Roman"/>
                <w:spacing w:val="-1"/>
                <w:sz w:val="18"/>
              </w:rPr>
              <w:t>68,609,525.00</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84"/>
              <w:jc w:val="right"/>
              <w:rPr>
                <w:rFonts w:ascii="Times New Roman" w:hAnsi="Times New Roman" w:cs="Times New Roman" w:eastAsia="Times New Roman" w:hint="default"/>
                <w:sz w:val="18"/>
                <w:szCs w:val="18"/>
              </w:rPr>
            </w:pPr>
            <w:r>
              <w:rPr>
                <w:rFonts w:ascii="Times New Roman"/>
                <w:spacing w:val="-1"/>
                <w:sz w:val="18"/>
              </w:rPr>
              <w:t>388,880,000.00</w:t>
            </w:r>
          </w:p>
        </w:tc>
        <w:tc>
          <w:tcPr>
            <w:tcW w:w="722" w:type="dxa"/>
            <w:tcBorders>
              <w:top w:val="nil" w:sz="6" w:space="0" w:color="auto"/>
              <w:left w:val="nil" w:sz="6" w:space="0" w:color="auto"/>
              <w:bottom w:val="nil" w:sz="6" w:space="0" w:color="auto"/>
              <w:right w:val="nil" w:sz="6" w:space="0" w:color="auto"/>
            </w:tcBorders>
          </w:tcPr>
          <w:p>
            <w:pP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06"/>
              <w:jc w:val="right"/>
              <w:rPr>
                <w:rFonts w:ascii="Times New Roman" w:hAnsi="Times New Roman" w:cs="Times New Roman" w:eastAsia="Times New Roman" w:hint="default"/>
                <w:sz w:val="18"/>
                <w:szCs w:val="18"/>
              </w:rPr>
            </w:pPr>
            <w:r>
              <w:rPr>
                <w:rFonts w:ascii="Times New Roman"/>
                <w:spacing w:val="-1"/>
                <w:sz w:val="18"/>
              </w:rPr>
              <w:t>457,489,525.00</w:t>
            </w:r>
          </w:p>
        </w:tc>
        <w:tc>
          <w:tcPr>
            <w:tcW w:w="955"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
        </w:tc>
        <w:tc>
          <w:tcPr>
            <w:tcW w:w="1173" w:type="dxa"/>
            <w:tcBorders>
              <w:top w:val="nil" w:sz="6" w:space="0" w:color="auto"/>
              <w:left w:val="nil" w:sz="6" w:space="0" w:color="auto"/>
              <w:bottom w:val="nil" w:sz="6" w:space="0" w:color="auto"/>
              <w:right w:val="nil" w:sz="6" w:space="0" w:color="auto"/>
            </w:tcBorders>
          </w:tcPr>
          <w:p>
            <w:pPr/>
          </w:p>
        </w:tc>
        <w:tc>
          <w:tcPr>
            <w:tcW w:w="956"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p>
        </w:tc>
        <w:tc>
          <w:tcPr>
            <w:tcW w:w="588" w:type="dxa"/>
            <w:tcBorders>
              <w:top w:val="nil" w:sz="6" w:space="0" w:color="auto"/>
              <w:left w:val="nil" w:sz="6" w:space="0" w:color="auto"/>
              <w:bottom w:val="nil" w:sz="6" w:space="0" w:color="auto"/>
              <w:right w:val="nil" w:sz="6" w:space="0" w:color="auto"/>
            </w:tcBorders>
          </w:tcPr>
          <w:p>
            <w:pPr/>
          </w:p>
        </w:tc>
      </w:tr>
    </w:tbl>
    <w:p>
      <w:pPr>
        <w:spacing w:line="240" w:lineRule="auto" w:before="13"/>
        <w:rPr>
          <w:rFonts w:ascii="宋体" w:hAnsi="宋体" w:cs="宋体" w:eastAsia="宋体" w:hint="default"/>
          <w:sz w:val="29"/>
          <w:szCs w:val="29"/>
        </w:rPr>
      </w:pPr>
    </w:p>
    <w:p>
      <w:pPr>
        <w:spacing w:before="35"/>
        <w:ind w:left="1339" w:right="0" w:firstLine="0"/>
        <w:jc w:val="left"/>
        <w:rPr>
          <w:rFonts w:ascii="宋体" w:hAnsi="宋体" w:cs="宋体" w:eastAsia="宋体" w:hint="default"/>
          <w:sz w:val="21"/>
          <w:szCs w:val="21"/>
        </w:rPr>
      </w:pPr>
      <w:r>
        <w:rPr>
          <w:rFonts w:ascii="宋体" w:hAnsi="宋体" w:cs="宋体" w:eastAsia="宋体" w:hint="default"/>
          <w:b/>
          <w:bCs/>
          <w:sz w:val="21"/>
          <w:szCs w:val="21"/>
        </w:rPr>
        <w:t>本年长期股权投资增减变动详见附注四。</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4"/>
          <w:szCs w:val="24"/>
        </w:rPr>
      </w:pPr>
    </w:p>
    <w:p>
      <w:pPr>
        <w:spacing w:before="76"/>
        <w:ind w:left="0" w:right="1059" w:firstLine="0"/>
        <w:jc w:val="right"/>
        <w:rPr>
          <w:rFonts w:ascii="Times New Roman" w:hAnsi="Times New Roman" w:cs="Times New Roman" w:eastAsia="Times New Roman" w:hint="default"/>
          <w:sz w:val="18"/>
          <w:szCs w:val="18"/>
        </w:rPr>
      </w:pPr>
      <w:r>
        <w:rPr>
          <w:rFonts w:ascii="Times New Roman"/>
          <w:sz w:val="18"/>
        </w:rPr>
        <w:t>167</w:t>
      </w:r>
    </w:p>
    <w:p>
      <w:pPr>
        <w:spacing w:after="0"/>
        <w:jc w:val="right"/>
        <w:rPr>
          <w:rFonts w:ascii="Times New Roman" w:hAnsi="Times New Roman" w:cs="Times New Roman" w:eastAsia="Times New Roman" w:hint="default"/>
          <w:sz w:val="18"/>
          <w:szCs w:val="18"/>
        </w:rPr>
        <w:sectPr>
          <w:type w:val="continuous"/>
          <w:pgSz w:w="16840" w:h="11910" w:orient="landscape"/>
          <w:pgMar w:top="900" w:bottom="1460" w:left="1180" w:right="380"/>
        </w:sect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2"/>
          <w:szCs w:val="22"/>
        </w:rPr>
      </w:pPr>
    </w:p>
    <w:p>
      <w:pPr>
        <w:tabs>
          <w:tab w:pos="867" w:val="left" w:leader="none"/>
        </w:tabs>
        <w:spacing w:before="35"/>
        <w:ind w:left="139" w:right="176"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营业收入和营业成本</w:t>
      </w:r>
      <w:r>
        <w:rPr>
          <w:rFonts w:ascii="宋体" w:hAnsi="宋体" w:cs="宋体" w:eastAsia="宋体" w:hint="default"/>
          <w:sz w:val="21"/>
          <w:szCs w:val="21"/>
        </w:rPr>
      </w:r>
    </w:p>
    <w:p>
      <w:pPr>
        <w:tabs>
          <w:tab w:pos="1308" w:val="left" w:leader="none"/>
        </w:tabs>
        <w:spacing w:before="109"/>
        <w:ind w:left="769" w:right="176" w:firstLine="0"/>
        <w:jc w:val="left"/>
        <w:rPr>
          <w:rFonts w:ascii="宋体" w:hAnsi="宋体" w:cs="宋体" w:eastAsia="宋体" w:hint="default"/>
          <w:sz w:val="21"/>
          <w:szCs w:val="21"/>
        </w:rPr>
      </w:pPr>
      <w:r>
        <w:rPr/>
        <w:pict>
          <v:group style="position:absolute;margin-left:83.760002pt;margin-top:20.833506pt;width:399.75pt;height:50.95pt;mso-position-horizontal-relative:page;mso-position-vertical-relative:paragraph;z-index:-767440" coordorigin="1675,417" coordsize="7995,1019">
            <v:shape style="position:absolute;left:4604;top:417;width:2464;height:298" type="#_x0000_t75" stroked="false">
              <v:imagedata r:id="rId332" o:title=""/>
            </v:shape>
            <v:shape style="position:absolute;left:1675;top:666;width:7994;height:769" type="#_x0000_t75" stroked="false">
              <v:imagedata r:id="rId333" o:title=""/>
            </v:shape>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营业收入、营业成本</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724" w:type="dxa"/>
        <w:tblLayout w:type="fixed"/>
        <w:tblCellMar>
          <w:top w:w="0" w:type="dxa"/>
          <w:left w:w="0" w:type="dxa"/>
          <w:bottom w:w="0" w:type="dxa"/>
          <w:right w:w="0" w:type="dxa"/>
        </w:tblCellMar>
        <w:tblLook w:val="01E0"/>
      </w:tblPr>
      <w:tblGrid>
        <w:gridCol w:w="1237"/>
        <w:gridCol w:w="1472"/>
        <w:gridCol w:w="3039"/>
        <w:gridCol w:w="2188"/>
      </w:tblGrid>
      <w:tr>
        <w:trPr>
          <w:trHeight w:val="512" w:hRule="exact"/>
        </w:trPr>
        <w:tc>
          <w:tcPr>
            <w:tcW w:w="1237" w:type="dxa"/>
            <w:tcBorders>
              <w:top w:val="single" w:sz="12" w:space="0" w:color="000000"/>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7"/>
                <w:szCs w:val="17"/>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1472" w:type="dxa"/>
            <w:tcBorders>
              <w:top w:val="single" w:sz="12" w:space="0" w:color="000000"/>
              <w:left w:val="nil" w:sz="6" w:space="0" w:color="auto"/>
              <w:bottom w:val="nil" w:sz="6" w:space="0" w:color="auto"/>
              <w:right w:val="nil" w:sz="6" w:space="0" w:color="auto"/>
            </w:tcBorders>
          </w:tcPr>
          <w:p>
            <w:pPr>
              <w:pStyle w:val="TableParagraph"/>
              <w:spacing w:line="209" w:lineRule="exact"/>
              <w:ind w:left="49"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3039" w:type="dxa"/>
            <w:tcBorders>
              <w:top w:val="single" w:sz="12" w:space="0" w:color="000000"/>
              <w:left w:val="nil" w:sz="6" w:space="0" w:color="auto"/>
              <w:bottom w:val="nil" w:sz="6" w:space="0" w:color="auto"/>
              <w:right w:val="nil" w:sz="6" w:space="0" w:color="auto"/>
            </w:tcBorders>
          </w:tcPr>
          <w:p>
            <w:pPr>
              <w:pStyle w:val="TableParagraph"/>
              <w:spacing w:line="209" w:lineRule="exact"/>
              <w:ind w:right="191"/>
              <w:jc w:val="center"/>
              <w:rPr>
                <w:rFonts w:ascii="宋体" w:hAnsi="宋体" w:cs="宋体" w:eastAsia="宋体" w:hint="default"/>
                <w:sz w:val="18"/>
                <w:szCs w:val="18"/>
              </w:rPr>
            </w:pPr>
            <w:r>
              <w:rPr>
                <w:rFonts w:ascii="宋体" w:hAnsi="宋体" w:cs="宋体" w:eastAsia="宋体" w:hint="default"/>
                <w:sz w:val="18"/>
                <w:szCs w:val="18"/>
              </w:rPr>
              <w:t>本年金额</w:t>
            </w:r>
          </w:p>
          <w:p>
            <w:pPr>
              <w:pStyle w:val="TableParagraph"/>
              <w:spacing w:line="240" w:lineRule="auto" w:before="52"/>
              <w:ind w:left="1389" w:right="0"/>
              <w:jc w:val="left"/>
              <w:rPr>
                <w:rFonts w:ascii="Times New Roman" w:hAnsi="Times New Roman" w:cs="Times New Roman" w:eastAsia="Times New Roman" w:hint="default"/>
                <w:sz w:val="18"/>
                <w:szCs w:val="18"/>
              </w:rPr>
            </w:pPr>
            <w:r>
              <w:rPr>
                <w:rFonts w:ascii="Times New Roman"/>
                <w:sz w:val="18"/>
              </w:rPr>
              <w:t>360,035,020.27</w:t>
            </w:r>
          </w:p>
        </w:tc>
        <w:tc>
          <w:tcPr>
            <w:tcW w:w="2188" w:type="dxa"/>
            <w:tcBorders>
              <w:top w:val="single" w:sz="12" w:space="0" w:color="000000"/>
              <w:left w:val="nil" w:sz="6" w:space="0" w:color="auto"/>
              <w:bottom w:val="nil" w:sz="6" w:space="0" w:color="auto"/>
              <w:right w:val="nil" w:sz="6" w:space="0" w:color="auto"/>
            </w:tcBorders>
          </w:tcPr>
          <w:p>
            <w:pPr>
              <w:pStyle w:val="TableParagraph"/>
              <w:spacing w:line="209" w:lineRule="exact"/>
              <w:ind w:left="524" w:right="0"/>
              <w:jc w:val="left"/>
              <w:rPr>
                <w:rFonts w:ascii="宋体" w:hAnsi="宋体" w:cs="宋体" w:eastAsia="宋体" w:hint="default"/>
                <w:sz w:val="18"/>
                <w:szCs w:val="18"/>
              </w:rPr>
            </w:pPr>
            <w:r>
              <w:rPr>
                <w:rFonts w:ascii="宋体" w:hAnsi="宋体" w:cs="宋体" w:eastAsia="宋体" w:hint="default"/>
                <w:sz w:val="18"/>
                <w:szCs w:val="18"/>
              </w:rPr>
              <w:t>上年金额</w:t>
            </w:r>
          </w:p>
          <w:p>
            <w:pPr>
              <w:pStyle w:val="TableParagraph"/>
              <w:spacing w:line="240" w:lineRule="auto" w:before="52"/>
              <w:ind w:left="955" w:right="0"/>
              <w:jc w:val="left"/>
              <w:rPr>
                <w:rFonts w:ascii="Times New Roman" w:hAnsi="Times New Roman" w:cs="Times New Roman" w:eastAsia="Times New Roman" w:hint="default"/>
                <w:sz w:val="18"/>
                <w:szCs w:val="18"/>
              </w:rPr>
            </w:pPr>
            <w:r>
              <w:rPr>
                <w:rFonts w:ascii="Times New Roman"/>
                <w:sz w:val="18"/>
              </w:rPr>
              <w:t>340,819,869.50</w:t>
            </w:r>
          </w:p>
        </w:tc>
      </w:tr>
      <w:tr>
        <w:trPr>
          <w:trHeight w:val="250" w:hRule="exact"/>
        </w:trPr>
        <w:tc>
          <w:tcPr>
            <w:tcW w:w="1237" w:type="dxa"/>
            <w:tcBorders>
              <w:top w:val="nil" w:sz="6" w:space="0" w:color="auto"/>
              <w:left w:val="nil" w:sz="6" w:space="0" w:color="auto"/>
              <w:bottom w:val="nil" w:sz="6" w:space="0" w:color="auto"/>
              <w:right w:val="nil" w:sz="6" w:space="0" w:color="auto"/>
            </w:tcBorders>
          </w:tcPr>
          <w:p>
            <w:pPr>
              <w:pStyle w:val="TableParagraph"/>
              <w:spacing w:line="212" w:lineRule="exact"/>
              <w:ind w:left="107"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1472" w:type="dxa"/>
            <w:tcBorders>
              <w:top w:val="nil" w:sz="6" w:space="0" w:color="auto"/>
              <w:left w:val="nil" w:sz="6" w:space="0" w:color="auto"/>
              <w:bottom w:val="nil" w:sz="6" w:space="0" w:color="auto"/>
              <w:right w:val="nil" w:sz="6" w:space="0" w:color="auto"/>
            </w:tcBorders>
          </w:tcPr>
          <w:p>
            <w:pPr/>
          </w:p>
        </w:tc>
        <w:tc>
          <w:tcPr>
            <w:tcW w:w="303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22"/>
              <w:jc w:val="right"/>
              <w:rPr>
                <w:rFonts w:ascii="Times New Roman" w:hAnsi="Times New Roman" w:cs="Times New Roman" w:eastAsia="Times New Roman" w:hint="default"/>
                <w:sz w:val="18"/>
                <w:szCs w:val="18"/>
              </w:rPr>
            </w:pPr>
            <w:r>
              <w:rPr>
                <w:rFonts w:ascii="Times New Roman"/>
                <w:spacing w:val="-1"/>
                <w:sz w:val="18"/>
              </w:rPr>
              <w:t>4,258,148.31</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Times New Roman" w:hAnsi="Times New Roman" w:cs="Times New Roman" w:eastAsia="Times New Roman" w:hint="default"/>
                <w:sz w:val="18"/>
                <w:szCs w:val="18"/>
              </w:rPr>
            </w:pPr>
            <w:r>
              <w:rPr>
                <w:rFonts w:ascii="Times New Roman"/>
                <w:spacing w:val="-1"/>
                <w:sz w:val="18"/>
              </w:rPr>
              <w:t>9,858,099.50</w:t>
            </w:r>
          </w:p>
        </w:tc>
      </w:tr>
      <w:tr>
        <w:trPr>
          <w:trHeight w:val="258" w:hRule="exact"/>
        </w:trPr>
        <w:tc>
          <w:tcPr>
            <w:tcW w:w="1237" w:type="dxa"/>
            <w:tcBorders>
              <w:top w:val="nil" w:sz="6" w:space="0" w:color="auto"/>
              <w:left w:val="nil" w:sz="6" w:space="0" w:color="auto"/>
              <w:bottom w:val="single" w:sz="12" w:space="0" w:color="000000"/>
              <w:right w:val="nil" w:sz="6" w:space="0" w:color="auto"/>
            </w:tcBorders>
          </w:tcPr>
          <w:p>
            <w:pPr>
              <w:pStyle w:val="TableParagraph"/>
              <w:spacing w:line="212" w:lineRule="exact"/>
              <w:ind w:left="10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472" w:type="dxa"/>
            <w:tcBorders>
              <w:top w:val="nil" w:sz="6" w:space="0" w:color="auto"/>
              <w:left w:val="nil" w:sz="6" w:space="0" w:color="auto"/>
              <w:bottom w:val="single" w:sz="12" w:space="0" w:color="000000"/>
              <w:right w:val="nil" w:sz="6" w:space="0" w:color="auto"/>
            </w:tcBorders>
          </w:tcPr>
          <w:p>
            <w:pPr/>
          </w:p>
        </w:tc>
        <w:tc>
          <w:tcPr>
            <w:tcW w:w="3039"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right="522"/>
              <w:jc w:val="right"/>
              <w:rPr>
                <w:rFonts w:ascii="Times New Roman" w:hAnsi="Times New Roman" w:cs="Times New Roman" w:eastAsia="Times New Roman" w:hint="default"/>
                <w:sz w:val="18"/>
                <w:szCs w:val="18"/>
              </w:rPr>
            </w:pPr>
            <w:r>
              <w:rPr>
                <w:rFonts w:ascii="Times New Roman"/>
                <w:spacing w:val="-1"/>
                <w:sz w:val="18"/>
              </w:rPr>
              <w:t>199,452,625.13</w:t>
            </w:r>
          </w:p>
        </w:tc>
        <w:tc>
          <w:tcPr>
            <w:tcW w:w="2188"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spacing w:val="-1"/>
                <w:sz w:val="18"/>
              </w:rPr>
              <w:t>175,872,724.84</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tabs>
          <w:tab w:pos="1308" w:val="left" w:leader="none"/>
        </w:tabs>
        <w:spacing w:before="35"/>
        <w:ind w:left="769" w:right="176"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主营业务（分行业）</w:t>
      </w:r>
      <w:r>
        <w:rPr>
          <w:rFonts w:ascii="宋体" w:hAnsi="宋体" w:cs="宋体" w:eastAsia="宋体" w:hint="default"/>
          <w:sz w:val="21"/>
          <w:szCs w:val="21"/>
        </w:rPr>
      </w:r>
    </w:p>
    <w:p>
      <w:pPr>
        <w:spacing w:line="1210" w:lineRule="exact"/>
        <w:ind w:left="724"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398.1pt;height:60.55pt;mso-position-horizontal-relative:char;mso-position-vertical-relative:line" coordorigin="0,0" coordsize="7962,1211">
            <v:group style="position:absolute;left:29;top:15;width:7906;height:2" coordorigin="29,15" coordsize="7906,2">
              <v:shape style="position:absolute;left:29;top:15;width:7906;height:2" coordorigin="29,15" coordsize="7906,0" path="m29,15l7935,15e" filled="false" stroked="true" strokeweight="1.5pt" strokecolor="#000000">
                <v:path arrowok="t"/>
              </v:shape>
              <v:shape style="position:absolute;left:1249;top:11;width:3167;height:318" type="#_x0000_t75" stroked="false">
                <v:imagedata r:id="rId334" o:title=""/>
              </v:shape>
              <v:shape style="position:absolute;left:1249;top:290;width:6713;height:329" type="#_x0000_t75" stroked="false">
                <v:imagedata r:id="rId335" o:title=""/>
              </v:shape>
            </v:group>
            <v:group style="position:absolute;left:15;top:1196;width:1253;height:2" coordorigin="15,1196" coordsize="1253,2">
              <v:shape style="position:absolute;left:15;top:1196;width:1253;height:2" coordorigin="15,1196" coordsize="1253,0" path="m15,1196l1268,1196e" filled="false" stroked="true" strokeweight="1.5pt" strokecolor="#000000">
                <v:path arrowok="t"/>
              </v:shape>
            </v:group>
            <v:group style="position:absolute;left:1268;top:1196;width:1559;height:2" coordorigin="1268,1196" coordsize="1559,2">
              <v:shape style="position:absolute;left:1268;top:1196;width:1559;height:2" coordorigin="1268,1196" coordsize="1559,0" path="m1268,1196l2827,1196e" filled="false" stroked="true" strokeweight="1.5pt" strokecolor="#000000">
                <v:path arrowok="t"/>
              </v:shape>
            </v:group>
            <v:group style="position:absolute;left:2827;top:1196;width:1560;height:2" coordorigin="2827,1196" coordsize="1560,2">
              <v:shape style="position:absolute;left:2827;top:1196;width:1560;height:2" coordorigin="2827,1196" coordsize="1560,0" path="m2827,1196l4387,1196e" filled="false" stroked="true" strokeweight="1.5pt" strokecolor="#000000">
                <v:path arrowok="t"/>
              </v:shape>
            </v:group>
            <v:group style="position:absolute;left:4387;top:1196;width:1559;height:2" coordorigin="4387,1196" coordsize="1559,2">
              <v:shape style="position:absolute;left:4387;top:1196;width:1559;height:2" coordorigin="4387,1196" coordsize="1559,0" path="m4387,1196l5945,1196e" filled="false" stroked="true" strokeweight="1.5pt" strokecolor="#000000">
                <v:path arrowok="t"/>
              </v:shape>
              <v:shape style="position:absolute;left:1;top:581;width:7961;height:600" type="#_x0000_t75" stroked="false">
                <v:imagedata r:id="rId336" o:title=""/>
              </v:shape>
            </v:group>
            <v:group style="position:absolute;left:5945;top:1196;width:30;height:2" coordorigin="5945,1196" coordsize="30,2">
              <v:shape style="position:absolute;left:5945;top:1196;width:30;height:2" coordorigin="5945,1196" coordsize="30,0" path="m5945,1196l5975,1196e" filled="false" stroked="true" strokeweight="1.5pt" strokecolor="#000000">
                <v:path arrowok="t"/>
              </v:shape>
            </v:group>
            <v:group style="position:absolute;left:5975;top:1196;width:1960;height:2" coordorigin="5975,1196" coordsize="1960,2">
              <v:shape style="position:absolute;left:5975;top:1196;width:1960;height:2" coordorigin="5975,1196" coordsize="1960,0" path="m5975,1196l7935,1196e" filled="false" stroked="true" strokeweight="1.5pt" strokecolor="#000000">
                <v:path arrowok="t"/>
              </v:shape>
              <v:shape style="position:absolute;left:2471;top:5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5803;top:5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137;top:201;width:720;height:905" type="#_x0000_t202" filled="false" stroked="false">
                <v:textbox inset="0,0,0,0">
                  <w:txbxContent>
                    <w:p>
                      <w:pPr>
                        <w:spacing w:line="180" w:lineRule="exact" w:before="0"/>
                        <w:ind w:left="0" w:right="0" w:firstLine="333"/>
                        <w:jc w:val="left"/>
                        <w:rPr>
                          <w:rFonts w:ascii="宋体" w:hAnsi="宋体" w:cs="宋体" w:eastAsia="宋体" w:hint="default"/>
                          <w:sz w:val="18"/>
                          <w:szCs w:val="18"/>
                        </w:rPr>
                      </w:pPr>
                      <w:r>
                        <w:rPr>
                          <w:rFonts w:ascii="宋体" w:hAnsi="宋体" w:cs="宋体" w:eastAsia="宋体" w:hint="default"/>
                          <w:sz w:val="18"/>
                          <w:szCs w:val="18"/>
                        </w:rPr>
                        <w:t>项目</w:t>
                      </w:r>
                    </w:p>
                    <w:p>
                      <w:pPr>
                        <w:spacing w:line="240" w:lineRule="auto" w:before="4"/>
                        <w:rPr>
                          <w:rFonts w:ascii="宋体" w:hAnsi="宋体" w:cs="宋体" w:eastAsia="宋体" w:hint="default"/>
                          <w:b/>
                          <w:bCs/>
                          <w:sz w:val="15"/>
                          <w:szCs w:val="1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电力行业</w:t>
                      </w:r>
                    </w:p>
                    <w:p>
                      <w:pPr>
                        <w:spacing w:before="53"/>
                        <w:ind w:left="333"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1490;top:346;width:1126;height:770" type="#_x0000_t202" filled="false" stroked="false">
                <v:textbox inset="0,0,0,0">
                  <w:txbxContent>
                    <w:p>
                      <w:pPr>
                        <w:spacing w:line="180" w:lineRule="exact" w:before="0"/>
                        <w:ind w:left="-3" w:right="0" w:firstLine="0"/>
                        <w:jc w:val="center"/>
                        <w:rPr>
                          <w:rFonts w:ascii="宋体" w:hAnsi="宋体" w:cs="宋体" w:eastAsia="宋体" w:hint="default"/>
                          <w:sz w:val="18"/>
                          <w:szCs w:val="18"/>
                        </w:rPr>
                      </w:pPr>
                      <w:r>
                        <w:rPr>
                          <w:rFonts w:ascii="宋体" w:hAnsi="宋体" w:cs="宋体" w:eastAsia="宋体" w:hint="default"/>
                          <w:sz w:val="18"/>
                          <w:szCs w:val="18"/>
                        </w:rPr>
                        <w:t>营业收入</w:t>
                      </w:r>
                    </w:p>
                    <w:p>
                      <w:pPr>
                        <w:spacing w:before="96"/>
                        <w:ind w:left="0" w:right="0" w:firstLine="0"/>
                        <w:jc w:val="center"/>
                        <w:rPr>
                          <w:rFonts w:ascii="Times New Roman" w:hAnsi="Times New Roman" w:cs="Times New Roman" w:eastAsia="Times New Roman" w:hint="default"/>
                          <w:sz w:val="18"/>
                          <w:szCs w:val="18"/>
                        </w:rPr>
                      </w:pPr>
                      <w:r>
                        <w:rPr>
                          <w:rFonts w:ascii="Times New Roman"/>
                          <w:spacing w:val="-1"/>
                          <w:sz w:val="18"/>
                        </w:rPr>
                        <w:t>360,035,020.27</w:t>
                      </w:r>
                    </w:p>
                    <w:p>
                      <w:pPr>
                        <w:spacing w:line="203" w:lineRule="exact" w:before="83"/>
                        <w:ind w:left="0" w:right="0" w:firstLine="0"/>
                        <w:jc w:val="center"/>
                        <w:rPr>
                          <w:rFonts w:ascii="Times New Roman" w:hAnsi="Times New Roman" w:cs="Times New Roman" w:eastAsia="Times New Roman" w:hint="default"/>
                          <w:sz w:val="18"/>
                          <w:szCs w:val="18"/>
                        </w:rPr>
                      </w:pPr>
                      <w:r>
                        <w:rPr>
                          <w:rFonts w:ascii="Times New Roman"/>
                          <w:spacing w:val="-1"/>
                          <w:sz w:val="18"/>
                        </w:rPr>
                        <w:t>360,035,020.27</w:t>
                      </w:r>
                    </w:p>
                  </w:txbxContent>
                </v:textbox>
                <w10:wrap type="none"/>
              </v:shape>
              <v:shape style="position:absolute;left:3049;top:346;width:1126;height:77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营业成本</w:t>
                      </w:r>
                    </w:p>
                    <w:p>
                      <w:pPr>
                        <w:spacing w:before="96"/>
                        <w:ind w:left="0" w:right="0" w:firstLine="0"/>
                        <w:jc w:val="center"/>
                        <w:rPr>
                          <w:rFonts w:ascii="Times New Roman" w:hAnsi="Times New Roman" w:cs="Times New Roman" w:eastAsia="Times New Roman" w:hint="default"/>
                          <w:sz w:val="18"/>
                          <w:szCs w:val="18"/>
                        </w:rPr>
                      </w:pPr>
                      <w:r>
                        <w:rPr>
                          <w:rFonts w:ascii="Times New Roman"/>
                          <w:spacing w:val="-1"/>
                          <w:sz w:val="18"/>
                        </w:rPr>
                        <w:t>198,952,159.73</w:t>
                      </w:r>
                    </w:p>
                    <w:p>
                      <w:pPr>
                        <w:spacing w:line="203" w:lineRule="exact" w:before="83"/>
                        <w:ind w:left="0" w:right="0" w:firstLine="0"/>
                        <w:jc w:val="center"/>
                        <w:rPr>
                          <w:rFonts w:ascii="Times New Roman" w:hAnsi="Times New Roman" w:cs="Times New Roman" w:eastAsia="Times New Roman" w:hint="default"/>
                          <w:sz w:val="18"/>
                          <w:szCs w:val="18"/>
                        </w:rPr>
                      </w:pPr>
                      <w:r>
                        <w:rPr>
                          <w:rFonts w:ascii="Times New Roman"/>
                          <w:spacing w:val="-1"/>
                          <w:sz w:val="18"/>
                        </w:rPr>
                        <w:t>198,952,159.73</w:t>
                      </w:r>
                    </w:p>
                  </w:txbxContent>
                </v:textbox>
                <w10:wrap type="none"/>
              </v:shape>
              <v:shape style="position:absolute;left:4654;top:346;width:1126;height:802" type="#_x0000_t202" filled="false" stroked="false">
                <v:textbox inset="0,0,0,0">
                  <w:txbxContent>
                    <w:p>
                      <w:pPr>
                        <w:spacing w:line="180" w:lineRule="exact" w:before="0"/>
                        <w:ind w:left="-94" w:right="0" w:firstLine="0"/>
                        <w:jc w:val="center"/>
                        <w:rPr>
                          <w:rFonts w:ascii="宋体" w:hAnsi="宋体" w:cs="宋体" w:eastAsia="宋体" w:hint="default"/>
                          <w:sz w:val="18"/>
                          <w:szCs w:val="18"/>
                        </w:rPr>
                      </w:pPr>
                      <w:r>
                        <w:rPr>
                          <w:rFonts w:ascii="宋体" w:hAnsi="宋体" w:cs="宋体" w:eastAsia="宋体" w:hint="default"/>
                          <w:sz w:val="18"/>
                          <w:szCs w:val="18"/>
                        </w:rPr>
                        <w:t>营业收入</w:t>
                      </w:r>
                    </w:p>
                    <w:p>
                      <w:pPr>
                        <w:spacing w:before="128"/>
                        <w:ind w:left="-1" w:right="0" w:firstLine="0"/>
                        <w:jc w:val="center"/>
                        <w:rPr>
                          <w:rFonts w:ascii="Times New Roman" w:hAnsi="Times New Roman" w:cs="Times New Roman" w:eastAsia="Times New Roman" w:hint="default"/>
                          <w:sz w:val="18"/>
                          <w:szCs w:val="18"/>
                        </w:rPr>
                      </w:pPr>
                      <w:r>
                        <w:rPr>
                          <w:rFonts w:ascii="Times New Roman"/>
                          <w:spacing w:val="-1"/>
                          <w:sz w:val="18"/>
                        </w:rPr>
                        <w:t>340,819,869.50</w:t>
                      </w:r>
                    </w:p>
                    <w:p>
                      <w:pPr>
                        <w:spacing w:line="203" w:lineRule="exact" w:before="83"/>
                        <w:ind w:left="0" w:right="0" w:firstLine="0"/>
                        <w:jc w:val="center"/>
                        <w:rPr>
                          <w:rFonts w:ascii="Times New Roman" w:hAnsi="Times New Roman" w:cs="Times New Roman" w:eastAsia="Times New Roman" w:hint="default"/>
                          <w:sz w:val="18"/>
                          <w:szCs w:val="18"/>
                        </w:rPr>
                      </w:pPr>
                      <w:r>
                        <w:rPr>
                          <w:rFonts w:ascii="Times New Roman"/>
                          <w:spacing w:val="-1"/>
                          <w:sz w:val="18"/>
                        </w:rPr>
                        <w:t>340,819,869.50</w:t>
                      </w:r>
                    </w:p>
                  </w:txbxContent>
                </v:textbox>
                <w10:wrap type="none"/>
              </v:shape>
              <v:shape style="position:absolute;left:6560;top:346;width:1126;height:802" type="#_x0000_t202" filled="false" stroked="false">
                <v:textbox inset="0,0,0,0">
                  <w:txbxContent>
                    <w:p>
                      <w:pPr>
                        <w:spacing w:line="180" w:lineRule="exact" w:before="0"/>
                        <w:ind w:left="21"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p>
                      <w:pPr>
                        <w:spacing w:before="128"/>
                        <w:ind w:left="0" w:right="0" w:firstLine="0"/>
                        <w:jc w:val="left"/>
                        <w:rPr>
                          <w:rFonts w:ascii="Times New Roman" w:hAnsi="Times New Roman" w:cs="Times New Roman" w:eastAsia="Times New Roman" w:hint="default"/>
                          <w:sz w:val="18"/>
                          <w:szCs w:val="18"/>
                        </w:rPr>
                      </w:pPr>
                      <w:r>
                        <w:rPr>
                          <w:rFonts w:ascii="Times New Roman"/>
                          <w:spacing w:val="-1"/>
                          <w:sz w:val="18"/>
                        </w:rPr>
                        <w:t>169,100,288.91</w:t>
                      </w:r>
                    </w:p>
                    <w:p>
                      <w:pPr>
                        <w:spacing w:line="203" w:lineRule="exact" w:before="83"/>
                        <w:ind w:left="0" w:right="0" w:firstLine="0"/>
                        <w:jc w:val="left"/>
                        <w:rPr>
                          <w:rFonts w:ascii="Times New Roman" w:hAnsi="Times New Roman" w:cs="Times New Roman" w:eastAsia="Times New Roman" w:hint="default"/>
                          <w:sz w:val="18"/>
                          <w:szCs w:val="18"/>
                        </w:rPr>
                      </w:pPr>
                      <w:r>
                        <w:rPr>
                          <w:rFonts w:ascii="Times New Roman"/>
                          <w:spacing w:val="-1"/>
                          <w:sz w:val="18"/>
                        </w:rPr>
                        <w:t>169,100,288.91</w:t>
                      </w:r>
                    </w:p>
                  </w:txbxContent>
                </v:textbox>
                <w10:wrap type="none"/>
              </v:shape>
            </v:group>
          </v:group>
        </w:pict>
      </w:r>
      <w:r>
        <w:rPr>
          <w:rFonts w:ascii="宋体" w:hAnsi="宋体" w:cs="宋体" w:eastAsia="宋体" w:hint="default"/>
          <w:position w:val="-23"/>
          <w:sz w:val="20"/>
          <w:szCs w:val="2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tabs>
          <w:tab w:pos="1308" w:val="left" w:leader="none"/>
        </w:tabs>
        <w:spacing w:before="35"/>
        <w:ind w:left="769" w:right="176" w:firstLine="0"/>
        <w:jc w:val="left"/>
        <w:rPr>
          <w:rFonts w:ascii="宋体" w:hAnsi="宋体" w:cs="宋体" w:eastAsia="宋体" w:hint="default"/>
          <w:sz w:val="21"/>
          <w:szCs w:val="21"/>
        </w:rPr>
      </w:pPr>
      <w:r>
        <w:rPr/>
        <w:pict>
          <v:group style="position:absolute;margin-left:85.739998pt;margin-top:17.073547pt;width:397.5pt;height:162.4pt;mso-position-horizontal-relative:page;mso-position-vertical-relative:paragraph;z-index:-767344" coordorigin="1715,341" coordsize="7950,3248">
            <v:group style="position:absolute;left:1734;top:356;width:7906;height:2" coordorigin="1734,356" coordsize="7906,2">
              <v:shape style="position:absolute;left:1734;top:356;width:7906;height:2" coordorigin="1734,356" coordsize="7906,0" path="m1734,356l9640,356e" filled="false" stroked="true" strokeweight="1.5pt" strokecolor="#000000">
                <v:path arrowok="t"/>
              </v:shape>
              <v:shape style="position:absolute;left:3228;top:343;width:3317;height:298" type="#_x0000_t75" stroked="false">
                <v:imagedata r:id="rId337" o:title=""/>
              </v:shape>
              <v:shape style="position:absolute;left:3238;top:592;width:6427;height:289" type="#_x0000_t75" stroked="false">
                <v:imagedata r:id="rId338" o:title=""/>
              </v:shape>
              <v:shape style="position:absolute;left:1715;top:843;width:7950;height:2746" type="#_x0000_t75" stroked="false">
                <v:imagedata r:id="rId339" o:title=""/>
              </v:shape>
              <v:shape style="position:absolute;left:2317;top:52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525;top:40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7715;top:40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group>
            <w10:wrap type="none"/>
          </v:group>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主营业务（分产品）</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tbl>
      <w:tblPr>
        <w:tblW w:w="0" w:type="auto"/>
        <w:jc w:val="left"/>
        <w:tblInd w:w="739" w:type="dxa"/>
        <w:tblLayout w:type="fixed"/>
        <w:tblCellMar>
          <w:top w:w="0" w:type="dxa"/>
          <w:left w:w="0" w:type="dxa"/>
          <w:bottom w:w="0" w:type="dxa"/>
          <w:right w:w="0" w:type="dxa"/>
        </w:tblCellMar>
        <w:tblLook w:val="01E0"/>
      </w:tblPr>
      <w:tblGrid>
        <w:gridCol w:w="1696"/>
        <w:gridCol w:w="1651"/>
        <w:gridCol w:w="1576"/>
        <w:gridCol w:w="1564"/>
        <w:gridCol w:w="1432"/>
      </w:tblGrid>
      <w:tr>
        <w:trPr>
          <w:trHeight w:val="217" w:hRule="exact"/>
        </w:trPr>
        <w:tc>
          <w:tcPr>
            <w:tcW w:w="1696" w:type="dxa"/>
            <w:tcBorders>
              <w:top w:val="nil" w:sz="6" w:space="0" w:color="auto"/>
              <w:left w:val="nil" w:sz="6" w:space="0" w:color="auto"/>
              <w:bottom w:val="nil" w:sz="6" w:space="0" w:color="auto"/>
              <w:right w:val="nil" w:sz="6" w:space="0" w:color="auto"/>
            </w:tcBorders>
          </w:tcPr>
          <w:p>
            <w:pPr/>
          </w:p>
        </w:tc>
        <w:tc>
          <w:tcPr>
            <w:tcW w:w="1651" w:type="dxa"/>
            <w:tcBorders>
              <w:top w:val="nil" w:sz="6" w:space="0" w:color="auto"/>
              <w:left w:val="nil" w:sz="6" w:space="0" w:color="auto"/>
              <w:bottom w:val="nil" w:sz="6" w:space="0" w:color="auto"/>
              <w:right w:val="nil" w:sz="6" w:space="0" w:color="auto"/>
            </w:tcBorders>
          </w:tcPr>
          <w:p>
            <w:pPr>
              <w:pStyle w:val="TableParagraph"/>
              <w:spacing w:line="180" w:lineRule="exact"/>
              <w:ind w:left="33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76" w:type="dxa"/>
            <w:tcBorders>
              <w:top w:val="nil" w:sz="6" w:space="0" w:color="auto"/>
              <w:left w:val="nil" w:sz="6" w:space="0" w:color="auto"/>
              <w:bottom w:val="nil" w:sz="6" w:space="0" w:color="auto"/>
              <w:right w:val="nil" w:sz="6" w:space="0" w:color="auto"/>
            </w:tcBorders>
          </w:tcPr>
          <w:p>
            <w:pPr>
              <w:pStyle w:val="TableParagraph"/>
              <w:spacing w:line="180" w:lineRule="exact"/>
              <w:ind w:left="308"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564" w:type="dxa"/>
            <w:tcBorders>
              <w:top w:val="nil" w:sz="6" w:space="0" w:color="auto"/>
              <w:left w:val="nil" w:sz="6" w:space="0" w:color="auto"/>
              <w:bottom w:val="nil" w:sz="6" w:space="0" w:color="auto"/>
              <w:right w:val="nil" w:sz="6" w:space="0" w:color="auto"/>
            </w:tcBorders>
          </w:tcPr>
          <w:p>
            <w:pPr>
              <w:pStyle w:val="TableParagraph"/>
              <w:spacing w:line="180" w:lineRule="exact"/>
              <w:ind w:left="30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32" w:type="dxa"/>
            <w:tcBorders>
              <w:top w:val="nil" w:sz="6" w:space="0" w:color="auto"/>
              <w:left w:val="nil" w:sz="6" w:space="0" w:color="auto"/>
              <w:bottom w:val="nil" w:sz="6" w:space="0" w:color="auto"/>
              <w:right w:val="nil" w:sz="6" w:space="0" w:color="auto"/>
            </w:tcBorders>
          </w:tcPr>
          <w:p>
            <w:pPr>
              <w:pStyle w:val="TableParagraph"/>
              <w:spacing w:line="180" w:lineRule="exact"/>
              <w:ind w:left="309"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253" w:hRule="exact"/>
        </w:trPr>
        <w:tc>
          <w:tcPr>
            <w:tcW w:w="1696" w:type="dxa"/>
            <w:tcBorders>
              <w:top w:val="nil" w:sz="6" w:space="0" w:color="auto"/>
              <w:left w:val="nil" w:sz="6" w:space="0" w:color="auto"/>
              <w:bottom w:val="nil" w:sz="6" w:space="0" w:color="auto"/>
              <w:right w:val="nil" w:sz="6" w:space="0" w:color="auto"/>
            </w:tcBorders>
          </w:tcPr>
          <w:p>
            <w:pPr>
              <w:pStyle w:val="TableParagraph"/>
              <w:spacing w:line="217" w:lineRule="exact"/>
              <w:ind w:left="122" w:right="0"/>
              <w:jc w:val="left"/>
              <w:rPr>
                <w:rFonts w:ascii="宋体" w:hAnsi="宋体" w:cs="宋体" w:eastAsia="宋体" w:hint="default"/>
                <w:sz w:val="18"/>
                <w:szCs w:val="18"/>
              </w:rPr>
            </w:pPr>
            <w:r>
              <w:rPr>
                <w:rFonts w:ascii="宋体" w:hAnsi="宋体" w:cs="宋体" w:eastAsia="宋体" w:hint="default"/>
                <w:sz w:val="18"/>
                <w:szCs w:val="18"/>
              </w:rPr>
              <w:t>中压电缆分支箱</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9"/>
              <w:jc w:val="right"/>
              <w:rPr>
                <w:rFonts w:ascii="Times New Roman" w:hAnsi="Times New Roman" w:cs="Times New Roman" w:eastAsia="Times New Roman" w:hint="default"/>
                <w:sz w:val="18"/>
                <w:szCs w:val="18"/>
              </w:rPr>
            </w:pPr>
            <w:r>
              <w:rPr>
                <w:rFonts w:ascii="Times New Roman"/>
                <w:spacing w:val="-1"/>
                <w:sz w:val="18"/>
              </w:rPr>
              <w:t>113,770,576.02</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36"/>
              <w:jc w:val="right"/>
              <w:rPr>
                <w:rFonts w:ascii="Times New Roman" w:hAnsi="Times New Roman" w:cs="Times New Roman" w:eastAsia="Times New Roman" w:hint="default"/>
                <w:sz w:val="18"/>
                <w:szCs w:val="18"/>
              </w:rPr>
            </w:pPr>
            <w:r>
              <w:rPr>
                <w:rFonts w:ascii="Times New Roman"/>
                <w:spacing w:val="-1"/>
                <w:sz w:val="18"/>
              </w:rPr>
              <w:t>52,351,839.17</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97"/>
              <w:jc w:val="right"/>
              <w:rPr>
                <w:rFonts w:ascii="Times New Roman" w:hAnsi="Times New Roman" w:cs="Times New Roman" w:eastAsia="Times New Roman" w:hint="default"/>
                <w:sz w:val="18"/>
                <w:szCs w:val="18"/>
              </w:rPr>
            </w:pPr>
            <w:r>
              <w:rPr>
                <w:rFonts w:ascii="Times New Roman"/>
                <w:spacing w:val="-1"/>
                <w:sz w:val="18"/>
              </w:rPr>
              <w:t>132,773,609.94</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4"/>
              <w:jc w:val="right"/>
              <w:rPr>
                <w:rFonts w:ascii="Times New Roman" w:hAnsi="Times New Roman" w:cs="Times New Roman" w:eastAsia="Times New Roman" w:hint="default"/>
                <w:sz w:val="18"/>
                <w:szCs w:val="18"/>
              </w:rPr>
            </w:pPr>
            <w:r>
              <w:rPr>
                <w:rFonts w:ascii="Times New Roman"/>
                <w:spacing w:val="-1"/>
                <w:sz w:val="18"/>
              </w:rPr>
              <w:t>65,401,865.24</w:t>
            </w:r>
          </w:p>
        </w:tc>
      </w:tr>
      <w:tr>
        <w:trPr>
          <w:trHeight w:val="250" w:hRule="exact"/>
        </w:trPr>
        <w:tc>
          <w:tcPr>
            <w:tcW w:w="1696" w:type="dxa"/>
            <w:tcBorders>
              <w:top w:val="nil" w:sz="6" w:space="0" w:color="auto"/>
              <w:left w:val="nil" w:sz="6" w:space="0" w:color="auto"/>
              <w:bottom w:val="nil" w:sz="6" w:space="0" w:color="auto"/>
              <w:right w:val="nil" w:sz="6" w:space="0" w:color="auto"/>
            </w:tcBorders>
          </w:tcPr>
          <w:p>
            <w:pPr>
              <w:pStyle w:val="TableParagraph"/>
              <w:spacing w:line="213" w:lineRule="exact"/>
              <w:ind w:left="122" w:right="0"/>
              <w:jc w:val="left"/>
              <w:rPr>
                <w:rFonts w:ascii="宋体" w:hAnsi="宋体" w:cs="宋体" w:eastAsia="宋体" w:hint="default"/>
                <w:sz w:val="18"/>
                <w:szCs w:val="18"/>
              </w:rPr>
            </w:pPr>
            <w:r>
              <w:rPr>
                <w:rFonts w:ascii="宋体" w:hAnsi="宋体" w:cs="宋体" w:eastAsia="宋体" w:hint="default"/>
                <w:sz w:val="18"/>
                <w:szCs w:val="18"/>
              </w:rPr>
              <w:t>中压电缆对接箱</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09"/>
              <w:jc w:val="right"/>
              <w:rPr>
                <w:rFonts w:ascii="Times New Roman" w:hAnsi="Times New Roman" w:cs="Times New Roman" w:eastAsia="Times New Roman" w:hint="default"/>
                <w:sz w:val="18"/>
                <w:szCs w:val="18"/>
              </w:rPr>
            </w:pPr>
            <w:r>
              <w:rPr>
                <w:rFonts w:ascii="Times New Roman"/>
                <w:spacing w:val="-1"/>
                <w:sz w:val="18"/>
              </w:rPr>
              <w:t>5,735,998.44</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8"/>
              <w:jc w:val="right"/>
              <w:rPr>
                <w:rFonts w:ascii="Times New Roman" w:hAnsi="Times New Roman" w:cs="Times New Roman" w:eastAsia="Times New Roman" w:hint="default"/>
                <w:sz w:val="18"/>
                <w:szCs w:val="18"/>
              </w:rPr>
            </w:pPr>
            <w:r>
              <w:rPr>
                <w:rFonts w:ascii="Times New Roman"/>
                <w:spacing w:val="-1"/>
                <w:sz w:val="18"/>
              </w:rPr>
              <w:t>2,470,562.08</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8"/>
              <w:jc w:val="right"/>
              <w:rPr>
                <w:rFonts w:ascii="Times New Roman" w:hAnsi="Times New Roman" w:cs="Times New Roman" w:eastAsia="Times New Roman" w:hint="default"/>
                <w:sz w:val="18"/>
                <w:szCs w:val="18"/>
              </w:rPr>
            </w:pPr>
            <w:r>
              <w:rPr>
                <w:rFonts w:ascii="Times New Roman"/>
                <w:spacing w:val="-1"/>
                <w:sz w:val="18"/>
              </w:rPr>
              <w:t>8,831,739.38</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Times New Roman" w:hAnsi="Times New Roman" w:cs="Times New Roman" w:eastAsia="Times New Roman" w:hint="default"/>
                <w:sz w:val="18"/>
                <w:szCs w:val="18"/>
              </w:rPr>
            </w:pPr>
            <w:r>
              <w:rPr>
                <w:rFonts w:ascii="Times New Roman"/>
                <w:spacing w:val="-1"/>
                <w:sz w:val="18"/>
              </w:rPr>
              <w:t>5,158,600.80</w:t>
            </w:r>
          </w:p>
        </w:tc>
      </w:tr>
      <w:tr>
        <w:trPr>
          <w:trHeight w:val="251" w:hRule="exact"/>
        </w:trPr>
        <w:tc>
          <w:tcPr>
            <w:tcW w:w="1696" w:type="dxa"/>
            <w:tcBorders>
              <w:top w:val="nil" w:sz="6" w:space="0" w:color="auto"/>
              <w:left w:val="nil" w:sz="6" w:space="0" w:color="auto"/>
              <w:bottom w:val="nil" w:sz="6" w:space="0" w:color="auto"/>
              <w:right w:val="nil" w:sz="6" w:space="0" w:color="auto"/>
            </w:tcBorders>
          </w:tcPr>
          <w:p>
            <w:pPr>
              <w:pStyle w:val="TableParagraph"/>
              <w:spacing w:line="213" w:lineRule="exact"/>
              <w:ind w:left="122" w:right="0"/>
              <w:jc w:val="left"/>
              <w:rPr>
                <w:rFonts w:ascii="宋体" w:hAnsi="宋体" w:cs="宋体" w:eastAsia="宋体" w:hint="default"/>
                <w:sz w:val="18"/>
                <w:szCs w:val="18"/>
              </w:rPr>
            </w:pPr>
            <w:r>
              <w:rPr>
                <w:rFonts w:ascii="宋体" w:hAnsi="宋体" w:cs="宋体" w:eastAsia="宋体" w:hint="default"/>
                <w:sz w:val="18"/>
                <w:szCs w:val="18"/>
              </w:rPr>
              <w:t>低压电缆分支箱</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11"/>
              <w:jc w:val="right"/>
              <w:rPr>
                <w:rFonts w:ascii="Times New Roman" w:hAnsi="Times New Roman" w:cs="Times New Roman" w:eastAsia="Times New Roman" w:hint="default"/>
                <w:sz w:val="18"/>
                <w:szCs w:val="18"/>
              </w:rPr>
            </w:pPr>
            <w:r>
              <w:rPr>
                <w:rFonts w:ascii="Times New Roman"/>
                <w:spacing w:val="-1"/>
                <w:sz w:val="18"/>
              </w:rPr>
              <w:t>108,685,740.06</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37"/>
              <w:jc w:val="right"/>
              <w:rPr>
                <w:rFonts w:ascii="Times New Roman" w:hAnsi="Times New Roman" w:cs="Times New Roman" w:eastAsia="Times New Roman" w:hint="default"/>
                <w:sz w:val="18"/>
                <w:szCs w:val="18"/>
              </w:rPr>
            </w:pPr>
            <w:r>
              <w:rPr>
                <w:rFonts w:ascii="Times New Roman"/>
                <w:spacing w:val="-1"/>
                <w:sz w:val="18"/>
              </w:rPr>
              <w:t>72,588,907.68</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97"/>
              <w:jc w:val="right"/>
              <w:rPr>
                <w:rFonts w:ascii="Times New Roman" w:hAnsi="Times New Roman" w:cs="Times New Roman" w:eastAsia="Times New Roman" w:hint="default"/>
                <w:sz w:val="18"/>
                <w:szCs w:val="18"/>
              </w:rPr>
            </w:pPr>
            <w:r>
              <w:rPr>
                <w:rFonts w:ascii="Times New Roman"/>
                <w:spacing w:val="-1"/>
                <w:sz w:val="18"/>
              </w:rPr>
              <w:t>94,860,725.15</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spacing w:val="-1"/>
                <w:sz w:val="18"/>
              </w:rPr>
              <w:t>45,311,375.49</w:t>
            </w:r>
          </w:p>
        </w:tc>
      </w:tr>
      <w:tr>
        <w:trPr>
          <w:trHeight w:val="250" w:hRule="exact"/>
        </w:trPr>
        <w:tc>
          <w:tcPr>
            <w:tcW w:w="1696" w:type="dxa"/>
            <w:tcBorders>
              <w:top w:val="nil" w:sz="6" w:space="0" w:color="auto"/>
              <w:left w:val="nil" w:sz="6" w:space="0" w:color="auto"/>
              <w:bottom w:val="nil" w:sz="6" w:space="0" w:color="auto"/>
              <w:right w:val="nil" w:sz="6" w:space="0" w:color="auto"/>
            </w:tcBorders>
          </w:tcPr>
          <w:p>
            <w:pPr>
              <w:pStyle w:val="TableParagraph"/>
              <w:spacing w:line="213" w:lineRule="exact"/>
              <w:ind w:left="122" w:right="0"/>
              <w:jc w:val="left"/>
              <w:rPr>
                <w:rFonts w:ascii="宋体" w:hAnsi="宋体" w:cs="宋体" w:eastAsia="宋体" w:hint="default"/>
                <w:sz w:val="18"/>
                <w:szCs w:val="18"/>
              </w:rPr>
            </w:pPr>
            <w:r>
              <w:rPr>
                <w:rFonts w:ascii="宋体" w:hAnsi="宋体" w:cs="宋体" w:eastAsia="宋体" w:hint="default"/>
                <w:sz w:val="18"/>
                <w:szCs w:val="18"/>
              </w:rPr>
              <w:t>电气设备箱体</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09"/>
              <w:jc w:val="right"/>
              <w:rPr>
                <w:rFonts w:ascii="Times New Roman" w:hAnsi="Times New Roman" w:cs="Times New Roman" w:eastAsia="Times New Roman" w:hint="default"/>
                <w:sz w:val="18"/>
                <w:szCs w:val="18"/>
              </w:rPr>
            </w:pPr>
            <w:r>
              <w:rPr>
                <w:rFonts w:ascii="Times New Roman"/>
                <w:spacing w:val="-1"/>
                <w:sz w:val="18"/>
              </w:rPr>
              <w:t>28,296,731.87</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6"/>
              <w:jc w:val="right"/>
              <w:rPr>
                <w:rFonts w:ascii="Times New Roman" w:hAnsi="Times New Roman" w:cs="Times New Roman" w:eastAsia="Times New Roman" w:hint="default"/>
                <w:sz w:val="18"/>
                <w:szCs w:val="18"/>
              </w:rPr>
            </w:pPr>
            <w:r>
              <w:rPr>
                <w:rFonts w:ascii="Times New Roman"/>
                <w:spacing w:val="-1"/>
                <w:sz w:val="18"/>
              </w:rPr>
              <w:t>18,726,235.13</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7"/>
              <w:jc w:val="right"/>
              <w:rPr>
                <w:rFonts w:ascii="Times New Roman" w:hAnsi="Times New Roman" w:cs="Times New Roman" w:eastAsia="Times New Roman" w:hint="default"/>
                <w:sz w:val="18"/>
                <w:szCs w:val="18"/>
              </w:rPr>
            </w:pPr>
            <w:r>
              <w:rPr>
                <w:rFonts w:ascii="Times New Roman"/>
                <w:spacing w:val="-1"/>
                <w:sz w:val="18"/>
              </w:rPr>
              <w:t>17,051,315.01</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Times New Roman" w:hAnsi="Times New Roman" w:cs="Times New Roman" w:eastAsia="Times New Roman" w:hint="default"/>
                <w:sz w:val="18"/>
                <w:szCs w:val="18"/>
              </w:rPr>
            </w:pPr>
            <w:r>
              <w:rPr>
                <w:rFonts w:ascii="Times New Roman"/>
                <w:spacing w:val="-1"/>
                <w:sz w:val="18"/>
              </w:rPr>
              <w:t>9,652,171.78</w:t>
            </w:r>
          </w:p>
        </w:tc>
      </w:tr>
      <w:tr>
        <w:trPr>
          <w:trHeight w:val="216" w:hRule="exact"/>
        </w:trPr>
        <w:tc>
          <w:tcPr>
            <w:tcW w:w="1696" w:type="dxa"/>
            <w:tcBorders>
              <w:top w:val="nil" w:sz="6" w:space="0" w:color="auto"/>
              <w:left w:val="nil" w:sz="6" w:space="0" w:color="auto"/>
              <w:bottom w:val="nil" w:sz="6" w:space="0" w:color="auto"/>
              <w:right w:val="nil" w:sz="6" w:space="0" w:color="auto"/>
            </w:tcBorders>
          </w:tcPr>
          <w:p>
            <w:pPr>
              <w:pStyle w:val="TableParagraph"/>
              <w:spacing w:line="213" w:lineRule="exact"/>
              <w:ind w:left="122" w:right="0"/>
              <w:jc w:val="left"/>
              <w:rPr>
                <w:rFonts w:ascii="宋体" w:hAnsi="宋体" w:cs="宋体" w:eastAsia="宋体" w:hint="default"/>
                <w:sz w:val="18"/>
                <w:szCs w:val="18"/>
              </w:rPr>
            </w:pPr>
            <w:r>
              <w:rPr>
                <w:rFonts w:ascii="宋体" w:hAnsi="宋体" w:cs="宋体" w:eastAsia="宋体" w:hint="default"/>
                <w:sz w:val="18"/>
                <w:szCs w:val="18"/>
              </w:rPr>
              <w:t>电缆附件及插头</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09"/>
              <w:jc w:val="right"/>
              <w:rPr>
                <w:rFonts w:ascii="Times New Roman" w:hAnsi="Times New Roman" w:cs="Times New Roman" w:eastAsia="Times New Roman" w:hint="default"/>
                <w:sz w:val="18"/>
                <w:szCs w:val="18"/>
              </w:rPr>
            </w:pPr>
            <w:r>
              <w:rPr>
                <w:rFonts w:ascii="Times New Roman"/>
                <w:spacing w:val="-1"/>
                <w:sz w:val="18"/>
              </w:rPr>
              <w:t>29,602,725.21</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7"/>
              <w:jc w:val="right"/>
              <w:rPr>
                <w:rFonts w:ascii="Times New Roman" w:hAnsi="Times New Roman" w:cs="Times New Roman" w:eastAsia="Times New Roman" w:hint="default"/>
                <w:sz w:val="18"/>
                <w:szCs w:val="18"/>
              </w:rPr>
            </w:pPr>
            <w:r>
              <w:rPr>
                <w:rFonts w:ascii="Times New Roman"/>
                <w:spacing w:val="-1"/>
                <w:sz w:val="18"/>
              </w:rPr>
              <w:t>14,615,751.16</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8"/>
              <w:jc w:val="right"/>
              <w:rPr>
                <w:rFonts w:ascii="Times New Roman" w:hAnsi="Times New Roman" w:cs="Times New Roman" w:eastAsia="Times New Roman" w:hint="default"/>
                <w:sz w:val="18"/>
                <w:szCs w:val="18"/>
              </w:rPr>
            </w:pPr>
            <w:r>
              <w:rPr>
                <w:rFonts w:ascii="Times New Roman"/>
                <w:spacing w:val="-1"/>
                <w:sz w:val="18"/>
              </w:rPr>
              <w:t>31,523,413.28</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Times New Roman" w:hAnsi="Times New Roman" w:cs="Times New Roman" w:eastAsia="Times New Roman" w:hint="default"/>
                <w:sz w:val="18"/>
                <w:szCs w:val="18"/>
              </w:rPr>
            </w:pPr>
            <w:r>
              <w:rPr>
                <w:rFonts w:ascii="Times New Roman"/>
                <w:spacing w:val="-1"/>
                <w:sz w:val="18"/>
              </w:rPr>
              <w:t>16,083,318.96</w:t>
            </w:r>
          </w:p>
        </w:tc>
      </w:tr>
      <w:tr>
        <w:trPr>
          <w:trHeight w:val="509" w:hRule="exact"/>
        </w:trPr>
        <w:tc>
          <w:tcPr>
            <w:tcW w:w="1696" w:type="dxa"/>
            <w:tcBorders>
              <w:top w:val="nil" w:sz="6" w:space="0" w:color="auto"/>
              <w:left w:val="nil" w:sz="6" w:space="0" w:color="auto"/>
              <w:bottom w:val="nil" w:sz="6" w:space="0" w:color="auto"/>
              <w:right w:val="nil" w:sz="6" w:space="0" w:color="auto"/>
            </w:tcBorders>
          </w:tcPr>
          <w:p>
            <w:pPr>
              <w:pStyle w:val="TableParagraph"/>
              <w:spacing w:line="232" w:lineRule="exact" w:before="30"/>
              <w:ind w:left="122" w:right="252"/>
              <w:jc w:val="left"/>
              <w:rPr>
                <w:rFonts w:ascii="宋体" w:hAnsi="宋体" w:cs="宋体" w:eastAsia="宋体" w:hint="default"/>
                <w:sz w:val="18"/>
                <w:szCs w:val="18"/>
              </w:rPr>
            </w:pPr>
            <w:r>
              <w:rPr>
                <w:rFonts w:ascii="宋体" w:hAnsi="宋体" w:cs="宋体" w:eastAsia="宋体" w:hint="default"/>
                <w:spacing w:val="8"/>
                <w:sz w:val="18"/>
                <w:szCs w:val="18"/>
              </w:rPr>
              <w:t>绝缘母线和管母 </w:t>
            </w:r>
            <w:r>
              <w:rPr>
                <w:rFonts w:ascii="宋体" w:hAnsi="宋体" w:cs="宋体" w:eastAsia="宋体" w:hint="default"/>
                <w:sz w:val="18"/>
                <w:szCs w:val="18"/>
              </w:rPr>
              <w:t>线</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60"/>
              <w:ind w:right="209"/>
              <w:jc w:val="right"/>
              <w:rPr>
                <w:rFonts w:ascii="Times New Roman" w:hAnsi="Times New Roman" w:cs="Times New Roman" w:eastAsia="Times New Roman" w:hint="default"/>
                <w:sz w:val="18"/>
                <w:szCs w:val="18"/>
              </w:rPr>
            </w:pPr>
            <w:r>
              <w:rPr>
                <w:rFonts w:ascii="Times New Roman"/>
                <w:spacing w:val="-1"/>
                <w:sz w:val="18"/>
              </w:rPr>
              <w:t>7,397,064.72</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60"/>
              <w:ind w:right="238"/>
              <w:jc w:val="right"/>
              <w:rPr>
                <w:rFonts w:ascii="Times New Roman" w:hAnsi="Times New Roman" w:cs="Times New Roman" w:eastAsia="Times New Roman" w:hint="default"/>
                <w:sz w:val="18"/>
                <w:szCs w:val="18"/>
              </w:rPr>
            </w:pPr>
            <w:r>
              <w:rPr>
                <w:rFonts w:ascii="Times New Roman"/>
                <w:spacing w:val="-1"/>
                <w:sz w:val="18"/>
              </w:rPr>
              <w:t>4,782,624.31</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160"/>
              <w:ind w:right="198"/>
              <w:jc w:val="right"/>
              <w:rPr>
                <w:rFonts w:ascii="Times New Roman" w:hAnsi="Times New Roman" w:cs="Times New Roman" w:eastAsia="Times New Roman" w:hint="default"/>
                <w:sz w:val="18"/>
                <w:szCs w:val="18"/>
              </w:rPr>
            </w:pPr>
            <w:r>
              <w:rPr>
                <w:rFonts w:ascii="Times New Roman"/>
                <w:spacing w:val="-1"/>
                <w:sz w:val="18"/>
              </w:rPr>
              <w:t>7,228,233.63</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160"/>
              <w:ind w:right="105"/>
              <w:jc w:val="right"/>
              <w:rPr>
                <w:rFonts w:ascii="Times New Roman" w:hAnsi="Times New Roman" w:cs="Times New Roman" w:eastAsia="Times New Roman" w:hint="default"/>
                <w:sz w:val="18"/>
                <w:szCs w:val="18"/>
              </w:rPr>
            </w:pPr>
            <w:r>
              <w:rPr>
                <w:rFonts w:ascii="Times New Roman"/>
                <w:spacing w:val="-1"/>
                <w:sz w:val="18"/>
              </w:rPr>
              <w:t>4,131,180.72</w:t>
            </w:r>
          </w:p>
        </w:tc>
      </w:tr>
      <w:tr>
        <w:trPr>
          <w:trHeight w:val="252" w:hRule="exact"/>
        </w:trPr>
        <w:tc>
          <w:tcPr>
            <w:tcW w:w="1696" w:type="dxa"/>
            <w:tcBorders>
              <w:top w:val="nil" w:sz="6" w:space="0" w:color="auto"/>
              <w:left w:val="nil" w:sz="6" w:space="0" w:color="auto"/>
              <w:bottom w:val="nil" w:sz="6" w:space="0" w:color="auto"/>
              <w:right w:val="nil" w:sz="6" w:space="0" w:color="auto"/>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z w:val="18"/>
                <w:szCs w:val="18"/>
              </w:rPr>
              <w:t>开关</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9"/>
              <w:jc w:val="right"/>
              <w:rPr>
                <w:rFonts w:ascii="Times New Roman" w:hAnsi="Times New Roman" w:cs="Times New Roman" w:eastAsia="Times New Roman" w:hint="default"/>
                <w:sz w:val="18"/>
                <w:szCs w:val="18"/>
              </w:rPr>
            </w:pPr>
            <w:r>
              <w:rPr>
                <w:rFonts w:ascii="Times New Roman"/>
                <w:spacing w:val="-1"/>
                <w:sz w:val="18"/>
              </w:rPr>
              <w:t>17,459,879.76</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7"/>
              <w:jc w:val="right"/>
              <w:rPr>
                <w:rFonts w:ascii="Times New Roman" w:hAnsi="Times New Roman" w:cs="Times New Roman" w:eastAsia="Times New Roman" w:hint="default"/>
                <w:sz w:val="18"/>
                <w:szCs w:val="18"/>
              </w:rPr>
            </w:pPr>
            <w:r>
              <w:rPr>
                <w:rFonts w:ascii="Times New Roman"/>
                <w:spacing w:val="-1"/>
                <w:sz w:val="18"/>
              </w:rPr>
              <w:t>8,046,530.01</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8"/>
              <w:jc w:val="right"/>
              <w:rPr>
                <w:rFonts w:ascii="Times New Roman" w:hAnsi="Times New Roman" w:cs="Times New Roman" w:eastAsia="Times New Roman" w:hint="default"/>
                <w:sz w:val="18"/>
                <w:szCs w:val="18"/>
              </w:rPr>
            </w:pPr>
            <w:r>
              <w:rPr>
                <w:rFonts w:ascii="Times New Roman"/>
                <w:spacing w:val="-1"/>
                <w:sz w:val="18"/>
              </w:rPr>
              <w:t>31,908,365.65</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Times New Roman" w:hAnsi="Times New Roman" w:cs="Times New Roman" w:eastAsia="Times New Roman" w:hint="default"/>
                <w:sz w:val="18"/>
                <w:szCs w:val="18"/>
              </w:rPr>
            </w:pPr>
            <w:r>
              <w:rPr>
                <w:rFonts w:ascii="Times New Roman"/>
                <w:spacing w:val="-1"/>
                <w:sz w:val="18"/>
              </w:rPr>
              <w:t>15,378,743.26</w:t>
            </w:r>
          </w:p>
        </w:tc>
      </w:tr>
      <w:tr>
        <w:trPr>
          <w:trHeight w:val="250" w:hRule="exact"/>
        </w:trPr>
        <w:tc>
          <w:tcPr>
            <w:tcW w:w="1696" w:type="dxa"/>
            <w:tcBorders>
              <w:top w:val="nil" w:sz="6" w:space="0" w:color="auto"/>
              <w:left w:val="nil" w:sz="6" w:space="0" w:color="auto"/>
              <w:bottom w:val="nil" w:sz="6" w:space="0" w:color="auto"/>
              <w:right w:val="nil" w:sz="6" w:space="0" w:color="auto"/>
            </w:tcBorders>
          </w:tcPr>
          <w:p>
            <w:pPr>
              <w:pStyle w:val="TableParagraph"/>
              <w:spacing w:line="213" w:lineRule="exact"/>
              <w:ind w:left="122" w:right="0"/>
              <w:jc w:val="left"/>
              <w:rPr>
                <w:rFonts w:ascii="宋体" w:hAnsi="宋体" w:cs="宋体" w:eastAsia="宋体" w:hint="default"/>
                <w:sz w:val="18"/>
                <w:szCs w:val="18"/>
              </w:rPr>
            </w:pPr>
            <w:r>
              <w:rPr>
                <w:rFonts w:ascii="宋体" w:hAnsi="宋体" w:cs="宋体" w:eastAsia="宋体" w:hint="default"/>
                <w:sz w:val="18"/>
                <w:szCs w:val="18"/>
              </w:rPr>
              <w:t>真空开关</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0"/>
              <w:jc w:val="right"/>
              <w:rPr>
                <w:rFonts w:ascii="Times New Roman" w:hAnsi="Times New Roman" w:cs="Times New Roman" w:eastAsia="Times New Roman" w:hint="default"/>
                <w:sz w:val="18"/>
                <w:szCs w:val="18"/>
              </w:rPr>
            </w:pPr>
            <w:r>
              <w:rPr>
                <w:rFonts w:ascii="Times New Roman"/>
                <w:spacing w:val="-1"/>
                <w:sz w:val="18"/>
              </w:rPr>
              <w:t>16,130,390.38</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37"/>
              <w:jc w:val="right"/>
              <w:rPr>
                <w:rFonts w:ascii="Times New Roman" w:hAnsi="Times New Roman" w:cs="Times New Roman" w:eastAsia="Times New Roman" w:hint="default"/>
                <w:sz w:val="18"/>
                <w:szCs w:val="18"/>
              </w:rPr>
            </w:pPr>
            <w:r>
              <w:rPr>
                <w:rFonts w:ascii="Times New Roman"/>
                <w:spacing w:val="-1"/>
                <w:sz w:val="18"/>
              </w:rPr>
              <w:t>7,421,592.61</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9"/>
              <w:jc w:val="right"/>
              <w:rPr>
                <w:rFonts w:ascii="Times New Roman" w:hAnsi="Times New Roman" w:cs="Times New Roman" w:eastAsia="Times New Roman" w:hint="default"/>
                <w:sz w:val="18"/>
                <w:szCs w:val="18"/>
              </w:rPr>
            </w:pPr>
            <w:r>
              <w:rPr>
                <w:rFonts w:ascii="Times New Roman"/>
                <w:sz w:val="18"/>
              </w:rPr>
              <w:t>---</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Times New Roman" w:hAnsi="Times New Roman" w:cs="Times New Roman" w:eastAsia="Times New Roman" w:hint="default"/>
                <w:sz w:val="18"/>
                <w:szCs w:val="18"/>
              </w:rPr>
            </w:pPr>
            <w:r>
              <w:rPr>
                <w:rFonts w:ascii="Times New Roman"/>
                <w:sz w:val="18"/>
              </w:rPr>
              <w:t>---</w:t>
            </w:r>
          </w:p>
        </w:tc>
      </w:tr>
      <w:tr>
        <w:trPr>
          <w:trHeight w:val="249" w:hRule="exact"/>
        </w:trPr>
        <w:tc>
          <w:tcPr>
            <w:tcW w:w="1696" w:type="dxa"/>
            <w:tcBorders>
              <w:top w:val="nil" w:sz="6" w:space="0" w:color="auto"/>
              <w:left w:val="nil" w:sz="6" w:space="0" w:color="auto"/>
              <w:bottom w:val="nil" w:sz="6" w:space="0" w:color="auto"/>
              <w:right w:val="nil" w:sz="6" w:space="0" w:color="auto"/>
            </w:tcBorders>
          </w:tcPr>
          <w:p>
            <w:pPr>
              <w:pStyle w:val="TableParagraph"/>
              <w:spacing w:line="21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9"/>
              <w:jc w:val="right"/>
              <w:rPr>
                <w:rFonts w:ascii="Times New Roman" w:hAnsi="Times New Roman" w:cs="Times New Roman" w:eastAsia="Times New Roman" w:hint="default"/>
                <w:sz w:val="18"/>
                <w:szCs w:val="18"/>
              </w:rPr>
            </w:pPr>
            <w:r>
              <w:rPr>
                <w:rFonts w:ascii="Times New Roman"/>
                <w:spacing w:val="-1"/>
                <w:sz w:val="18"/>
              </w:rPr>
              <w:t>32,955,913.81</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37"/>
              <w:jc w:val="right"/>
              <w:rPr>
                <w:rFonts w:ascii="Times New Roman" w:hAnsi="Times New Roman" w:cs="Times New Roman" w:eastAsia="Times New Roman" w:hint="default"/>
                <w:sz w:val="18"/>
                <w:szCs w:val="18"/>
              </w:rPr>
            </w:pPr>
            <w:r>
              <w:rPr>
                <w:rFonts w:ascii="Times New Roman"/>
                <w:spacing w:val="-1"/>
                <w:sz w:val="18"/>
              </w:rPr>
              <w:t>17,948,117.58</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97"/>
              <w:jc w:val="right"/>
              <w:rPr>
                <w:rFonts w:ascii="Times New Roman" w:hAnsi="Times New Roman" w:cs="Times New Roman" w:eastAsia="Times New Roman" w:hint="default"/>
                <w:sz w:val="18"/>
                <w:szCs w:val="18"/>
              </w:rPr>
            </w:pPr>
            <w:r>
              <w:rPr>
                <w:rFonts w:ascii="Times New Roman"/>
                <w:spacing w:val="-1"/>
                <w:sz w:val="18"/>
              </w:rPr>
              <w:t>16,642,467.46</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5"/>
              <w:jc w:val="right"/>
              <w:rPr>
                <w:rFonts w:ascii="Times New Roman" w:hAnsi="Times New Roman" w:cs="Times New Roman" w:eastAsia="Times New Roman" w:hint="default"/>
                <w:sz w:val="18"/>
                <w:szCs w:val="18"/>
              </w:rPr>
            </w:pPr>
            <w:r>
              <w:rPr>
                <w:rFonts w:ascii="Times New Roman"/>
                <w:spacing w:val="-1"/>
                <w:sz w:val="18"/>
              </w:rPr>
              <w:t>7,983,032.66</w:t>
            </w:r>
          </w:p>
        </w:tc>
      </w:tr>
      <w:tr>
        <w:trPr>
          <w:trHeight w:val="258" w:hRule="exact"/>
        </w:trPr>
        <w:tc>
          <w:tcPr>
            <w:tcW w:w="1696" w:type="dxa"/>
            <w:tcBorders>
              <w:top w:val="nil" w:sz="6" w:space="0" w:color="auto"/>
              <w:left w:val="nil" w:sz="6" w:space="0" w:color="auto"/>
              <w:bottom w:val="single" w:sz="12" w:space="0" w:color="000000"/>
              <w:right w:val="nil" w:sz="6" w:space="0" w:color="auto"/>
            </w:tcBorders>
          </w:tcPr>
          <w:p>
            <w:pPr>
              <w:pStyle w:val="TableParagraph"/>
              <w:spacing w:line="212" w:lineRule="exact"/>
              <w:ind w:right="139"/>
              <w:jc w:val="center"/>
              <w:rPr>
                <w:rFonts w:ascii="宋体" w:hAnsi="宋体" w:cs="宋体" w:eastAsia="宋体" w:hint="default"/>
                <w:sz w:val="18"/>
                <w:szCs w:val="18"/>
              </w:rPr>
            </w:pPr>
            <w:r>
              <w:rPr>
                <w:rFonts w:ascii="宋体" w:hAnsi="宋体" w:cs="宋体" w:eastAsia="宋体" w:hint="default"/>
                <w:sz w:val="18"/>
                <w:szCs w:val="18"/>
              </w:rPr>
              <w:t>合计</w:t>
            </w:r>
          </w:p>
        </w:tc>
        <w:tc>
          <w:tcPr>
            <w:tcW w:w="1651"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right="209"/>
              <w:jc w:val="right"/>
              <w:rPr>
                <w:rFonts w:ascii="Times New Roman" w:hAnsi="Times New Roman" w:cs="Times New Roman" w:eastAsia="Times New Roman" w:hint="default"/>
                <w:sz w:val="18"/>
                <w:szCs w:val="18"/>
              </w:rPr>
            </w:pPr>
            <w:r>
              <w:rPr>
                <w:rFonts w:ascii="Times New Roman"/>
                <w:spacing w:val="-1"/>
                <w:sz w:val="18"/>
              </w:rPr>
              <w:t>360,035,020.27</w:t>
            </w:r>
          </w:p>
        </w:tc>
        <w:tc>
          <w:tcPr>
            <w:tcW w:w="1576"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right="236"/>
              <w:jc w:val="right"/>
              <w:rPr>
                <w:rFonts w:ascii="Times New Roman" w:hAnsi="Times New Roman" w:cs="Times New Roman" w:eastAsia="Times New Roman" w:hint="default"/>
                <w:sz w:val="18"/>
                <w:szCs w:val="18"/>
              </w:rPr>
            </w:pPr>
            <w:r>
              <w:rPr>
                <w:rFonts w:ascii="Times New Roman"/>
                <w:spacing w:val="-1"/>
                <w:sz w:val="18"/>
              </w:rPr>
              <w:t>198,952,159.73</w:t>
            </w:r>
          </w:p>
        </w:tc>
        <w:tc>
          <w:tcPr>
            <w:tcW w:w="1564"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right="197"/>
              <w:jc w:val="right"/>
              <w:rPr>
                <w:rFonts w:ascii="Times New Roman" w:hAnsi="Times New Roman" w:cs="Times New Roman" w:eastAsia="Times New Roman" w:hint="default"/>
                <w:sz w:val="18"/>
                <w:szCs w:val="18"/>
              </w:rPr>
            </w:pPr>
            <w:r>
              <w:rPr>
                <w:rFonts w:ascii="Times New Roman"/>
                <w:spacing w:val="-1"/>
                <w:sz w:val="18"/>
              </w:rPr>
              <w:t>340,819,869.50</w:t>
            </w:r>
          </w:p>
        </w:tc>
        <w:tc>
          <w:tcPr>
            <w:tcW w:w="1432"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spacing w:val="-1"/>
                <w:sz w:val="18"/>
              </w:rPr>
              <w:t>169,100,288.91</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308" w:val="left" w:leader="none"/>
        </w:tabs>
        <w:spacing w:before="35"/>
        <w:ind w:left="769" w:right="176" w:firstLine="0"/>
        <w:jc w:val="left"/>
        <w:rPr>
          <w:rFonts w:ascii="宋体" w:hAnsi="宋体" w:cs="宋体" w:eastAsia="宋体" w:hint="default"/>
          <w:sz w:val="21"/>
          <w:szCs w:val="21"/>
        </w:rPr>
      </w:pPr>
      <w:r>
        <w:rPr/>
        <w:pict>
          <v:group style="position:absolute;margin-left:85.260002pt;margin-top:17.133509pt;width:397pt;height:134.4pt;mso-position-horizontal-relative:page;mso-position-vertical-relative:paragraph;z-index:-767224" coordorigin="1705,343" coordsize="7940,2688">
            <v:group style="position:absolute;left:1734;top:358;width:7876;height:2" coordorigin="1734,358" coordsize="7876,2">
              <v:shape style="position:absolute;left:1734;top:358;width:7876;height:2" coordorigin="1734,358" coordsize="7876,0" path="m1734,358l9610,358e" filled="false" stroked="true" strokeweight="1.5pt" strokecolor="#000000">
                <v:path arrowok="t"/>
              </v:shape>
              <v:shape style="position:absolute;left:2939;top:344;width:3175;height:290" type="#_x0000_t75" stroked="false">
                <v:imagedata r:id="rId340" o:title=""/>
              </v:shape>
              <v:shape style="position:absolute;left:2939;top:577;width:6706;height:301" type="#_x0000_t75" stroked="false">
                <v:imagedata r:id="rId341" o:title=""/>
              </v:shape>
              <v:shape style="position:absolute;left:1705;top:820;width:7939;height:2210" type="#_x0000_t75" stroked="false">
                <v:imagedata r:id="rId342" o:title=""/>
              </v:shape>
              <v:shape style="position:absolute;left:2173;top:5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地区</w:t>
                      </w:r>
                    </w:p>
                  </w:txbxContent>
                </v:textbox>
                <w10:wrap type="none"/>
              </v:shape>
              <v:shape style="position:absolute;left:4166;top:39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7486;top:39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3389;top:642;width:5723;height:180" type="#_x0000_t202" filled="false" stroked="false">
                <v:textbox inset="0,0,0,0">
                  <w:txbxContent>
                    <w:p>
                      <w:pPr>
                        <w:tabs>
                          <w:tab w:pos="1553" w:val="left" w:leader="none"/>
                          <w:tab w:pos="3237" w:val="left" w:leader="none"/>
                          <w:tab w:pos="500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tab/>
                        <w:t>营业成本</w:t>
                        <w:tab/>
                        <w:t>营业收入</w:t>
                        <w:tab/>
                        <w:t>营业成本</w:t>
                      </w:r>
                    </w:p>
                  </w:txbxContent>
                </v:textbox>
                <w10:wrap type="none"/>
              </v:shape>
            </v:group>
            <w10:wrap type="none"/>
          </v:group>
        </w:pict>
      </w: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主营业务（分地区）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0"/>
          <w:szCs w:val="20"/>
        </w:rPr>
      </w:pPr>
    </w:p>
    <w:tbl>
      <w:tblPr>
        <w:tblW w:w="0" w:type="auto"/>
        <w:jc w:val="left"/>
        <w:tblInd w:w="739" w:type="dxa"/>
        <w:tblLayout w:type="fixed"/>
        <w:tblCellMar>
          <w:top w:w="0" w:type="dxa"/>
          <w:left w:w="0" w:type="dxa"/>
          <w:bottom w:w="0" w:type="dxa"/>
          <w:right w:w="0" w:type="dxa"/>
        </w:tblCellMar>
        <w:tblLook w:val="01E0"/>
      </w:tblPr>
      <w:tblGrid>
        <w:gridCol w:w="1207"/>
        <w:gridCol w:w="1707"/>
        <w:gridCol w:w="1683"/>
        <w:gridCol w:w="1765"/>
        <w:gridCol w:w="1528"/>
      </w:tblGrid>
      <w:tr>
        <w:trPr>
          <w:trHeight w:val="238" w:hRule="exact"/>
        </w:trPr>
        <w:tc>
          <w:tcPr>
            <w:tcW w:w="1207" w:type="dxa"/>
            <w:tcBorders>
              <w:top w:val="nil" w:sz="6" w:space="0" w:color="auto"/>
              <w:left w:val="nil" w:sz="6" w:space="0" w:color="auto"/>
              <w:bottom w:val="nil" w:sz="6" w:space="0" w:color="auto"/>
              <w:right w:val="nil" w:sz="6" w:space="0" w:color="auto"/>
            </w:tcBorders>
          </w:tcPr>
          <w:p>
            <w:pPr>
              <w:pStyle w:val="TableParagraph"/>
              <w:spacing w:line="204" w:lineRule="exact"/>
              <w:ind w:left="120" w:right="0"/>
              <w:jc w:val="left"/>
              <w:rPr>
                <w:rFonts w:ascii="宋体" w:hAnsi="宋体" w:cs="宋体" w:eastAsia="宋体" w:hint="default"/>
                <w:sz w:val="18"/>
                <w:szCs w:val="18"/>
              </w:rPr>
            </w:pPr>
            <w:r>
              <w:rPr>
                <w:rFonts w:ascii="宋体" w:hAnsi="宋体" w:cs="宋体" w:eastAsia="宋体" w:hint="default"/>
                <w:sz w:val="18"/>
                <w:szCs w:val="18"/>
              </w:rPr>
              <w:t>华中地区</w:t>
            </w: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12"/>
              <w:jc w:val="right"/>
              <w:rPr>
                <w:rFonts w:ascii="Times New Roman" w:hAnsi="Times New Roman" w:cs="Times New Roman" w:eastAsia="Times New Roman" w:hint="default"/>
                <w:sz w:val="18"/>
                <w:szCs w:val="18"/>
              </w:rPr>
            </w:pPr>
            <w:r>
              <w:rPr>
                <w:rFonts w:ascii="Times New Roman"/>
                <w:spacing w:val="-1"/>
                <w:sz w:val="18"/>
              </w:rPr>
              <w:t>20,267,154.01</w:t>
            </w:r>
          </w:p>
        </w:tc>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41"/>
              <w:jc w:val="right"/>
              <w:rPr>
                <w:rFonts w:ascii="Times New Roman" w:hAnsi="Times New Roman" w:cs="Times New Roman" w:eastAsia="Times New Roman" w:hint="default"/>
                <w:sz w:val="18"/>
                <w:szCs w:val="18"/>
              </w:rPr>
            </w:pPr>
            <w:r>
              <w:rPr>
                <w:rFonts w:ascii="Times New Roman"/>
                <w:spacing w:val="-1"/>
                <w:sz w:val="18"/>
              </w:rPr>
              <w:t>11,209,235.98</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94"/>
              <w:jc w:val="right"/>
              <w:rPr>
                <w:rFonts w:ascii="Times New Roman" w:hAnsi="Times New Roman" w:cs="Times New Roman" w:eastAsia="Times New Roman" w:hint="default"/>
                <w:sz w:val="18"/>
                <w:szCs w:val="18"/>
              </w:rPr>
            </w:pPr>
            <w:r>
              <w:rPr>
                <w:rFonts w:ascii="Times New Roman"/>
                <w:spacing w:val="-1"/>
                <w:sz w:val="18"/>
              </w:rPr>
              <w:t>19,051,879.23</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3"/>
              <w:jc w:val="right"/>
              <w:rPr>
                <w:rFonts w:ascii="Times New Roman" w:hAnsi="Times New Roman" w:cs="Times New Roman" w:eastAsia="Times New Roman" w:hint="default"/>
                <w:sz w:val="18"/>
                <w:szCs w:val="18"/>
              </w:rPr>
            </w:pPr>
            <w:r>
              <w:rPr>
                <w:rFonts w:ascii="Times New Roman"/>
                <w:spacing w:val="-1"/>
                <w:sz w:val="18"/>
              </w:rPr>
              <w:t>9,452,730.23</w:t>
            </w:r>
          </w:p>
        </w:tc>
      </w:tr>
      <w:tr>
        <w:trPr>
          <w:trHeight w:val="243" w:hRule="exact"/>
        </w:trPr>
        <w:tc>
          <w:tcPr>
            <w:tcW w:w="1207" w:type="dxa"/>
            <w:tcBorders>
              <w:top w:val="nil" w:sz="6" w:space="0" w:color="auto"/>
              <w:left w:val="nil" w:sz="6" w:space="0" w:color="auto"/>
              <w:bottom w:val="nil" w:sz="6" w:space="0" w:color="auto"/>
              <w:right w:val="nil" w:sz="6" w:space="0" w:color="auto"/>
            </w:tcBorders>
          </w:tcPr>
          <w:p>
            <w:pPr>
              <w:pStyle w:val="TableParagraph"/>
              <w:spacing w:line="208" w:lineRule="exact"/>
              <w:ind w:left="120" w:right="0"/>
              <w:jc w:val="left"/>
              <w:rPr>
                <w:rFonts w:ascii="宋体" w:hAnsi="宋体" w:cs="宋体" w:eastAsia="宋体" w:hint="default"/>
                <w:sz w:val="18"/>
                <w:szCs w:val="18"/>
              </w:rPr>
            </w:pPr>
            <w:r>
              <w:rPr>
                <w:rFonts w:ascii="宋体" w:hAnsi="宋体" w:cs="宋体" w:eastAsia="宋体" w:hint="default"/>
                <w:sz w:val="18"/>
                <w:szCs w:val="18"/>
              </w:rPr>
              <w:t>华南地区</w:t>
            </w: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12"/>
              <w:jc w:val="right"/>
              <w:rPr>
                <w:rFonts w:ascii="Times New Roman" w:hAnsi="Times New Roman" w:cs="Times New Roman" w:eastAsia="Times New Roman" w:hint="default"/>
                <w:sz w:val="18"/>
                <w:szCs w:val="18"/>
              </w:rPr>
            </w:pPr>
            <w:r>
              <w:rPr>
                <w:rFonts w:ascii="Times New Roman"/>
                <w:spacing w:val="-1"/>
                <w:sz w:val="18"/>
              </w:rPr>
              <w:t>143,202,053.31</w:t>
            </w:r>
          </w:p>
        </w:tc>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41"/>
              <w:jc w:val="right"/>
              <w:rPr>
                <w:rFonts w:ascii="Times New Roman" w:hAnsi="Times New Roman" w:cs="Times New Roman" w:eastAsia="Times New Roman" w:hint="default"/>
                <w:sz w:val="18"/>
                <w:szCs w:val="18"/>
              </w:rPr>
            </w:pPr>
            <w:r>
              <w:rPr>
                <w:rFonts w:ascii="Times New Roman"/>
                <w:spacing w:val="-1"/>
                <w:sz w:val="18"/>
              </w:rPr>
              <w:t>79,201,332.75</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94"/>
              <w:jc w:val="right"/>
              <w:rPr>
                <w:rFonts w:ascii="Times New Roman" w:hAnsi="Times New Roman" w:cs="Times New Roman" w:eastAsia="Times New Roman" w:hint="default"/>
                <w:sz w:val="18"/>
                <w:szCs w:val="18"/>
              </w:rPr>
            </w:pPr>
            <w:r>
              <w:rPr>
                <w:rFonts w:ascii="Times New Roman"/>
                <w:spacing w:val="-1"/>
                <w:sz w:val="18"/>
              </w:rPr>
              <w:t>127,965,794.46</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4"/>
              <w:jc w:val="right"/>
              <w:rPr>
                <w:rFonts w:ascii="Times New Roman" w:hAnsi="Times New Roman" w:cs="Times New Roman" w:eastAsia="Times New Roman" w:hint="default"/>
                <w:sz w:val="18"/>
                <w:szCs w:val="18"/>
              </w:rPr>
            </w:pPr>
            <w:r>
              <w:rPr>
                <w:rFonts w:ascii="Times New Roman"/>
                <w:spacing w:val="-1"/>
                <w:sz w:val="18"/>
              </w:rPr>
              <w:t>63,491,171.58</w:t>
            </w:r>
          </w:p>
        </w:tc>
      </w:tr>
      <w:tr>
        <w:trPr>
          <w:trHeight w:val="244" w:hRule="exact"/>
        </w:trPr>
        <w:tc>
          <w:tcPr>
            <w:tcW w:w="1207" w:type="dxa"/>
            <w:tcBorders>
              <w:top w:val="nil" w:sz="6" w:space="0" w:color="auto"/>
              <w:left w:val="nil" w:sz="6" w:space="0" w:color="auto"/>
              <w:bottom w:val="nil" w:sz="6" w:space="0" w:color="auto"/>
              <w:right w:val="nil" w:sz="6" w:space="0" w:color="auto"/>
            </w:tcBorders>
          </w:tcPr>
          <w:p>
            <w:pPr>
              <w:pStyle w:val="TableParagraph"/>
              <w:spacing w:line="209" w:lineRule="exact"/>
              <w:ind w:left="120"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13"/>
              <w:jc w:val="right"/>
              <w:rPr>
                <w:rFonts w:ascii="Times New Roman" w:hAnsi="Times New Roman" w:cs="Times New Roman" w:eastAsia="Times New Roman" w:hint="default"/>
                <w:sz w:val="18"/>
                <w:szCs w:val="18"/>
              </w:rPr>
            </w:pPr>
            <w:r>
              <w:rPr>
                <w:rFonts w:ascii="Times New Roman"/>
                <w:spacing w:val="-1"/>
                <w:sz w:val="18"/>
              </w:rPr>
              <w:t>29,300,195.36</w:t>
            </w:r>
          </w:p>
        </w:tc>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41"/>
              <w:jc w:val="right"/>
              <w:rPr>
                <w:rFonts w:ascii="Times New Roman" w:hAnsi="Times New Roman" w:cs="Times New Roman" w:eastAsia="Times New Roman" w:hint="default"/>
                <w:sz w:val="18"/>
                <w:szCs w:val="18"/>
              </w:rPr>
            </w:pPr>
            <w:r>
              <w:rPr>
                <w:rFonts w:ascii="Times New Roman"/>
                <w:spacing w:val="-1"/>
                <w:sz w:val="18"/>
              </w:rPr>
              <w:t>16,205,176.31</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94"/>
              <w:jc w:val="right"/>
              <w:rPr>
                <w:rFonts w:ascii="Times New Roman" w:hAnsi="Times New Roman" w:cs="Times New Roman" w:eastAsia="Times New Roman" w:hint="default"/>
                <w:sz w:val="18"/>
                <w:szCs w:val="18"/>
              </w:rPr>
            </w:pPr>
            <w:r>
              <w:rPr>
                <w:rFonts w:ascii="Times New Roman"/>
                <w:spacing w:val="-1"/>
                <w:sz w:val="18"/>
              </w:rPr>
              <w:t>26,424,100.27</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3"/>
              <w:jc w:val="right"/>
              <w:rPr>
                <w:rFonts w:ascii="Times New Roman" w:hAnsi="Times New Roman" w:cs="Times New Roman" w:eastAsia="Times New Roman" w:hint="default"/>
                <w:sz w:val="18"/>
                <w:szCs w:val="18"/>
              </w:rPr>
            </w:pPr>
            <w:r>
              <w:rPr>
                <w:rFonts w:ascii="Times New Roman"/>
                <w:spacing w:val="-1"/>
                <w:sz w:val="18"/>
              </w:rPr>
              <w:t>13,110,512.00</w:t>
            </w:r>
          </w:p>
        </w:tc>
      </w:tr>
      <w:tr>
        <w:trPr>
          <w:trHeight w:val="244" w:hRule="exact"/>
        </w:trPr>
        <w:tc>
          <w:tcPr>
            <w:tcW w:w="1207" w:type="dxa"/>
            <w:tcBorders>
              <w:top w:val="nil" w:sz="6" w:space="0" w:color="auto"/>
              <w:left w:val="nil" w:sz="6" w:space="0" w:color="auto"/>
              <w:bottom w:val="nil" w:sz="6" w:space="0" w:color="auto"/>
              <w:right w:val="nil" w:sz="6" w:space="0" w:color="auto"/>
            </w:tcBorders>
          </w:tcPr>
          <w:p>
            <w:pPr>
              <w:pStyle w:val="TableParagraph"/>
              <w:spacing w:line="209" w:lineRule="exact"/>
              <w:ind w:left="120" w:right="0"/>
              <w:jc w:val="left"/>
              <w:rPr>
                <w:rFonts w:ascii="宋体" w:hAnsi="宋体" w:cs="宋体" w:eastAsia="宋体" w:hint="default"/>
                <w:sz w:val="18"/>
                <w:szCs w:val="18"/>
              </w:rPr>
            </w:pPr>
            <w:r>
              <w:rPr>
                <w:rFonts w:ascii="宋体" w:hAnsi="宋体" w:cs="宋体" w:eastAsia="宋体" w:hint="default"/>
                <w:sz w:val="18"/>
                <w:szCs w:val="18"/>
              </w:rPr>
              <w:t>东北地区</w:t>
            </w: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12"/>
              <w:jc w:val="right"/>
              <w:rPr>
                <w:rFonts w:ascii="Times New Roman" w:hAnsi="Times New Roman" w:cs="Times New Roman" w:eastAsia="Times New Roman" w:hint="default"/>
                <w:sz w:val="18"/>
                <w:szCs w:val="18"/>
              </w:rPr>
            </w:pPr>
            <w:r>
              <w:rPr>
                <w:rFonts w:ascii="Times New Roman"/>
                <w:spacing w:val="-1"/>
                <w:sz w:val="18"/>
              </w:rPr>
              <w:t>9,224,732.97</w:t>
            </w:r>
          </w:p>
        </w:tc>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41"/>
              <w:jc w:val="right"/>
              <w:rPr>
                <w:rFonts w:ascii="Times New Roman" w:hAnsi="Times New Roman" w:cs="Times New Roman" w:eastAsia="Times New Roman" w:hint="default"/>
                <w:sz w:val="18"/>
                <w:szCs w:val="18"/>
              </w:rPr>
            </w:pPr>
            <w:r>
              <w:rPr>
                <w:rFonts w:ascii="Times New Roman"/>
                <w:spacing w:val="-1"/>
                <w:sz w:val="18"/>
              </w:rPr>
              <w:t>5,101,959.98</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94"/>
              <w:jc w:val="right"/>
              <w:rPr>
                <w:rFonts w:ascii="Times New Roman" w:hAnsi="Times New Roman" w:cs="Times New Roman" w:eastAsia="Times New Roman" w:hint="default"/>
                <w:sz w:val="18"/>
                <w:szCs w:val="18"/>
              </w:rPr>
            </w:pPr>
            <w:r>
              <w:rPr>
                <w:rFonts w:ascii="Times New Roman"/>
                <w:spacing w:val="-1"/>
                <w:sz w:val="18"/>
              </w:rPr>
              <w:t>14,217,735.89</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4"/>
              <w:jc w:val="right"/>
              <w:rPr>
                <w:rFonts w:ascii="Times New Roman" w:hAnsi="Times New Roman" w:cs="Times New Roman" w:eastAsia="Times New Roman" w:hint="default"/>
                <w:sz w:val="18"/>
                <w:szCs w:val="18"/>
              </w:rPr>
            </w:pPr>
            <w:r>
              <w:rPr>
                <w:rFonts w:ascii="Times New Roman"/>
                <w:spacing w:val="-1"/>
                <w:sz w:val="18"/>
              </w:rPr>
              <w:t>7,054,234.40</w:t>
            </w:r>
          </w:p>
        </w:tc>
      </w:tr>
      <w:tr>
        <w:trPr>
          <w:trHeight w:val="215" w:hRule="exact"/>
        </w:trPr>
        <w:tc>
          <w:tcPr>
            <w:tcW w:w="1207" w:type="dxa"/>
            <w:tcBorders>
              <w:top w:val="nil" w:sz="6" w:space="0" w:color="auto"/>
              <w:left w:val="nil" w:sz="6" w:space="0" w:color="auto"/>
              <w:bottom w:val="nil" w:sz="6" w:space="0" w:color="auto"/>
              <w:right w:val="nil" w:sz="6" w:space="0" w:color="auto"/>
            </w:tcBorders>
          </w:tcPr>
          <w:p>
            <w:pPr>
              <w:pStyle w:val="TableParagraph"/>
              <w:spacing w:line="209" w:lineRule="exact"/>
              <w:ind w:left="120"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12"/>
              <w:jc w:val="right"/>
              <w:rPr>
                <w:rFonts w:ascii="Times New Roman" w:hAnsi="Times New Roman" w:cs="Times New Roman" w:eastAsia="Times New Roman" w:hint="default"/>
                <w:sz w:val="18"/>
                <w:szCs w:val="18"/>
              </w:rPr>
            </w:pPr>
            <w:r>
              <w:rPr>
                <w:rFonts w:ascii="Times New Roman"/>
                <w:spacing w:val="-1"/>
                <w:sz w:val="18"/>
              </w:rPr>
              <w:t>101,406,832.15</w:t>
            </w:r>
          </w:p>
        </w:tc>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41"/>
              <w:jc w:val="right"/>
              <w:rPr>
                <w:rFonts w:ascii="Times New Roman" w:hAnsi="Times New Roman" w:cs="Times New Roman" w:eastAsia="Times New Roman" w:hint="default"/>
                <w:sz w:val="18"/>
                <w:szCs w:val="18"/>
              </w:rPr>
            </w:pPr>
            <w:r>
              <w:rPr>
                <w:rFonts w:ascii="Times New Roman"/>
                <w:spacing w:val="-1"/>
                <w:sz w:val="18"/>
              </w:rPr>
              <w:t>55,911,632.65</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94"/>
              <w:jc w:val="right"/>
              <w:rPr>
                <w:rFonts w:ascii="Times New Roman" w:hAnsi="Times New Roman" w:cs="Times New Roman" w:eastAsia="Times New Roman" w:hint="default"/>
                <w:sz w:val="18"/>
                <w:szCs w:val="18"/>
              </w:rPr>
            </w:pPr>
            <w:r>
              <w:rPr>
                <w:rFonts w:ascii="Times New Roman"/>
                <w:spacing w:val="-1"/>
                <w:sz w:val="18"/>
              </w:rPr>
              <w:t>95,313,752.41</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3"/>
              <w:jc w:val="right"/>
              <w:rPr>
                <w:rFonts w:ascii="Times New Roman" w:hAnsi="Times New Roman" w:cs="Times New Roman" w:eastAsia="Times New Roman" w:hint="default"/>
                <w:sz w:val="18"/>
                <w:szCs w:val="18"/>
              </w:rPr>
            </w:pPr>
            <w:r>
              <w:rPr>
                <w:rFonts w:ascii="Times New Roman"/>
                <w:spacing w:val="-1"/>
                <w:sz w:val="18"/>
              </w:rPr>
              <w:t>47,290,620.39</w:t>
            </w:r>
          </w:p>
        </w:tc>
      </w:tr>
      <w:tr>
        <w:trPr>
          <w:trHeight w:val="502" w:hRule="exact"/>
        </w:trPr>
        <w:tc>
          <w:tcPr>
            <w:tcW w:w="1207" w:type="dxa"/>
            <w:tcBorders>
              <w:top w:val="nil" w:sz="6" w:space="0" w:color="auto"/>
              <w:left w:val="nil" w:sz="6" w:space="0" w:color="auto"/>
              <w:bottom w:val="nil" w:sz="6" w:space="0" w:color="auto"/>
              <w:right w:val="nil" w:sz="6" w:space="0" w:color="auto"/>
            </w:tcBorders>
          </w:tcPr>
          <w:p>
            <w:pPr>
              <w:pStyle w:val="TableParagraph"/>
              <w:spacing w:line="232" w:lineRule="exact" w:before="26"/>
              <w:ind w:left="122" w:right="28" w:hanging="3"/>
              <w:jc w:val="left"/>
              <w:rPr>
                <w:rFonts w:ascii="宋体" w:hAnsi="宋体" w:cs="宋体" w:eastAsia="宋体" w:hint="default"/>
                <w:sz w:val="18"/>
                <w:szCs w:val="18"/>
              </w:rPr>
            </w:pPr>
            <w:r>
              <w:rPr>
                <w:rFonts w:ascii="宋体" w:hAnsi="宋体" w:cs="宋体" w:eastAsia="宋体" w:hint="default"/>
                <w:spacing w:val="24"/>
                <w:sz w:val="18"/>
                <w:szCs w:val="18"/>
              </w:rPr>
              <w:t>西南及西北</w:t>
            </w:r>
            <w:r>
              <w:rPr>
                <w:rFonts w:ascii="宋体" w:hAnsi="宋体" w:cs="宋体" w:eastAsia="宋体" w:hint="default"/>
                <w:spacing w:val="-86"/>
                <w:sz w:val="18"/>
                <w:szCs w:val="18"/>
              </w:rPr>
              <w:t> </w:t>
            </w:r>
            <w:r>
              <w:rPr>
                <w:rFonts w:ascii="宋体" w:hAnsi="宋体" w:cs="宋体" w:eastAsia="宋体" w:hint="default"/>
                <w:sz w:val="18"/>
                <w:szCs w:val="18"/>
              </w:rPr>
              <w:t>地区</w:t>
            </w: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212"/>
              <w:jc w:val="right"/>
              <w:rPr>
                <w:rFonts w:ascii="Times New Roman" w:hAnsi="Times New Roman" w:cs="Times New Roman" w:eastAsia="Times New Roman" w:hint="default"/>
                <w:sz w:val="18"/>
                <w:szCs w:val="18"/>
              </w:rPr>
            </w:pPr>
            <w:r>
              <w:rPr>
                <w:rFonts w:ascii="Times New Roman"/>
                <w:spacing w:val="-1"/>
                <w:sz w:val="18"/>
              </w:rPr>
              <w:t>52,382,990.33</w:t>
            </w:r>
          </w:p>
        </w:tc>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342"/>
              <w:jc w:val="right"/>
              <w:rPr>
                <w:rFonts w:ascii="Times New Roman" w:hAnsi="Times New Roman" w:cs="Times New Roman" w:eastAsia="Times New Roman" w:hint="default"/>
                <w:sz w:val="18"/>
                <w:szCs w:val="18"/>
              </w:rPr>
            </w:pPr>
            <w:r>
              <w:rPr>
                <w:rFonts w:ascii="Times New Roman"/>
                <w:spacing w:val="-1"/>
                <w:sz w:val="18"/>
              </w:rPr>
              <w:t>28,971,670.11</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294"/>
              <w:jc w:val="right"/>
              <w:rPr>
                <w:rFonts w:ascii="Times New Roman" w:hAnsi="Times New Roman" w:cs="Times New Roman" w:eastAsia="Times New Roman" w:hint="default"/>
                <w:sz w:val="18"/>
                <w:szCs w:val="18"/>
              </w:rPr>
            </w:pPr>
            <w:r>
              <w:rPr>
                <w:rFonts w:ascii="Times New Roman"/>
                <w:spacing w:val="-1"/>
                <w:sz w:val="18"/>
              </w:rPr>
              <w:t>56,223,476.54</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103"/>
              <w:jc w:val="right"/>
              <w:rPr>
                <w:rFonts w:ascii="Times New Roman" w:hAnsi="Times New Roman" w:cs="Times New Roman" w:eastAsia="Times New Roman" w:hint="default"/>
                <w:sz w:val="18"/>
                <w:szCs w:val="18"/>
              </w:rPr>
            </w:pPr>
            <w:r>
              <w:rPr>
                <w:rFonts w:ascii="Times New Roman"/>
                <w:spacing w:val="-1"/>
                <w:sz w:val="18"/>
              </w:rPr>
              <w:t>27,895,692.06</w:t>
            </w:r>
          </w:p>
        </w:tc>
      </w:tr>
      <w:tr>
        <w:trPr>
          <w:trHeight w:val="247" w:hRule="exact"/>
        </w:trPr>
        <w:tc>
          <w:tcPr>
            <w:tcW w:w="1207" w:type="dxa"/>
            <w:tcBorders>
              <w:top w:val="nil" w:sz="6" w:space="0" w:color="auto"/>
              <w:left w:val="nil" w:sz="6" w:space="0" w:color="auto"/>
              <w:bottom w:val="nil" w:sz="6" w:space="0" w:color="auto"/>
              <w:right w:val="nil" w:sz="6" w:space="0" w:color="auto"/>
            </w:tcBorders>
          </w:tcPr>
          <w:p>
            <w:pPr>
              <w:pStyle w:val="TableParagraph"/>
              <w:spacing w:line="212" w:lineRule="exact"/>
              <w:ind w:left="120" w:right="0"/>
              <w:jc w:val="left"/>
              <w:rPr>
                <w:rFonts w:ascii="宋体" w:hAnsi="宋体" w:cs="宋体" w:eastAsia="宋体" w:hint="default"/>
                <w:sz w:val="18"/>
                <w:szCs w:val="18"/>
              </w:rPr>
            </w:pPr>
            <w:r>
              <w:rPr>
                <w:rFonts w:ascii="宋体" w:hAnsi="宋体" w:cs="宋体" w:eastAsia="宋体" w:hint="default"/>
                <w:sz w:val="18"/>
                <w:szCs w:val="18"/>
              </w:rPr>
              <w:t>出口</w:t>
            </w: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2"/>
              <w:jc w:val="right"/>
              <w:rPr>
                <w:rFonts w:ascii="Times New Roman" w:hAnsi="Times New Roman" w:cs="Times New Roman" w:eastAsia="Times New Roman" w:hint="default"/>
                <w:sz w:val="18"/>
                <w:szCs w:val="18"/>
              </w:rPr>
            </w:pPr>
            <w:r>
              <w:rPr>
                <w:rFonts w:ascii="Times New Roman"/>
                <w:spacing w:val="-1"/>
                <w:sz w:val="18"/>
              </w:rPr>
              <w:t>4,251,062.14</w:t>
            </w:r>
          </w:p>
        </w:tc>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1"/>
              <w:jc w:val="right"/>
              <w:rPr>
                <w:rFonts w:ascii="Times New Roman" w:hAnsi="Times New Roman" w:cs="Times New Roman" w:eastAsia="Times New Roman" w:hint="default"/>
                <w:sz w:val="18"/>
                <w:szCs w:val="18"/>
              </w:rPr>
            </w:pPr>
            <w:r>
              <w:rPr>
                <w:rFonts w:ascii="Times New Roman"/>
                <w:spacing w:val="-1"/>
                <w:sz w:val="18"/>
              </w:rPr>
              <w:t>2,351,151.95</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94"/>
              <w:jc w:val="right"/>
              <w:rPr>
                <w:rFonts w:ascii="Times New Roman" w:hAnsi="Times New Roman" w:cs="Times New Roman" w:eastAsia="Times New Roman" w:hint="default"/>
                <w:sz w:val="18"/>
                <w:szCs w:val="18"/>
              </w:rPr>
            </w:pPr>
            <w:r>
              <w:rPr>
                <w:rFonts w:ascii="Times New Roman"/>
                <w:spacing w:val="-1"/>
                <w:sz w:val="18"/>
              </w:rPr>
              <w:t>1,623,130.70</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3"/>
              <w:jc w:val="right"/>
              <w:rPr>
                <w:rFonts w:ascii="Times New Roman" w:hAnsi="Times New Roman" w:cs="Times New Roman" w:eastAsia="Times New Roman" w:hint="default"/>
                <w:sz w:val="18"/>
                <w:szCs w:val="18"/>
              </w:rPr>
            </w:pPr>
            <w:r>
              <w:rPr>
                <w:rFonts w:ascii="Times New Roman"/>
                <w:sz w:val="18"/>
              </w:rPr>
              <w:t>805,328.25</w:t>
            </w:r>
          </w:p>
        </w:tc>
      </w:tr>
      <w:tr>
        <w:trPr>
          <w:trHeight w:val="252" w:hRule="exact"/>
        </w:trPr>
        <w:tc>
          <w:tcPr>
            <w:tcW w:w="1207" w:type="dxa"/>
            <w:tcBorders>
              <w:top w:val="nil" w:sz="6" w:space="0" w:color="auto"/>
              <w:left w:val="nil" w:sz="6" w:space="0" w:color="auto"/>
              <w:bottom w:val="single" w:sz="12" w:space="0" w:color="000000"/>
              <w:right w:val="nil" w:sz="6" w:space="0" w:color="auto"/>
            </w:tcBorders>
          </w:tcPr>
          <w:p>
            <w:pPr>
              <w:pStyle w:val="TableParagraph"/>
              <w:spacing w:line="209" w:lineRule="exact"/>
              <w:ind w:left="45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07"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212"/>
              <w:jc w:val="right"/>
              <w:rPr>
                <w:rFonts w:ascii="Times New Roman" w:hAnsi="Times New Roman" w:cs="Times New Roman" w:eastAsia="Times New Roman" w:hint="default"/>
                <w:sz w:val="18"/>
                <w:szCs w:val="18"/>
              </w:rPr>
            </w:pPr>
            <w:r>
              <w:rPr>
                <w:rFonts w:ascii="Times New Roman"/>
                <w:spacing w:val="-1"/>
                <w:sz w:val="18"/>
              </w:rPr>
              <w:t>360,035,020.27</w:t>
            </w:r>
          </w:p>
        </w:tc>
        <w:tc>
          <w:tcPr>
            <w:tcW w:w="1683"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341"/>
              <w:jc w:val="right"/>
              <w:rPr>
                <w:rFonts w:ascii="Times New Roman" w:hAnsi="Times New Roman" w:cs="Times New Roman" w:eastAsia="Times New Roman" w:hint="default"/>
                <w:sz w:val="18"/>
                <w:szCs w:val="18"/>
              </w:rPr>
            </w:pPr>
            <w:r>
              <w:rPr>
                <w:rFonts w:ascii="Times New Roman"/>
                <w:spacing w:val="-1"/>
                <w:sz w:val="18"/>
              </w:rPr>
              <w:t>198,952,159.73</w:t>
            </w:r>
          </w:p>
        </w:tc>
        <w:tc>
          <w:tcPr>
            <w:tcW w:w="1765"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294"/>
              <w:jc w:val="right"/>
              <w:rPr>
                <w:rFonts w:ascii="Times New Roman" w:hAnsi="Times New Roman" w:cs="Times New Roman" w:eastAsia="Times New Roman" w:hint="default"/>
                <w:sz w:val="18"/>
                <w:szCs w:val="18"/>
              </w:rPr>
            </w:pPr>
            <w:r>
              <w:rPr>
                <w:rFonts w:ascii="Times New Roman"/>
                <w:spacing w:val="-1"/>
                <w:sz w:val="18"/>
              </w:rPr>
              <w:t>340,819,869.50</w:t>
            </w:r>
          </w:p>
        </w:tc>
        <w:tc>
          <w:tcPr>
            <w:tcW w:w="1528"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103"/>
              <w:jc w:val="right"/>
              <w:rPr>
                <w:rFonts w:ascii="Times New Roman" w:hAnsi="Times New Roman" w:cs="Times New Roman" w:eastAsia="Times New Roman" w:hint="default"/>
                <w:sz w:val="18"/>
                <w:szCs w:val="18"/>
              </w:rPr>
            </w:pPr>
            <w:r>
              <w:rPr>
                <w:rFonts w:ascii="Times New Roman"/>
                <w:spacing w:val="-1"/>
                <w:sz w:val="18"/>
              </w:rPr>
              <w:t>169,100,288.91</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308" w:val="left" w:leader="none"/>
        </w:tabs>
        <w:spacing w:before="35"/>
        <w:ind w:left="769" w:right="176" w:firstLine="0"/>
        <w:jc w:val="left"/>
        <w:rPr>
          <w:rFonts w:ascii="宋体" w:hAnsi="宋体" w:cs="宋体" w:eastAsia="宋体" w:hint="default"/>
          <w:sz w:val="21"/>
          <w:szCs w:val="21"/>
        </w:rPr>
      </w:pPr>
      <w:r>
        <w:rPr/>
        <w:pict>
          <v:group style="position:absolute;margin-left:83.760002pt;margin-top:17.613817pt;width:397.4pt;height:76.3pt;mso-position-horizontal-relative:page;mso-position-vertical-relative:paragraph;z-index:-767200" coordorigin="1675,352" coordsize="7948,1526">
            <v:shape style="position:absolute;left:4846;top:352;width:1945;height:319" type="#_x0000_t75" stroked="false">
              <v:imagedata r:id="rId343" o:title=""/>
            </v:shape>
            <v:shape style="position:absolute;left:1675;top:623;width:7948;height:1254" type="#_x0000_t75" stroked="false">
              <v:imagedata r:id="rId344" o:title=""/>
            </v:shape>
            <w10:wrap type="none"/>
          </v:group>
        </w:pict>
      </w: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公司前五名客户的营业收入情况</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724" w:type="dxa"/>
        <w:tblLayout w:type="fixed"/>
        <w:tblCellMar>
          <w:top w:w="0" w:type="dxa"/>
          <w:left w:w="0" w:type="dxa"/>
          <w:bottom w:w="0" w:type="dxa"/>
          <w:right w:w="0" w:type="dxa"/>
        </w:tblCellMar>
        <w:tblLook w:val="01E0"/>
      </w:tblPr>
      <w:tblGrid>
        <w:gridCol w:w="1025"/>
        <w:gridCol w:w="1643"/>
        <w:gridCol w:w="2440"/>
        <w:gridCol w:w="2779"/>
      </w:tblGrid>
      <w:tr>
        <w:trPr>
          <w:trHeight w:val="548" w:hRule="exact"/>
        </w:trPr>
        <w:tc>
          <w:tcPr>
            <w:tcW w:w="1025" w:type="dxa"/>
            <w:tcBorders>
              <w:top w:val="single" w:sz="12"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643" w:type="dxa"/>
            <w:tcBorders>
              <w:top w:val="single" w:sz="12" w:space="0" w:color="000000"/>
              <w:left w:val="nil" w:sz="6" w:space="0" w:color="auto"/>
              <w:bottom w:val="nil" w:sz="6" w:space="0" w:color="auto"/>
              <w:right w:val="nil" w:sz="6" w:space="0" w:color="auto"/>
            </w:tcBorders>
          </w:tcPr>
          <w:p>
            <w:pPr>
              <w:pStyle w:val="TableParagraph"/>
              <w:spacing w:line="205" w:lineRule="exact"/>
              <w:ind w:left="377" w:right="0"/>
              <w:jc w:val="left"/>
              <w:rPr>
                <w:rFonts w:ascii="宋体" w:hAnsi="宋体" w:cs="宋体" w:eastAsia="宋体" w:hint="default"/>
                <w:sz w:val="18"/>
                <w:szCs w:val="18"/>
              </w:rPr>
            </w:pPr>
            <w:r>
              <w:rPr>
                <w:rFonts w:ascii="宋体" w:hAnsi="宋体" w:cs="宋体" w:eastAsia="宋体" w:hint="default"/>
                <w:sz w:val="18"/>
                <w:szCs w:val="18"/>
              </w:rPr>
              <w:t>名次</w:t>
            </w:r>
          </w:p>
        </w:tc>
        <w:tc>
          <w:tcPr>
            <w:tcW w:w="2440" w:type="dxa"/>
            <w:tcBorders>
              <w:top w:val="single" w:sz="12" w:space="0" w:color="000000"/>
              <w:left w:val="nil" w:sz="6" w:space="0" w:color="auto"/>
              <w:bottom w:val="nil" w:sz="6" w:space="0" w:color="auto"/>
              <w:right w:val="nil" w:sz="6" w:space="0" w:color="auto"/>
            </w:tcBorders>
          </w:tcPr>
          <w:p>
            <w:pPr>
              <w:pStyle w:val="TableParagraph"/>
              <w:spacing w:line="205" w:lineRule="exact"/>
              <w:ind w:left="905" w:right="0"/>
              <w:jc w:val="left"/>
              <w:rPr>
                <w:rFonts w:ascii="宋体" w:hAnsi="宋体" w:cs="宋体" w:eastAsia="宋体" w:hint="default"/>
                <w:sz w:val="18"/>
                <w:szCs w:val="18"/>
              </w:rPr>
            </w:pPr>
            <w:r>
              <w:rPr>
                <w:rFonts w:ascii="宋体" w:hAnsi="宋体" w:cs="宋体" w:eastAsia="宋体" w:hint="default"/>
                <w:sz w:val="18"/>
                <w:szCs w:val="18"/>
              </w:rPr>
              <w:t>营业收入总额</w:t>
            </w:r>
          </w:p>
          <w:p>
            <w:pPr>
              <w:pStyle w:val="TableParagraph"/>
              <w:spacing w:line="240" w:lineRule="auto" w:before="94"/>
              <w:ind w:left="1168" w:right="0"/>
              <w:jc w:val="left"/>
              <w:rPr>
                <w:rFonts w:ascii="Times New Roman" w:hAnsi="Times New Roman" w:cs="Times New Roman" w:eastAsia="Times New Roman" w:hint="default"/>
                <w:sz w:val="18"/>
                <w:szCs w:val="18"/>
              </w:rPr>
            </w:pPr>
            <w:r>
              <w:rPr>
                <w:rFonts w:ascii="Times New Roman"/>
                <w:sz w:val="18"/>
              </w:rPr>
              <w:t>112,448,939.76</w:t>
            </w:r>
          </w:p>
        </w:tc>
        <w:tc>
          <w:tcPr>
            <w:tcW w:w="2779" w:type="dxa"/>
            <w:tcBorders>
              <w:top w:val="single" w:sz="12" w:space="0" w:color="000000"/>
              <w:left w:val="nil" w:sz="6" w:space="0" w:color="auto"/>
              <w:bottom w:val="nil" w:sz="6" w:space="0" w:color="auto"/>
              <w:right w:val="nil" w:sz="6" w:space="0" w:color="auto"/>
            </w:tcBorders>
          </w:tcPr>
          <w:p>
            <w:pPr>
              <w:pStyle w:val="TableParagraph"/>
              <w:spacing w:line="219" w:lineRule="exact"/>
              <w:ind w:right="194"/>
              <w:jc w:val="right"/>
              <w:rPr>
                <w:rFonts w:ascii="Times New Roman" w:hAnsi="Times New Roman" w:cs="Times New Roman" w:eastAsia="Times New Roman" w:hint="default"/>
                <w:sz w:val="18"/>
                <w:szCs w:val="18"/>
              </w:rPr>
            </w:pPr>
            <w:r>
              <w:rPr>
                <w:rFonts w:ascii="宋体" w:hAnsi="宋体" w:cs="宋体" w:eastAsia="宋体" w:hint="default"/>
                <w:sz w:val="18"/>
                <w:szCs w:val="18"/>
              </w:rPr>
              <w:t>占公司全部营业收入的比例</w:t>
            </w:r>
            <w:r>
              <w:rPr>
                <w:rFonts w:ascii="Times New Roman" w:hAnsi="Times New Roman" w:cs="Times New Roman" w:eastAsia="Times New Roman" w:hint="default"/>
                <w:sz w:val="18"/>
                <w:szCs w:val="18"/>
              </w:rPr>
              <w:t>(%)</w:t>
            </w:r>
          </w:p>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z w:val="18"/>
              </w:rPr>
              <w:t>31.23</w:t>
            </w:r>
          </w:p>
        </w:tc>
      </w:tr>
      <w:tr>
        <w:trPr>
          <w:trHeight w:val="245" w:hRule="exact"/>
        </w:trPr>
        <w:tc>
          <w:tcPr>
            <w:tcW w:w="1025" w:type="dxa"/>
            <w:tcBorders>
              <w:top w:val="nil" w:sz="6" w:space="0" w:color="auto"/>
              <w:left w:val="nil" w:sz="6" w:space="0" w:color="auto"/>
              <w:bottom w:val="nil" w:sz="6" w:space="0" w:color="auto"/>
              <w:right w:val="nil" w:sz="6" w:space="0" w:color="auto"/>
            </w:tcBorders>
          </w:tcPr>
          <w:p>
            <w:pPr>
              <w:pStyle w:val="TableParagraph"/>
              <w:spacing w:line="210" w:lineRule="exact"/>
              <w:ind w:left="107"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643" w:type="dxa"/>
            <w:tcBorders>
              <w:top w:val="nil" w:sz="6" w:space="0" w:color="auto"/>
              <w:left w:val="nil" w:sz="6" w:space="0" w:color="auto"/>
              <w:bottom w:val="nil" w:sz="6" w:space="0" w:color="auto"/>
              <w:right w:val="nil" w:sz="6" w:space="0" w:color="auto"/>
            </w:tcBorders>
          </w:tcPr>
          <w:p>
            <w:pPr/>
          </w:p>
        </w:tc>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49"/>
              <w:jc w:val="right"/>
              <w:rPr>
                <w:rFonts w:ascii="Times New Roman" w:hAnsi="Times New Roman" w:cs="Times New Roman" w:eastAsia="Times New Roman" w:hint="default"/>
                <w:sz w:val="18"/>
                <w:szCs w:val="18"/>
              </w:rPr>
            </w:pPr>
            <w:r>
              <w:rPr>
                <w:rFonts w:ascii="Times New Roman"/>
                <w:spacing w:val="-1"/>
                <w:sz w:val="18"/>
              </w:rPr>
              <w:t>38,191,293.75</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4"/>
              <w:jc w:val="right"/>
              <w:rPr>
                <w:rFonts w:ascii="Times New Roman" w:hAnsi="Times New Roman" w:cs="Times New Roman" w:eastAsia="Times New Roman" w:hint="default"/>
                <w:sz w:val="18"/>
                <w:szCs w:val="18"/>
              </w:rPr>
            </w:pPr>
            <w:r>
              <w:rPr>
                <w:rFonts w:ascii="Times New Roman"/>
                <w:sz w:val="18"/>
              </w:rPr>
              <w:t>10.61</w:t>
            </w:r>
          </w:p>
        </w:tc>
      </w:tr>
      <w:tr>
        <w:trPr>
          <w:trHeight w:val="245" w:hRule="exact"/>
        </w:trPr>
        <w:tc>
          <w:tcPr>
            <w:tcW w:w="1025" w:type="dxa"/>
            <w:tcBorders>
              <w:top w:val="nil" w:sz="6" w:space="0" w:color="auto"/>
              <w:left w:val="nil" w:sz="6" w:space="0" w:color="auto"/>
              <w:bottom w:val="nil" w:sz="6" w:space="0" w:color="auto"/>
              <w:right w:val="nil" w:sz="6" w:space="0" w:color="auto"/>
            </w:tcBorders>
          </w:tcPr>
          <w:p>
            <w:pPr>
              <w:pStyle w:val="TableParagraph"/>
              <w:spacing w:line="210" w:lineRule="exact"/>
              <w:ind w:left="107"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643" w:type="dxa"/>
            <w:tcBorders>
              <w:top w:val="nil" w:sz="6" w:space="0" w:color="auto"/>
              <w:left w:val="nil" w:sz="6" w:space="0" w:color="auto"/>
              <w:bottom w:val="nil" w:sz="6" w:space="0" w:color="auto"/>
              <w:right w:val="nil" w:sz="6" w:space="0" w:color="auto"/>
            </w:tcBorders>
          </w:tcPr>
          <w:p>
            <w:pPr/>
          </w:p>
        </w:tc>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49"/>
              <w:jc w:val="right"/>
              <w:rPr>
                <w:rFonts w:ascii="Times New Roman" w:hAnsi="Times New Roman" w:cs="Times New Roman" w:eastAsia="Times New Roman" w:hint="default"/>
                <w:sz w:val="18"/>
                <w:szCs w:val="18"/>
              </w:rPr>
            </w:pPr>
            <w:r>
              <w:rPr>
                <w:rFonts w:ascii="Times New Roman"/>
                <w:spacing w:val="-1"/>
                <w:sz w:val="18"/>
              </w:rPr>
              <w:t>13,415,223.23</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4"/>
              <w:jc w:val="right"/>
              <w:rPr>
                <w:rFonts w:ascii="Times New Roman" w:hAnsi="Times New Roman" w:cs="Times New Roman" w:eastAsia="Times New Roman" w:hint="default"/>
                <w:sz w:val="18"/>
                <w:szCs w:val="18"/>
              </w:rPr>
            </w:pPr>
            <w:r>
              <w:rPr>
                <w:rFonts w:ascii="Times New Roman"/>
                <w:sz w:val="18"/>
              </w:rPr>
              <w:t>3.73</w:t>
            </w:r>
          </w:p>
        </w:tc>
      </w:tr>
      <w:tr>
        <w:trPr>
          <w:trHeight w:val="245" w:hRule="exact"/>
        </w:trPr>
        <w:tc>
          <w:tcPr>
            <w:tcW w:w="1025" w:type="dxa"/>
            <w:tcBorders>
              <w:top w:val="nil" w:sz="6" w:space="0" w:color="auto"/>
              <w:left w:val="nil" w:sz="6" w:space="0" w:color="auto"/>
              <w:bottom w:val="nil" w:sz="6" w:space="0" w:color="auto"/>
              <w:right w:val="nil" w:sz="6" w:space="0" w:color="auto"/>
            </w:tcBorders>
          </w:tcPr>
          <w:p>
            <w:pPr>
              <w:pStyle w:val="TableParagraph"/>
              <w:spacing w:line="210" w:lineRule="exact"/>
              <w:ind w:left="107"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643" w:type="dxa"/>
            <w:tcBorders>
              <w:top w:val="nil" w:sz="6" w:space="0" w:color="auto"/>
              <w:left w:val="nil" w:sz="6" w:space="0" w:color="auto"/>
              <w:bottom w:val="nil" w:sz="6" w:space="0" w:color="auto"/>
              <w:right w:val="nil" w:sz="6" w:space="0" w:color="auto"/>
            </w:tcBorders>
          </w:tcPr>
          <w:p>
            <w:pPr/>
          </w:p>
        </w:tc>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49"/>
              <w:jc w:val="right"/>
              <w:rPr>
                <w:rFonts w:ascii="Times New Roman" w:hAnsi="Times New Roman" w:cs="Times New Roman" w:eastAsia="Times New Roman" w:hint="default"/>
                <w:sz w:val="18"/>
                <w:szCs w:val="18"/>
              </w:rPr>
            </w:pPr>
            <w:r>
              <w:rPr>
                <w:rFonts w:ascii="Times New Roman"/>
                <w:spacing w:val="-1"/>
                <w:sz w:val="18"/>
              </w:rPr>
              <w:t>8,003,025.64</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4"/>
              <w:jc w:val="right"/>
              <w:rPr>
                <w:rFonts w:ascii="Times New Roman" w:hAnsi="Times New Roman" w:cs="Times New Roman" w:eastAsia="Times New Roman" w:hint="default"/>
                <w:sz w:val="18"/>
                <w:szCs w:val="18"/>
              </w:rPr>
            </w:pPr>
            <w:r>
              <w:rPr>
                <w:rFonts w:ascii="Times New Roman"/>
                <w:sz w:val="18"/>
              </w:rPr>
              <w:t>2.22</w:t>
            </w:r>
          </w:p>
        </w:tc>
      </w:tr>
      <w:tr>
        <w:trPr>
          <w:trHeight w:val="254" w:hRule="exact"/>
        </w:trPr>
        <w:tc>
          <w:tcPr>
            <w:tcW w:w="1025" w:type="dxa"/>
            <w:tcBorders>
              <w:top w:val="nil" w:sz="6" w:space="0" w:color="auto"/>
              <w:left w:val="nil" w:sz="6" w:space="0" w:color="auto"/>
              <w:bottom w:val="single" w:sz="12" w:space="0" w:color="000000"/>
              <w:right w:val="nil" w:sz="6" w:space="0" w:color="auto"/>
            </w:tcBorders>
          </w:tcPr>
          <w:p>
            <w:pPr>
              <w:pStyle w:val="TableParagraph"/>
              <w:spacing w:line="210" w:lineRule="exact"/>
              <w:ind w:left="107"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643" w:type="dxa"/>
            <w:tcBorders>
              <w:top w:val="nil" w:sz="6" w:space="0" w:color="auto"/>
              <w:left w:val="nil" w:sz="6" w:space="0" w:color="auto"/>
              <w:bottom w:val="single" w:sz="12" w:space="0" w:color="000000"/>
              <w:right w:val="nil" w:sz="6" w:space="0" w:color="auto"/>
            </w:tcBorders>
          </w:tcPr>
          <w:p>
            <w:pPr/>
          </w:p>
        </w:tc>
        <w:tc>
          <w:tcPr>
            <w:tcW w:w="2440"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149"/>
              <w:jc w:val="right"/>
              <w:rPr>
                <w:rFonts w:ascii="Times New Roman" w:hAnsi="Times New Roman" w:cs="Times New Roman" w:eastAsia="Times New Roman" w:hint="default"/>
                <w:sz w:val="18"/>
                <w:szCs w:val="18"/>
              </w:rPr>
            </w:pPr>
            <w:r>
              <w:rPr>
                <w:rFonts w:ascii="Times New Roman"/>
                <w:spacing w:val="-1"/>
                <w:sz w:val="18"/>
              </w:rPr>
              <w:t>6,635,257.35</w:t>
            </w:r>
          </w:p>
        </w:tc>
        <w:tc>
          <w:tcPr>
            <w:tcW w:w="2779"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104"/>
              <w:jc w:val="right"/>
              <w:rPr>
                <w:rFonts w:ascii="Times New Roman" w:hAnsi="Times New Roman" w:cs="Times New Roman" w:eastAsia="Times New Roman" w:hint="default"/>
                <w:sz w:val="18"/>
                <w:szCs w:val="18"/>
              </w:rPr>
            </w:pPr>
            <w:r>
              <w:rPr>
                <w:rFonts w:ascii="Times New Roman"/>
                <w:sz w:val="18"/>
              </w:rPr>
              <w:t>1.84</w:t>
            </w:r>
          </w:p>
        </w:tc>
      </w:tr>
    </w:tbl>
    <w:p>
      <w:pPr>
        <w:spacing w:after="0" w:line="240" w:lineRule="auto"/>
        <w:jc w:val="right"/>
        <w:rPr>
          <w:rFonts w:ascii="Times New Roman" w:hAnsi="Times New Roman" w:cs="Times New Roman" w:eastAsia="Times New Roman" w:hint="default"/>
          <w:sz w:val="18"/>
          <w:szCs w:val="18"/>
        </w:rPr>
        <w:sectPr>
          <w:headerReference w:type="default" r:id="rId330"/>
          <w:footerReference w:type="default" r:id="rId331"/>
          <w:pgSz w:w="11910" w:h="16840"/>
          <w:pgMar w:header="565" w:footer="669" w:top="980" w:bottom="860" w:left="980" w:right="980"/>
          <w:pgNumType w:start="168"/>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7"/>
          <w:szCs w:val="17"/>
        </w:rPr>
      </w:pPr>
    </w:p>
    <w:p>
      <w:pPr>
        <w:tabs>
          <w:tab w:pos="5903" w:val="left" w:leader="none"/>
          <w:tab w:pos="7815" w:val="left" w:leader="none"/>
        </w:tabs>
        <w:spacing w:before="74"/>
        <w:ind w:left="831" w:right="176" w:firstLine="0"/>
        <w:jc w:val="left"/>
        <w:rPr>
          <w:rFonts w:ascii="Times New Roman" w:hAnsi="Times New Roman" w:cs="Times New Roman" w:eastAsia="Times New Roman" w:hint="default"/>
          <w:sz w:val="18"/>
          <w:szCs w:val="18"/>
        </w:rPr>
      </w:pPr>
      <w:r>
        <w:rPr/>
        <w:pict>
          <v:group style="position:absolute;margin-left:83.730003pt;margin-top:-145.513779pt;width:390.3pt;height:595.6pt;mso-position-horizontal-relative:page;mso-position-vertical-relative:paragraph;z-index:-767176" coordorigin="1675,-2910" coordsize="7806,11912">
            <v:shape style="position:absolute;left:6032;top:-2910;width:1750;height:437" type="#_x0000_t75" stroked="false">
              <v:imagedata r:id="rId345" o:title=""/>
            </v:shape>
            <v:group style="position:absolute;left:1690;top:8987;width:4362;height:2" coordorigin="1690,8987" coordsize="4362,2">
              <v:shape style="position:absolute;left:1690;top:8987;width:4362;height:2" coordorigin="1690,8987" coordsize="4362,0" path="m1690,8987l6052,8987e" filled="false" stroked="true" strokeweight="1.5pt" strokecolor="#000000">
                <v:path arrowok="t"/>
              </v:shape>
            </v:group>
            <v:group style="position:absolute;left:6052;top:8987;width:1701;height:2" coordorigin="6052,8987" coordsize="1701,2">
              <v:shape style="position:absolute;left:6052;top:8987;width:1701;height:2" coordorigin="6052,8987" coordsize="1701,0" path="m6052,8987l7752,8987e" filled="false" stroked="true" strokeweight="1.5pt" strokecolor="#000000">
                <v:path arrowok="t"/>
              </v:shape>
              <v:shape style="position:absolute;left:1685;top:-2512;width:7795;height:11484" type="#_x0000_t75" stroked="false">
                <v:imagedata r:id="rId346" o:title=""/>
              </v:shape>
            </v:group>
            <v:group style="position:absolute;left:7752;top:8987;width:1707;height:2" coordorigin="7752,8987" coordsize="1707,2">
              <v:shape style="position:absolute;left:7752;top:8987;width:1707;height:2" coordorigin="7752,8987" coordsize="1707,0" path="m7752,8987l9458,8987e" filled="false" stroked="true" strokeweight="1.5pt" strokecolor="#000000">
                <v:path arrowok="t"/>
              </v:shape>
            </v:group>
            <w10:wrap type="none"/>
          </v:group>
        </w:pict>
      </w:r>
      <w:r>
        <w:rPr/>
        <w:pict>
          <v:shape style="position:absolute;margin-left:54.229698pt;margin-top:-163.167465pt;width:418.7pt;height:171.35pt;mso-position-horizontal-relative:page;mso-position-vertical-relative:paragraph;z-index:232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19"/>
                    <w:gridCol w:w="4192"/>
                    <w:gridCol w:w="2042"/>
                    <w:gridCol w:w="1520"/>
                  </w:tblGrid>
                  <w:tr>
                    <w:trPr>
                      <w:trHeight w:val="358" w:hRule="exact"/>
                    </w:trPr>
                    <w:tc>
                      <w:tcPr>
                        <w:tcW w:w="61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(六)</w:t>
                        </w:r>
                        <w:r>
                          <w:rPr>
                            <w:rFonts w:ascii="宋体" w:hAnsi="宋体" w:cs="宋体" w:eastAsia="宋体" w:hint="default"/>
                            <w:sz w:val="21"/>
                            <w:szCs w:val="21"/>
                          </w:rPr>
                        </w:r>
                      </w:p>
                    </w:tc>
                    <w:tc>
                      <w:tcPr>
                        <w:tcW w:w="4192"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44" w:right="0"/>
                          <w:jc w:val="left"/>
                          <w:rPr>
                            <w:rFonts w:ascii="宋体" w:hAnsi="宋体" w:cs="宋体" w:eastAsia="宋体" w:hint="default"/>
                            <w:sz w:val="21"/>
                            <w:szCs w:val="21"/>
                          </w:rPr>
                        </w:pPr>
                        <w:r>
                          <w:rPr>
                            <w:rFonts w:ascii="宋体" w:hAnsi="宋体" w:cs="宋体" w:eastAsia="宋体" w:hint="default"/>
                            <w:b/>
                            <w:bCs/>
                            <w:sz w:val="21"/>
                            <w:szCs w:val="21"/>
                          </w:rPr>
                          <w:t>现金流量表补充资料</w:t>
                        </w:r>
                        <w:r>
                          <w:rPr>
                            <w:rFonts w:ascii="宋体" w:hAnsi="宋体" w:cs="宋体" w:eastAsia="宋体" w:hint="default"/>
                            <w:sz w:val="21"/>
                            <w:szCs w:val="21"/>
                          </w:rPr>
                        </w:r>
                      </w:p>
                    </w:tc>
                    <w:tc>
                      <w:tcPr>
                        <w:tcW w:w="3562" w:type="dxa"/>
                        <w:gridSpan w:val="2"/>
                        <w:tcBorders>
                          <w:top w:val="nil" w:sz="6" w:space="0" w:color="auto"/>
                          <w:left w:val="nil" w:sz="6" w:space="0" w:color="auto"/>
                          <w:bottom w:val="single" w:sz="12" w:space="0" w:color="000000"/>
                          <w:right w:val="nil" w:sz="6" w:space="0" w:color="auto"/>
                        </w:tcBorders>
                      </w:tcPr>
                      <w:p>
                        <w:pPr/>
                      </w:p>
                    </w:tc>
                  </w:tr>
                  <w:tr>
                    <w:trPr>
                      <w:trHeight w:val="415" w:hRule="exact"/>
                    </w:trPr>
                    <w:tc>
                      <w:tcPr>
                        <w:tcW w:w="619" w:type="dxa"/>
                        <w:tcBorders>
                          <w:top w:val="nil" w:sz="6" w:space="0" w:color="auto"/>
                          <w:left w:val="nil" w:sz="6" w:space="0" w:color="auto"/>
                          <w:bottom w:val="nil" w:sz="6" w:space="0" w:color="auto"/>
                          <w:right w:val="nil" w:sz="6" w:space="0" w:color="auto"/>
                        </w:tcBorders>
                      </w:tcPr>
                      <w:p>
                        <w:pPr/>
                      </w:p>
                    </w:tc>
                    <w:tc>
                      <w:tcPr>
                        <w:tcW w:w="4192" w:type="dxa"/>
                        <w:tcBorders>
                          <w:top w:val="single" w:sz="12" w:space="0" w:color="000000"/>
                          <w:left w:val="nil" w:sz="6" w:space="0" w:color="auto"/>
                          <w:bottom w:val="nil" w:sz="6" w:space="0" w:color="auto"/>
                          <w:right w:val="nil" w:sz="6" w:space="0" w:color="auto"/>
                        </w:tcBorders>
                      </w:tcPr>
                      <w:p>
                        <w:pPr>
                          <w:pStyle w:val="TableParagraph"/>
                          <w:spacing w:line="240" w:lineRule="auto" w:before="51"/>
                          <w:ind w:left="15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042" w:type="dxa"/>
                        <w:tcBorders>
                          <w:top w:val="single" w:sz="12" w:space="0" w:color="000000"/>
                          <w:left w:val="nil" w:sz="6" w:space="0" w:color="auto"/>
                          <w:bottom w:val="nil" w:sz="6" w:space="0" w:color="auto"/>
                          <w:right w:val="nil" w:sz="6" w:space="0" w:color="auto"/>
                        </w:tcBorders>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520" w:type="dxa"/>
                        <w:tcBorders>
                          <w:top w:val="single" w:sz="12" w:space="0" w:color="000000"/>
                          <w:left w:val="nil" w:sz="6" w:space="0" w:color="auto"/>
                          <w:bottom w:val="nil" w:sz="6" w:space="0" w:color="auto"/>
                          <w:right w:val="nil" w:sz="6" w:space="0" w:color="auto"/>
                        </w:tcBorders>
                      </w:tcPr>
                      <w:p>
                        <w:pPr>
                          <w:pStyle w:val="TableParagraph"/>
                          <w:spacing w:line="240" w:lineRule="auto" w:before="51"/>
                          <w:ind w:left="309"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411" w:hRule="exact"/>
                    </w:trPr>
                    <w:tc>
                      <w:tcPr>
                        <w:tcW w:w="619" w:type="dxa"/>
                        <w:tcBorders>
                          <w:top w:val="nil" w:sz="6" w:space="0" w:color="auto"/>
                          <w:left w:val="nil" w:sz="6" w:space="0" w:color="auto"/>
                          <w:bottom w:val="nil" w:sz="6" w:space="0" w:color="auto"/>
                          <w:right w:val="nil" w:sz="6" w:space="0" w:color="auto"/>
                        </w:tcBorders>
                      </w:tcPr>
                      <w:p>
                        <w:pPr/>
                      </w:p>
                    </w:tc>
                    <w:tc>
                      <w:tcPr>
                        <w:tcW w:w="4192"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2042"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nil" w:sz="6" w:space="0" w:color="auto"/>
                        </w:tcBorders>
                      </w:tcPr>
                      <w:p>
                        <w:pPr/>
                      </w:p>
                    </w:tc>
                  </w:tr>
                  <w:tr>
                    <w:trPr>
                      <w:trHeight w:val="412" w:hRule="exact"/>
                    </w:trPr>
                    <w:tc>
                      <w:tcPr>
                        <w:tcW w:w="619" w:type="dxa"/>
                        <w:tcBorders>
                          <w:top w:val="nil" w:sz="6" w:space="0" w:color="auto"/>
                          <w:left w:val="nil" w:sz="6" w:space="0" w:color="auto"/>
                          <w:bottom w:val="nil" w:sz="6" w:space="0" w:color="auto"/>
                          <w:right w:val="nil" w:sz="6" w:space="0" w:color="auto"/>
                        </w:tcBorders>
                      </w:tcPr>
                      <w:p>
                        <w:pPr/>
                      </w:p>
                    </w:tc>
                    <w:tc>
                      <w:tcPr>
                        <w:tcW w:w="419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7"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6"/>
                          <w:jc w:val="right"/>
                          <w:rPr>
                            <w:rFonts w:ascii="Times New Roman" w:hAnsi="Times New Roman" w:cs="Times New Roman" w:eastAsia="Times New Roman" w:hint="default"/>
                            <w:sz w:val="20"/>
                            <w:szCs w:val="20"/>
                          </w:rPr>
                        </w:pPr>
                        <w:r>
                          <w:rPr>
                            <w:rFonts w:ascii="Times New Roman"/>
                            <w:spacing w:val="-1"/>
                            <w:sz w:val="20"/>
                          </w:rPr>
                          <w:t>74,538,562.59</w:t>
                        </w:r>
                        <w:r>
                          <w:rPr>
                            <w:rFonts w:ascii="Times New Roman"/>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77" w:right="0"/>
                          <w:jc w:val="left"/>
                          <w:rPr>
                            <w:rFonts w:ascii="Times New Roman" w:hAnsi="Times New Roman" w:cs="Times New Roman" w:eastAsia="Times New Roman" w:hint="default"/>
                            <w:sz w:val="18"/>
                            <w:szCs w:val="18"/>
                          </w:rPr>
                        </w:pPr>
                        <w:r>
                          <w:rPr>
                            <w:rFonts w:ascii="Times New Roman"/>
                            <w:sz w:val="18"/>
                          </w:rPr>
                          <w:t>74,742,583.45</w:t>
                        </w:r>
                      </w:p>
                    </w:tc>
                  </w:tr>
                  <w:tr>
                    <w:trPr>
                      <w:trHeight w:val="407" w:hRule="exact"/>
                    </w:trPr>
                    <w:tc>
                      <w:tcPr>
                        <w:tcW w:w="619" w:type="dxa"/>
                        <w:tcBorders>
                          <w:top w:val="nil" w:sz="6" w:space="0" w:color="auto"/>
                          <w:left w:val="nil" w:sz="6" w:space="0" w:color="auto"/>
                          <w:bottom w:val="nil" w:sz="6" w:space="0" w:color="auto"/>
                          <w:right w:val="nil" w:sz="6" w:space="0" w:color="auto"/>
                        </w:tcBorders>
                      </w:tcPr>
                      <w:p>
                        <w:pPr/>
                      </w:p>
                    </w:tc>
                    <w:tc>
                      <w:tcPr>
                        <w:tcW w:w="419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7"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86"/>
                          <w:jc w:val="right"/>
                          <w:rPr>
                            <w:rFonts w:ascii="Times New Roman" w:hAnsi="Times New Roman" w:cs="Times New Roman" w:eastAsia="Times New Roman" w:hint="default"/>
                            <w:sz w:val="20"/>
                            <w:szCs w:val="20"/>
                          </w:rPr>
                        </w:pPr>
                        <w:r>
                          <w:rPr>
                            <w:rFonts w:ascii="Times New Roman"/>
                            <w:spacing w:val="-1"/>
                            <w:sz w:val="20"/>
                          </w:rPr>
                          <w:t>664,366.20</w:t>
                        </w:r>
                        <w:r>
                          <w:rPr>
                            <w:rFonts w:ascii="Times New Roman"/>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87"/>
                          <w:ind w:left="467" w:right="0"/>
                          <w:jc w:val="left"/>
                          <w:rPr>
                            <w:rFonts w:ascii="Times New Roman" w:hAnsi="Times New Roman" w:cs="Times New Roman" w:eastAsia="Times New Roman" w:hint="default"/>
                            <w:sz w:val="18"/>
                            <w:szCs w:val="18"/>
                          </w:rPr>
                        </w:pPr>
                        <w:r>
                          <w:rPr>
                            <w:rFonts w:ascii="Times New Roman"/>
                            <w:sz w:val="18"/>
                          </w:rPr>
                          <w:t>3,918,285.22</w:t>
                        </w:r>
                      </w:p>
                    </w:tc>
                  </w:tr>
                  <w:tr>
                    <w:trPr>
                      <w:trHeight w:val="407" w:hRule="exact"/>
                    </w:trPr>
                    <w:tc>
                      <w:tcPr>
                        <w:tcW w:w="619" w:type="dxa"/>
                        <w:tcBorders>
                          <w:top w:val="nil" w:sz="6" w:space="0" w:color="auto"/>
                          <w:left w:val="nil" w:sz="6" w:space="0" w:color="auto"/>
                          <w:bottom w:val="nil" w:sz="6" w:space="0" w:color="auto"/>
                          <w:right w:val="nil" w:sz="6" w:space="0" w:color="auto"/>
                        </w:tcBorders>
                      </w:tcPr>
                      <w:p>
                        <w:pPr/>
                      </w:p>
                    </w:tc>
                    <w:tc>
                      <w:tcPr>
                        <w:tcW w:w="419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7" w:right="0"/>
                          <w:jc w:val="left"/>
                          <w:rPr>
                            <w:rFonts w:ascii="宋体" w:hAnsi="宋体" w:cs="宋体" w:eastAsia="宋体" w:hint="default"/>
                            <w:sz w:val="18"/>
                            <w:szCs w:val="18"/>
                          </w:rPr>
                        </w:pPr>
                        <w:r>
                          <w:rPr>
                            <w:rFonts w:ascii="宋体" w:hAnsi="宋体" w:cs="宋体" w:eastAsia="宋体" w:hint="default"/>
                            <w:sz w:val="18"/>
                            <w:szCs w:val="18"/>
                          </w:rPr>
                          <w:t>固定资产折旧、投资性房地产摊销</w:t>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86"/>
                          <w:jc w:val="right"/>
                          <w:rPr>
                            <w:rFonts w:ascii="Times New Roman" w:hAnsi="Times New Roman" w:cs="Times New Roman" w:eastAsia="Times New Roman" w:hint="default"/>
                            <w:sz w:val="20"/>
                            <w:szCs w:val="20"/>
                          </w:rPr>
                        </w:pPr>
                        <w:r>
                          <w:rPr>
                            <w:rFonts w:ascii="Times New Roman"/>
                            <w:spacing w:val="-1"/>
                            <w:sz w:val="20"/>
                          </w:rPr>
                          <w:t>22,225,810.16</w:t>
                        </w:r>
                        <w:r>
                          <w:rPr>
                            <w:rFonts w:ascii="Times New Roman"/>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77" w:right="0"/>
                          <w:jc w:val="left"/>
                          <w:rPr>
                            <w:rFonts w:ascii="Times New Roman" w:hAnsi="Times New Roman" w:cs="Times New Roman" w:eastAsia="Times New Roman" w:hint="default"/>
                            <w:sz w:val="18"/>
                            <w:szCs w:val="18"/>
                          </w:rPr>
                        </w:pPr>
                        <w:r>
                          <w:rPr>
                            <w:rFonts w:ascii="Times New Roman"/>
                            <w:sz w:val="18"/>
                          </w:rPr>
                          <w:t>21,734,736.52</w:t>
                        </w:r>
                      </w:p>
                    </w:tc>
                  </w:tr>
                  <w:tr>
                    <w:trPr>
                      <w:trHeight w:val="407" w:hRule="exact"/>
                    </w:trPr>
                    <w:tc>
                      <w:tcPr>
                        <w:tcW w:w="619" w:type="dxa"/>
                        <w:tcBorders>
                          <w:top w:val="nil" w:sz="6" w:space="0" w:color="auto"/>
                          <w:left w:val="nil" w:sz="6" w:space="0" w:color="auto"/>
                          <w:bottom w:val="nil" w:sz="6" w:space="0" w:color="auto"/>
                          <w:right w:val="nil" w:sz="6" w:space="0" w:color="auto"/>
                        </w:tcBorders>
                      </w:tcPr>
                      <w:p>
                        <w:pPr/>
                      </w:p>
                    </w:tc>
                    <w:tc>
                      <w:tcPr>
                        <w:tcW w:w="419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85"/>
                          <w:jc w:val="right"/>
                          <w:rPr>
                            <w:rFonts w:ascii="Times New Roman" w:hAnsi="Times New Roman" w:cs="Times New Roman" w:eastAsia="Times New Roman" w:hint="default"/>
                            <w:sz w:val="20"/>
                            <w:szCs w:val="20"/>
                          </w:rPr>
                        </w:pPr>
                        <w:r>
                          <w:rPr>
                            <w:rFonts w:ascii="Times New Roman"/>
                            <w:spacing w:val="-1"/>
                            <w:sz w:val="20"/>
                          </w:rPr>
                          <w:t>1,276,957.42</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88"/>
                          <w:ind w:left="601" w:right="0"/>
                          <w:jc w:val="left"/>
                          <w:rPr>
                            <w:rFonts w:ascii="Times New Roman" w:hAnsi="Times New Roman" w:cs="Times New Roman" w:eastAsia="Times New Roman" w:hint="default"/>
                            <w:sz w:val="18"/>
                            <w:szCs w:val="18"/>
                          </w:rPr>
                        </w:pPr>
                        <w:r>
                          <w:rPr>
                            <w:rFonts w:ascii="Times New Roman"/>
                            <w:sz w:val="18"/>
                          </w:rPr>
                          <w:t>932,851.91</w:t>
                        </w:r>
                      </w:p>
                    </w:tc>
                  </w:tr>
                  <w:tr>
                    <w:trPr>
                      <w:trHeight w:val="304" w:hRule="exact"/>
                    </w:trPr>
                    <w:tc>
                      <w:tcPr>
                        <w:tcW w:w="619" w:type="dxa"/>
                        <w:tcBorders>
                          <w:top w:val="nil" w:sz="6" w:space="0" w:color="auto"/>
                          <w:left w:val="nil" w:sz="6" w:space="0" w:color="auto"/>
                          <w:bottom w:val="nil" w:sz="6" w:space="0" w:color="auto"/>
                          <w:right w:val="nil" w:sz="6" w:space="0" w:color="auto"/>
                        </w:tcBorders>
                      </w:tcPr>
                      <w:p>
                        <w:pPr/>
                      </w:p>
                    </w:tc>
                    <w:tc>
                      <w:tcPr>
                        <w:tcW w:w="419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85"/>
                          <w:jc w:val="right"/>
                          <w:rPr>
                            <w:rFonts w:ascii="Times New Roman" w:hAnsi="Times New Roman" w:cs="Times New Roman" w:eastAsia="Times New Roman" w:hint="default"/>
                            <w:sz w:val="20"/>
                            <w:szCs w:val="20"/>
                          </w:rPr>
                        </w:pPr>
                        <w:r>
                          <w:rPr>
                            <w:rFonts w:ascii="Times New Roman"/>
                            <w:w w:val="100"/>
                            <w:sz w:val="20"/>
                          </w:rPr>
                          <w:t>-</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88"/>
                          <w:ind w:left="601" w:right="0"/>
                          <w:jc w:val="left"/>
                          <w:rPr>
                            <w:rFonts w:ascii="Times New Roman" w:hAnsi="Times New Roman" w:cs="Times New Roman" w:eastAsia="Times New Roman" w:hint="default"/>
                            <w:sz w:val="18"/>
                            <w:szCs w:val="18"/>
                          </w:rPr>
                        </w:pPr>
                        <w:r>
                          <w:rPr>
                            <w:rFonts w:ascii="Times New Roman"/>
                            <w:sz w:val="18"/>
                          </w:rPr>
                          <w:t>598,333.30</w:t>
                        </w:r>
                      </w:p>
                    </w:tc>
                  </w:tr>
                  <w:tr>
                    <w:trPr>
                      <w:trHeight w:val="307" w:hRule="exact"/>
                    </w:trPr>
                    <w:tc>
                      <w:tcPr>
                        <w:tcW w:w="8374"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71"/>
                          <w:ind w:left="727"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处置固定资产、无形资产和其他长期资产的损失（收</w:t>
                        </w:r>
                      </w:p>
                    </w:tc>
                  </w:tr>
                </w:tbl>
                <w:p>
                  <w:pPr/>
                </w:p>
              </w:txbxContent>
            </v:textbox>
            <w10:wrap type="none"/>
          </v:shape>
        </w:pict>
      </w:r>
      <w:r>
        <w:rPr>
          <w:rFonts w:ascii="宋体" w:hAnsi="宋体" w:cs="宋体" w:eastAsia="宋体" w:hint="default"/>
          <w:spacing w:val="-1"/>
          <w:position w:val="-10"/>
          <w:sz w:val="18"/>
          <w:szCs w:val="18"/>
        </w:rPr>
        <w:t>益以</w:t>
      </w:r>
      <w:r>
        <w:rPr>
          <w:rFonts w:ascii="Times New Roman" w:hAnsi="Times New Roman" w:cs="Times New Roman" w:eastAsia="Times New Roman" w:hint="default"/>
          <w:spacing w:val="-1"/>
          <w:position w:val="-10"/>
          <w:sz w:val="18"/>
          <w:szCs w:val="18"/>
        </w:rPr>
        <w:t>“</w:t>
      </w:r>
      <w:r>
        <w:rPr>
          <w:rFonts w:ascii="宋体" w:hAnsi="宋体" w:cs="宋体" w:eastAsia="宋体" w:hint="default"/>
          <w:spacing w:val="-1"/>
          <w:position w:val="-10"/>
          <w:sz w:val="18"/>
          <w:szCs w:val="18"/>
        </w:rPr>
        <w:t>－</w:t>
      </w:r>
      <w:r>
        <w:rPr>
          <w:rFonts w:ascii="Times New Roman" w:hAnsi="Times New Roman" w:cs="Times New Roman" w:eastAsia="Times New Roman" w:hint="default"/>
          <w:spacing w:val="-1"/>
          <w:position w:val="-10"/>
          <w:sz w:val="18"/>
          <w:szCs w:val="18"/>
        </w:rPr>
        <w:t>”</w:t>
      </w:r>
      <w:r>
        <w:rPr>
          <w:rFonts w:ascii="宋体" w:hAnsi="宋体" w:cs="宋体" w:eastAsia="宋体" w:hint="default"/>
          <w:spacing w:val="-1"/>
          <w:position w:val="-10"/>
          <w:sz w:val="18"/>
          <w:szCs w:val="18"/>
        </w:rPr>
        <w:t>号填列）</w:t>
        <w:tab/>
      </w:r>
      <w:r>
        <w:rPr>
          <w:rFonts w:ascii="Times New Roman" w:hAnsi="Times New Roman" w:cs="Times New Roman" w:eastAsia="Times New Roman" w:hint="default"/>
          <w:spacing w:val="-1"/>
          <w:sz w:val="20"/>
          <w:szCs w:val="20"/>
        </w:rPr>
        <w:t>-6,483.13</w:t>
        <w:tab/>
      </w:r>
      <w:r>
        <w:rPr>
          <w:rFonts w:ascii="Times New Roman" w:hAnsi="Times New Roman" w:cs="Times New Roman" w:eastAsia="Times New Roman" w:hint="default"/>
          <w:position w:val="1"/>
          <w:sz w:val="18"/>
          <w:szCs w:val="18"/>
        </w:rPr>
        <w:t>-350.43</w:t>
      </w:r>
      <w:r>
        <w:rPr>
          <w:rFonts w:ascii="Times New Roman" w:hAnsi="Times New Roman" w:cs="Times New Roman" w:eastAsia="Times New Roman" w:hint="default"/>
          <w:sz w:val="18"/>
          <w:szCs w:val="18"/>
        </w:rPr>
      </w:r>
    </w:p>
    <w:p>
      <w:pPr>
        <w:tabs>
          <w:tab w:pos="8190" w:val="left" w:leader="none"/>
        </w:tabs>
        <w:spacing w:before="76"/>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tab/>
      </w:r>
      <w:r>
        <w:rPr>
          <w:rFonts w:ascii="Times New Roman" w:hAnsi="Times New Roman" w:cs="Times New Roman" w:eastAsia="Times New Roman" w:hint="default"/>
          <w:sz w:val="18"/>
          <w:szCs w:val="18"/>
        </w:rPr>
        <w:t>---</w:t>
      </w:r>
    </w:p>
    <w:p>
      <w:pPr>
        <w:tabs>
          <w:tab w:pos="8190" w:val="left" w:leader="none"/>
        </w:tabs>
        <w:spacing w:before="159"/>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tab/>
      </w:r>
      <w:r>
        <w:rPr>
          <w:rFonts w:ascii="Times New Roman" w:hAnsi="Times New Roman" w:cs="Times New Roman" w:eastAsia="Times New Roman" w:hint="default"/>
          <w:sz w:val="18"/>
          <w:szCs w:val="18"/>
        </w:rPr>
        <w:t>---</w:t>
      </w:r>
    </w:p>
    <w:p>
      <w:pPr>
        <w:spacing w:line="240" w:lineRule="auto" w:before="1"/>
        <w:rPr>
          <w:rFonts w:ascii="Times New Roman" w:hAnsi="Times New Roman" w:cs="Times New Roman" w:eastAsia="Times New Roman" w:hint="default"/>
          <w:sz w:val="14"/>
          <w:szCs w:val="14"/>
        </w:rPr>
      </w:pPr>
    </w:p>
    <w:p>
      <w:pPr>
        <w:tabs>
          <w:tab w:pos="5627" w:val="left" w:leader="none"/>
          <w:tab w:pos="7425" w:val="left" w:leader="none"/>
        </w:tabs>
        <w:spacing w:before="0"/>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pacing w:val="-1"/>
          <w:sz w:val="18"/>
          <w:szCs w:val="18"/>
        </w:rPr>
        <w:t>财务费用（收益以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tab/>
      </w:r>
      <w:r>
        <w:rPr>
          <w:rFonts w:ascii="Times New Roman" w:hAnsi="Times New Roman" w:cs="Times New Roman" w:eastAsia="Times New Roman" w:hint="default"/>
          <w:spacing w:val="-2"/>
          <w:sz w:val="20"/>
          <w:szCs w:val="20"/>
        </w:rPr>
        <w:t>2,411,420.87</w:t>
        <w:tab/>
      </w:r>
      <w:r>
        <w:rPr>
          <w:rFonts w:ascii="Times New Roman" w:hAnsi="Times New Roman" w:cs="Times New Roman" w:eastAsia="Times New Roman" w:hint="default"/>
          <w:spacing w:val="-1"/>
          <w:position w:val="1"/>
          <w:sz w:val="18"/>
          <w:szCs w:val="18"/>
        </w:rPr>
        <w:t>7,146,307.00</w:t>
      </w:r>
      <w:r>
        <w:rPr>
          <w:rFonts w:ascii="Times New Roman" w:hAnsi="Times New Roman" w:cs="Times New Roman" w:eastAsia="Times New Roman" w:hint="default"/>
          <w:spacing w:val="-1"/>
          <w:sz w:val="18"/>
          <w:szCs w:val="18"/>
        </w:rPr>
      </w:r>
    </w:p>
    <w:p>
      <w:pPr>
        <w:tabs>
          <w:tab w:pos="6603" w:val="left" w:leader="none"/>
          <w:tab w:pos="7425" w:val="left" w:leader="none"/>
        </w:tabs>
        <w:spacing w:before="153"/>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pacing w:val="-1"/>
          <w:sz w:val="18"/>
          <w:szCs w:val="18"/>
        </w:rPr>
        <w:t>投资损失（收益以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tab/>
      </w:r>
      <w:r>
        <w:rPr>
          <w:rFonts w:ascii="Times New Roman" w:hAnsi="Times New Roman" w:cs="Times New Roman" w:eastAsia="Times New Roman" w:hint="default"/>
          <w:sz w:val="20"/>
          <w:szCs w:val="20"/>
        </w:rPr>
        <w:t>-</w:t>
        <w:tab/>
      </w:r>
      <w:r>
        <w:rPr>
          <w:rFonts w:ascii="Times New Roman" w:hAnsi="Times New Roman" w:cs="Times New Roman" w:eastAsia="Times New Roman" w:hint="default"/>
          <w:spacing w:val="-1"/>
          <w:position w:val="1"/>
          <w:sz w:val="18"/>
          <w:szCs w:val="18"/>
        </w:rPr>
        <w:t>6,179,757.34</w:t>
      </w:r>
      <w:r>
        <w:rPr>
          <w:rFonts w:ascii="Times New Roman" w:hAnsi="Times New Roman" w:cs="Times New Roman" w:eastAsia="Times New Roman" w:hint="default"/>
          <w:spacing w:val="-1"/>
          <w:sz w:val="18"/>
          <w:szCs w:val="18"/>
        </w:rPr>
      </w:r>
    </w:p>
    <w:p>
      <w:pPr>
        <w:tabs>
          <w:tab w:pos="5803" w:val="left" w:leader="none"/>
          <w:tab w:pos="7500" w:val="left" w:leader="none"/>
        </w:tabs>
        <w:spacing w:before="144"/>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pacing w:val="-1"/>
          <w:position w:val="1"/>
          <w:sz w:val="18"/>
          <w:szCs w:val="18"/>
        </w:rPr>
        <w:t>递延所得税资产减少（增加以</w:t>
      </w:r>
      <w:r>
        <w:rPr>
          <w:rFonts w:ascii="Times New Roman" w:hAnsi="Times New Roman" w:cs="Times New Roman" w:eastAsia="Times New Roman" w:hint="default"/>
          <w:spacing w:val="-1"/>
          <w:position w:val="1"/>
          <w:sz w:val="18"/>
          <w:szCs w:val="18"/>
        </w:rPr>
        <w:t>“</w:t>
      </w:r>
      <w:r>
        <w:rPr>
          <w:rFonts w:ascii="宋体" w:hAnsi="宋体" w:cs="宋体" w:eastAsia="宋体" w:hint="default"/>
          <w:spacing w:val="-1"/>
          <w:position w:val="1"/>
          <w:sz w:val="18"/>
          <w:szCs w:val="18"/>
        </w:rPr>
        <w:t>－</w:t>
      </w:r>
      <w:r>
        <w:rPr>
          <w:rFonts w:ascii="Times New Roman" w:hAnsi="Times New Roman" w:cs="Times New Roman" w:eastAsia="Times New Roman" w:hint="default"/>
          <w:spacing w:val="-1"/>
          <w:position w:val="1"/>
          <w:sz w:val="18"/>
          <w:szCs w:val="18"/>
        </w:rPr>
        <w:t>”</w:t>
      </w:r>
      <w:r>
        <w:rPr>
          <w:rFonts w:ascii="宋体" w:hAnsi="宋体" w:cs="宋体" w:eastAsia="宋体" w:hint="default"/>
          <w:spacing w:val="-1"/>
          <w:position w:val="1"/>
          <w:sz w:val="18"/>
          <w:szCs w:val="18"/>
        </w:rPr>
        <w:t>号填列）</w:t>
        <w:tab/>
      </w:r>
      <w:r>
        <w:rPr>
          <w:rFonts w:ascii="Times New Roman" w:hAnsi="Times New Roman" w:cs="Times New Roman" w:eastAsia="Times New Roman" w:hint="default"/>
          <w:spacing w:val="-1"/>
          <w:sz w:val="20"/>
          <w:szCs w:val="20"/>
        </w:rPr>
        <w:t>-57,588.02</w:t>
        <w:tab/>
      </w:r>
      <w:r>
        <w:rPr>
          <w:rFonts w:ascii="Times New Roman" w:hAnsi="Times New Roman" w:cs="Times New Roman" w:eastAsia="Times New Roman" w:hint="default"/>
          <w:position w:val="1"/>
          <w:sz w:val="18"/>
          <w:szCs w:val="18"/>
        </w:rPr>
        <w:t>-400,621.78</w:t>
      </w:r>
      <w:r>
        <w:rPr>
          <w:rFonts w:ascii="Times New Roman" w:hAnsi="Times New Roman" w:cs="Times New Roman" w:eastAsia="Times New Roman" w:hint="default"/>
          <w:sz w:val="18"/>
          <w:szCs w:val="18"/>
        </w:rPr>
      </w:r>
    </w:p>
    <w:p>
      <w:pPr>
        <w:tabs>
          <w:tab w:pos="8190" w:val="left" w:leader="none"/>
        </w:tabs>
        <w:spacing w:before="147"/>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pacing w:val="-1"/>
          <w:sz w:val="18"/>
          <w:szCs w:val="18"/>
        </w:rPr>
        <w:t>递延所得税负债增加（减少以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tab/>
      </w:r>
      <w:r>
        <w:rPr>
          <w:rFonts w:ascii="Times New Roman" w:hAnsi="Times New Roman" w:cs="Times New Roman" w:eastAsia="Times New Roman" w:hint="default"/>
          <w:sz w:val="18"/>
          <w:szCs w:val="18"/>
        </w:rPr>
        <w:t>---</w:t>
      </w:r>
    </w:p>
    <w:p>
      <w:pPr>
        <w:tabs>
          <w:tab w:pos="5453" w:val="left" w:leader="none"/>
          <w:tab w:pos="7275" w:val="left" w:leader="none"/>
        </w:tabs>
        <w:spacing w:before="153"/>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pacing w:val="-1"/>
          <w:position w:val="1"/>
          <w:sz w:val="18"/>
          <w:szCs w:val="18"/>
        </w:rPr>
        <w:t>存货的减少（增加以</w:t>
      </w:r>
      <w:r>
        <w:rPr>
          <w:rFonts w:ascii="Times New Roman" w:hAnsi="Times New Roman" w:cs="Times New Roman" w:eastAsia="Times New Roman" w:hint="default"/>
          <w:spacing w:val="-1"/>
          <w:position w:val="1"/>
          <w:sz w:val="18"/>
          <w:szCs w:val="18"/>
        </w:rPr>
        <w:t>“</w:t>
      </w:r>
      <w:r>
        <w:rPr>
          <w:rFonts w:ascii="宋体" w:hAnsi="宋体" w:cs="宋体" w:eastAsia="宋体" w:hint="default"/>
          <w:spacing w:val="-1"/>
          <w:position w:val="1"/>
          <w:sz w:val="18"/>
          <w:szCs w:val="18"/>
        </w:rPr>
        <w:t>－</w:t>
      </w:r>
      <w:r>
        <w:rPr>
          <w:rFonts w:ascii="Times New Roman" w:hAnsi="Times New Roman" w:cs="Times New Roman" w:eastAsia="Times New Roman" w:hint="default"/>
          <w:spacing w:val="-1"/>
          <w:position w:val="1"/>
          <w:sz w:val="18"/>
          <w:szCs w:val="18"/>
        </w:rPr>
        <w:t>”</w:t>
      </w:r>
      <w:r>
        <w:rPr>
          <w:rFonts w:ascii="宋体" w:hAnsi="宋体" w:cs="宋体" w:eastAsia="宋体" w:hint="default"/>
          <w:spacing w:val="-1"/>
          <w:position w:val="1"/>
          <w:sz w:val="18"/>
          <w:szCs w:val="18"/>
        </w:rPr>
        <w:t>号填列）</w:t>
        <w:tab/>
      </w:r>
      <w:r>
        <w:rPr>
          <w:rFonts w:ascii="Times New Roman" w:hAnsi="Times New Roman" w:cs="Times New Roman" w:eastAsia="Times New Roman" w:hint="default"/>
          <w:spacing w:val="-1"/>
          <w:sz w:val="20"/>
          <w:szCs w:val="20"/>
        </w:rPr>
        <w:t>-24,481,248.25</w:t>
        <w:tab/>
      </w:r>
      <w:r>
        <w:rPr>
          <w:rFonts w:ascii="Times New Roman" w:hAnsi="Times New Roman" w:cs="Times New Roman" w:eastAsia="Times New Roman" w:hint="default"/>
          <w:spacing w:val="-1"/>
          <w:position w:val="1"/>
          <w:sz w:val="18"/>
          <w:szCs w:val="18"/>
        </w:rPr>
        <w:t>-12,045,607.97</w:t>
      </w:r>
      <w:r>
        <w:rPr>
          <w:rFonts w:ascii="Times New Roman" w:hAnsi="Times New Roman" w:cs="Times New Roman" w:eastAsia="Times New Roman" w:hint="default"/>
          <w:spacing w:val="-1"/>
          <w:sz w:val="18"/>
          <w:szCs w:val="18"/>
        </w:rPr>
      </w:r>
    </w:p>
    <w:p>
      <w:pPr>
        <w:tabs>
          <w:tab w:pos="5520" w:val="left" w:leader="none"/>
          <w:tab w:pos="7275" w:val="left" w:leader="none"/>
        </w:tabs>
        <w:spacing w:before="153"/>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pacing w:val="-1"/>
          <w:sz w:val="18"/>
          <w:szCs w:val="18"/>
        </w:rPr>
        <w:t>经营性应收项目的减少（增加以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tab/>
      </w:r>
      <w:r>
        <w:rPr>
          <w:rFonts w:ascii="Times New Roman" w:hAnsi="Times New Roman" w:cs="Times New Roman" w:eastAsia="Times New Roman" w:hint="default"/>
          <w:spacing w:val="-1"/>
          <w:sz w:val="20"/>
          <w:szCs w:val="20"/>
        </w:rPr>
        <w:t>21,269,772.63</w:t>
        <w:tab/>
      </w:r>
      <w:r>
        <w:rPr>
          <w:rFonts w:ascii="Times New Roman" w:hAnsi="Times New Roman" w:cs="Times New Roman" w:eastAsia="Times New Roman" w:hint="default"/>
          <w:spacing w:val="-1"/>
          <w:position w:val="1"/>
          <w:sz w:val="18"/>
          <w:szCs w:val="18"/>
        </w:rPr>
        <w:t>-49,431,896.60</w:t>
      </w:r>
      <w:r>
        <w:rPr>
          <w:rFonts w:ascii="Times New Roman" w:hAnsi="Times New Roman" w:cs="Times New Roman" w:eastAsia="Times New Roman" w:hint="default"/>
          <w:spacing w:val="-1"/>
          <w:sz w:val="18"/>
          <w:szCs w:val="18"/>
        </w:rPr>
      </w:r>
    </w:p>
    <w:p>
      <w:pPr>
        <w:tabs>
          <w:tab w:pos="5520" w:val="left" w:leader="none"/>
          <w:tab w:pos="7365" w:val="left" w:leader="none"/>
        </w:tabs>
        <w:spacing w:before="153"/>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pacing w:val="-1"/>
          <w:sz w:val="18"/>
          <w:szCs w:val="18"/>
        </w:rPr>
        <w:t>经营性应付项目的增加（减少以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tab/>
      </w:r>
      <w:r>
        <w:rPr>
          <w:rFonts w:ascii="Times New Roman" w:hAnsi="Times New Roman" w:cs="Times New Roman" w:eastAsia="Times New Roman" w:hint="default"/>
          <w:spacing w:val="-1"/>
          <w:sz w:val="20"/>
          <w:szCs w:val="20"/>
        </w:rPr>
        <w:t>26,390,492.00</w:t>
        <w:tab/>
      </w:r>
      <w:r>
        <w:rPr>
          <w:rFonts w:ascii="Times New Roman" w:hAnsi="Times New Roman" w:cs="Times New Roman" w:eastAsia="Times New Roman" w:hint="default"/>
          <w:spacing w:val="-1"/>
          <w:position w:val="1"/>
          <w:sz w:val="18"/>
          <w:szCs w:val="18"/>
        </w:rPr>
        <w:t>-7,829,396.81</w:t>
      </w:r>
      <w:r>
        <w:rPr>
          <w:rFonts w:ascii="Times New Roman" w:hAnsi="Times New Roman" w:cs="Times New Roman" w:eastAsia="Times New Roman" w:hint="default"/>
          <w:spacing w:val="-1"/>
          <w:sz w:val="18"/>
          <w:szCs w:val="18"/>
        </w:rPr>
      </w:r>
    </w:p>
    <w:p>
      <w:pPr>
        <w:tabs>
          <w:tab w:pos="1371" w:val="left" w:leader="none"/>
          <w:tab w:pos="8190" w:val="left" w:leader="none"/>
        </w:tabs>
        <w:spacing w:before="148"/>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其</w:t>
        <w:tab/>
        <w:t>他</w:t>
        <w:tab/>
      </w:r>
      <w:r>
        <w:rPr>
          <w:rFonts w:ascii="Times New Roman" w:hAnsi="Times New Roman" w:cs="Times New Roman" w:eastAsia="Times New Roman" w:hint="default"/>
          <w:sz w:val="18"/>
          <w:szCs w:val="18"/>
        </w:rPr>
        <w:t>---</w:t>
      </w:r>
    </w:p>
    <w:p>
      <w:pPr>
        <w:tabs>
          <w:tab w:pos="5420" w:val="left" w:leader="none"/>
          <w:tab w:pos="7335" w:val="left" w:leader="none"/>
        </w:tabs>
        <w:spacing w:line="374" w:lineRule="auto" w:before="153"/>
        <w:ind w:left="831" w:right="1570" w:firstLine="0"/>
        <w:jc w:val="left"/>
        <w:rPr>
          <w:rFonts w:ascii="宋体" w:hAnsi="宋体" w:cs="宋体" w:eastAsia="宋体" w:hint="default"/>
          <w:sz w:val="18"/>
          <w:szCs w:val="18"/>
        </w:rPr>
      </w:pPr>
      <w:r>
        <w:rPr>
          <w:rFonts w:ascii="宋体" w:hAnsi="宋体" w:cs="宋体" w:eastAsia="宋体" w:hint="default"/>
          <w:position w:val="1"/>
          <w:sz w:val="18"/>
          <w:szCs w:val="18"/>
        </w:rPr>
        <w:t>经营活动产生的现金流量净额</w:t>
        <w:tab/>
      </w:r>
      <w:r>
        <w:rPr>
          <w:rFonts w:ascii="Times New Roman" w:hAnsi="Times New Roman" w:cs="Times New Roman" w:eastAsia="Times New Roman" w:hint="default"/>
          <w:spacing w:val="-1"/>
          <w:sz w:val="20"/>
          <w:szCs w:val="20"/>
        </w:rPr>
        <w:t>124,232,062.47</w:t>
        <w:tab/>
      </w:r>
      <w:r>
        <w:rPr>
          <w:rFonts w:ascii="Times New Roman" w:hAnsi="Times New Roman" w:cs="Times New Roman" w:eastAsia="Times New Roman" w:hint="default"/>
          <w:spacing w:val="-1"/>
          <w:position w:val="1"/>
          <w:sz w:val="18"/>
          <w:szCs w:val="18"/>
        </w:rPr>
        <w:t>45,544,981.15</w:t>
      </w:r>
      <w:r>
        <w:rPr>
          <w:rFonts w:ascii="Times New Roman" w:hAnsi="Times New Roman" w:cs="Times New Roman" w:eastAsia="Times New Roman" w:hint="default"/>
          <w:spacing w:val="-34"/>
          <w:position w:val="1"/>
          <w:sz w:val="18"/>
          <w:szCs w:val="18"/>
        </w:rPr>
        <w:t> </w:t>
      </w:r>
      <w:r>
        <w:rPr>
          <w:rFonts w:ascii="Times New Roman" w:hAnsi="Times New Roman" w:cs="Times New Roman" w:eastAsia="Times New Roman" w:hint="default"/>
          <w:spacing w:val="-34"/>
          <w:position w:val="1"/>
          <w:sz w:val="18"/>
          <w:szCs w:val="18"/>
        </w:rPr>
      </w: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p>
      <w:pPr>
        <w:tabs>
          <w:tab w:pos="6489" w:val="left" w:leader="none"/>
          <w:tab w:pos="8190" w:val="left" w:leader="none"/>
        </w:tabs>
        <w:spacing w:before="46"/>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债务转为资本</w:t>
        <w:tab/>
      </w:r>
      <w:r>
        <w:rPr>
          <w:rFonts w:ascii="Times New Roman" w:hAnsi="Times New Roman" w:cs="Times New Roman" w:eastAsia="Times New Roman" w:hint="default"/>
          <w:sz w:val="18"/>
          <w:szCs w:val="18"/>
        </w:rPr>
        <w:t>---</w:t>
        <w:tab/>
        <w:t>---</w:t>
      </w:r>
    </w:p>
    <w:p>
      <w:pPr>
        <w:tabs>
          <w:tab w:pos="6489" w:val="left" w:leader="none"/>
          <w:tab w:pos="8190" w:val="left" w:leader="none"/>
        </w:tabs>
        <w:spacing w:before="159"/>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一年内到期的可转换公司债券</w:t>
        <w:tab/>
      </w:r>
      <w:r>
        <w:rPr>
          <w:rFonts w:ascii="Times New Roman" w:hAnsi="Times New Roman" w:cs="Times New Roman" w:eastAsia="Times New Roman" w:hint="default"/>
          <w:sz w:val="18"/>
          <w:szCs w:val="18"/>
        </w:rPr>
        <w:t>---</w:t>
        <w:tab/>
        <w:t>---</w:t>
      </w:r>
    </w:p>
    <w:p>
      <w:pPr>
        <w:tabs>
          <w:tab w:pos="6489" w:val="left" w:leader="none"/>
          <w:tab w:pos="8190" w:val="left" w:leader="none"/>
        </w:tabs>
        <w:spacing w:before="157"/>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融资租入固定资产</w:t>
        <w:tab/>
      </w:r>
      <w:r>
        <w:rPr>
          <w:rFonts w:ascii="Times New Roman" w:hAnsi="Times New Roman" w:cs="Times New Roman" w:eastAsia="Times New Roman" w:hint="default"/>
          <w:sz w:val="18"/>
          <w:szCs w:val="18"/>
        </w:rPr>
        <w:t>---</w:t>
        <w:tab/>
        <w:t>---</w:t>
      </w:r>
    </w:p>
    <w:p>
      <w:pPr>
        <w:spacing w:before="157"/>
        <w:ind w:left="831" w:right="1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p>
      <w:pPr>
        <w:tabs>
          <w:tab w:pos="5545" w:val="left" w:leader="none"/>
          <w:tab w:pos="7245" w:val="left" w:leader="none"/>
        </w:tabs>
        <w:spacing w:before="157"/>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现金的年末余额</w:t>
        <w:tab/>
      </w:r>
      <w:r>
        <w:rPr>
          <w:rFonts w:ascii="Times New Roman" w:hAnsi="Times New Roman" w:cs="Times New Roman" w:eastAsia="Times New Roman" w:hint="default"/>
          <w:spacing w:val="-1"/>
          <w:sz w:val="18"/>
          <w:szCs w:val="18"/>
        </w:rPr>
        <w:t>217,518,732.93</w:t>
        <w:tab/>
        <w:t>600,506,361.41</w:t>
      </w:r>
    </w:p>
    <w:p>
      <w:pPr>
        <w:tabs>
          <w:tab w:pos="5545" w:val="left" w:leader="none"/>
          <w:tab w:pos="7245" w:val="left" w:leader="none"/>
        </w:tabs>
        <w:spacing w:before="157"/>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减：现金的年初余额</w:t>
        <w:tab/>
      </w:r>
      <w:r>
        <w:rPr>
          <w:rFonts w:ascii="Times New Roman" w:hAnsi="Times New Roman" w:cs="Times New Roman" w:eastAsia="Times New Roman" w:hint="default"/>
          <w:spacing w:val="-1"/>
          <w:sz w:val="18"/>
          <w:szCs w:val="18"/>
        </w:rPr>
        <w:t>600,506,361.41</w:t>
        <w:tab/>
        <w:t>223,106,394.90</w:t>
      </w:r>
    </w:p>
    <w:p>
      <w:pPr>
        <w:tabs>
          <w:tab w:pos="6489" w:val="left" w:leader="none"/>
          <w:tab w:pos="8190" w:val="left" w:leader="none"/>
        </w:tabs>
        <w:spacing w:before="157"/>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加：现金等价物的年末余额</w:t>
        <w:tab/>
      </w:r>
      <w:r>
        <w:rPr>
          <w:rFonts w:ascii="Times New Roman" w:hAnsi="Times New Roman" w:cs="Times New Roman" w:eastAsia="Times New Roman" w:hint="default"/>
          <w:sz w:val="18"/>
          <w:szCs w:val="18"/>
        </w:rPr>
        <w:t>---</w:t>
        <w:tab/>
        <w:t>---</w:t>
      </w:r>
    </w:p>
    <w:p>
      <w:pPr>
        <w:tabs>
          <w:tab w:pos="6489" w:val="left" w:leader="none"/>
          <w:tab w:pos="8190" w:val="left" w:leader="none"/>
        </w:tabs>
        <w:spacing w:before="159"/>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减：现金等价物的年初余额</w:t>
        <w:tab/>
      </w:r>
      <w:r>
        <w:rPr>
          <w:rFonts w:ascii="Times New Roman" w:hAnsi="Times New Roman" w:cs="Times New Roman" w:eastAsia="Times New Roman" w:hint="default"/>
          <w:sz w:val="18"/>
          <w:szCs w:val="18"/>
        </w:rPr>
        <w:t>---</w:t>
        <w:tab/>
        <w:t>---</w:t>
      </w:r>
    </w:p>
    <w:p>
      <w:pPr>
        <w:tabs>
          <w:tab w:pos="5485" w:val="left" w:leader="none"/>
          <w:tab w:pos="7245" w:val="left" w:leader="none"/>
        </w:tabs>
        <w:spacing w:before="157"/>
        <w:ind w:left="831" w:right="17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现金及现金等价物净增加额</w:t>
        <w:tab/>
      </w:r>
      <w:r>
        <w:rPr>
          <w:rFonts w:ascii="Times New Roman" w:hAnsi="Times New Roman" w:cs="Times New Roman" w:eastAsia="Times New Roman" w:hint="default"/>
          <w:spacing w:val="-1"/>
          <w:sz w:val="18"/>
          <w:szCs w:val="18"/>
        </w:rPr>
        <w:t>-382,987,628.48</w:t>
        <w:tab/>
        <w:t>377,399,966.51</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159"/>
        <w:ind w:left="139" w:right="176" w:firstLine="0"/>
        <w:jc w:val="left"/>
        <w:rPr>
          <w:rFonts w:ascii="宋体" w:hAnsi="宋体" w:cs="宋体" w:eastAsia="宋体" w:hint="default"/>
          <w:sz w:val="21"/>
          <w:szCs w:val="21"/>
        </w:rPr>
      </w:pPr>
      <w:r>
        <w:rPr>
          <w:rFonts w:ascii="宋体" w:hAnsi="宋体" w:cs="宋体" w:eastAsia="宋体" w:hint="default"/>
          <w:b/>
          <w:bCs/>
          <w:sz w:val="21"/>
          <w:szCs w:val="21"/>
        </w:rPr>
        <w:t>十四、</w:t>
      </w:r>
      <w:r>
        <w:rPr>
          <w:rFonts w:ascii="宋体" w:hAnsi="宋体" w:cs="宋体" w:eastAsia="宋体" w:hint="default"/>
          <w:b/>
          <w:bCs/>
          <w:spacing w:val="-10"/>
          <w:sz w:val="21"/>
          <w:szCs w:val="21"/>
        </w:rPr>
        <w:t> </w:t>
      </w:r>
      <w:r>
        <w:rPr>
          <w:rFonts w:ascii="宋体" w:hAnsi="宋体" w:cs="宋体" w:eastAsia="宋体" w:hint="default"/>
          <w:b/>
          <w:bCs/>
          <w:sz w:val="21"/>
          <w:szCs w:val="21"/>
        </w:rPr>
        <w:t>补充资料</w:t>
      </w:r>
      <w:r>
        <w:rPr>
          <w:rFonts w:ascii="宋体" w:hAnsi="宋体" w:cs="宋体" w:eastAsia="宋体" w:hint="default"/>
          <w:sz w:val="21"/>
          <w:szCs w:val="21"/>
        </w:rPr>
      </w:r>
    </w:p>
    <w:p>
      <w:pPr>
        <w:spacing w:before="125"/>
        <w:ind w:left="769" w:right="176" w:firstLine="0"/>
        <w:jc w:val="left"/>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w:t>
      </w:r>
    </w:p>
    <w:p>
      <w:pPr>
        <w:spacing w:after="0"/>
        <w:jc w:val="left"/>
        <w:rPr>
          <w:rFonts w:ascii="宋体" w:hAnsi="宋体" w:cs="宋体" w:eastAsia="宋体" w:hint="default"/>
          <w:sz w:val="21"/>
          <w:szCs w:val="21"/>
        </w:rPr>
        <w:sectPr>
          <w:pgSz w:w="11910" w:h="16840"/>
          <w:pgMar w:header="565" w:footer="669" w:top="980" w:bottom="860" w:left="980" w:right="9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tabs>
          <w:tab w:pos="868" w:val="left" w:leader="none"/>
        </w:tabs>
        <w:spacing w:before="35"/>
        <w:ind w:left="139" w:right="176" w:firstLine="0"/>
        <w:jc w:val="left"/>
        <w:rPr>
          <w:rFonts w:ascii="宋体" w:hAnsi="宋体" w:cs="宋体" w:eastAsia="宋体" w:hint="default"/>
          <w:sz w:val="21"/>
          <w:szCs w:val="21"/>
        </w:rPr>
      </w:pPr>
      <w:r>
        <w:rPr/>
        <w:pict>
          <v:group style="position:absolute;margin-left:83.760002pt;margin-top:17.073994pt;width:390.9pt;height:154.050pt;mso-position-horizontal-relative:page;mso-position-vertical-relative:paragraph;z-index:-767008" coordorigin="1675,341" coordsize="7818,3081">
            <v:group style="position:absolute;left:1704;top:356;width:7755;height:2" coordorigin="1704,356" coordsize="7755,2">
              <v:shape style="position:absolute;left:1704;top:356;width:7755;height:2" coordorigin="1704,356" coordsize="7755,0" path="m1704,356l9458,356e" filled="false" stroked="true" strokeweight="1.5pt" strokecolor="#000000">
                <v:path arrowok="t"/>
              </v:shape>
              <v:shape style="position:absolute;left:6226;top:343;width:1866;height:298" type="#_x0000_t75" stroked="false">
                <v:imagedata r:id="rId347" o:title=""/>
              </v:shape>
              <v:shape style="position:absolute;left:1675;top:592;width:7818;height:2830" type="#_x0000_t75" stroked="false">
                <v:imagedata r:id="rId348" o:title=""/>
              </v:shape>
              <v:shape style="position:absolute;left:3802;top:40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6798;top:400;width:1152;height:81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p>
                      <w:pPr>
                        <w:spacing w:before="43"/>
                        <w:ind w:left="185" w:right="0" w:firstLine="0"/>
                        <w:jc w:val="center"/>
                        <w:rPr>
                          <w:rFonts w:ascii="Times New Roman" w:hAnsi="Times New Roman" w:cs="Times New Roman" w:eastAsia="Times New Roman" w:hint="default"/>
                          <w:sz w:val="20"/>
                          <w:szCs w:val="20"/>
                        </w:rPr>
                      </w:pPr>
                      <w:r>
                        <w:rPr>
                          <w:rFonts w:ascii="Times New Roman"/>
                          <w:spacing w:val="-1"/>
                          <w:sz w:val="20"/>
                        </w:rPr>
                        <w:t>-329,030.18</w:t>
                      </w:r>
                      <w:r>
                        <w:rPr>
                          <w:rFonts w:ascii="Times New Roman"/>
                          <w:sz w:val="20"/>
                        </w:rPr>
                      </w:r>
                    </w:p>
                    <w:p>
                      <w:pPr>
                        <w:spacing w:line="226" w:lineRule="exact" w:before="133"/>
                        <w:ind w:left="2" w:right="0" w:firstLine="0"/>
                        <w:jc w:val="left"/>
                        <w:rPr>
                          <w:rFonts w:ascii="Times New Roman" w:hAnsi="Times New Roman" w:cs="Times New Roman" w:eastAsia="Times New Roman" w:hint="default"/>
                          <w:sz w:val="20"/>
                          <w:szCs w:val="20"/>
                        </w:rPr>
                      </w:pPr>
                      <w:r>
                        <w:rPr>
                          <w:rFonts w:ascii="Times New Roman"/>
                          <w:spacing w:val="-1"/>
                          <w:sz w:val="20"/>
                        </w:rPr>
                        <w:t>25,716,594.98</w:t>
                      </w:r>
                      <w:r>
                        <w:rPr>
                          <w:rFonts w:ascii="Times New Roman"/>
                          <w:sz w:val="20"/>
                        </w:rPr>
                      </w:r>
                    </w:p>
                  </w:txbxContent>
                </v:textbox>
                <w10:wrap type="none"/>
              </v:shape>
              <v:shape style="position:absolute;left:8578;top:40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说明</w:t>
                      </w:r>
                    </w:p>
                  </w:txbxContent>
                </v:textbox>
                <w10:wrap type="none"/>
              </v:shape>
              <v:shape style="position:absolute;left:1812;top:650;width:4341;height:113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非流动资产处置损益</w:t>
                      </w:r>
                    </w:p>
                    <w:p>
                      <w:pPr>
                        <w:spacing w:line="242" w:lineRule="auto" w:before="11"/>
                        <w:ind w:left="0" w:right="0" w:firstLine="0"/>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国家统一标准定额或定量享受的政府补助除外）</w:t>
                      </w:r>
                      <w:r>
                        <w:rPr>
                          <w:rFonts w:ascii="宋体" w:hAnsi="宋体" w:cs="宋体" w:eastAsia="宋体" w:hint="default"/>
                          <w:sz w:val="18"/>
                          <w:szCs w:val="18"/>
                        </w:rPr>
                        <w:t> 除同公司正常经营业务相关的有效套期保值业务外，持</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有交易性金融资产、交易性金融负债产生的公允价值变</w:t>
                      </w:r>
                    </w:p>
                  </w:txbxContent>
                </v:textbox>
                <w10:wrap type="none"/>
              </v:shape>
              <v:shape style="position:absolute;left:6900;top:1723;width:1051;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spacing w:val="-1"/>
                          <w:sz w:val="20"/>
                        </w:rPr>
                        <w:t>1,293,630.97</w:t>
                      </w:r>
                    </w:p>
                  </w:txbxContent>
                </v:textbox>
                <w10:wrap type="none"/>
              </v:shape>
            </v:group>
            <w10:wrap type="none"/>
          </v:group>
        </w:pict>
      </w:r>
      <w:r>
        <w:rPr>
          <w:rFonts w:ascii="宋体" w:hAnsi="宋体" w:cs="宋体" w:eastAsia="宋体" w:hint="default"/>
          <w:b/>
          <w:bCs/>
          <w:w w:val="95"/>
          <w:sz w:val="21"/>
          <w:szCs w:val="21"/>
        </w:rPr>
        <w:t>(一)</w:t>
        <w:tab/>
      </w:r>
      <w:r>
        <w:rPr>
          <w:rFonts w:ascii="宋体" w:hAnsi="宋体" w:cs="宋体" w:eastAsia="宋体" w:hint="default"/>
          <w:b/>
          <w:bCs/>
          <w:sz w:val="21"/>
          <w:szCs w:val="21"/>
        </w:rPr>
        <w:t>当期非经常性损益明细表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6"/>
          <w:szCs w:val="16"/>
        </w:rPr>
      </w:pPr>
    </w:p>
    <w:tbl>
      <w:tblPr>
        <w:tblW w:w="0" w:type="auto"/>
        <w:jc w:val="left"/>
        <w:tblInd w:w="104" w:type="dxa"/>
        <w:tblLayout w:type="fixed"/>
        <w:tblCellMar>
          <w:top w:w="0" w:type="dxa"/>
          <w:left w:w="0" w:type="dxa"/>
          <w:bottom w:w="0" w:type="dxa"/>
          <w:right w:w="0" w:type="dxa"/>
        </w:tblCellMar>
        <w:tblLook w:val="01E0"/>
      </w:tblPr>
      <w:tblGrid>
        <w:gridCol w:w="605"/>
        <w:gridCol w:w="4787"/>
        <w:gridCol w:w="2982"/>
      </w:tblGrid>
      <w:tr>
        <w:trPr>
          <w:trHeight w:val="447" w:hRule="exact"/>
        </w:trPr>
        <w:tc>
          <w:tcPr>
            <w:tcW w:w="605" w:type="dxa"/>
            <w:vMerge w:val="restart"/>
            <w:tcBorders>
              <w:top w:val="nil" w:sz="6" w:space="0" w:color="auto"/>
              <w:left w:val="nil" w:sz="6" w:space="0" w:color="auto"/>
              <w:right w:val="nil" w:sz="6" w:space="0" w:color="auto"/>
            </w:tcBorders>
          </w:tcPr>
          <w:p>
            <w:pPr/>
          </w:p>
        </w:tc>
        <w:tc>
          <w:tcPr>
            <w:tcW w:w="4787" w:type="dxa"/>
            <w:tcBorders>
              <w:top w:val="nil" w:sz="6" w:space="0" w:color="auto"/>
              <w:left w:val="nil" w:sz="6" w:space="0" w:color="auto"/>
              <w:bottom w:val="nil" w:sz="6" w:space="0" w:color="auto"/>
              <w:right w:val="nil" w:sz="6" w:space="0" w:color="auto"/>
            </w:tcBorders>
          </w:tcPr>
          <w:p>
            <w:pPr>
              <w:pStyle w:val="TableParagraph"/>
              <w:spacing w:line="179" w:lineRule="exact"/>
              <w:ind w:left="122" w:right="0"/>
              <w:jc w:val="left"/>
              <w:rPr>
                <w:rFonts w:ascii="宋体" w:hAnsi="宋体" w:cs="宋体" w:eastAsia="宋体" w:hint="default"/>
                <w:sz w:val="18"/>
                <w:szCs w:val="18"/>
              </w:rPr>
            </w:pPr>
            <w:r>
              <w:rPr>
                <w:rFonts w:ascii="宋体" w:hAnsi="宋体" w:cs="宋体" w:eastAsia="宋体" w:hint="default"/>
                <w:sz w:val="18"/>
                <w:szCs w:val="18"/>
              </w:rPr>
              <w:t>动损益，以及处置交易性金融资产、交易性金融负债和</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可供出售金融资产取得的投资收益</w:t>
            </w:r>
          </w:p>
        </w:tc>
        <w:tc>
          <w:tcPr>
            <w:tcW w:w="2982" w:type="dxa"/>
            <w:tcBorders>
              <w:top w:val="nil" w:sz="6" w:space="0" w:color="auto"/>
              <w:left w:val="nil" w:sz="6" w:space="0" w:color="auto"/>
              <w:bottom w:val="nil" w:sz="6" w:space="0" w:color="auto"/>
              <w:right w:val="nil" w:sz="6" w:space="0" w:color="auto"/>
            </w:tcBorders>
          </w:tcPr>
          <w:p>
            <w:pPr/>
          </w:p>
        </w:tc>
      </w:tr>
      <w:tr>
        <w:trPr>
          <w:trHeight w:val="293" w:hRule="exact"/>
        </w:trPr>
        <w:tc>
          <w:tcPr>
            <w:tcW w:w="605" w:type="dxa"/>
            <w:vMerge/>
            <w:tcBorders>
              <w:left w:val="nil" w:sz="6" w:space="0" w:color="auto"/>
              <w:right w:val="nil" w:sz="6" w:space="0" w:color="auto"/>
            </w:tcBorders>
          </w:tcPr>
          <w:p>
            <w:pPr/>
          </w:p>
        </w:tc>
        <w:tc>
          <w:tcPr>
            <w:tcW w:w="4787" w:type="dxa"/>
            <w:tcBorders>
              <w:top w:val="nil" w:sz="6" w:space="0" w:color="auto"/>
              <w:left w:val="nil" w:sz="6" w:space="0" w:color="auto"/>
              <w:bottom w:val="nil" w:sz="6" w:space="0" w:color="auto"/>
              <w:right w:val="nil" w:sz="6" w:space="0" w:color="auto"/>
            </w:tcBorders>
          </w:tcPr>
          <w:p>
            <w:pPr>
              <w:pStyle w:val="TableParagraph"/>
              <w:spacing w:line="214" w:lineRule="exact"/>
              <w:ind w:left="1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7"/>
              <w:ind w:left="423" w:right="0"/>
              <w:jc w:val="left"/>
              <w:rPr>
                <w:rFonts w:ascii="Times New Roman" w:hAnsi="Times New Roman" w:cs="Times New Roman" w:eastAsia="Times New Roman" w:hint="default"/>
                <w:sz w:val="20"/>
                <w:szCs w:val="20"/>
              </w:rPr>
            </w:pPr>
            <w:r>
              <w:rPr>
                <w:rFonts w:ascii="Times New Roman"/>
                <w:sz w:val="20"/>
              </w:rPr>
              <w:t>1,998,058.25</w:t>
            </w:r>
          </w:p>
        </w:tc>
      </w:tr>
      <w:tr>
        <w:trPr>
          <w:trHeight w:val="320" w:hRule="exact"/>
        </w:trPr>
        <w:tc>
          <w:tcPr>
            <w:tcW w:w="605" w:type="dxa"/>
            <w:vMerge/>
            <w:tcBorders>
              <w:left w:val="nil" w:sz="6" w:space="0" w:color="auto"/>
              <w:right w:val="nil" w:sz="6" w:space="0" w:color="auto"/>
            </w:tcBorders>
          </w:tcPr>
          <w:p>
            <w:pPr/>
          </w:p>
        </w:tc>
        <w:tc>
          <w:tcPr>
            <w:tcW w:w="4787"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7" w:right="0"/>
              <w:jc w:val="left"/>
              <w:rPr>
                <w:rFonts w:ascii="Times New Roman" w:hAnsi="Times New Roman" w:cs="Times New Roman" w:eastAsia="Times New Roman" w:hint="default"/>
                <w:sz w:val="20"/>
                <w:szCs w:val="20"/>
              </w:rPr>
            </w:pPr>
            <w:r>
              <w:rPr>
                <w:rFonts w:ascii="Times New Roman"/>
                <w:sz w:val="20"/>
              </w:rPr>
              <w:t>-4,503,362.21</w:t>
            </w:r>
          </w:p>
        </w:tc>
      </w:tr>
      <w:tr>
        <w:trPr>
          <w:trHeight w:val="285" w:hRule="exact"/>
        </w:trPr>
        <w:tc>
          <w:tcPr>
            <w:tcW w:w="605" w:type="dxa"/>
            <w:vMerge/>
            <w:tcBorders>
              <w:left w:val="nil" w:sz="6" w:space="0" w:color="auto"/>
              <w:right w:val="nil" w:sz="6" w:space="0" w:color="auto"/>
            </w:tcBorders>
          </w:tcPr>
          <w:p>
            <w:pPr/>
          </w:p>
        </w:tc>
        <w:tc>
          <w:tcPr>
            <w:tcW w:w="4787"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7" w:right="0"/>
              <w:jc w:val="left"/>
              <w:rPr>
                <w:rFonts w:ascii="Times New Roman" w:hAnsi="Times New Roman" w:cs="Times New Roman" w:eastAsia="Times New Roman" w:hint="default"/>
                <w:sz w:val="20"/>
                <w:szCs w:val="20"/>
              </w:rPr>
            </w:pPr>
            <w:r>
              <w:rPr>
                <w:rFonts w:ascii="Times New Roman"/>
                <w:sz w:val="20"/>
              </w:rPr>
              <w:t>-1,918,095.99</w:t>
            </w:r>
          </w:p>
        </w:tc>
      </w:tr>
      <w:tr>
        <w:trPr>
          <w:trHeight w:val="252" w:hRule="exact"/>
        </w:trPr>
        <w:tc>
          <w:tcPr>
            <w:tcW w:w="605" w:type="dxa"/>
            <w:vMerge/>
            <w:tcBorders>
              <w:left w:val="nil" w:sz="6" w:space="0" w:color="auto"/>
              <w:bottom w:val="nil" w:sz="6" w:space="0" w:color="auto"/>
              <w:right w:val="nil" w:sz="6" w:space="0" w:color="auto"/>
            </w:tcBorders>
          </w:tcPr>
          <w:p>
            <w:pPr/>
          </w:p>
        </w:tc>
        <w:tc>
          <w:tcPr>
            <w:tcW w:w="4787" w:type="dxa"/>
            <w:tcBorders>
              <w:top w:val="nil" w:sz="6" w:space="0" w:color="auto"/>
              <w:left w:val="nil" w:sz="6" w:space="0" w:color="auto"/>
              <w:bottom w:val="single" w:sz="12" w:space="0" w:color="000000"/>
              <w:right w:val="nil" w:sz="6" w:space="0" w:color="auto"/>
            </w:tcBorders>
          </w:tcPr>
          <w:p>
            <w:pPr>
              <w:pStyle w:val="TableParagraph"/>
              <w:spacing w:line="205" w:lineRule="exact"/>
              <w:ind w:right="200"/>
              <w:jc w:val="center"/>
              <w:rPr>
                <w:rFonts w:ascii="宋体" w:hAnsi="宋体" w:cs="宋体" w:eastAsia="宋体" w:hint="default"/>
                <w:sz w:val="18"/>
                <w:szCs w:val="18"/>
              </w:rPr>
            </w:pPr>
            <w:r>
              <w:rPr>
                <w:rFonts w:ascii="宋体" w:hAnsi="宋体" w:cs="宋体" w:eastAsia="宋体" w:hint="default"/>
                <w:sz w:val="18"/>
                <w:szCs w:val="18"/>
              </w:rPr>
              <w:t>合计</w:t>
            </w:r>
          </w:p>
        </w:tc>
        <w:tc>
          <w:tcPr>
            <w:tcW w:w="2982" w:type="dxa"/>
            <w:tcBorders>
              <w:top w:val="nil" w:sz="6" w:space="0" w:color="auto"/>
              <w:left w:val="nil" w:sz="6" w:space="0" w:color="auto"/>
              <w:bottom w:val="single" w:sz="12" w:space="0" w:color="000000"/>
              <w:right w:val="nil" w:sz="6" w:space="0" w:color="auto"/>
            </w:tcBorders>
          </w:tcPr>
          <w:p>
            <w:pPr>
              <w:pStyle w:val="TableParagraph"/>
              <w:spacing w:line="229" w:lineRule="exact"/>
              <w:ind w:left="323" w:right="0"/>
              <w:jc w:val="left"/>
              <w:rPr>
                <w:rFonts w:ascii="Times New Roman" w:hAnsi="Times New Roman" w:cs="Times New Roman" w:eastAsia="Times New Roman" w:hint="default"/>
                <w:sz w:val="20"/>
                <w:szCs w:val="20"/>
              </w:rPr>
            </w:pPr>
            <w:r>
              <w:rPr>
                <w:rFonts w:ascii="Times New Roman"/>
                <w:sz w:val="20"/>
              </w:rPr>
              <w:t>22,257,795.82</w:t>
            </w:r>
          </w:p>
        </w:tc>
      </w:tr>
      <w:tr>
        <w:trPr>
          <w:trHeight w:val="829" w:hRule="exact"/>
        </w:trPr>
        <w:tc>
          <w:tcPr>
            <w:tcW w:w="6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sz w:val="21"/>
                <w:szCs w:val="21"/>
              </w:rPr>
            </w:r>
          </w:p>
        </w:tc>
        <w:tc>
          <w:tcPr>
            <w:tcW w:w="4787"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158" w:right="0"/>
              <w:jc w:val="left"/>
              <w:rPr>
                <w:rFonts w:ascii="宋体" w:hAnsi="宋体" w:cs="宋体" w:eastAsia="宋体" w:hint="default"/>
                <w:sz w:val="21"/>
                <w:szCs w:val="21"/>
              </w:rPr>
            </w:pPr>
            <w:r>
              <w:rPr>
                <w:rFonts w:ascii="宋体" w:hAnsi="宋体" w:cs="宋体" w:eastAsia="宋体" w:hint="default"/>
                <w:b/>
                <w:bCs/>
                <w:sz w:val="21"/>
                <w:szCs w:val="21"/>
              </w:rPr>
              <w:t>净资产收益率及每股收益</w:t>
            </w:r>
            <w:r>
              <w:rPr>
                <w:rFonts w:ascii="宋体" w:hAnsi="宋体" w:cs="宋体" w:eastAsia="宋体" w:hint="default"/>
                <w:sz w:val="21"/>
                <w:szCs w:val="21"/>
              </w:rPr>
            </w:r>
          </w:p>
        </w:tc>
        <w:tc>
          <w:tcPr>
            <w:tcW w:w="2982" w:type="dxa"/>
            <w:tcBorders>
              <w:top w:val="single" w:sz="12" w:space="0" w:color="000000"/>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7"/>
          <w:szCs w:val="27"/>
        </w:rPr>
      </w:pPr>
    </w:p>
    <w:p>
      <w:pPr>
        <w:tabs>
          <w:tab w:pos="867" w:val="left" w:leader="none"/>
        </w:tabs>
        <w:spacing w:before="35"/>
        <w:ind w:left="139" w:right="176" w:firstLine="0"/>
        <w:jc w:val="left"/>
        <w:rPr>
          <w:rFonts w:ascii="宋体" w:hAnsi="宋体" w:cs="宋体" w:eastAsia="宋体" w:hint="default"/>
          <w:sz w:val="21"/>
          <w:szCs w:val="21"/>
        </w:rPr>
      </w:pPr>
      <w:r>
        <w:rPr/>
        <w:pict>
          <v:group style="position:absolute;margin-left:85.230003pt;margin-top:-85.346489pt;width:391.75pt;height:64.45pt;mso-position-horizontal-relative:page;mso-position-vertical-relative:paragraph;z-index:-766864" coordorigin="1705,-1707" coordsize="7835,1289">
            <v:shape style="position:absolute;left:4493;top:-1707;width:1627;height:298" type="#_x0000_t75" stroked="false">
              <v:imagedata r:id="rId349" o:title=""/>
            </v:shape>
            <v:shape style="position:absolute;left:4502;top:-1457;width:5027;height:289" type="#_x0000_t75" stroked="false">
              <v:imagedata r:id="rId350" o:title=""/>
            </v:shape>
            <v:group style="position:absolute;left:1720;top:-433;width:2802;height:2" coordorigin="1720,-433" coordsize="2802,2">
              <v:shape style="position:absolute;left:1720;top:-433;width:2802;height:2" coordorigin="1720,-433" coordsize="2802,0" path="m1720,-433l4522,-433e" filled="false" stroked="true" strokeweight="1.5pt" strokecolor="#000000">
                <v:path arrowok="t"/>
              </v:shape>
              <v:shape style="position:absolute;left:1705;top:-1216;width:7834;height:797" type="#_x0000_t75" stroked="false">
                <v:imagedata r:id="rId351" o:title=""/>
              </v:shape>
            </v:group>
            <v:group style="position:absolute;left:4522;top:-433;width:1560;height:2" coordorigin="4522,-433" coordsize="1560,2">
              <v:shape style="position:absolute;left:4522;top:-433;width:1560;height:2" coordorigin="4522,-433" coordsize="1560,0" path="m4522,-433l6082,-433e" filled="false" stroked="true" strokeweight="1.5pt" strokecolor="#000000">
                <v:path arrowok="t"/>
              </v:shape>
              <v:shape style="position:absolute;left:6053;top:-957;width:67;height:538" type="#_x0000_t75" stroked="false">
                <v:imagedata r:id="rId352" o:title=""/>
              </v:shape>
            </v:group>
            <v:group style="position:absolute;left:6082;top:-433;width:1710;height:2" coordorigin="6082,-433" coordsize="1710,2">
              <v:shape style="position:absolute;left:6082;top:-433;width:1710;height:2" coordorigin="6082,-433" coordsize="1710,0" path="m6082,-433l7792,-433e" filled="false" stroked="true" strokeweight="1.5pt" strokecolor="#000000">
                <v:path arrowok="t"/>
              </v:shape>
              <v:shape style="position:absolute;left:7763;top:-957;width:67;height:538" type="#_x0000_t75" stroked="false">
                <v:imagedata r:id="rId352" o:title=""/>
              </v:shape>
            </v:group>
            <v:group style="position:absolute;left:7792;top:-433;width:1715;height:2" coordorigin="7792,-433" coordsize="1715,2">
              <v:shape style="position:absolute;left:7792;top:-433;width:1715;height:2" coordorigin="7792,-433" coordsize="1715,0" path="m7792,-433l9506,-433e" filled="false" stroked="true" strokeweight="1.5pt" strokecolor="#000000">
                <v:path arrowok="t"/>
              </v:shape>
              <v:shape style="position:absolute;left:1842;top:-1524;width:2577;height:1042" type="#_x0000_t202" filled="false" stroked="false">
                <v:textbox inset="0,0,0,0">
                  <w:txbxContent>
                    <w:p>
                      <w:pPr>
                        <w:spacing w:line="180" w:lineRule="exact" w:before="0"/>
                        <w:ind w:left="0" w:right="0" w:firstLine="837"/>
                        <w:jc w:val="left"/>
                        <w:rPr>
                          <w:rFonts w:ascii="宋体" w:hAnsi="宋体" w:cs="宋体" w:eastAsia="宋体" w:hint="default"/>
                          <w:sz w:val="18"/>
                          <w:szCs w:val="18"/>
                        </w:rPr>
                      </w:pPr>
                      <w:r>
                        <w:rPr>
                          <w:rFonts w:ascii="宋体" w:hAnsi="宋体" w:cs="宋体" w:eastAsia="宋体" w:hint="default"/>
                          <w:sz w:val="18"/>
                          <w:szCs w:val="18"/>
                        </w:rPr>
                        <w:t>报告期利润</w:t>
                      </w:r>
                    </w:p>
                    <w:p>
                      <w:pPr>
                        <w:spacing w:line="247" w:lineRule="auto" w:before="140"/>
                        <w:ind w:left="0" w:right="0" w:firstLine="0"/>
                        <w:jc w:val="both"/>
                        <w:rPr>
                          <w:rFonts w:ascii="宋体" w:hAnsi="宋体" w:cs="宋体" w:eastAsia="宋体" w:hint="default"/>
                          <w:sz w:val="18"/>
                          <w:szCs w:val="18"/>
                        </w:rPr>
                      </w:pPr>
                      <w:r>
                        <w:rPr>
                          <w:rFonts w:ascii="宋体" w:hAnsi="宋体" w:cs="宋体" w:eastAsia="宋体" w:hint="default"/>
                          <w:sz w:val="18"/>
                          <w:szCs w:val="18"/>
                        </w:rPr>
                        <w:t>归属于公司普通股股东的净利润 </w:t>
                      </w:r>
                      <w:r>
                        <w:rPr>
                          <w:rFonts w:ascii="宋体" w:hAnsi="宋体" w:cs="宋体" w:eastAsia="宋体" w:hint="default"/>
                          <w:spacing w:val="3"/>
                          <w:sz w:val="18"/>
                          <w:szCs w:val="18"/>
                        </w:rPr>
                        <w:t>扣除非经常性损益后归属于公司</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普通股股东的净利润</w:t>
                      </w:r>
                    </w:p>
                  </w:txbxContent>
                </v:textbox>
                <w10:wrap type="none"/>
              </v:shape>
              <v:shape style="position:absolute;left:4676;top:-1641;width:1260;height:1048"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加权平均净资产</w:t>
                      </w:r>
                    </w:p>
                    <w:p>
                      <w:pPr>
                        <w:spacing w:line="248" w:lineRule="exact" w:before="0"/>
                        <w:ind w:left="0" w:right="1" w:firstLine="0"/>
                        <w:jc w:val="center"/>
                        <w:rPr>
                          <w:rFonts w:ascii="宋体" w:hAnsi="宋体" w:cs="宋体" w:eastAsia="宋体" w:hint="default"/>
                          <w:sz w:val="18"/>
                          <w:szCs w:val="18"/>
                        </w:rPr>
                      </w:pPr>
                      <w:r>
                        <w:rPr>
                          <w:rFonts w:ascii="宋体" w:hAnsi="宋体" w:cs="宋体" w:eastAsia="宋体" w:hint="default"/>
                          <w:sz w:val="18"/>
                          <w:szCs w:val="18"/>
                        </w:rPr>
                        <w:t>收益率（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spacing w:before="47"/>
                        <w:ind w:left="1" w:right="0" w:firstLine="0"/>
                        <w:jc w:val="center"/>
                        <w:rPr>
                          <w:rFonts w:ascii="Times New Roman" w:hAnsi="Times New Roman" w:cs="Times New Roman" w:eastAsia="Times New Roman" w:hint="default"/>
                          <w:sz w:val="18"/>
                          <w:szCs w:val="18"/>
                        </w:rPr>
                      </w:pPr>
                      <w:r>
                        <w:rPr>
                          <w:rFonts w:ascii="Times New Roman"/>
                          <w:sz w:val="18"/>
                        </w:rPr>
                        <w:t>6.83</w:t>
                      </w:r>
                    </w:p>
                    <w:p>
                      <w:pPr>
                        <w:spacing w:line="240" w:lineRule="auto" w:before="6"/>
                        <w:rPr>
                          <w:rFonts w:ascii="宋体" w:hAnsi="宋体" w:cs="宋体" w:eastAsia="宋体" w:hint="default"/>
                          <w:b/>
                          <w:bCs/>
                          <w:sz w:val="12"/>
                          <w:szCs w:val="12"/>
                        </w:rPr>
                      </w:pPr>
                    </w:p>
                    <w:p>
                      <w:pPr>
                        <w:spacing w:line="203" w:lineRule="exact" w:before="0"/>
                        <w:ind w:left="1" w:right="0" w:firstLine="0"/>
                        <w:jc w:val="center"/>
                        <w:rPr>
                          <w:rFonts w:ascii="Times New Roman" w:hAnsi="Times New Roman" w:cs="Times New Roman" w:eastAsia="Times New Roman" w:hint="default"/>
                          <w:sz w:val="18"/>
                          <w:szCs w:val="18"/>
                        </w:rPr>
                      </w:pPr>
                      <w:r>
                        <w:rPr>
                          <w:rFonts w:ascii="Times New Roman"/>
                          <w:sz w:val="18"/>
                        </w:rPr>
                        <w:t>4.68</w:t>
                      </w:r>
                    </w:p>
                  </w:txbxContent>
                </v:textbox>
                <w10:wrap type="none"/>
              </v:shape>
              <v:shape style="position:absolute;left:7166;top:-1649;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每股收益（元）</w:t>
                      </w:r>
                    </w:p>
                  </w:txbxContent>
                </v:textbox>
                <w10:wrap type="none"/>
              </v:shape>
              <v:shape style="position:absolute;left:6401;top:-1400;width:1289;height:80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基本每股收益</w:t>
                      </w:r>
                    </w:p>
                    <w:p>
                      <w:pPr>
                        <w:spacing w:before="54"/>
                        <w:ind w:left="0" w:right="1" w:firstLine="0"/>
                        <w:jc w:val="right"/>
                        <w:rPr>
                          <w:rFonts w:ascii="Times New Roman" w:hAnsi="Times New Roman" w:cs="Times New Roman" w:eastAsia="Times New Roman" w:hint="default"/>
                          <w:sz w:val="18"/>
                          <w:szCs w:val="18"/>
                        </w:rPr>
                      </w:pPr>
                      <w:r>
                        <w:rPr>
                          <w:rFonts w:ascii="Times New Roman"/>
                          <w:spacing w:val="-2"/>
                          <w:w w:val="95"/>
                          <w:sz w:val="18"/>
                        </w:rPr>
                        <w:t>0.11</w:t>
                      </w:r>
                    </w:p>
                    <w:p>
                      <w:pPr>
                        <w:spacing w:line="240" w:lineRule="auto" w:before="6"/>
                        <w:rPr>
                          <w:rFonts w:ascii="宋体" w:hAnsi="宋体" w:cs="宋体" w:eastAsia="宋体" w:hint="default"/>
                          <w:b/>
                          <w:bCs/>
                          <w:sz w:val="12"/>
                          <w:szCs w:val="12"/>
                        </w:rPr>
                      </w:pPr>
                    </w:p>
                    <w:p>
                      <w:pPr>
                        <w:spacing w:line="203" w:lineRule="exact" w:before="0"/>
                        <w:ind w:left="0" w:right="0" w:firstLine="0"/>
                        <w:jc w:val="right"/>
                        <w:rPr>
                          <w:rFonts w:ascii="Times New Roman" w:hAnsi="Times New Roman" w:cs="Times New Roman" w:eastAsia="Times New Roman" w:hint="default"/>
                          <w:sz w:val="18"/>
                          <w:szCs w:val="18"/>
                        </w:rPr>
                      </w:pPr>
                      <w:r>
                        <w:rPr>
                          <w:rFonts w:ascii="Times New Roman"/>
                          <w:sz w:val="18"/>
                        </w:rPr>
                        <w:t>0.08</w:t>
                      </w:r>
                    </w:p>
                  </w:txbxContent>
                </v:textbox>
                <w10:wrap type="none"/>
              </v:shape>
              <v:shape style="position:absolute;left:8111;top:-1400;width:1289;height:80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稀释每股收益</w:t>
                      </w:r>
                    </w:p>
                    <w:p>
                      <w:pPr>
                        <w:spacing w:before="54"/>
                        <w:ind w:left="0" w:right="1" w:firstLine="0"/>
                        <w:jc w:val="right"/>
                        <w:rPr>
                          <w:rFonts w:ascii="Times New Roman" w:hAnsi="Times New Roman" w:cs="Times New Roman" w:eastAsia="Times New Roman" w:hint="default"/>
                          <w:sz w:val="18"/>
                          <w:szCs w:val="18"/>
                        </w:rPr>
                      </w:pPr>
                      <w:r>
                        <w:rPr>
                          <w:rFonts w:ascii="Times New Roman"/>
                          <w:spacing w:val="-2"/>
                          <w:w w:val="95"/>
                          <w:sz w:val="18"/>
                        </w:rPr>
                        <w:t>0.11</w:t>
                      </w:r>
                    </w:p>
                    <w:p>
                      <w:pPr>
                        <w:spacing w:line="240" w:lineRule="auto" w:before="6"/>
                        <w:rPr>
                          <w:rFonts w:ascii="宋体" w:hAnsi="宋体" w:cs="宋体" w:eastAsia="宋体" w:hint="default"/>
                          <w:b/>
                          <w:bCs/>
                          <w:sz w:val="12"/>
                          <w:szCs w:val="12"/>
                        </w:rPr>
                      </w:pPr>
                    </w:p>
                    <w:p>
                      <w:pPr>
                        <w:spacing w:line="203" w:lineRule="exact" w:before="0"/>
                        <w:ind w:left="0" w:right="0" w:firstLine="0"/>
                        <w:jc w:val="right"/>
                        <w:rPr>
                          <w:rFonts w:ascii="Times New Roman" w:hAnsi="Times New Roman" w:cs="Times New Roman" w:eastAsia="Times New Roman" w:hint="default"/>
                          <w:sz w:val="18"/>
                          <w:szCs w:val="18"/>
                        </w:rPr>
                      </w:pPr>
                      <w:r>
                        <w:rPr>
                          <w:rFonts w:ascii="Times New Roman"/>
                          <w:sz w:val="18"/>
                        </w:rPr>
                        <w:t>0.08</w:t>
                      </w:r>
                    </w:p>
                  </w:txbxContent>
                </v:textbox>
                <w10:wrap type="none"/>
              </v:shape>
            </v:group>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公司主要会计报表项目的异常情况及原因的说明</w:t>
      </w:r>
      <w:r>
        <w:rPr>
          <w:rFonts w:ascii="宋体" w:hAnsi="宋体" w:cs="宋体" w:eastAsia="宋体" w:hint="default"/>
          <w:sz w:val="21"/>
          <w:szCs w:val="21"/>
        </w:rPr>
      </w:r>
    </w:p>
    <w:p>
      <w:pPr>
        <w:tabs>
          <w:tab w:pos="1308" w:val="left" w:leader="none"/>
        </w:tabs>
        <w:spacing w:before="110"/>
        <w:ind w:left="769" w:right="176" w:firstLine="0"/>
        <w:jc w:val="left"/>
        <w:rPr>
          <w:rFonts w:ascii="宋体" w:hAnsi="宋体" w:cs="宋体" w:eastAsia="宋体" w:hint="default"/>
          <w:sz w:val="21"/>
          <w:szCs w:val="21"/>
        </w:rPr>
      </w:pPr>
      <w:r>
        <w:rPr/>
        <w:pict>
          <v:group style="position:absolute;margin-left:82.709999pt;margin-top:20.883232pt;width:401.1pt;height:352.7pt;mso-position-horizontal-relative:page;mso-position-vertical-relative:paragraph;z-index:-766624" coordorigin="1654,418" coordsize="8022,7054">
            <v:shape style="position:absolute;left:3228;top:418;width:3894;height:538" type="#_x0000_t75" stroked="false">
              <v:imagedata r:id="rId353" o:title=""/>
            </v:shape>
            <v:group style="position:absolute;left:1669;top:7456;width:1588;height:2" coordorigin="1669,7456" coordsize="1588,2">
              <v:shape style="position:absolute;left:1669;top:7456;width:1588;height:2" coordorigin="1669,7456" coordsize="1588,0" path="m1669,7456l3257,7456e" filled="false" stroked="true" strokeweight="1.5pt" strokecolor="#000000">
                <v:path arrowok="t"/>
              </v:shape>
              <v:shape style="position:absolute;left:1655;top:898;width:8021;height:6572" type="#_x0000_t75" stroked="false">
                <v:imagedata r:id="rId354" o:title=""/>
              </v:shape>
            </v:group>
            <v:group style="position:absolute;left:3257;top:7456;width:1416;height:2" coordorigin="3257,7456" coordsize="1416,2">
              <v:shape style="position:absolute;left:3257;top:7456;width:1416;height:2" coordorigin="3257,7456" coordsize="1416,0" path="m3257,7456l4673,7456e" filled="false" stroked="true" strokeweight="1.5pt" strokecolor="#000000">
                <v:path arrowok="t"/>
              </v:shape>
              <v:shape style="position:absolute;left:4644;top:6946;width:67;height:524" type="#_x0000_t75" stroked="false">
                <v:imagedata r:id="rId355" o:title=""/>
              </v:shape>
            </v:group>
            <v:group style="position:absolute;left:4673;top:7456;width:1419;height:2" coordorigin="4673,7456" coordsize="1419,2">
              <v:shape style="position:absolute;left:4673;top:7456;width:1419;height:2" coordorigin="4673,7456" coordsize="1419,0" path="m4673,7456l6091,7456e" filled="false" stroked="true" strokeweight="1.5pt" strokecolor="#000000">
                <v:path arrowok="t"/>
              </v:shape>
              <v:shape style="position:absolute;left:6062;top:6946;width:67;height:524" type="#_x0000_t75" stroked="false">
                <v:imagedata r:id="rId355" o:title=""/>
              </v:shape>
            </v:group>
            <v:group style="position:absolute;left:6091;top:7456;width:993;height:2" coordorigin="6091,7456" coordsize="993,2">
              <v:shape style="position:absolute;left:6091;top:7456;width:993;height:2" coordorigin="6091,7456" coordsize="993,0" path="m6091,7456l7084,7456e" filled="false" stroked="true" strokeweight="1.5pt" strokecolor="#000000">
                <v:path arrowok="t"/>
              </v:shape>
              <v:shape style="position:absolute;left:7055;top:6946;width:67;height:524" type="#_x0000_t75" stroked="false">
                <v:imagedata r:id="rId355" o:title=""/>
              </v:shape>
            </v:group>
            <v:group style="position:absolute;left:7084;top:7456;width:2556;height:2" coordorigin="7084,7456" coordsize="2556,2">
              <v:shape style="position:absolute;left:7084;top:7456;width:2556;height:2" coordorigin="7084,7456" coordsize="2556,0" path="m7084,7456l9640,7456e" filled="false" stroked="true" strokeweight="1.5pt" strokecolor="#000000">
                <v:path arrowok="t"/>
              </v:shape>
              <v:shape style="position:absolute;left:5027;top:71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年金额）</w:t>
                      </w:r>
                    </w:p>
                  </w:txbxContent>
                </v:textbox>
                <w10:wrap type="none"/>
              </v:shape>
              <v:shape style="position:absolute;left:6232;top:59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变动比率</w:t>
                      </w:r>
                    </w:p>
                  </w:txbxContent>
                </v:textbox>
                <w10:wrap type="none"/>
              </v:shape>
              <v:shape style="position:absolute;left:8004;top:59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变动原因</w:t>
                      </w:r>
                    </w:p>
                  </w:txbxContent>
                </v:textbox>
                <w10:wrap type="none"/>
              </v:shape>
              <v:shape style="position:absolute;left:7196;top:1711;width:23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本公司之子公司江西先材购</w:t>
                      </w:r>
                      <w:r>
                        <w:rPr>
                          <w:rFonts w:ascii="宋体" w:hAnsi="宋体" w:cs="宋体" w:eastAsia="宋体" w:hint="default"/>
                          <w:sz w:val="18"/>
                          <w:szCs w:val="18"/>
                        </w:rPr>
                      </w:r>
                    </w:p>
                  </w:txbxContent>
                </v:textbox>
                <w10:wrap type="none"/>
              </v:shape>
              <v:shape style="position:absolute;left:7196;top:4077;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工艺技术开发投入</w:t>
                      </w:r>
                    </w:p>
                  </w:txbxContent>
                </v:textbox>
                <w10:wrap type="none"/>
              </v:shape>
              <v:shape style="position:absolute;left:7196;top:4803;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和半成品增加所致</w:t>
                      </w:r>
                    </w:p>
                  </w:txbxContent>
                </v:textbox>
                <w10:wrap type="none"/>
              </v:shape>
              <v:shape style="position:absolute;left:7196;top:553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进项税增加</w:t>
                      </w:r>
                    </w:p>
                  </w:txbxContent>
                </v:textbox>
                <w10:wrap type="none"/>
              </v:shape>
              <v:shape style="position:absolute;left:7196;top:650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高</w:t>
                      </w:r>
                    </w:p>
                  </w:txbxContent>
                </v:textbox>
                <w10:wrap type="none"/>
              </v:shape>
              <v:shape style="position:absolute;left:7196;top:723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款减少</w:t>
                      </w:r>
                    </w:p>
                  </w:txbxContent>
                </v:textbox>
                <w10:wrap type="non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金额异常或比较期间变动异常的报表项目</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703" w:type="dxa"/>
        <w:tblLayout w:type="fixed"/>
        <w:tblCellMar>
          <w:top w:w="0" w:type="dxa"/>
          <w:left w:w="0" w:type="dxa"/>
          <w:bottom w:w="0" w:type="dxa"/>
          <w:right w:w="0" w:type="dxa"/>
        </w:tblCellMar>
        <w:tblLook w:val="01E0"/>
      </w:tblPr>
      <w:tblGrid>
        <w:gridCol w:w="1565"/>
        <w:gridCol w:w="1430"/>
        <w:gridCol w:w="1454"/>
        <w:gridCol w:w="3507"/>
      </w:tblGrid>
      <w:tr>
        <w:trPr>
          <w:trHeight w:val="497" w:hRule="exact"/>
        </w:trPr>
        <w:tc>
          <w:tcPr>
            <w:tcW w:w="2995" w:type="dxa"/>
            <w:gridSpan w:val="2"/>
            <w:tcBorders>
              <w:top w:val="single" w:sz="12" w:space="0" w:color="000000"/>
              <w:left w:val="nil" w:sz="6" w:space="0" w:color="auto"/>
              <w:bottom w:val="nil" w:sz="6" w:space="0" w:color="auto"/>
              <w:right w:val="nil" w:sz="6" w:space="0" w:color="auto"/>
            </w:tcBorders>
          </w:tcPr>
          <w:p>
            <w:pPr>
              <w:pStyle w:val="TableParagraph"/>
              <w:tabs>
                <w:tab w:pos="1684" w:val="left" w:leader="none"/>
              </w:tabs>
              <w:spacing w:line="158" w:lineRule="auto" w:before="47"/>
              <w:ind w:left="1924" w:right="106" w:hanging="1497"/>
              <w:jc w:val="left"/>
              <w:rPr>
                <w:rFonts w:ascii="宋体" w:hAnsi="宋体" w:cs="宋体" w:eastAsia="宋体" w:hint="default"/>
                <w:sz w:val="18"/>
                <w:szCs w:val="18"/>
              </w:rPr>
            </w:pPr>
            <w:r>
              <w:rPr>
                <w:rFonts w:ascii="宋体" w:hAnsi="宋体" w:cs="宋体" w:eastAsia="宋体" w:hint="default"/>
                <w:position w:val="-11"/>
                <w:sz w:val="18"/>
                <w:szCs w:val="18"/>
              </w:rPr>
              <w:t>报表项目</w:t>
              <w:tab/>
            </w:r>
            <w:r>
              <w:rPr>
                <w:rFonts w:ascii="宋体" w:hAnsi="宋体" w:cs="宋体" w:eastAsia="宋体" w:hint="default"/>
                <w:spacing w:val="-9"/>
                <w:sz w:val="18"/>
                <w:szCs w:val="18"/>
              </w:rPr>
              <w:t>年末余额（或本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年金额）</w:t>
            </w:r>
          </w:p>
        </w:tc>
        <w:tc>
          <w:tcPr>
            <w:tcW w:w="4961" w:type="dxa"/>
            <w:gridSpan w:val="2"/>
            <w:tcBorders>
              <w:top w:val="single" w:sz="12" w:space="0" w:color="000000"/>
              <w:left w:val="nil" w:sz="6" w:space="0" w:color="auto"/>
              <w:bottom w:val="nil" w:sz="6" w:space="0" w:color="auto"/>
              <w:right w:val="nil" w:sz="6" w:space="0" w:color="auto"/>
            </w:tcBorders>
          </w:tcPr>
          <w:p>
            <w:pPr>
              <w:pStyle w:val="TableParagraph"/>
              <w:spacing w:line="211" w:lineRule="exact"/>
              <w:ind w:left="107" w:right="0"/>
              <w:jc w:val="left"/>
              <w:rPr>
                <w:rFonts w:ascii="宋体" w:hAnsi="宋体" w:cs="宋体" w:eastAsia="宋体" w:hint="default"/>
                <w:sz w:val="18"/>
                <w:szCs w:val="18"/>
              </w:rPr>
            </w:pPr>
            <w:r>
              <w:rPr>
                <w:rFonts w:ascii="宋体" w:hAnsi="宋体" w:cs="宋体" w:eastAsia="宋体" w:hint="default"/>
                <w:spacing w:val="-9"/>
                <w:sz w:val="18"/>
                <w:szCs w:val="18"/>
              </w:rPr>
              <w:t>年初余额（或上</w:t>
            </w:r>
          </w:p>
        </w:tc>
      </w:tr>
      <w:tr>
        <w:trPr>
          <w:trHeight w:val="255" w:hRule="exact"/>
        </w:trPr>
        <w:tc>
          <w:tcPr>
            <w:tcW w:w="1565" w:type="dxa"/>
            <w:tcBorders>
              <w:top w:val="nil" w:sz="6" w:space="0" w:color="auto"/>
              <w:left w:val="nil" w:sz="6" w:space="0" w:color="auto"/>
              <w:bottom w:val="nil" w:sz="6" w:space="0" w:color="auto"/>
              <w:right w:val="nil" w:sz="6" w:space="0" w:color="auto"/>
            </w:tcBorders>
          </w:tcPr>
          <w:p>
            <w:pPr>
              <w:pStyle w:val="TableParagraph"/>
              <w:spacing w:line="217" w:lineRule="exact"/>
              <w:ind w:left="107"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5"/>
              <w:jc w:val="right"/>
              <w:rPr>
                <w:rFonts w:ascii="Times New Roman" w:hAnsi="Times New Roman" w:cs="Times New Roman" w:eastAsia="Times New Roman" w:hint="default"/>
                <w:sz w:val="18"/>
                <w:szCs w:val="18"/>
              </w:rPr>
            </w:pPr>
            <w:r>
              <w:rPr>
                <w:rFonts w:ascii="Times New Roman"/>
                <w:spacing w:val="-1"/>
                <w:sz w:val="18"/>
              </w:rPr>
              <w:t>5,467,752.49</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1"/>
              <w:jc w:val="right"/>
              <w:rPr>
                <w:rFonts w:ascii="Times New Roman" w:hAnsi="Times New Roman" w:cs="Times New Roman" w:eastAsia="Times New Roman" w:hint="default"/>
                <w:sz w:val="18"/>
                <w:szCs w:val="18"/>
              </w:rPr>
            </w:pPr>
            <w:r>
              <w:rPr>
                <w:rFonts w:ascii="Times New Roman"/>
                <w:spacing w:val="-1"/>
                <w:sz w:val="18"/>
              </w:rPr>
              <w:t>10,178,660.00</w:t>
            </w:r>
          </w:p>
        </w:tc>
        <w:tc>
          <w:tcPr>
            <w:tcW w:w="3507" w:type="dxa"/>
            <w:tcBorders>
              <w:top w:val="nil" w:sz="6" w:space="0" w:color="auto"/>
              <w:left w:val="nil" w:sz="6" w:space="0" w:color="auto"/>
              <w:bottom w:val="nil" w:sz="6" w:space="0" w:color="auto"/>
              <w:right w:val="nil" w:sz="6" w:space="0" w:color="auto"/>
            </w:tcBorders>
          </w:tcPr>
          <w:p>
            <w:pPr>
              <w:pStyle w:val="TableParagraph"/>
              <w:tabs>
                <w:tab w:pos="1063" w:val="left" w:leader="none"/>
              </w:tabs>
              <w:spacing w:line="230" w:lineRule="exact"/>
              <w:ind w:left="2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-46.28%</w:t>
              <w:tab/>
            </w:r>
            <w:r>
              <w:rPr>
                <w:rFonts w:ascii="宋体" w:hAnsi="宋体" w:cs="宋体" w:eastAsia="宋体" w:hint="default"/>
                <w:sz w:val="18"/>
                <w:szCs w:val="18"/>
              </w:rPr>
              <w:t>本年票据及时背书转让所致</w:t>
            </w:r>
          </w:p>
        </w:tc>
      </w:tr>
      <w:tr>
        <w:trPr>
          <w:trHeight w:val="250" w:hRule="exact"/>
        </w:trPr>
        <w:tc>
          <w:tcPr>
            <w:tcW w:w="1565" w:type="dxa"/>
            <w:tcBorders>
              <w:top w:val="nil" w:sz="6" w:space="0" w:color="auto"/>
              <w:left w:val="nil" w:sz="6" w:space="0" w:color="auto"/>
              <w:bottom w:val="nil" w:sz="6" w:space="0" w:color="auto"/>
              <w:right w:val="nil" w:sz="6" w:space="0" w:color="auto"/>
            </w:tcBorders>
          </w:tcPr>
          <w:p>
            <w:pPr>
              <w:pStyle w:val="TableParagraph"/>
              <w:spacing w:line="212" w:lineRule="exact"/>
              <w:ind w:left="107"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5"/>
              <w:jc w:val="right"/>
              <w:rPr>
                <w:rFonts w:ascii="Times New Roman" w:hAnsi="Times New Roman" w:cs="Times New Roman" w:eastAsia="Times New Roman" w:hint="default"/>
                <w:sz w:val="18"/>
                <w:szCs w:val="18"/>
              </w:rPr>
            </w:pPr>
            <w:r>
              <w:rPr>
                <w:rFonts w:ascii="Times New Roman"/>
                <w:spacing w:val="-1"/>
                <w:sz w:val="18"/>
              </w:rPr>
              <w:t>15,936,694.87</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41"/>
              <w:jc w:val="right"/>
              <w:rPr>
                <w:rFonts w:ascii="Times New Roman" w:hAnsi="Times New Roman" w:cs="Times New Roman" w:eastAsia="Times New Roman" w:hint="default"/>
                <w:sz w:val="18"/>
                <w:szCs w:val="18"/>
              </w:rPr>
            </w:pPr>
            <w:r>
              <w:rPr>
                <w:rFonts w:ascii="Times New Roman"/>
                <w:spacing w:val="-1"/>
                <w:sz w:val="18"/>
              </w:rPr>
              <w:t>11,806,465.36</w:t>
            </w:r>
          </w:p>
        </w:tc>
        <w:tc>
          <w:tcPr>
            <w:tcW w:w="3507" w:type="dxa"/>
            <w:tcBorders>
              <w:top w:val="nil" w:sz="6" w:space="0" w:color="auto"/>
              <w:left w:val="nil" w:sz="6" w:space="0" w:color="auto"/>
              <w:bottom w:val="nil" w:sz="6" w:space="0" w:color="auto"/>
              <w:right w:val="nil" w:sz="6" w:space="0" w:color="auto"/>
            </w:tcBorders>
          </w:tcPr>
          <w:p>
            <w:pPr>
              <w:pStyle w:val="TableParagraph"/>
              <w:tabs>
                <w:tab w:pos="1063" w:val="left" w:leader="none"/>
              </w:tabs>
              <w:spacing w:line="225" w:lineRule="exact"/>
              <w:ind w:left="2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34.98%</w:t>
              <w:tab/>
            </w:r>
            <w:r>
              <w:rPr>
                <w:rFonts w:ascii="宋体" w:hAnsi="宋体" w:cs="宋体" w:eastAsia="宋体" w:hint="default"/>
                <w:sz w:val="18"/>
                <w:szCs w:val="18"/>
              </w:rPr>
              <w:t>本年投标保证金增加所致</w:t>
            </w:r>
          </w:p>
        </w:tc>
      </w:tr>
      <w:tr>
        <w:trPr>
          <w:trHeight w:val="365" w:hRule="exact"/>
        </w:trPr>
        <w:tc>
          <w:tcPr>
            <w:tcW w:w="1565" w:type="dxa"/>
            <w:tcBorders>
              <w:top w:val="nil" w:sz="6" w:space="0" w:color="auto"/>
              <w:left w:val="nil" w:sz="6" w:space="0" w:color="auto"/>
              <w:bottom w:val="nil" w:sz="6" w:space="0" w:color="auto"/>
              <w:right w:val="nil" w:sz="6" w:space="0" w:color="auto"/>
            </w:tcBorders>
          </w:tcPr>
          <w:p>
            <w:pPr>
              <w:pStyle w:val="TableParagraph"/>
              <w:spacing w:line="212" w:lineRule="exact"/>
              <w:ind w:left="107"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Times New Roman" w:hAnsi="Times New Roman" w:cs="Times New Roman" w:eastAsia="Times New Roman" w:hint="default"/>
                <w:sz w:val="18"/>
                <w:szCs w:val="18"/>
              </w:rPr>
            </w:pPr>
            <w:r>
              <w:rPr>
                <w:rFonts w:ascii="Times New Roman"/>
                <w:spacing w:val="-2"/>
                <w:sz w:val="18"/>
              </w:rPr>
              <w:t>114,511,623.24</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1"/>
              <w:jc w:val="right"/>
              <w:rPr>
                <w:rFonts w:ascii="Times New Roman" w:hAnsi="Times New Roman" w:cs="Times New Roman" w:eastAsia="Times New Roman" w:hint="default"/>
                <w:sz w:val="18"/>
                <w:szCs w:val="18"/>
              </w:rPr>
            </w:pPr>
            <w:r>
              <w:rPr>
                <w:rFonts w:ascii="Times New Roman"/>
                <w:spacing w:val="-1"/>
                <w:sz w:val="18"/>
              </w:rPr>
              <w:t>78,119,299.79</w:t>
            </w:r>
          </w:p>
        </w:tc>
        <w:tc>
          <w:tcPr>
            <w:tcW w:w="3507" w:type="dxa"/>
            <w:tcBorders>
              <w:top w:val="nil" w:sz="6" w:space="0" w:color="auto"/>
              <w:left w:val="nil" w:sz="6" w:space="0" w:color="auto"/>
              <w:bottom w:val="nil" w:sz="6" w:space="0" w:color="auto"/>
              <w:right w:val="nil" w:sz="6" w:space="0" w:color="auto"/>
            </w:tcBorders>
          </w:tcPr>
          <w:p>
            <w:pPr>
              <w:pStyle w:val="TableParagraph"/>
              <w:tabs>
                <w:tab w:pos="1063" w:val="left" w:leader="none"/>
              </w:tabs>
              <w:spacing w:line="226" w:lineRule="exact"/>
              <w:ind w:left="2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46.59%</w:t>
              <w:tab/>
            </w:r>
            <w:r>
              <w:rPr>
                <w:rFonts w:ascii="宋体" w:hAnsi="宋体" w:cs="宋体" w:eastAsia="宋体" w:hint="default"/>
                <w:sz w:val="18"/>
                <w:szCs w:val="18"/>
              </w:rPr>
              <w:t>公司备货增加</w:t>
            </w:r>
          </w:p>
        </w:tc>
      </w:tr>
      <w:tr>
        <w:trPr>
          <w:trHeight w:val="595" w:hRule="exact"/>
        </w:trPr>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07"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05"/>
              <w:jc w:val="right"/>
              <w:rPr>
                <w:rFonts w:ascii="Times New Roman" w:hAnsi="Times New Roman" w:cs="Times New Roman" w:eastAsia="Times New Roman" w:hint="default"/>
                <w:sz w:val="18"/>
                <w:szCs w:val="18"/>
              </w:rPr>
            </w:pPr>
            <w:r>
              <w:rPr>
                <w:rFonts w:ascii="Times New Roman"/>
                <w:spacing w:val="-1"/>
                <w:sz w:val="18"/>
              </w:rPr>
              <w:t>30,000,000.00</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4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07" w:type="dxa"/>
            <w:tcBorders>
              <w:top w:val="nil" w:sz="6" w:space="0" w:color="auto"/>
              <w:left w:val="nil" w:sz="6" w:space="0" w:color="auto"/>
              <w:bottom w:val="nil" w:sz="6" w:space="0" w:color="auto"/>
              <w:right w:val="nil" w:sz="6" w:space="0" w:color="auto"/>
            </w:tcBorders>
          </w:tcPr>
          <w:p>
            <w:pPr>
              <w:pStyle w:val="TableParagraph"/>
              <w:spacing w:line="232" w:lineRule="exact" w:before="116"/>
              <w:ind w:left="1063" w:right="91"/>
              <w:jc w:val="left"/>
              <w:rPr>
                <w:rFonts w:ascii="宋体" w:hAnsi="宋体" w:cs="宋体" w:eastAsia="宋体" w:hint="default"/>
                <w:sz w:val="18"/>
                <w:szCs w:val="18"/>
              </w:rPr>
            </w:pPr>
            <w:r>
              <w:rPr>
                <w:rFonts w:ascii="宋体" w:hAnsi="宋体" w:cs="宋体" w:eastAsia="宋体" w:hint="default"/>
                <w:spacing w:val="15"/>
                <w:sz w:val="18"/>
                <w:szCs w:val="18"/>
              </w:rPr>
              <w:t>入的未到期银行理财产品所 </w:t>
            </w:r>
            <w:r>
              <w:rPr>
                <w:rFonts w:ascii="宋体" w:hAnsi="宋体" w:cs="宋体" w:eastAsia="宋体" w:hint="default"/>
                <w:sz w:val="18"/>
                <w:szCs w:val="18"/>
              </w:rPr>
              <w:t>致</w:t>
            </w:r>
          </w:p>
        </w:tc>
      </w:tr>
      <w:tr>
        <w:trPr>
          <w:trHeight w:val="710" w:hRule="exact"/>
        </w:trPr>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306,810,853.06</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right="141"/>
              <w:jc w:val="right"/>
              <w:rPr>
                <w:rFonts w:ascii="Times New Roman" w:hAnsi="Times New Roman" w:cs="Times New Roman" w:eastAsia="Times New Roman" w:hint="default"/>
                <w:sz w:val="18"/>
                <w:szCs w:val="18"/>
              </w:rPr>
            </w:pPr>
            <w:r>
              <w:rPr>
                <w:rFonts w:ascii="Times New Roman"/>
                <w:spacing w:val="-1"/>
                <w:sz w:val="18"/>
              </w:rPr>
              <w:t>269,348,580.25</w:t>
            </w:r>
          </w:p>
        </w:tc>
        <w:tc>
          <w:tcPr>
            <w:tcW w:w="3507" w:type="dxa"/>
            <w:tcBorders>
              <w:top w:val="nil" w:sz="6" w:space="0" w:color="auto"/>
              <w:left w:val="nil" w:sz="6" w:space="0" w:color="auto"/>
              <w:bottom w:val="nil" w:sz="6" w:space="0" w:color="auto"/>
              <w:right w:val="nil" w:sz="6" w:space="0" w:color="auto"/>
            </w:tcBorders>
          </w:tcPr>
          <w:p>
            <w:pPr>
              <w:pStyle w:val="TableParagraph"/>
              <w:spacing w:line="207" w:lineRule="exact"/>
              <w:ind w:left="293" w:right="0" w:firstLine="770"/>
              <w:jc w:val="left"/>
              <w:rPr>
                <w:rFonts w:ascii="宋体" w:hAnsi="宋体" w:cs="宋体" w:eastAsia="宋体" w:hint="default"/>
                <w:sz w:val="18"/>
                <w:szCs w:val="18"/>
              </w:rPr>
            </w:pPr>
            <w:r>
              <w:rPr>
                <w:rFonts w:ascii="宋体" w:hAnsi="宋体" w:cs="宋体" w:eastAsia="宋体" w:hint="default"/>
                <w:spacing w:val="15"/>
                <w:sz w:val="18"/>
                <w:szCs w:val="18"/>
              </w:rPr>
              <w:t>吉林高琦及长春高琦部分生</w:t>
            </w:r>
            <w:r>
              <w:rPr>
                <w:rFonts w:ascii="宋体" w:hAnsi="宋体" w:cs="宋体" w:eastAsia="宋体" w:hint="default"/>
                <w:sz w:val="18"/>
                <w:szCs w:val="18"/>
              </w:rPr>
            </w:r>
          </w:p>
          <w:p>
            <w:pPr>
              <w:pStyle w:val="TableParagraph"/>
              <w:tabs>
                <w:tab w:pos="1063" w:val="left" w:leader="none"/>
              </w:tabs>
              <w:spacing w:line="232" w:lineRule="exact" w:before="24"/>
              <w:ind w:left="1063" w:right="91" w:hanging="771"/>
              <w:jc w:val="left"/>
              <w:rPr>
                <w:rFonts w:ascii="宋体" w:hAnsi="宋体" w:cs="宋体" w:eastAsia="宋体" w:hint="default"/>
                <w:sz w:val="18"/>
                <w:szCs w:val="18"/>
              </w:rPr>
            </w:pPr>
            <w:r>
              <w:rPr>
                <w:rFonts w:ascii="Times New Roman" w:hAnsi="Times New Roman" w:cs="Times New Roman" w:eastAsia="Times New Roman" w:hint="default"/>
                <w:sz w:val="18"/>
                <w:szCs w:val="18"/>
              </w:rPr>
              <w:t>13.91%</w:t>
              <w:tab/>
            </w:r>
            <w:r>
              <w:rPr>
                <w:rFonts w:ascii="宋体" w:hAnsi="宋体" w:cs="宋体" w:eastAsia="宋体" w:hint="default"/>
                <w:spacing w:val="15"/>
                <w:sz w:val="18"/>
                <w:szCs w:val="18"/>
              </w:rPr>
              <w:t>产线安装调试完成结转入固</w:t>
            </w:r>
            <w:r>
              <w:rPr>
                <w:rFonts w:ascii="宋体" w:hAnsi="宋体" w:cs="宋体" w:eastAsia="宋体" w:hint="default"/>
                <w:spacing w:val="15"/>
                <w:w w:val="99"/>
                <w:sz w:val="18"/>
                <w:szCs w:val="18"/>
              </w:rPr>
              <w:t> </w:t>
            </w:r>
            <w:r>
              <w:rPr>
                <w:rFonts w:ascii="宋体" w:hAnsi="宋体" w:cs="宋体" w:eastAsia="宋体" w:hint="default"/>
                <w:sz w:val="18"/>
                <w:szCs w:val="18"/>
              </w:rPr>
              <w:t>定资产所致</w:t>
            </w:r>
          </w:p>
        </w:tc>
      </w:tr>
      <w:tr>
        <w:trPr>
          <w:trHeight w:val="652" w:hRule="exact"/>
        </w:trPr>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79,752,727.01</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right="141"/>
              <w:jc w:val="right"/>
              <w:rPr>
                <w:rFonts w:ascii="Times New Roman" w:hAnsi="Times New Roman" w:cs="Times New Roman" w:eastAsia="Times New Roman" w:hint="default"/>
                <w:sz w:val="18"/>
                <w:szCs w:val="18"/>
              </w:rPr>
            </w:pPr>
            <w:r>
              <w:rPr>
                <w:rFonts w:ascii="Times New Roman"/>
                <w:spacing w:val="-1"/>
                <w:sz w:val="18"/>
              </w:rPr>
              <w:t>32,955,456.67</w:t>
            </w:r>
          </w:p>
        </w:tc>
        <w:tc>
          <w:tcPr>
            <w:tcW w:w="3507" w:type="dxa"/>
            <w:tcBorders>
              <w:top w:val="nil" w:sz="6" w:space="0" w:color="auto"/>
              <w:left w:val="nil" w:sz="6" w:space="0" w:color="auto"/>
              <w:bottom w:val="nil" w:sz="6" w:space="0" w:color="auto"/>
              <w:right w:val="nil" w:sz="6" w:space="0" w:color="auto"/>
            </w:tcBorders>
          </w:tcPr>
          <w:p>
            <w:pPr>
              <w:pStyle w:val="TableParagraph"/>
              <w:spacing w:line="207" w:lineRule="exact"/>
              <w:ind w:left="203" w:right="0" w:firstLine="860"/>
              <w:jc w:val="left"/>
              <w:rPr>
                <w:rFonts w:ascii="宋体" w:hAnsi="宋体" w:cs="宋体" w:eastAsia="宋体" w:hint="default"/>
                <w:sz w:val="18"/>
                <w:szCs w:val="18"/>
              </w:rPr>
            </w:pPr>
            <w:r>
              <w:rPr>
                <w:rFonts w:ascii="宋体" w:hAnsi="宋体" w:cs="宋体" w:eastAsia="宋体" w:hint="default"/>
                <w:spacing w:val="15"/>
                <w:sz w:val="18"/>
                <w:szCs w:val="18"/>
              </w:rPr>
              <w:t>本公司之子公司吉林高琦高</w:t>
            </w:r>
            <w:r>
              <w:rPr>
                <w:rFonts w:ascii="宋体" w:hAnsi="宋体" w:cs="宋体" w:eastAsia="宋体" w:hint="default"/>
                <w:sz w:val="18"/>
                <w:szCs w:val="18"/>
              </w:rPr>
            </w:r>
          </w:p>
          <w:p>
            <w:pPr>
              <w:pStyle w:val="TableParagraph"/>
              <w:tabs>
                <w:tab w:pos="1063" w:val="left" w:leader="none"/>
              </w:tabs>
              <w:spacing w:line="232" w:lineRule="exact" w:before="24"/>
              <w:ind w:left="1063" w:right="91" w:hanging="861"/>
              <w:jc w:val="left"/>
              <w:rPr>
                <w:rFonts w:ascii="宋体" w:hAnsi="宋体" w:cs="宋体" w:eastAsia="宋体" w:hint="default"/>
                <w:sz w:val="18"/>
                <w:szCs w:val="18"/>
              </w:rPr>
            </w:pPr>
            <w:r>
              <w:rPr>
                <w:rFonts w:ascii="Times New Roman" w:hAnsi="Times New Roman" w:cs="Times New Roman" w:eastAsia="Times New Roman" w:hint="default"/>
                <w:sz w:val="18"/>
                <w:szCs w:val="18"/>
              </w:rPr>
              <w:t>142.00%</w:t>
              <w:tab/>
            </w:r>
            <w:r>
              <w:rPr>
                <w:rFonts w:ascii="宋体" w:hAnsi="宋体" w:cs="宋体" w:eastAsia="宋体" w:hint="default"/>
                <w:spacing w:val="15"/>
                <w:sz w:val="18"/>
                <w:szCs w:val="18"/>
              </w:rPr>
              <w:t>性能耐热聚酰亚胺纤维项目</w:t>
            </w:r>
            <w:r>
              <w:rPr>
                <w:rFonts w:ascii="宋体" w:hAnsi="宋体" w:cs="宋体" w:eastAsia="宋体" w:hint="default"/>
                <w:spacing w:val="15"/>
                <w:w w:val="99"/>
                <w:sz w:val="18"/>
                <w:szCs w:val="18"/>
              </w:rPr>
              <w:t> </w:t>
            </w:r>
            <w:r>
              <w:rPr>
                <w:rFonts w:ascii="宋体" w:hAnsi="宋体" w:cs="宋体" w:eastAsia="宋体" w:hint="default"/>
                <w:sz w:val="18"/>
                <w:szCs w:val="18"/>
              </w:rPr>
              <w:t>投入所致</w:t>
            </w:r>
          </w:p>
        </w:tc>
      </w:tr>
      <w:tr>
        <w:trPr>
          <w:trHeight w:val="478" w:hRule="exact"/>
        </w:trPr>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107"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14,553,814.25</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41"/>
              <w:jc w:val="right"/>
              <w:rPr>
                <w:rFonts w:ascii="Times New Roman" w:hAnsi="Times New Roman" w:cs="Times New Roman" w:eastAsia="Times New Roman" w:hint="default"/>
                <w:sz w:val="18"/>
                <w:szCs w:val="18"/>
              </w:rPr>
            </w:pPr>
            <w:r>
              <w:rPr>
                <w:rFonts w:ascii="Times New Roman"/>
                <w:spacing w:val="-1"/>
                <w:sz w:val="18"/>
              </w:rPr>
              <w:t>4,157,889.43</w:t>
            </w:r>
          </w:p>
        </w:tc>
        <w:tc>
          <w:tcPr>
            <w:tcW w:w="3507" w:type="dxa"/>
            <w:tcBorders>
              <w:top w:val="nil" w:sz="6" w:space="0" w:color="auto"/>
              <w:left w:val="nil" w:sz="6" w:space="0" w:color="auto"/>
              <w:bottom w:val="nil" w:sz="6" w:space="0" w:color="auto"/>
              <w:right w:val="nil" w:sz="6" w:space="0" w:color="auto"/>
            </w:tcBorders>
          </w:tcPr>
          <w:p>
            <w:pPr>
              <w:pStyle w:val="TableParagraph"/>
              <w:spacing w:line="195" w:lineRule="exact" w:before="31"/>
              <w:ind w:left="1063" w:right="0"/>
              <w:jc w:val="left"/>
              <w:rPr>
                <w:rFonts w:ascii="宋体" w:hAnsi="宋体" w:cs="宋体" w:eastAsia="宋体" w:hint="default"/>
                <w:sz w:val="18"/>
                <w:szCs w:val="18"/>
              </w:rPr>
            </w:pPr>
            <w:r>
              <w:rPr>
                <w:rFonts w:ascii="宋体" w:hAnsi="宋体" w:cs="宋体" w:eastAsia="宋体" w:hint="default"/>
                <w:spacing w:val="15"/>
                <w:sz w:val="18"/>
                <w:szCs w:val="18"/>
              </w:rPr>
              <w:t>长春高琦聚酰亚胺纤维生产</w:t>
            </w:r>
            <w:r>
              <w:rPr>
                <w:rFonts w:ascii="宋体" w:hAnsi="宋体" w:cs="宋体" w:eastAsia="宋体" w:hint="default"/>
                <w:sz w:val="18"/>
                <w:szCs w:val="18"/>
              </w:rPr>
            </w:r>
          </w:p>
          <w:p>
            <w:pPr>
              <w:pStyle w:val="TableParagraph"/>
              <w:spacing w:line="167" w:lineRule="exact"/>
              <w:ind w:left="203" w:right="0"/>
              <w:jc w:val="left"/>
              <w:rPr>
                <w:rFonts w:ascii="Times New Roman" w:hAnsi="Times New Roman" w:cs="Times New Roman" w:eastAsia="Times New Roman" w:hint="default"/>
                <w:sz w:val="18"/>
                <w:szCs w:val="18"/>
              </w:rPr>
            </w:pPr>
            <w:r>
              <w:rPr>
                <w:rFonts w:ascii="Times New Roman"/>
                <w:sz w:val="18"/>
              </w:rPr>
              <w:t>250.03%</w:t>
            </w:r>
          </w:p>
        </w:tc>
      </w:tr>
      <w:tr>
        <w:trPr>
          <w:trHeight w:val="364" w:hRule="exact"/>
        </w:trPr>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8"/>
                <w:szCs w:val="18"/>
              </w:rPr>
            </w:pPr>
            <w:r>
              <w:rPr>
                <w:rFonts w:ascii="Times New Roman"/>
                <w:spacing w:val="-1"/>
                <w:sz w:val="18"/>
              </w:rPr>
              <w:t>60,000,000.00</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1"/>
              <w:jc w:val="right"/>
              <w:rPr>
                <w:rFonts w:ascii="Times New Roman" w:hAnsi="Times New Roman" w:cs="Times New Roman" w:eastAsia="Times New Roman" w:hint="default"/>
                <w:sz w:val="18"/>
                <w:szCs w:val="18"/>
              </w:rPr>
            </w:pPr>
            <w:r>
              <w:rPr>
                <w:rFonts w:ascii="Times New Roman"/>
                <w:spacing w:val="-1"/>
                <w:sz w:val="18"/>
              </w:rPr>
              <w:t>200,000,000.00</w:t>
            </w:r>
          </w:p>
        </w:tc>
        <w:tc>
          <w:tcPr>
            <w:tcW w:w="3507" w:type="dxa"/>
            <w:tcBorders>
              <w:top w:val="nil" w:sz="6" w:space="0" w:color="auto"/>
              <w:left w:val="nil" w:sz="6" w:space="0" w:color="auto"/>
              <w:bottom w:val="nil" w:sz="6" w:space="0" w:color="auto"/>
              <w:right w:val="nil" w:sz="6" w:space="0" w:color="auto"/>
            </w:tcBorders>
          </w:tcPr>
          <w:p>
            <w:pPr>
              <w:pStyle w:val="TableParagraph"/>
              <w:tabs>
                <w:tab w:pos="1063" w:val="left" w:leader="none"/>
              </w:tabs>
              <w:spacing w:line="240" w:lineRule="auto" w:before="33"/>
              <w:ind w:left="2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-70.00%</w:t>
              <w:tab/>
            </w:r>
            <w:r>
              <w:rPr>
                <w:rFonts w:ascii="宋体" w:hAnsi="宋体" w:cs="宋体" w:eastAsia="宋体" w:hint="default"/>
                <w:sz w:val="18"/>
                <w:szCs w:val="18"/>
              </w:rPr>
              <w:t>经营性借款减少</w:t>
            </w:r>
          </w:p>
        </w:tc>
      </w:tr>
      <w:tr>
        <w:trPr>
          <w:trHeight w:val="364" w:hRule="exact"/>
        </w:trPr>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8"/>
                <w:szCs w:val="18"/>
              </w:rPr>
            </w:pPr>
            <w:r>
              <w:rPr>
                <w:rFonts w:ascii="Times New Roman"/>
                <w:spacing w:val="-1"/>
                <w:sz w:val="18"/>
              </w:rPr>
              <w:t>62,461,282.00</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1"/>
              <w:jc w:val="right"/>
              <w:rPr>
                <w:rFonts w:ascii="Times New Roman" w:hAnsi="Times New Roman" w:cs="Times New Roman" w:eastAsia="Times New Roman" w:hint="default"/>
                <w:sz w:val="18"/>
                <w:szCs w:val="18"/>
              </w:rPr>
            </w:pPr>
            <w:r>
              <w:rPr>
                <w:rFonts w:ascii="Times New Roman"/>
                <w:spacing w:val="-1"/>
                <w:sz w:val="18"/>
              </w:rPr>
              <w:t>40,407,435.90</w:t>
            </w:r>
          </w:p>
        </w:tc>
        <w:tc>
          <w:tcPr>
            <w:tcW w:w="3507" w:type="dxa"/>
            <w:tcBorders>
              <w:top w:val="nil" w:sz="6" w:space="0" w:color="auto"/>
              <w:left w:val="nil" w:sz="6" w:space="0" w:color="auto"/>
              <w:bottom w:val="nil" w:sz="6" w:space="0" w:color="auto"/>
              <w:right w:val="nil" w:sz="6" w:space="0" w:color="auto"/>
            </w:tcBorders>
          </w:tcPr>
          <w:p>
            <w:pPr>
              <w:pStyle w:val="TableParagraph"/>
              <w:spacing w:line="112" w:lineRule="exact"/>
              <w:ind w:left="1063" w:right="0"/>
              <w:jc w:val="left"/>
              <w:rPr>
                <w:rFonts w:ascii="宋体" w:hAnsi="宋体" w:cs="宋体" w:eastAsia="宋体" w:hint="default"/>
                <w:sz w:val="18"/>
                <w:szCs w:val="18"/>
              </w:rPr>
            </w:pPr>
            <w:r>
              <w:rPr>
                <w:rFonts w:ascii="宋体" w:hAnsi="宋体" w:cs="宋体" w:eastAsia="宋体" w:hint="default"/>
                <w:spacing w:val="15"/>
                <w:sz w:val="18"/>
                <w:szCs w:val="18"/>
              </w:rPr>
              <w:t>年末订单推迟发货库存商品</w:t>
            </w:r>
            <w:r>
              <w:rPr>
                <w:rFonts w:ascii="宋体" w:hAnsi="宋体" w:cs="宋体" w:eastAsia="宋体" w:hint="default"/>
                <w:sz w:val="18"/>
                <w:szCs w:val="18"/>
              </w:rPr>
            </w:r>
          </w:p>
          <w:p>
            <w:pPr>
              <w:pStyle w:val="TableParagraph"/>
              <w:spacing w:line="167" w:lineRule="exact"/>
              <w:ind w:left="293" w:right="0"/>
              <w:jc w:val="left"/>
              <w:rPr>
                <w:rFonts w:ascii="Times New Roman" w:hAnsi="Times New Roman" w:cs="Times New Roman" w:eastAsia="Times New Roman" w:hint="default"/>
                <w:sz w:val="18"/>
                <w:szCs w:val="18"/>
              </w:rPr>
            </w:pPr>
            <w:r>
              <w:rPr>
                <w:rFonts w:ascii="Times New Roman"/>
                <w:sz w:val="18"/>
              </w:rPr>
              <w:t>54.58%</w:t>
            </w:r>
          </w:p>
        </w:tc>
      </w:tr>
      <w:tr>
        <w:trPr>
          <w:trHeight w:val="364" w:hRule="exact"/>
        </w:trPr>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8"/>
                <w:szCs w:val="18"/>
              </w:rPr>
            </w:pPr>
            <w:r>
              <w:rPr>
                <w:rFonts w:ascii="Times New Roman"/>
                <w:spacing w:val="-1"/>
                <w:sz w:val="18"/>
              </w:rPr>
              <w:t>6,327,238.57</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1"/>
              <w:jc w:val="right"/>
              <w:rPr>
                <w:rFonts w:ascii="Times New Roman" w:hAnsi="Times New Roman" w:cs="Times New Roman" w:eastAsia="Times New Roman" w:hint="default"/>
                <w:sz w:val="18"/>
                <w:szCs w:val="18"/>
              </w:rPr>
            </w:pPr>
            <w:r>
              <w:rPr>
                <w:rFonts w:ascii="Times New Roman"/>
                <w:spacing w:val="-1"/>
                <w:sz w:val="18"/>
              </w:rPr>
              <w:t>2,504,416.08</w:t>
            </w:r>
          </w:p>
        </w:tc>
        <w:tc>
          <w:tcPr>
            <w:tcW w:w="3507" w:type="dxa"/>
            <w:tcBorders>
              <w:top w:val="nil" w:sz="6" w:space="0" w:color="auto"/>
              <w:left w:val="nil" w:sz="6" w:space="0" w:color="auto"/>
              <w:bottom w:val="nil" w:sz="6" w:space="0" w:color="auto"/>
              <w:right w:val="nil" w:sz="6" w:space="0" w:color="auto"/>
            </w:tcBorders>
          </w:tcPr>
          <w:p>
            <w:pPr>
              <w:pStyle w:val="TableParagraph"/>
              <w:tabs>
                <w:tab w:pos="1063" w:val="left" w:leader="none"/>
              </w:tabs>
              <w:spacing w:line="240" w:lineRule="auto" w:before="33"/>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152.64%</w:t>
              <w:tab/>
            </w:r>
            <w:r>
              <w:rPr>
                <w:rFonts w:ascii="宋体" w:hAnsi="宋体" w:cs="宋体" w:eastAsia="宋体" w:hint="default"/>
                <w:sz w:val="18"/>
                <w:szCs w:val="18"/>
              </w:rPr>
              <w:t>预收新增客户款项增加</w:t>
            </w:r>
          </w:p>
        </w:tc>
      </w:tr>
      <w:tr>
        <w:trPr>
          <w:trHeight w:val="364" w:hRule="exact"/>
        </w:trPr>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8"/>
                <w:szCs w:val="18"/>
              </w:rPr>
            </w:pPr>
            <w:r>
              <w:rPr>
                <w:rFonts w:ascii="Times New Roman"/>
                <w:spacing w:val="-1"/>
                <w:sz w:val="18"/>
              </w:rPr>
              <w:t>-1,874,728.69</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1"/>
              <w:jc w:val="right"/>
              <w:rPr>
                <w:rFonts w:ascii="Times New Roman" w:hAnsi="Times New Roman" w:cs="Times New Roman" w:eastAsia="Times New Roman" w:hint="default"/>
                <w:sz w:val="18"/>
                <w:szCs w:val="18"/>
              </w:rPr>
            </w:pPr>
            <w:r>
              <w:rPr>
                <w:rFonts w:ascii="Times New Roman"/>
                <w:spacing w:val="-1"/>
                <w:sz w:val="18"/>
              </w:rPr>
              <w:t>8,095,267.88</w:t>
            </w:r>
          </w:p>
        </w:tc>
        <w:tc>
          <w:tcPr>
            <w:tcW w:w="3507" w:type="dxa"/>
            <w:tcBorders>
              <w:top w:val="nil" w:sz="6" w:space="0" w:color="auto"/>
              <w:left w:val="nil" w:sz="6" w:space="0" w:color="auto"/>
              <w:bottom w:val="nil" w:sz="6" w:space="0" w:color="auto"/>
              <w:right w:val="nil" w:sz="6" w:space="0" w:color="auto"/>
            </w:tcBorders>
          </w:tcPr>
          <w:p>
            <w:pPr>
              <w:pStyle w:val="TableParagraph"/>
              <w:spacing w:line="112" w:lineRule="exact"/>
              <w:ind w:left="1063" w:right="0"/>
              <w:jc w:val="left"/>
              <w:rPr>
                <w:rFonts w:ascii="宋体" w:hAnsi="宋体" w:cs="宋体" w:eastAsia="宋体" w:hint="default"/>
                <w:sz w:val="18"/>
                <w:szCs w:val="18"/>
              </w:rPr>
            </w:pPr>
            <w:r>
              <w:rPr>
                <w:rFonts w:ascii="宋体" w:hAnsi="宋体" w:cs="宋体" w:eastAsia="宋体" w:hint="default"/>
                <w:spacing w:val="15"/>
                <w:sz w:val="18"/>
                <w:szCs w:val="18"/>
              </w:rPr>
              <w:t>固定资产增加导致可抵扣的</w:t>
            </w:r>
            <w:r>
              <w:rPr>
                <w:rFonts w:ascii="宋体" w:hAnsi="宋体" w:cs="宋体" w:eastAsia="宋体" w:hint="default"/>
                <w:sz w:val="18"/>
                <w:szCs w:val="18"/>
              </w:rPr>
            </w:r>
          </w:p>
          <w:p>
            <w:pPr>
              <w:pStyle w:val="TableParagraph"/>
              <w:spacing w:line="167" w:lineRule="exact"/>
              <w:ind w:left="143" w:right="0"/>
              <w:jc w:val="left"/>
              <w:rPr>
                <w:rFonts w:ascii="Times New Roman" w:hAnsi="Times New Roman" w:cs="Times New Roman" w:eastAsia="Times New Roman" w:hint="default"/>
                <w:sz w:val="18"/>
                <w:szCs w:val="18"/>
              </w:rPr>
            </w:pPr>
            <w:r>
              <w:rPr>
                <w:rFonts w:ascii="Times New Roman"/>
                <w:sz w:val="18"/>
              </w:rPr>
              <w:t>-123.16%</w:t>
            </w:r>
          </w:p>
        </w:tc>
      </w:tr>
      <w:tr>
        <w:trPr>
          <w:trHeight w:val="307" w:hRule="exact"/>
        </w:trPr>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8"/>
                <w:szCs w:val="18"/>
              </w:rPr>
            </w:pPr>
            <w:r>
              <w:rPr>
                <w:rFonts w:ascii="Times New Roman"/>
                <w:spacing w:val="-1"/>
                <w:sz w:val="18"/>
              </w:rPr>
              <w:t>13,056,221.82</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1"/>
              <w:jc w:val="right"/>
              <w:rPr>
                <w:rFonts w:ascii="Times New Roman" w:hAnsi="Times New Roman" w:cs="Times New Roman" w:eastAsia="Times New Roman" w:hint="default"/>
                <w:sz w:val="18"/>
                <w:szCs w:val="18"/>
              </w:rPr>
            </w:pPr>
            <w:r>
              <w:rPr>
                <w:rFonts w:ascii="Times New Roman"/>
                <w:spacing w:val="-1"/>
                <w:sz w:val="18"/>
              </w:rPr>
              <w:t>9,166,549.46</w:t>
            </w:r>
          </w:p>
        </w:tc>
        <w:tc>
          <w:tcPr>
            <w:tcW w:w="3507" w:type="dxa"/>
            <w:tcBorders>
              <w:top w:val="nil" w:sz="6" w:space="0" w:color="auto"/>
              <w:left w:val="nil" w:sz="6" w:space="0" w:color="auto"/>
              <w:bottom w:val="nil" w:sz="6" w:space="0" w:color="auto"/>
              <w:right w:val="nil" w:sz="6" w:space="0" w:color="auto"/>
            </w:tcBorders>
          </w:tcPr>
          <w:p>
            <w:pPr>
              <w:pStyle w:val="TableParagraph"/>
              <w:tabs>
                <w:tab w:pos="1063" w:val="left" w:leader="none"/>
              </w:tabs>
              <w:spacing w:line="240" w:lineRule="auto" w:before="33"/>
              <w:ind w:left="2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42.43%</w:t>
              <w:tab/>
            </w:r>
            <w:r>
              <w:rPr>
                <w:rFonts w:ascii="宋体" w:hAnsi="宋体" w:cs="宋体" w:eastAsia="宋体" w:hint="default"/>
                <w:sz w:val="18"/>
                <w:szCs w:val="18"/>
              </w:rPr>
              <w:t>本年计提的业务费增加</w:t>
            </w:r>
          </w:p>
        </w:tc>
      </w:tr>
      <w:tr>
        <w:trPr>
          <w:trHeight w:val="307" w:hRule="exact"/>
        </w:trPr>
        <w:tc>
          <w:tcPr>
            <w:tcW w:w="1565" w:type="dxa"/>
            <w:tcBorders>
              <w:top w:val="nil" w:sz="6" w:space="0" w:color="auto"/>
              <w:left w:val="nil" w:sz="6" w:space="0" w:color="auto"/>
              <w:bottom w:val="nil" w:sz="6" w:space="0" w:color="auto"/>
              <w:right w:val="nil" w:sz="6" w:space="0" w:color="auto"/>
            </w:tcBorders>
          </w:tcPr>
          <w:p>
            <w:pPr>
              <w:pStyle w:val="TableParagraph"/>
              <w:spacing w:line="212" w:lineRule="exact"/>
              <w:ind w:left="107"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5"/>
              <w:jc w:val="right"/>
              <w:rPr>
                <w:rFonts w:ascii="Times New Roman" w:hAnsi="Times New Roman" w:cs="Times New Roman" w:eastAsia="Times New Roman" w:hint="default"/>
                <w:sz w:val="18"/>
                <w:szCs w:val="18"/>
              </w:rPr>
            </w:pPr>
            <w:r>
              <w:rPr>
                <w:rFonts w:ascii="Times New Roman"/>
                <w:spacing w:val="-1"/>
                <w:sz w:val="18"/>
              </w:rPr>
              <w:t>69,915,907.92</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41"/>
              <w:jc w:val="right"/>
              <w:rPr>
                <w:rFonts w:ascii="Times New Roman" w:hAnsi="Times New Roman" w:cs="Times New Roman" w:eastAsia="Times New Roman" w:hint="default"/>
                <w:sz w:val="18"/>
                <w:szCs w:val="18"/>
              </w:rPr>
            </w:pPr>
            <w:r>
              <w:rPr>
                <w:rFonts w:ascii="Times New Roman"/>
                <w:spacing w:val="-1"/>
                <w:sz w:val="18"/>
              </w:rPr>
              <w:t>40,407,435.90</w:t>
            </w:r>
          </w:p>
        </w:tc>
        <w:tc>
          <w:tcPr>
            <w:tcW w:w="3507" w:type="dxa"/>
            <w:tcBorders>
              <w:top w:val="nil" w:sz="6" w:space="0" w:color="auto"/>
              <w:left w:val="nil" w:sz="6" w:space="0" w:color="auto"/>
              <w:bottom w:val="nil" w:sz="6" w:space="0" w:color="auto"/>
              <w:right w:val="nil" w:sz="6" w:space="0" w:color="auto"/>
            </w:tcBorders>
          </w:tcPr>
          <w:p>
            <w:pPr>
              <w:pStyle w:val="TableParagraph"/>
              <w:tabs>
                <w:tab w:pos="1063" w:val="left" w:leader="none"/>
              </w:tabs>
              <w:spacing w:line="225" w:lineRule="exact"/>
              <w:ind w:left="2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73.03%</w:t>
              <w:tab/>
            </w:r>
            <w:r>
              <w:rPr>
                <w:rFonts w:ascii="宋体" w:hAnsi="宋体" w:cs="宋体" w:eastAsia="宋体" w:hint="default"/>
                <w:sz w:val="18"/>
                <w:szCs w:val="18"/>
              </w:rPr>
              <w:t>本年收到的政府补助增加</w:t>
            </w:r>
          </w:p>
        </w:tc>
      </w:tr>
      <w:tr>
        <w:trPr>
          <w:trHeight w:val="364" w:hRule="exact"/>
        </w:trPr>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8"/>
                <w:szCs w:val="18"/>
              </w:rPr>
            </w:pPr>
            <w:r>
              <w:rPr>
                <w:rFonts w:ascii="Times New Roman"/>
                <w:spacing w:val="-1"/>
                <w:sz w:val="18"/>
              </w:rPr>
              <w:t>3,400,573.71</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1"/>
              <w:jc w:val="right"/>
              <w:rPr>
                <w:rFonts w:ascii="Times New Roman" w:hAnsi="Times New Roman" w:cs="Times New Roman" w:eastAsia="Times New Roman" w:hint="default"/>
                <w:sz w:val="18"/>
                <w:szCs w:val="18"/>
              </w:rPr>
            </w:pPr>
            <w:r>
              <w:rPr>
                <w:rFonts w:ascii="Times New Roman"/>
                <w:spacing w:val="-1"/>
                <w:sz w:val="18"/>
              </w:rPr>
              <w:t>1,755,345.70</w:t>
            </w:r>
          </w:p>
        </w:tc>
        <w:tc>
          <w:tcPr>
            <w:tcW w:w="3507" w:type="dxa"/>
            <w:tcBorders>
              <w:top w:val="nil" w:sz="6" w:space="0" w:color="auto"/>
              <w:left w:val="nil" w:sz="6" w:space="0" w:color="auto"/>
              <w:bottom w:val="nil" w:sz="6" w:space="0" w:color="auto"/>
              <w:right w:val="nil" w:sz="6" w:space="0" w:color="auto"/>
            </w:tcBorders>
          </w:tcPr>
          <w:p>
            <w:pPr>
              <w:pStyle w:val="TableParagraph"/>
              <w:spacing w:line="112" w:lineRule="exact"/>
              <w:ind w:left="1063" w:right="0"/>
              <w:jc w:val="left"/>
              <w:rPr>
                <w:rFonts w:ascii="宋体" w:hAnsi="宋体" w:cs="宋体" w:eastAsia="宋体" w:hint="default"/>
                <w:sz w:val="18"/>
                <w:szCs w:val="18"/>
              </w:rPr>
            </w:pPr>
            <w:r>
              <w:rPr>
                <w:rFonts w:ascii="宋体" w:hAnsi="宋体" w:cs="宋体" w:eastAsia="宋体" w:hint="default"/>
                <w:spacing w:val="15"/>
                <w:sz w:val="18"/>
                <w:szCs w:val="18"/>
              </w:rPr>
              <w:t>城建税及教育费附加税率提</w:t>
            </w:r>
            <w:r>
              <w:rPr>
                <w:rFonts w:ascii="宋体" w:hAnsi="宋体" w:cs="宋体" w:eastAsia="宋体" w:hint="default"/>
                <w:sz w:val="18"/>
                <w:szCs w:val="18"/>
              </w:rPr>
            </w:r>
          </w:p>
          <w:p>
            <w:pPr>
              <w:pStyle w:val="TableParagraph"/>
              <w:spacing w:line="167" w:lineRule="exact"/>
              <w:ind w:left="293" w:right="0"/>
              <w:jc w:val="left"/>
              <w:rPr>
                <w:rFonts w:ascii="Times New Roman" w:hAnsi="Times New Roman" w:cs="Times New Roman" w:eastAsia="Times New Roman" w:hint="default"/>
                <w:sz w:val="18"/>
                <w:szCs w:val="18"/>
              </w:rPr>
            </w:pPr>
            <w:r>
              <w:rPr>
                <w:rFonts w:ascii="Times New Roman"/>
                <w:sz w:val="18"/>
              </w:rPr>
              <w:t>93.73%</w:t>
            </w:r>
          </w:p>
        </w:tc>
      </w:tr>
      <w:tr>
        <w:trPr>
          <w:trHeight w:val="364" w:hRule="exact"/>
        </w:trPr>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8"/>
                <w:szCs w:val="18"/>
              </w:rPr>
            </w:pPr>
            <w:r>
              <w:rPr>
                <w:rFonts w:ascii="Times New Roman"/>
                <w:spacing w:val="-1"/>
                <w:sz w:val="18"/>
              </w:rPr>
              <w:t>47,523,744.14</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1"/>
              <w:jc w:val="right"/>
              <w:rPr>
                <w:rFonts w:ascii="Times New Roman" w:hAnsi="Times New Roman" w:cs="Times New Roman" w:eastAsia="Times New Roman" w:hint="default"/>
                <w:sz w:val="18"/>
                <w:szCs w:val="18"/>
              </w:rPr>
            </w:pPr>
            <w:r>
              <w:rPr>
                <w:rFonts w:ascii="Times New Roman"/>
                <w:spacing w:val="-1"/>
                <w:sz w:val="18"/>
              </w:rPr>
              <w:t>32,694,245.27</w:t>
            </w:r>
          </w:p>
        </w:tc>
        <w:tc>
          <w:tcPr>
            <w:tcW w:w="3507" w:type="dxa"/>
            <w:tcBorders>
              <w:top w:val="nil" w:sz="6" w:space="0" w:color="auto"/>
              <w:left w:val="nil" w:sz="6" w:space="0" w:color="auto"/>
              <w:bottom w:val="nil" w:sz="6" w:space="0" w:color="auto"/>
              <w:right w:val="nil" w:sz="6" w:space="0" w:color="auto"/>
            </w:tcBorders>
          </w:tcPr>
          <w:p>
            <w:pPr>
              <w:pStyle w:val="TableParagraph"/>
              <w:tabs>
                <w:tab w:pos="1063" w:val="left" w:leader="none"/>
              </w:tabs>
              <w:spacing w:line="240" w:lineRule="auto" w:before="33"/>
              <w:ind w:left="2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45.36%</w:t>
              <w:tab/>
            </w:r>
            <w:r>
              <w:rPr>
                <w:rFonts w:ascii="宋体" w:hAnsi="宋体" w:cs="宋体" w:eastAsia="宋体" w:hint="default"/>
                <w:sz w:val="18"/>
                <w:szCs w:val="18"/>
              </w:rPr>
              <w:t>本年业务费大幅增加</w:t>
            </w:r>
          </w:p>
        </w:tc>
      </w:tr>
      <w:tr>
        <w:trPr>
          <w:trHeight w:val="275" w:hRule="exact"/>
        </w:trPr>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8"/>
                <w:szCs w:val="18"/>
              </w:rPr>
            </w:pPr>
            <w:r>
              <w:rPr>
                <w:rFonts w:ascii="Times New Roman"/>
                <w:spacing w:val="-1"/>
                <w:sz w:val="18"/>
              </w:rPr>
              <w:t>2,318,705.99</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1"/>
              <w:jc w:val="right"/>
              <w:rPr>
                <w:rFonts w:ascii="Times New Roman" w:hAnsi="Times New Roman" w:cs="Times New Roman" w:eastAsia="Times New Roman" w:hint="default"/>
                <w:sz w:val="18"/>
                <w:szCs w:val="18"/>
              </w:rPr>
            </w:pPr>
            <w:r>
              <w:rPr>
                <w:rFonts w:ascii="Times New Roman"/>
                <w:spacing w:val="-1"/>
                <w:sz w:val="18"/>
              </w:rPr>
              <w:t>8,284,698.83</w:t>
            </w:r>
          </w:p>
        </w:tc>
        <w:tc>
          <w:tcPr>
            <w:tcW w:w="3507" w:type="dxa"/>
            <w:tcBorders>
              <w:top w:val="nil" w:sz="6" w:space="0" w:color="auto"/>
              <w:left w:val="nil" w:sz="6" w:space="0" w:color="auto"/>
              <w:bottom w:val="nil" w:sz="6" w:space="0" w:color="auto"/>
              <w:right w:val="nil" w:sz="6" w:space="0" w:color="auto"/>
            </w:tcBorders>
          </w:tcPr>
          <w:p>
            <w:pPr>
              <w:pStyle w:val="TableParagraph"/>
              <w:spacing w:line="111" w:lineRule="exact"/>
              <w:ind w:left="1063" w:right="0"/>
              <w:jc w:val="left"/>
              <w:rPr>
                <w:rFonts w:ascii="宋体" w:hAnsi="宋体" w:cs="宋体" w:eastAsia="宋体" w:hint="default"/>
                <w:sz w:val="18"/>
                <w:szCs w:val="18"/>
              </w:rPr>
            </w:pPr>
            <w:r>
              <w:rPr>
                <w:rFonts w:ascii="宋体" w:hAnsi="宋体" w:cs="宋体" w:eastAsia="宋体" w:hint="default"/>
                <w:sz w:val="18"/>
                <w:szCs w:val="18"/>
              </w:rPr>
              <w:t>本年归还上年借款，经营性借</w:t>
            </w:r>
          </w:p>
          <w:p>
            <w:pPr>
              <w:pStyle w:val="TableParagraph"/>
              <w:spacing w:line="167" w:lineRule="exact"/>
              <w:ind w:left="233" w:right="0"/>
              <w:jc w:val="left"/>
              <w:rPr>
                <w:rFonts w:ascii="Times New Roman" w:hAnsi="Times New Roman" w:cs="Times New Roman" w:eastAsia="Times New Roman" w:hint="default"/>
                <w:sz w:val="18"/>
                <w:szCs w:val="18"/>
              </w:rPr>
            </w:pPr>
            <w:r>
              <w:rPr>
                <w:rFonts w:ascii="Times New Roman"/>
                <w:sz w:val="18"/>
              </w:rPr>
              <w:t>-72.01%</w:t>
            </w:r>
          </w:p>
        </w:tc>
      </w:tr>
    </w:tbl>
    <w:p>
      <w:pPr>
        <w:spacing w:after="0" w:line="167" w:lineRule="exact"/>
        <w:jc w:val="left"/>
        <w:rPr>
          <w:rFonts w:ascii="Times New Roman" w:hAnsi="Times New Roman" w:cs="Times New Roman" w:eastAsia="Times New Roman" w:hint="default"/>
          <w:sz w:val="18"/>
          <w:szCs w:val="18"/>
        </w:rPr>
        <w:sectPr>
          <w:pgSz w:w="11910" w:h="16840"/>
          <w:pgMar w:header="565" w:footer="669" w:top="980" w:bottom="860" w:left="980" w:right="980"/>
        </w:sect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tbl>
      <w:tblPr>
        <w:tblW w:w="0" w:type="auto"/>
        <w:jc w:val="left"/>
        <w:tblInd w:w="689" w:type="dxa"/>
        <w:tblLayout w:type="fixed"/>
        <w:tblCellMar>
          <w:top w:w="0" w:type="dxa"/>
          <w:left w:w="0" w:type="dxa"/>
          <w:bottom w:w="0" w:type="dxa"/>
          <w:right w:w="0" w:type="dxa"/>
        </w:tblCellMar>
        <w:tblLook w:val="01E0"/>
      </w:tblPr>
      <w:tblGrid>
        <w:gridCol w:w="1534"/>
        <w:gridCol w:w="1475"/>
        <w:gridCol w:w="1484"/>
        <w:gridCol w:w="926"/>
        <w:gridCol w:w="2551"/>
      </w:tblGrid>
      <w:tr>
        <w:trPr>
          <w:trHeight w:val="497" w:hRule="exact"/>
        </w:trPr>
        <w:tc>
          <w:tcPr>
            <w:tcW w:w="3009" w:type="dxa"/>
            <w:gridSpan w:val="2"/>
            <w:tcBorders>
              <w:top w:val="single" w:sz="12" w:space="0" w:color="000000"/>
              <w:left w:val="nil" w:sz="6" w:space="0" w:color="auto"/>
              <w:bottom w:val="nil" w:sz="6" w:space="0" w:color="auto"/>
              <w:right w:val="nil" w:sz="6" w:space="0" w:color="auto"/>
            </w:tcBorders>
          </w:tcPr>
          <w:p>
            <w:pPr>
              <w:pStyle w:val="TableParagraph"/>
              <w:tabs>
                <w:tab w:pos="1699" w:val="left" w:leader="none"/>
              </w:tabs>
              <w:spacing w:line="158" w:lineRule="auto" w:before="47"/>
              <w:ind w:left="1939" w:right="106" w:hanging="1497"/>
              <w:jc w:val="left"/>
              <w:rPr>
                <w:rFonts w:ascii="宋体" w:hAnsi="宋体" w:cs="宋体" w:eastAsia="宋体" w:hint="default"/>
                <w:sz w:val="18"/>
                <w:szCs w:val="18"/>
              </w:rPr>
            </w:pPr>
            <w:r>
              <w:rPr>
                <w:rFonts w:ascii="宋体" w:hAnsi="宋体" w:cs="宋体" w:eastAsia="宋体" w:hint="default"/>
                <w:position w:val="-11"/>
                <w:sz w:val="18"/>
                <w:szCs w:val="18"/>
              </w:rPr>
              <w:t>报表项目</w:t>
              <w:tab/>
            </w:r>
            <w:r>
              <w:rPr>
                <w:rFonts w:ascii="宋体" w:hAnsi="宋体" w:cs="宋体" w:eastAsia="宋体" w:hint="default"/>
                <w:spacing w:val="-9"/>
                <w:sz w:val="18"/>
                <w:szCs w:val="18"/>
              </w:rPr>
              <w:t>年末余额（或本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年金额）</w:t>
            </w:r>
          </w:p>
        </w:tc>
        <w:tc>
          <w:tcPr>
            <w:tcW w:w="4961" w:type="dxa"/>
            <w:gridSpan w:val="3"/>
            <w:tcBorders>
              <w:top w:val="single" w:sz="12" w:space="0" w:color="000000"/>
              <w:left w:val="nil" w:sz="6" w:space="0" w:color="auto"/>
              <w:bottom w:val="nil" w:sz="6" w:space="0" w:color="auto"/>
              <w:right w:val="nil" w:sz="6" w:space="0" w:color="auto"/>
            </w:tcBorders>
          </w:tcPr>
          <w:p>
            <w:pPr>
              <w:pStyle w:val="TableParagraph"/>
              <w:spacing w:line="211" w:lineRule="exact"/>
              <w:ind w:left="107" w:right="0"/>
              <w:jc w:val="left"/>
              <w:rPr>
                <w:rFonts w:ascii="宋体" w:hAnsi="宋体" w:cs="宋体" w:eastAsia="宋体" w:hint="default"/>
                <w:sz w:val="18"/>
                <w:szCs w:val="18"/>
              </w:rPr>
            </w:pPr>
            <w:r>
              <w:rPr>
                <w:rFonts w:ascii="宋体" w:hAnsi="宋体" w:cs="宋体" w:eastAsia="宋体" w:hint="default"/>
                <w:spacing w:val="-9"/>
                <w:sz w:val="18"/>
                <w:szCs w:val="18"/>
              </w:rPr>
              <w:t>年初余额（或上</w:t>
            </w:r>
          </w:p>
        </w:tc>
      </w:tr>
      <w:tr>
        <w:trPr>
          <w:trHeight w:val="223"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17" w:lineRule="exact"/>
              <w:ind w:left="12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5"/>
              <w:jc w:val="right"/>
              <w:rPr>
                <w:rFonts w:ascii="Times New Roman" w:hAnsi="Times New Roman" w:cs="Times New Roman" w:eastAsia="Times New Roman" w:hint="default"/>
                <w:sz w:val="18"/>
                <w:szCs w:val="18"/>
              </w:rPr>
            </w:pPr>
            <w:r>
              <w:rPr>
                <w:rFonts w:ascii="Times New Roman"/>
                <w:sz w:val="18"/>
              </w:rPr>
              <w:t>772,533.61</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71"/>
              <w:jc w:val="right"/>
              <w:rPr>
                <w:rFonts w:ascii="Times New Roman" w:hAnsi="Times New Roman" w:cs="Times New Roman" w:eastAsia="Times New Roman" w:hint="default"/>
                <w:sz w:val="18"/>
                <w:szCs w:val="18"/>
              </w:rPr>
            </w:pPr>
            <w:r>
              <w:rPr>
                <w:rFonts w:ascii="Times New Roman"/>
                <w:spacing w:val="-1"/>
                <w:sz w:val="18"/>
              </w:rPr>
              <w:t>4,820,055.26</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03" w:right="0"/>
              <w:jc w:val="left"/>
              <w:rPr>
                <w:rFonts w:ascii="Times New Roman" w:hAnsi="Times New Roman" w:cs="Times New Roman" w:eastAsia="Times New Roman" w:hint="default"/>
                <w:sz w:val="18"/>
                <w:szCs w:val="18"/>
              </w:rPr>
            </w:pPr>
            <w:r>
              <w:rPr>
                <w:rFonts w:ascii="Times New Roman"/>
                <w:sz w:val="18"/>
              </w:rPr>
              <w:t>-83.97%</w:t>
            </w:r>
          </w:p>
        </w:tc>
        <w:tc>
          <w:tcPr>
            <w:tcW w:w="2551" w:type="dxa"/>
            <w:tcBorders>
              <w:top w:val="nil" w:sz="6" w:space="0" w:color="auto"/>
              <w:left w:val="nil" w:sz="6" w:space="0" w:color="auto"/>
              <w:bottom w:val="nil" w:sz="6" w:space="0" w:color="auto"/>
              <w:right w:val="nil" w:sz="6" w:space="0" w:color="auto"/>
            </w:tcBorders>
          </w:tcPr>
          <w:p>
            <w:pPr>
              <w:pStyle w:val="TableParagraph"/>
              <w:spacing w:line="217" w:lineRule="exact"/>
              <w:ind w:left="107" w:right="0"/>
              <w:jc w:val="left"/>
              <w:rPr>
                <w:rFonts w:ascii="宋体" w:hAnsi="宋体" w:cs="宋体" w:eastAsia="宋体" w:hint="default"/>
                <w:sz w:val="18"/>
                <w:szCs w:val="18"/>
              </w:rPr>
            </w:pPr>
            <w:r>
              <w:rPr>
                <w:rFonts w:ascii="宋体" w:hAnsi="宋体" w:cs="宋体" w:eastAsia="宋体" w:hint="default"/>
                <w:sz w:val="18"/>
                <w:szCs w:val="18"/>
              </w:rPr>
              <w:t>计提的坏帐损失减少</w:t>
            </w:r>
          </w:p>
        </w:tc>
      </w:tr>
      <w:tr>
        <w:trPr>
          <w:trHeight w:val="267" w:hRule="exact"/>
        </w:trPr>
        <w:tc>
          <w:tcPr>
            <w:tcW w:w="1534"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c>
          <w:tcPr>
            <w:tcW w:w="926" w:type="dxa"/>
            <w:tcBorders>
              <w:top w:val="nil" w:sz="6" w:space="0" w:color="auto"/>
              <w:left w:val="nil" w:sz="6" w:space="0" w:color="auto"/>
              <w:bottom w:val="nil" w:sz="6" w:space="0" w:color="auto"/>
              <w:right w:val="nil" w:sz="6" w:space="0" w:color="auto"/>
            </w:tcBorders>
          </w:tcPr>
          <w:p>
            <w:pPr/>
          </w:p>
        </w:tc>
        <w:tc>
          <w:tcPr>
            <w:tcW w:w="2551"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7" w:right="0"/>
              <w:jc w:val="left"/>
              <w:rPr>
                <w:rFonts w:ascii="宋体" w:hAnsi="宋体" w:cs="宋体" w:eastAsia="宋体" w:hint="default"/>
                <w:sz w:val="18"/>
                <w:szCs w:val="18"/>
              </w:rPr>
            </w:pPr>
            <w:r>
              <w:rPr>
                <w:rFonts w:ascii="宋体" w:hAnsi="宋体" w:cs="宋体" w:eastAsia="宋体" w:hint="default"/>
                <w:sz w:val="18"/>
                <w:szCs w:val="18"/>
              </w:rPr>
              <w:t>上年发生期货投资损失，本年</w:t>
            </w:r>
          </w:p>
        </w:tc>
      </w:tr>
      <w:tr>
        <w:trPr>
          <w:trHeight w:val="296"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06" w:lineRule="exact"/>
              <w:ind w:left="122"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475" w:type="dxa"/>
            <w:tcBorders>
              <w:top w:val="nil" w:sz="6" w:space="0" w:color="auto"/>
              <w:left w:val="nil" w:sz="6" w:space="0" w:color="auto"/>
              <w:bottom w:val="nil" w:sz="6" w:space="0" w:color="auto"/>
              <w:right w:val="nil" w:sz="6" w:space="0" w:color="auto"/>
            </w:tcBorders>
          </w:tcPr>
          <w:p>
            <w:pPr>
              <w:pStyle w:val="TableParagraph"/>
              <w:spacing w:line="100" w:lineRule="exact"/>
              <w:ind w:right="105"/>
              <w:jc w:val="right"/>
              <w:rPr>
                <w:rFonts w:ascii="Times New Roman" w:hAnsi="Times New Roman" w:cs="Times New Roman" w:eastAsia="Times New Roman" w:hint="default"/>
                <w:sz w:val="18"/>
                <w:szCs w:val="18"/>
              </w:rPr>
            </w:pPr>
            <w:r>
              <w:rPr>
                <w:rFonts w:ascii="Times New Roman"/>
                <w:spacing w:val="-1"/>
                <w:sz w:val="18"/>
              </w:rPr>
              <w:t>1,293,630.97</w:t>
            </w:r>
          </w:p>
        </w:tc>
        <w:tc>
          <w:tcPr>
            <w:tcW w:w="1484" w:type="dxa"/>
            <w:tcBorders>
              <w:top w:val="nil" w:sz="6" w:space="0" w:color="auto"/>
              <w:left w:val="nil" w:sz="6" w:space="0" w:color="auto"/>
              <w:bottom w:val="nil" w:sz="6" w:space="0" w:color="auto"/>
              <w:right w:val="nil" w:sz="6" w:space="0" w:color="auto"/>
            </w:tcBorders>
          </w:tcPr>
          <w:p>
            <w:pPr>
              <w:pStyle w:val="TableParagraph"/>
              <w:spacing w:line="100" w:lineRule="exact"/>
              <w:ind w:right="171"/>
              <w:jc w:val="right"/>
              <w:rPr>
                <w:rFonts w:ascii="Times New Roman" w:hAnsi="Times New Roman" w:cs="Times New Roman" w:eastAsia="Times New Roman" w:hint="default"/>
                <w:sz w:val="18"/>
                <w:szCs w:val="18"/>
              </w:rPr>
            </w:pPr>
            <w:r>
              <w:rPr>
                <w:rFonts w:ascii="Times New Roman"/>
                <w:spacing w:val="-1"/>
                <w:sz w:val="18"/>
              </w:rPr>
              <w:t>-6,179,757.34</w:t>
            </w:r>
          </w:p>
        </w:tc>
        <w:tc>
          <w:tcPr>
            <w:tcW w:w="3477" w:type="dxa"/>
            <w:gridSpan w:val="2"/>
            <w:tcBorders>
              <w:top w:val="nil" w:sz="6" w:space="0" w:color="auto"/>
              <w:left w:val="nil" w:sz="6" w:space="0" w:color="auto"/>
              <w:bottom w:val="nil" w:sz="6" w:space="0" w:color="auto"/>
              <w:right w:val="nil" w:sz="6" w:space="0" w:color="auto"/>
            </w:tcBorders>
          </w:tcPr>
          <w:p>
            <w:pPr>
              <w:pStyle w:val="TableParagraph"/>
              <w:tabs>
                <w:tab w:pos="1033" w:val="left" w:leader="none"/>
              </w:tabs>
              <w:spacing w:line="206" w:lineRule="exact"/>
              <w:ind w:left="1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-120.93%</w:t>
              <w:tab/>
            </w:r>
            <w:r>
              <w:rPr>
                <w:rFonts w:ascii="宋体" w:hAnsi="宋体" w:cs="宋体" w:eastAsia="宋体" w:hint="default"/>
                <w:position w:val="-11"/>
                <w:sz w:val="18"/>
                <w:szCs w:val="18"/>
              </w:rPr>
              <w:t>未进行此业务</w:t>
            </w:r>
            <w:r>
              <w:rPr>
                <w:rFonts w:ascii="宋体" w:hAnsi="宋体" w:cs="宋体" w:eastAsia="宋体" w:hint="default"/>
                <w:sz w:val="18"/>
                <w:szCs w:val="18"/>
              </w:rPr>
            </w:r>
          </w:p>
        </w:tc>
      </w:tr>
      <w:tr>
        <w:trPr>
          <w:trHeight w:val="365"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pacing w:val="-1"/>
                <w:sz w:val="18"/>
              </w:rPr>
              <w:t>27,875,245.47</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71"/>
              <w:jc w:val="right"/>
              <w:rPr>
                <w:rFonts w:ascii="Times New Roman" w:hAnsi="Times New Roman" w:cs="Times New Roman" w:eastAsia="Times New Roman" w:hint="default"/>
                <w:sz w:val="18"/>
                <w:szCs w:val="18"/>
              </w:rPr>
            </w:pPr>
            <w:r>
              <w:rPr>
                <w:rFonts w:ascii="Times New Roman"/>
                <w:spacing w:val="-1"/>
                <w:sz w:val="18"/>
              </w:rPr>
              <w:t>3,620,969.93</w:t>
            </w:r>
          </w:p>
        </w:tc>
        <w:tc>
          <w:tcPr>
            <w:tcW w:w="3477" w:type="dxa"/>
            <w:gridSpan w:val="2"/>
            <w:tcBorders>
              <w:top w:val="nil" w:sz="6" w:space="0" w:color="auto"/>
              <w:left w:val="nil" w:sz="6" w:space="0" w:color="auto"/>
              <w:bottom w:val="nil" w:sz="6" w:space="0" w:color="auto"/>
              <w:right w:val="nil" w:sz="6" w:space="0" w:color="auto"/>
            </w:tcBorders>
          </w:tcPr>
          <w:p>
            <w:pPr>
              <w:pStyle w:val="TableParagraph"/>
              <w:spacing w:line="113" w:lineRule="exact"/>
              <w:ind w:left="1033" w:right="0"/>
              <w:jc w:val="left"/>
              <w:rPr>
                <w:rFonts w:ascii="宋体" w:hAnsi="宋体" w:cs="宋体" w:eastAsia="宋体" w:hint="default"/>
                <w:sz w:val="18"/>
                <w:szCs w:val="18"/>
              </w:rPr>
            </w:pPr>
            <w:r>
              <w:rPr>
                <w:rFonts w:ascii="宋体" w:hAnsi="宋体" w:cs="宋体" w:eastAsia="宋体" w:hint="default"/>
                <w:spacing w:val="15"/>
                <w:sz w:val="18"/>
                <w:szCs w:val="18"/>
              </w:rPr>
              <w:t>本年收到的政府补助增加所</w:t>
            </w:r>
            <w:r>
              <w:rPr>
                <w:rFonts w:ascii="宋体" w:hAnsi="宋体" w:cs="宋体" w:eastAsia="宋体" w:hint="default"/>
                <w:sz w:val="18"/>
                <w:szCs w:val="18"/>
              </w:rPr>
            </w:r>
          </w:p>
          <w:p>
            <w:pPr>
              <w:pStyle w:val="TableParagraph"/>
              <w:spacing w:line="167" w:lineRule="exact"/>
              <w:ind w:left="173" w:right="0"/>
              <w:jc w:val="left"/>
              <w:rPr>
                <w:rFonts w:ascii="Times New Roman" w:hAnsi="Times New Roman" w:cs="Times New Roman" w:eastAsia="Times New Roman" w:hint="default"/>
                <w:sz w:val="18"/>
                <w:szCs w:val="18"/>
              </w:rPr>
            </w:pPr>
            <w:r>
              <w:rPr>
                <w:rFonts w:ascii="Times New Roman"/>
                <w:sz w:val="18"/>
              </w:rPr>
              <w:t>669.83%</w:t>
            </w:r>
          </w:p>
        </w:tc>
      </w:tr>
      <w:tr>
        <w:trPr>
          <w:trHeight w:val="315" w:hRule="exact"/>
        </w:trPr>
        <w:tc>
          <w:tcPr>
            <w:tcW w:w="1534"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475"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8"/>
                <w:szCs w:val="18"/>
              </w:rPr>
            </w:pPr>
            <w:r>
              <w:rPr>
                <w:rFonts w:ascii="Times New Roman"/>
                <w:sz w:val="18"/>
              </w:rPr>
              <w:t>489,622.42</w:t>
            </w:r>
          </w:p>
        </w:tc>
        <w:tc>
          <w:tcPr>
            <w:tcW w:w="1484"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right="171"/>
              <w:jc w:val="right"/>
              <w:rPr>
                <w:rFonts w:ascii="Times New Roman" w:hAnsi="Times New Roman" w:cs="Times New Roman" w:eastAsia="Times New Roman" w:hint="default"/>
                <w:sz w:val="18"/>
                <w:szCs w:val="18"/>
              </w:rPr>
            </w:pPr>
            <w:r>
              <w:rPr>
                <w:rFonts w:ascii="Times New Roman"/>
                <w:sz w:val="18"/>
              </w:rPr>
              <w:t>65,829.93</w:t>
            </w:r>
          </w:p>
        </w:tc>
        <w:tc>
          <w:tcPr>
            <w:tcW w:w="3477" w:type="dxa"/>
            <w:gridSpan w:val="2"/>
            <w:tcBorders>
              <w:top w:val="nil" w:sz="6" w:space="0" w:color="auto"/>
              <w:left w:val="nil" w:sz="6" w:space="0" w:color="auto"/>
              <w:bottom w:val="single" w:sz="12" w:space="0" w:color="000000"/>
              <w:right w:val="nil" w:sz="6" w:space="0" w:color="auto"/>
            </w:tcBorders>
          </w:tcPr>
          <w:p>
            <w:pPr>
              <w:pStyle w:val="TableParagraph"/>
              <w:tabs>
                <w:tab w:pos="1033" w:val="left" w:leader="none"/>
              </w:tabs>
              <w:spacing w:line="240" w:lineRule="auto" w:before="33"/>
              <w:ind w:left="17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643.77%</w:t>
              <w:tab/>
            </w:r>
            <w:r>
              <w:rPr>
                <w:rFonts w:ascii="宋体" w:hAnsi="宋体" w:cs="宋体" w:eastAsia="宋体" w:hint="default"/>
                <w:sz w:val="18"/>
                <w:szCs w:val="18"/>
              </w:rPr>
              <w:t>固定资产处置损失增加</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spacing w:line="274" w:lineRule="exact" w:before="0"/>
        <w:ind w:left="139" w:right="176" w:firstLine="0"/>
        <w:jc w:val="left"/>
        <w:rPr>
          <w:rFonts w:ascii="宋体" w:hAnsi="宋体" w:cs="宋体" w:eastAsia="宋体" w:hint="default"/>
          <w:sz w:val="21"/>
          <w:szCs w:val="21"/>
        </w:rPr>
      </w:pPr>
      <w:r>
        <w:rPr/>
        <w:pict>
          <v:group style="position:absolute;margin-left:82.739998pt;margin-top:-123.276001pt;width:401.05pt;height:98.1pt;mso-position-horizontal-relative:page;mso-position-vertical-relative:paragraph;z-index:-766504" coordorigin="1655,-2466" coordsize="8021,1962">
            <v:shape style="position:absolute;left:3228;top:-2466;width:3894;height:538" type="#_x0000_t75" stroked="false">
              <v:imagedata r:id="rId356" o:title=""/>
            </v:shape>
            <v:shape style="position:absolute;left:1655;top:-1986;width:8021;height:1482" type="#_x0000_t75" stroked="false">
              <v:imagedata r:id="rId357" o:title=""/>
            </v:shape>
            <v:shape style="position:absolute;left:5027;top:-217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年金额）</w:t>
                    </w:r>
                  </w:p>
                </w:txbxContent>
              </v:textbox>
              <w10:wrap type="none"/>
            </v:shape>
            <v:shape style="position:absolute;left:6232;top:-228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变动比率</w:t>
                    </w:r>
                  </w:p>
                </w:txbxContent>
              </v:textbox>
              <w10:wrap type="none"/>
            </v:shape>
            <v:shape style="position:absolute;left:8004;top:-228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变动原因</w:t>
                    </w:r>
                  </w:p>
                </w:txbxContent>
              </v:textbox>
              <w10:wrap type="none"/>
            </v:shape>
            <v:shape style="position:absolute;left:7196;top:-96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致</w:t>
                    </w:r>
                  </w:p>
                </w:txbxContent>
              </v:textbox>
              <w10:wrap type="none"/>
            </v:shape>
            <w10:wrap type="none"/>
          </v:group>
        </w:pict>
      </w:r>
      <w:r>
        <w:rPr>
          <w:rFonts w:ascii="宋体" w:hAnsi="宋体" w:cs="宋体" w:eastAsia="宋体" w:hint="default"/>
          <w:b/>
          <w:bCs/>
          <w:sz w:val="21"/>
          <w:szCs w:val="21"/>
        </w:rPr>
        <w:t>十五、</w:t>
      </w:r>
      <w:r>
        <w:rPr>
          <w:rFonts w:ascii="宋体" w:hAnsi="宋体" w:cs="宋体" w:eastAsia="宋体" w:hint="default"/>
          <w:b/>
          <w:bCs/>
          <w:spacing w:val="-11"/>
          <w:sz w:val="21"/>
          <w:szCs w:val="21"/>
        </w:rPr>
        <w:t> </w:t>
      </w:r>
      <w:r>
        <w:rPr>
          <w:rFonts w:ascii="宋体" w:hAnsi="宋体" w:cs="宋体" w:eastAsia="宋体" w:hint="default"/>
          <w:b/>
          <w:bCs/>
          <w:sz w:val="21"/>
          <w:szCs w:val="21"/>
        </w:rPr>
        <w:t>财务报表的批准报出</w:t>
      </w:r>
      <w:r>
        <w:rPr>
          <w:rFonts w:ascii="宋体" w:hAnsi="宋体" w:cs="宋体" w:eastAsia="宋体" w:hint="default"/>
          <w:sz w:val="21"/>
          <w:szCs w:val="21"/>
        </w:rPr>
      </w:r>
    </w:p>
    <w:p>
      <w:pPr>
        <w:spacing w:line="289" w:lineRule="exact" w:before="0"/>
        <w:ind w:left="573" w:right="176" w:firstLine="0"/>
        <w:jc w:val="left"/>
        <w:rPr>
          <w:rFonts w:ascii="宋体" w:hAnsi="宋体" w:cs="宋体" w:eastAsia="宋体" w:hint="default"/>
          <w:sz w:val="21"/>
          <w:szCs w:val="21"/>
        </w:rPr>
      </w:pPr>
      <w:r>
        <w:rPr>
          <w:rFonts w:ascii="宋体" w:hAnsi="宋体" w:cs="宋体" w:eastAsia="宋体" w:hint="default"/>
          <w:sz w:val="21"/>
          <w:szCs w:val="21"/>
        </w:rPr>
        <w:t>本财务报表业经公司全体董事于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日批准报出。</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19"/>
          <w:szCs w:val="19"/>
        </w:rPr>
      </w:pPr>
    </w:p>
    <w:p>
      <w:pPr>
        <w:pStyle w:val="Heading1"/>
        <w:tabs>
          <w:tab w:pos="4813" w:val="left" w:leader="none"/>
        </w:tabs>
        <w:spacing w:line="240" w:lineRule="auto" w:before="0"/>
        <w:ind w:left="3206" w:right="176"/>
        <w:jc w:val="left"/>
        <w:rPr>
          <w:b w:val="0"/>
          <w:bCs w:val="0"/>
        </w:rPr>
      </w:pPr>
      <w:bookmarkStart w:name="_TOC_250000" w:id="15"/>
      <w:r>
        <w:rPr>
          <w:w w:val="95"/>
        </w:rPr>
        <w:t>第十一节</w:t>
        <w:tab/>
      </w:r>
      <w:r>
        <w:rPr/>
        <w:t>备查文件目录</w:t>
      </w:r>
      <w:bookmarkEnd w:id="15"/>
      <w:r>
        <w:rPr>
          <w:b w:val="0"/>
          <w:bCs w:val="0"/>
        </w:rPr>
      </w:r>
    </w:p>
    <w:p>
      <w:pPr>
        <w:spacing w:line="240" w:lineRule="auto" w:before="0"/>
        <w:rPr>
          <w:rFonts w:ascii="宋体" w:hAnsi="宋体" w:cs="宋体" w:eastAsia="宋体" w:hint="default"/>
          <w:b/>
          <w:bCs/>
          <w:sz w:val="32"/>
          <w:szCs w:val="32"/>
        </w:rPr>
      </w:pPr>
    </w:p>
    <w:p>
      <w:pPr>
        <w:spacing w:line="240" w:lineRule="auto" w:before="5"/>
        <w:rPr>
          <w:rFonts w:ascii="宋体" w:hAnsi="宋体" w:cs="宋体" w:eastAsia="宋体" w:hint="default"/>
          <w:b/>
          <w:bCs/>
          <w:sz w:val="36"/>
          <w:szCs w:val="36"/>
        </w:rPr>
      </w:pPr>
    </w:p>
    <w:p>
      <w:pPr>
        <w:pStyle w:val="BodyText"/>
        <w:spacing w:line="304" w:lineRule="auto"/>
        <w:ind w:left="154" w:right="176"/>
        <w:jc w:val="left"/>
      </w:pPr>
      <w:r>
        <w:rPr/>
        <w:t>一、载有法定代表人、主管会计工作负责人、会计机构负责人签名并盖章的会计报表； 二、载有会计师事务所盖章、注册会计师签名并盖章的审计报告原件； </w:t>
      </w:r>
      <w:r>
        <w:rPr>
          <w:spacing w:val="-6"/>
        </w:rPr>
        <w:t>三、报告期内在《证券时报》、《中国证券报》上公开披露过的所有公司文件的正本及公告的</w:t>
      </w:r>
      <w:r>
        <w:rPr>
          <w:spacing w:val="-114"/>
        </w:rPr>
        <w:t> </w:t>
      </w:r>
      <w:r>
        <w:rPr>
          <w:spacing w:val="-114"/>
        </w:rPr>
      </w:r>
      <w:r>
        <w:rPr/>
        <w:t>原稿。</w:t>
      </w:r>
    </w:p>
    <w:p>
      <w:pPr>
        <w:pStyle w:val="BodyText"/>
        <w:spacing w:line="240" w:lineRule="auto" w:before="22"/>
        <w:ind w:left="634" w:right="176"/>
        <w:jc w:val="left"/>
      </w:pPr>
      <w:r>
        <w:rPr/>
        <w:t>以上文件的原件备置于公司董事会办公室。</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8"/>
          <w:szCs w:val="28"/>
        </w:rPr>
      </w:pPr>
    </w:p>
    <w:p>
      <w:pPr>
        <w:pStyle w:val="BodyText"/>
        <w:spacing w:line="240" w:lineRule="auto"/>
        <w:ind w:left="4774" w:right="176"/>
        <w:jc w:val="left"/>
      </w:pPr>
      <w:r>
        <w:rPr/>
        <w:t>深圳市惠程电气股份有限公司董事会</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19"/>
          <w:szCs w:val="19"/>
        </w:rPr>
      </w:pPr>
    </w:p>
    <w:p>
      <w:pPr>
        <w:pStyle w:val="BodyText"/>
        <w:tabs>
          <w:tab w:pos="8613" w:val="left" w:leader="none"/>
        </w:tabs>
        <w:spacing w:line="240" w:lineRule="auto"/>
        <w:ind w:left="4774" w:right="176"/>
        <w:jc w:val="left"/>
        <w:rPr>
          <w:rFonts w:ascii="Times New Roman" w:hAnsi="Times New Roman" w:cs="Times New Roman" w:eastAsia="Times New Roman" w:hint="default"/>
        </w:rPr>
      </w:pPr>
      <w:r>
        <w:rPr/>
        <w:t>法定代表人：</w:t>
      </w:r>
      <w:r>
        <w:rPr>
          <w:rFonts w:ascii="Times New Roman" w:hAnsi="Times New Roman" w:cs="Times New Roman" w:eastAsia="Times New Roman" w:hint="default"/>
        </w:rPr>
      </w:r>
      <w:r>
        <w:rPr>
          <w:rFonts w:ascii="Times New Roman" w:hAnsi="Times New Roman" w:cs="Times New Roman" w:eastAsia="Times New Roman" w:hint="default"/>
          <w:u w:val="single" w:color="000000"/>
        </w:rPr>
        <w:t> </w:t>
        <w:tab/>
      </w:r>
      <w:r>
        <w:rPr>
          <w:rFonts w:ascii="Times New Roman" w:hAnsi="Times New Roman" w:cs="Times New Roman" w:eastAsia="Times New Roman" w:hint="default"/>
        </w:rPr>
      </w:r>
    </w:p>
    <w:p>
      <w:pPr>
        <w:pStyle w:val="BodyText"/>
        <w:spacing w:line="609" w:lineRule="auto" w:before="86"/>
        <w:ind w:left="5674" w:right="1850" w:firstLine="1320"/>
        <w:jc w:val="left"/>
      </w:pPr>
      <w:r>
        <w:rPr/>
        <w:t>吕晓义 二○一二年四月十八日</w:t>
      </w:r>
    </w:p>
    <w:sectPr>
      <w:pgSz w:w="11910" w:h="16840"/>
      <w:pgMar w:header="565" w:footer="669" w:top="980" w:bottom="860" w:left="98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Microsoft Sans Serif">
    <w:altName w:val="Microsoft Sans Serif"/>
    <w:charset w:val="0"/>
    <w:family w:val="swiss"/>
    <w:pitch w:val="variable"/>
  </w:font>
  <w:font w:name="黑体">
    <w:altName w:val="黑体"/>
    <w:charset w:val="86"/>
    <w:family w:val="modern"/>
    <w:pitch w:val="fixed"/>
  </w:font>
  <w:font w:name="仿宋">
    <w:altName w:val="仿宋"/>
    <w:charset w:val="86"/>
    <w:family w:val="modern"/>
    <w:pitch w:val="fixed"/>
  </w:font>
  <w:font w:name="Wingdings">
    <w:altName w:val="Wingdings"/>
    <w:charset w:val="2"/>
    <w:family w:val="auto"/>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7893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7891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53</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7890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54</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8.910522pt;margin-top:548.857910pt;width:13pt;height:11pt;mso-position-horizontal-relative:page;mso-position-vertical-relative:page;z-index:-7890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58</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19873pt;margin-top:795.457642pt;width:13pt;height:11pt;mso-position-horizontal-relative:page;mso-position-vertical-relative:page;z-index:-7889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19873pt;margin-top:795.457642pt;width:13pt;height:11pt;mso-position-horizontal-relative:page;mso-position-vertical-relative:page;z-index:-7888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80</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74.21051pt;margin-top:535.297913pt;width:13pt;height:11pt;mso-position-horizontal-relative:page;mso-position-vertical-relative:page;z-index:-7888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92</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320313pt;margin-top:767.497314pt;width:13pt;height:11pt;mso-position-horizontal-relative:page;mso-position-vertical-relative:page;z-index:-7887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99</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9.820313pt;margin-top:767.497314pt;width:17.5pt;height:11pt;mso-position-horizontal-relative:page;mso-position-vertical-relative:page;z-index:-7887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100</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9.820313pt;margin-top:767.497314pt;width:17.5pt;height:11pt;mso-position-horizontal-relative:page;mso-position-vertical-relative:page;z-index:-7886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7893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14</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9.820313pt;margin-top:767.497314pt;width:17.5pt;height:11pt;mso-position-horizontal-relative:page;mso-position-vertical-relative:page;z-index:-7886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103</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9.820313pt;margin-top:767.497314pt;width:17.5pt;height:11pt;mso-position-horizontal-relative:page;mso-position-vertical-relative:page;z-index:-7886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104</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0.180298pt;margin-top:767.497314pt;width:17.150pt;height:11pt;mso-position-horizontal-relative:page;mso-position-vertical-relative:page;z-index:-7886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110</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0.180298pt;margin-top:767.497314pt;width:17.150pt;height:11pt;mso-position-horizontal-relative:page;mso-position-vertical-relative:page;z-index:-78858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114</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0.180298pt;margin-top:767.497314pt;width:17.150pt;height:11pt;mso-position-horizontal-relative:page;mso-position-vertical-relative:page;z-index:-7885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115</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0.180298pt;margin-top:767.497314pt;width:17.150pt;height:11pt;mso-position-horizontal-relative:page;mso-position-vertical-relative:page;z-index:-7885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116</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9.820313pt;margin-top:767.497314pt;width:17.5pt;height:11pt;mso-position-horizontal-relative:page;mso-position-vertical-relative:page;z-index:-7885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4.410828pt;margin-top:520.897949pt;width:17.5pt;height:11pt;mso-position-horizontal-relative:page;mso-position-vertical-relative:page;z-index:-7884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123</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4.410828pt;margin-top:520.897949pt;width:17.5pt;height:11pt;mso-position-horizontal-relative:page;mso-position-vertical-relative:page;z-index:-7883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126</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9.820313pt;margin-top:767.497314pt;width:17.5pt;height:11pt;mso-position-horizontal-relative:page;mso-position-vertical-relative:page;z-index:-7882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129</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7892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21</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9.819885pt;margin-top:767.49762pt;width:17.5pt;height:11pt;mso-position-horizontal-relative:page;mso-position-vertical-relative:page;z-index:-7882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140</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9.819885pt;margin-top:767.49762pt;width:17.5pt;height:11pt;mso-position-horizontal-relative:page;mso-position-vertical-relative:page;z-index:-7882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146</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9.819885pt;margin-top:767.49762pt;width:17.5pt;height:11pt;mso-position-horizontal-relative:page;mso-position-vertical-relative:page;z-index:-7882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149</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797pt;margin-top:797.557312pt;width:17.5pt;height:11pt;mso-position-horizontal-relative:page;mso-position-vertical-relative:page;z-index:-7881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168</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7892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25</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7892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29</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7892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78918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34</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7891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43</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7891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3.779999pt;margin-top:23.52pt;width:454.1pt;height:22.2pt;mso-position-horizontal-relative:page;mso-position-vertical-relative:page;z-index:-789376" coordorigin="1276,470" coordsize="9082,444">
          <v:shape style="position:absolute;left:1276;top:470;width:1544;height:434" type="#_x0000_t75" stroked="false">
            <v:imagedata r:id="rId1" o:title=""/>
          </v:shape>
          <v:group style="position:absolute;left:1388;top:907;width:8962;height:2" coordorigin="1388,907" coordsize="8962,2">
            <v:shape style="position:absolute;left:1388;top:907;width:8962;height:2" coordorigin="1388,907" coordsize="8962,0" path="m1388,907l10350,907e" filled="false" stroked="true" strokeweight=".72003pt" strokecolor="#000000">
              <v:path arrowok="t"/>
            </v:shape>
          </v:group>
          <w10:wrap type="none"/>
        </v:group>
      </w:pict>
    </w:r>
    <w:r>
      <w:rPr/>
      <w:pict>
        <v:shapetype id="_x0000_t202" o:spt="202" coordsize="21600,21600" path="m,l,21600r21600,l21600,xe">
          <v:stroke joinstyle="miter"/>
          <v:path gradientshapeok="t" o:connecttype="rect"/>
        </v:shapetype>
        <v:shape style="position:absolute;margin-left:435.920013pt;margin-top:30.956263pt;width:78.150pt;height:13.1pt;mso-position-horizontal-relative:page;mso-position-vertical-relative:page;z-index:-789352" type="#_x0000_t202" filled="false" stroked="false">
          <v:textbox inset="0,0,0,0">
            <w:txbxContent>
              <w:p>
                <w:pPr>
                  <w:spacing w:line="246" w:lineRule="exact" w:before="0"/>
                  <w:ind w:left="20" w:right="0" w:firstLine="0"/>
                  <w:jc w:val="left"/>
                  <w:rPr>
                    <w:rFonts w:ascii="黑体" w:hAnsi="黑体" w:cs="黑体" w:eastAsia="黑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黑体" w:hAnsi="黑体" w:cs="黑体" w:eastAsia="黑体" w:hint="default"/>
                    <w:sz w:val="21"/>
                    <w:szCs w:val="21"/>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4.840015pt;margin-top:28.26pt;width:485.65pt;height:21.75pt;mso-position-horizontal-relative:page;mso-position-vertical-relative:page;z-index:-788200" coordorigin="1097,565" coordsize="9713,435">
          <v:shape style="position:absolute;left:1265;top:565;width:1544;height:434" type="#_x0000_t75" stroked="false">
            <v:imagedata r:id="rId1" o:title=""/>
          </v:shape>
          <v:group style="position:absolute;left:1104;top:982;width:9699;height:2" coordorigin="1104,982" coordsize="9699,2">
            <v:shape style="position:absolute;left:1104;top:982;width:9699;height:2" coordorigin="1104,982" coordsize="9699,0" path="m1104,982l10802,982e" filled="false" stroked="true" strokeweight=".71997pt" strokecolor="#000000">
              <v:path arrowok="t"/>
            </v:shape>
          </v:group>
          <w10:wrap type="none"/>
        </v:group>
      </w:pict>
    </w:r>
    <w:r>
      <w:rPr/>
      <w:pict>
        <v:shape style="position:absolute;margin-left:468.200012pt;margin-top:36.325325pt;width:66.95pt;height:11.5pt;mso-position-horizontal-relative:page;mso-position-vertical-relative:page;z-index:-78817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71.490509pt;margin-top:38.365623pt;width:67.25pt;height:11.5pt;mso-position-horizontal-relative:page;mso-position-vertical-relative:page;z-index:-7890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4.911003pt;margin-top:31.200001pt;width:706.9pt;height:21.75pt;mso-position-horizontal-relative:page;mso-position-vertical-relative:page;z-index:-789016" coordorigin="1298,624" coordsize="14138,435">
          <v:shape style="position:absolute;left:1298;top:624;width:1546;height:434" type="#_x0000_t75" stroked="false">
            <v:imagedata r:id="rId1" o:title=""/>
          </v:shape>
          <v:group style="position:absolute;left:1410;top:1021;width:14019;height:2" coordorigin="1410,1021" coordsize="14019,2">
            <v:shape style="position:absolute;left:1410;top:1021;width:14019;height:2" coordorigin="1410,1021" coordsize="14019,0" path="m1410,1021l15428,1021e" filled="false" stroked="true" strokeweight=".72pt" strokecolor="#000000">
              <v:path arrowok="t"/>
            </v:shape>
          </v:group>
          <w10:wrap type="none"/>
        </v:group>
      </w:pict>
    </w:r>
    <w:r>
      <w:rPr/>
      <w:pict>
        <v:shape style="position:absolute;margin-left:471.490509pt;margin-top:38.365623pt;width:67.25pt;height:11.5pt;mso-position-horizontal-relative:page;mso-position-vertical-relative:page;z-index:-78899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9.619999pt;margin-top:31.200001pt;width:490.9pt;height:21.75pt;mso-position-horizontal-relative:page;mso-position-vertical-relative:page;z-index:-788968" coordorigin="992,624" coordsize="9818,435">
          <v:shape style="position:absolute;left:992;top:624;width:1544;height:434" type="#_x0000_t75" stroked="false">
            <v:imagedata r:id="rId1" o:title=""/>
          </v:shape>
          <v:group style="position:absolute;left:1104;top:1021;width:9699;height:2" coordorigin="1104,1021" coordsize="9699,2">
            <v:shape style="position:absolute;left:1104;top:1021;width:9699;height:2" coordorigin="1104,1021" coordsize="9699,0" path="m1104,1021l10802,1021e" filled="false" stroked="true" strokeweight=".71997pt" strokecolor="#000000">
              <v:path arrowok="t"/>
            </v:shape>
          </v:group>
          <w10:wrap type="none"/>
        </v:group>
      </w:pict>
    </w:r>
    <w:r>
      <w:rPr/>
      <w:pict>
        <v:shape style="position:absolute;margin-left:456.200012pt;margin-top:38.365326pt;width:67.25pt;height:11.5pt;mso-position-horizontal-relative:page;mso-position-vertical-relative:page;z-index:-7889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9.611pt;margin-top:37.740002pt;width:737.5pt;height:21.75pt;mso-position-horizontal-relative:page;mso-position-vertical-relative:page;z-index:-788872" coordorigin="992,755" coordsize="14750,435">
          <v:shape style="position:absolute;left:992;top:755;width:1546;height:434" type="#_x0000_t75" stroked="false">
            <v:imagedata r:id="rId1" o:title=""/>
          </v:shape>
          <v:group style="position:absolute;left:1104;top:1153;width:14631;height:2" coordorigin="1104,1153" coordsize="14631,2">
            <v:shape style="position:absolute;left:1104;top:1153;width:14631;height:2" coordorigin="1104,1153" coordsize="14631,0" path="m1104,1153l15734,1153e" filled="false" stroked="true" strokeweight=".71999pt" strokecolor="#000000">
              <v:path arrowok="t"/>
            </v:shape>
          </v:group>
          <w10:wrap type="none"/>
        </v:group>
      </w:pict>
    </w:r>
    <w:r>
      <w:rPr/>
      <w:pict>
        <v:shape style="position:absolute;margin-left:456.190491pt;margin-top:44.905624pt;width:67.25pt;height:11.5pt;mso-position-horizontal-relative:page;mso-position-vertical-relative:page;z-index:-7888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1.059998pt;margin-top:34.32pt;width:77.216pt;height:21.72pt;mso-position-horizontal-relative:page;mso-position-vertical-relative:page;z-index:-788800" type="#_x0000_t75" stroked="false">
          <v:imagedata r:id="rId1" o:title=""/>
        </v:shape>
      </w:pict>
    </w:r>
    <w:r>
      <w:rPr/>
      <w:pict>
        <v:group style="position:absolute;margin-left:88.5pt;margin-top:67.979988pt;width:418.35pt;height:.1pt;mso-position-horizontal-relative:page;mso-position-vertical-relative:page;z-index:-788776" coordorigin="1770,1360" coordsize="8367,2">
          <v:shape style="position:absolute;left:1770;top:1360;width:8367;height:2" coordorigin="1770,1360" coordsize="8367,0" path="m1770,1360l10136,1360e" filled="false" stroked="true" strokeweight=".72003pt" strokecolor="#000000">
            <v:path arrowok="t"/>
          </v:shape>
          <w10:wrap type="none"/>
        </v:group>
      </w:pict>
    </w:r>
    <w:r>
      <w:rPr/>
      <w:pict>
        <v:shape style="position:absolute;margin-left:439.100006pt;margin-top:55.285324pt;width:67.25pt;height:11.5pt;mso-position-horizontal-relative:page;mso-position-vertical-relative:page;z-index:-78875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3.050999pt;margin-top:34.32pt;width:77.319pt;height:21.719999pt;mso-position-horizontal-relative:page;mso-position-vertical-relative:page;z-index:-788488" type="#_x0000_t75" stroked="false">
          <v:imagedata r:id="rId1" o:title=""/>
        </v:shape>
      </w:pict>
    </w:r>
    <w:r>
      <w:rPr/>
      <w:pict>
        <v:group style="position:absolute;margin-left:70.490997pt;margin-top:57.659996pt;width:700.95pt;height:.1pt;mso-position-horizontal-relative:page;mso-position-vertical-relative:page;z-index:-788464" coordorigin="1410,1153" coordsize="14019,2">
          <v:shape style="position:absolute;left:1410;top:1153;width:14019;height:2" coordorigin="1410,1153" coordsize="14019,0" path="m1410,1153l15428,1153e" filled="false" stroked="true" strokeweight=".71999pt" strokecolor="#000000">
            <v:path arrowok="t"/>
          </v:shape>
          <w10:wrap type="none"/>
        </v:group>
      </w:pict>
    </w:r>
    <w:r>
      <w:rPr/>
      <w:pict>
        <v:shape style="position:absolute;margin-left:703.690491pt;margin-top:44.905624pt;width:67.25pt;height:11.5pt;mso-position-horizontal-relative:page;mso-position-vertical-relative:page;z-index:-7884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1.059998pt;margin-top:34.32pt;width:77.216pt;height:21.72pt;mso-position-horizontal-relative:page;mso-position-vertical-relative:page;z-index:-788368" type="#_x0000_t75" stroked="false">
          <v:imagedata r:id="rId1" o:title=""/>
        </v:shape>
      </w:pict>
    </w:r>
    <w:r>
      <w:rPr/>
      <w:pict>
        <v:group style="position:absolute;margin-left:88.5pt;margin-top:67.979988pt;width:418.35pt;height:.1pt;mso-position-horizontal-relative:page;mso-position-vertical-relative:page;z-index:-788344" coordorigin="1770,1360" coordsize="8367,2">
          <v:shape style="position:absolute;left:1770;top:1360;width:8367;height:2" coordorigin="1770,1360" coordsize="8367,0" path="m1770,1360l10136,1360e" filled="false" stroked="true" strokeweight=".72003pt" strokecolor="#000000">
            <v:path arrowok="t"/>
          </v:shape>
          <w10:wrap type="none"/>
        </v:group>
      </w:pict>
    </w:r>
    <w:r>
      <w:rPr/>
      <w:pict>
        <v:shape style="position:absolute;margin-left:439.100006pt;margin-top:55.285324pt;width:67.25pt;height:11.5pt;mso-position-horizontal-relative:page;mso-position-vertical-relative:page;z-index:-78832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293"/>
      <w:ind w:left="978"/>
    </w:pPr>
    <w:rPr>
      <w:rFonts w:ascii="宋体" w:hAnsi="宋体" w:eastAsia="宋体"/>
      <w:sz w:val="21"/>
      <w:szCs w:val="21"/>
    </w:rPr>
  </w:style>
  <w:style w:styleId="TOC2" w:type="paragraph">
    <w:name w:val="TOC 2"/>
    <w:basedOn w:val="Normal"/>
    <w:uiPriority w:val="1"/>
    <w:qFormat/>
    <w:pPr>
      <w:spacing w:before="293"/>
      <w:ind w:left="1398"/>
    </w:pPr>
    <w:rPr>
      <w:rFonts w:ascii="宋体" w:hAnsi="宋体" w:eastAsia="宋体"/>
      <w:sz w:val="21"/>
      <w:szCs w:val="21"/>
    </w:rPr>
  </w:style>
  <w:style w:styleId="BodyText" w:type="paragraph">
    <w:name w:val="Body Text"/>
    <w:basedOn w:val="Normal"/>
    <w:uiPriority w:val="1"/>
    <w:qFormat/>
    <w:pPr>
      <w:ind w:left="258"/>
    </w:pPr>
    <w:rPr>
      <w:rFonts w:ascii="宋体" w:hAnsi="宋体" w:eastAsia="宋体"/>
      <w:sz w:val="24"/>
      <w:szCs w:val="24"/>
    </w:rPr>
  </w:style>
  <w:style w:styleId="Heading1" w:type="paragraph">
    <w:name w:val="Heading 1"/>
    <w:basedOn w:val="Normal"/>
    <w:uiPriority w:val="1"/>
    <w:qFormat/>
    <w:pPr>
      <w:spacing w:before="1"/>
      <w:ind w:left="3102"/>
      <w:outlineLvl w:val="1"/>
    </w:pPr>
    <w:rPr>
      <w:rFonts w:ascii="宋体" w:hAnsi="宋体" w:eastAsia="宋体"/>
      <w:b/>
      <w:bCs/>
      <w:sz w:val="32"/>
      <w:szCs w:val="32"/>
    </w:rPr>
  </w:style>
  <w:style w:styleId="Heading2" w:type="paragraph">
    <w:name w:val="Heading 2"/>
    <w:basedOn w:val="Normal"/>
    <w:uiPriority w:val="1"/>
    <w:qFormat/>
    <w:pPr>
      <w:ind w:left="740"/>
      <w:outlineLvl w:val="2"/>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hyperlink" Target="mailto:zgg@hifuture.com" TargetMode="External"/><Relationship Id="rId9" Type="http://schemas.openxmlformats.org/officeDocument/2006/relationships/hyperlink" Target="mailto:stella47520@hotmail.com" TargetMode="External"/><Relationship Id="rId10" Type="http://schemas.openxmlformats.org/officeDocument/2006/relationships/hyperlink" Target="http://www.hifuture.com/" TargetMode="External"/><Relationship Id="rId11" Type="http://schemas.openxmlformats.org/officeDocument/2006/relationships/hyperlink" Target="http://www.cninfo.com.cn/" TargetMode="External"/><Relationship Id="rId12" Type="http://schemas.openxmlformats.org/officeDocument/2006/relationships/image" Target="media/image3.jpeg"/><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4.png"/><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footer" Target="footer7.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footer" Target="footer11.xml"/><Relationship Id="rId24" Type="http://schemas.openxmlformats.org/officeDocument/2006/relationships/header" Target="header2.xml"/><Relationship Id="rId25" Type="http://schemas.openxmlformats.org/officeDocument/2006/relationships/footer" Target="footer12.xml"/><Relationship Id="rId26" Type="http://schemas.openxmlformats.org/officeDocument/2006/relationships/image" Target="media/image5.jpe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header" Target="header3.xml"/><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header" Target="header4.xml"/><Relationship Id="rId41" Type="http://schemas.openxmlformats.org/officeDocument/2006/relationships/footer" Target="footer13.xml"/><Relationship Id="rId42" Type="http://schemas.openxmlformats.org/officeDocument/2006/relationships/hyperlink" Target="http://irm.p5w.net/002168/index.html" TargetMode="External"/><Relationship Id="rId43" Type="http://schemas.openxmlformats.org/officeDocument/2006/relationships/header" Target="header5.xml"/><Relationship Id="rId44" Type="http://schemas.openxmlformats.org/officeDocument/2006/relationships/footer" Target="footer14.xml"/><Relationship Id="rId45" Type="http://schemas.openxmlformats.org/officeDocument/2006/relationships/footer" Target="footer15.xml"/><Relationship Id="rId46" Type="http://schemas.openxmlformats.org/officeDocument/2006/relationships/header" Target="header6.xml"/><Relationship Id="rId47" Type="http://schemas.openxmlformats.org/officeDocument/2006/relationships/footer" Target="footer16.xml"/><Relationship Id="rId48" Type="http://schemas.openxmlformats.org/officeDocument/2006/relationships/header" Target="header7.xml"/><Relationship Id="rId49" Type="http://schemas.openxmlformats.org/officeDocument/2006/relationships/footer" Target="footer17.xml"/><Relationship Id="rId50" Type="http://schemas.openxmlformats.org/officeDocument/2006/relationships/footer" Target="footer18.xml"/><Relationship Id="rId51" Type="http://schemas.openxmlformats.org/officeDocument/2006/relationships/footer" Target="footer19.xml"/><Relationship Id="rId52" Type="http://schemas.openxmlformats.org/officeDocument/2006/relationships/footer" Target="footer20.xml"/><Relationship Id="rId53" Type="http://schemas.openxmlformats.org/officeDocument/2006/relationships/footer" Target="footer21.xml"/><Relationship Id="rId54" Type="http://schemas.openxmlformats.org/officeDocument/2006/relationships/image" Target="media/image18.png"/><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image" Target="media/image21.png"/><Relationship Id="rId58" Type="http://schemas.openxmlformats.org/officeDocument/2006/relationships/image" Target="media/image22.png"/><Relationship Id="rId59" Type="http://schemas.openxmlformats.org/officeDocument/2006/relationships/footer" Target="footer22.xml"/><Relationship Id="rId60" Type="http://schemas.openxmlformats.org/officeDocument/2006/relationships/image" Target="media/image23.png"/><Relationship Id="rId61" Type="http://schemas.openxmlformats.org/officeDocument/2006/relationships/image" Target="media/image24.png"/><Relationship Id="rId62" Type="http://schemas.openxmlformats.org/officeDocument/2006/relationships/footer" Target="footer23.xml"/><Relationship Id="rId63" Type="http://schemas.openxmlformats.org/officeDocument/2006/relationships/footer" Target="footer24.xml"/><Relationship Id="rId64" Type="http://schemas.openxmlformats.org/officeDocument/2006/relationships/image" Target="media/image25.png"/><Relationship Id="rId65" Type="http://schemas.openxmlformats.org/officeDocument/2006/relationships/image" Target="media/image26.png"/><Relationship Id="rId66" Type="http://schemas.openxmlformats.org/officeDocument/2006/relationships/footer" Target="footer25.xml"/><Relationship Id="rId67" Type="http://schemas.openxmlformats.org/officeDocument/2006/relationships/footer" Target="footer26.xml"/><Relationship Id="rId68" Type="http://schemas.openxmlformats.org/officeDocument/2006/relationships/image" Target="media/image27.png"/><Relationship Id="rId69" Type="http://schemas.openxmlformats.org/officeDocument/2006/relationships/image" Target="media/image28.png"/><Relationship Id="rId70" Type="http://schemas.openxmlformats.org/officeDocument/2006/relationships/image" Target="media/image29.png"/><Relationship Id="rId71" Type="http://schemas.openxmlformats.org/officeDocument/2006/relationships/header" Target="header8.xml"/><Relationship Id="rId72" Type="http://schemas.openxmlformats.org/officeDocument/2006/relationships/footer" Target="footer27.xml"/><Relationship Id="rId73" Type="http://schemas.openxmlformats.org/officeDocument/2006/relationships/image" Target="media/image30.png"/><Relationship Id="rId74" Type="http://schemas.openxmlformats.org/officeDocument/2006/relationships/image" Target="media/image31.png"/><Relationship Id="rId75" Type="http://schemas.openxmlformats.org/officeDocument/2006/relationships/image" Target="media/image32.png"/><Relationship Id="rId76" Type="http://schemas.openxmlformats.org/officeDocument/2006/relationships/image" Target="media/image33.png"/><Relationship Id="rId77" Type="http://schemas.openxmlformats.org/officeDocument/2006/relationships/image" Target="media/image34.png"/><Relationship Id="rId78" Type="http://schemas.openxmlformats.org/officeDocument/2006/relationships/image" Target="media/image35.png"/><Relationship Id="rId79" Type="http://schemas.openxmlformats.org/officeDocument/2006/relationships/image" Target="media/image36.png"/><Relationship Id="rId80" Type="http://schemas.openxmlformats.org/officeDocument/2006/relationships/image" Target="media/image37.png"/><Relationship Id="rId81" Type="http://schemas.openxmlformats.org/officeDocument/2006/relationships/image" Target="media/image38.png"/><Relationship Id="rId82" Type="http://schemas.openxmlformats.org/officeDocument/2006/relationships/image" Target="media/image39.png"/><Relationship Id="rId83" Type="http://schemas.openxmlformats.org/officeDocument/2006/relationships/image" Target="media/image40.png"/><Relationship Id="rId84" Type="http://schemas.openxmlformats.org/officeDocument/2006/relationships/footer" Target="footer28.xml"/><Relationship Id="rId85" Type="http://schemas.openxmlformats.org/officeDocument/2006/relationships/image" Target="media/image41.png"/><Relationship Id="rId86" Type="http://schemas.openxmlformats.org/officeDocument/2006/relationships/image" Target="media/image42.png"/><Relationship Id="rId87" Type="http://schemas.openxmlformats.org/officeDocument/2006/relationships/image" Target="media/image43.png"/><Relationship Id="rId88" Type="http://schemas.openxmlformats.org/officeDocument/2006/relationships/image" Target="media/image44.png"/><Relationship Id="rId89" Type="http://schemas.openxmlformats.org/officeDocument/2006/relationships/image" Target="media/image45.png"/><Relationship Id="rId90" Type="http://schemas.openxmlformats.org/officeDocument/2006/relationships/header" Target="header9.xml"/><Relationship Id="rId91" Type="http://schemas.openxmlformats.org/officeDocument/2006/relationships/footer" Target="footer29.xml"/><Relationship Id="rId92" Type="http://schemas.openxmlformats.org/officeDocument/2006/relationships/image" Target="media/image46.png"/><Relationship Id="rId93" Type="http://schemas.openxmlformats.org/officeDocument/2006/relationships/image" Target="media/image47.png"/><Relationship Id="rId94" Type="http://schemas.openxmlformats.org/officeDocument/2006/relationships/image" Target="media/image48.png"/><Relationship Id="rId95" Type="http://schemas.openxmlformats.org/officeDocument/2006/relationships/image" Target="media/image49.png"/><Relationship Id="rId96" Type="http://schemas.openxmlformats.org/officeDocument/2006/relationships/image" Target="media/image50.png"/><Relationship Id="rId97" Type="http://schemas.openxmlformats.org/officeDocument/2006/relationships/image" Target="media/image51.png"/><Relationship Id="rId98" Type="http://schemas.openxmlformats.org/officeDocument/2006/relationships/image" Target="media/image52.png"/><Relationship Id="rId99" Type="http://schemas.openxmlformats.org/officeDocument/2006/relationships/image" Target="media/image53.png"/><Relationship Id="rId100" Type="http://schemas.openxmlformats.org/officeDocument/2006/relationships/image" Target="media/image54.png"/><Relationship Id="rId101" Type="http://schemas.openxmlformats.org/officeDocument/2006/relationships/image" Target="media/image55.png"/><Relationship Id="rId102" Type="http://schemas.openxmlformats.org/officeDocument/2006/relationships/image" Target="media/image56.png"/><Relationship Id="rId103" Type="http://schemas.openxmlformats.org/officeDocument/2006/relationships/image" Target="media/image57.png"/><Relationship Id="rId104" Type="http://schemas.openxmlformats.org/officeDocument/2006/relationships/image" Target="media/image58.png"/><Relationship Id="rId105" Type="http://schemas.openxmlformats.org/officeDocument/2006/relationships/image" Target="media/image59.png"/><Relationship Id="rId106" Type="http://schemas.openxmlformats.org/officeDocument/2006/relationships/image" Target="media/image60.png"/><Relationship Id="rId107" Type="http://schemas.openxmlformats.org/officeDocument/2006/relationships/image" Target="media/image61.png"/><Relationship Id="rId108" Type="http://schemas.openxmlformats.org/officeDocument/2006/relationships/image" Target="media/image62.png"/><Relationship Id="rId109" Type="http://schemas.openxmlformats.org/officeDocument/2006/relationships/image" Target="media/image63.png"/><Relationship Id="rId110" Type="http://schemas.openxmlformats.org/officeDocument/2006/relationships/image" Target="media/image64.png"/><Relationship Id="rId111" Type="http://schemas.openxmlformats.org/officeDocument/2006/relationships/image" Target="media/image65.png"/><Relationship Id="rId112" Type="http://schemas.openxmlformats.org/officeDocument/2006/relationships/image" Target="media/image66.png"/><Relationship Id="rId113" Type="http://schemas.openxmlformats.org/officeDocument/2006/relationships/image" Target="media/image67.png"/><Relationship Id="rId114" Type="http://schemas.openxmlformats.org/officeDocument/2006/relationships/image" Target="media/image68.png"/><Relationship Id="rId115" Type="http://schemas.openxmlformats.org/officeDocument/2006/relationships/image" Target="media/image69.png"/><Relationship Id="rId116" Type="http://schemas.openxmlformats.org/officeDocument/2006/relationships/image" Target="media/image70.png"/><Relationship Id="rId117" Type="http://schemas.openxmlformats.org/officeDocument/2006/relationships/image" Target="media/image71.png"/><Relationship Id="rId118" Type="http://schemas.openxmlformats.org/officeDocument/2006/relationships/image" Target="media/image72.png"/><Relationship Id="rId119" Type="http://schemas.openxmlformats.org/officeDocument/2006/relationships/image" Target="media/image73.png"/><Relationship Id="rId120" Type="http://schemas.openxmlformats.org/officeDocument/2006/relationships/image" Target="media/image74.png"/><Relationship Id="rId121" Type="http://schemas.openxmlformats.org/officeDocument/2006/relationships/image" Target="media/image75.png"/><Relationship Id="rId122" Type="http://schemas.openxmlformats.org/officeDocument/2006/relationships/image" Target="media/image76.png"/><Relationship Id="rId123" Type="http://schemas.openxmlformats.org/officeDocument/2006/relationships/image" Target="media/image77.png"/><Relationship Id="rId124" Type="http://schemas.openxmlformats.org/officeDocument/2006/relationships/image" Target="media/image78.png"/><Relationship Id="rId125" Type="http://schemas.openxmlformats.org/officeDocument/2006/relationships/image" Target="media/image79.png"/><Relationship Id="rId126" Type="http://schemas.openxmlformats.org/officeDocument/2006/relationships/image" Target="media/image80.png"/><Relationship Id="rId127" Type="http://schemas.openxmlformats.org/officeDocument/2006/relationships/image" Target="media/image81.png"/><Relationship Id="rId128" Type="http://schemas.openxmlformats.org/officeDocument/2006/relationships/image" Target="media/image82.png"/><Relationship Id="rId129" Type="http://schemas.openxmlformats.org/officeDocument/2006/relationships/image" Target="media/image83.png"/><Relationship Id="rId130" Type="http://schemas.openxmlformats.org/officeDocument/2006/relationships/image" Target="media/image84.png"/><Relationship Id="rId131" Type="http://schemas.openxmlformats.org/officeDocument/2006/relationships/image" Target="media/image85.png"/><Relationship Id="rId132" Type="http://schemas.openxmlformats.org/officeDocument/2006/relationships/image" Target="media/image86.png"/><Relationship Id="rId133" Type="http://schemas.openxmlformats.org/officeDocument/2006/relationships/image" Target="media/image87.png"/><Relationship Id="rId134" Type="http://schemas.openxmlformats.org/officeDocument/2006/relationships/image" Target="media/image88.png"/><Relationship Id="rId135" Type="http://schemas.openxmlformats.org/officeDocument/2006/relationships/image" Target="media/image89.png"/><Relationship Id="rId136" Type="http://schemas.openxmlformats.org/officeDocument/2006/relationships/image" Target="media/image90.png"/><Relationship Id="rId137" Type="http://schemas.openxmlformats.org/officeDocument/2006/relationships/image" Target="media/image91.png"/><Relationship Id="rId138" Type="http://schemas.openxmlformats.org/officeDocument/2006/relationships/image" Target="media/image92.png"/><Relationship Id="rId139" Type="http://schemas.openxmlformats.org/officeDocument/2006/relationships/image" Target="media/image93.png"/><Relationship Id="rId140" Type="http://schemas.openxmlformats.org/officeDocument/2006/relationships/image" Target="media/image94.png"/><Relationship Id="rId141" Type="http://schemas.openxmlformats.org/officeDocument/2006/relationships/image" Target="media/image95.png"/><Relationship Id="rId142" Type="http://schemas.openxmlformats.org/officeDocument/2006/relationships/image" Target="media/image96.png"/><Relationship Id="rId143" Type="http://schemas.openxmlformats.org/officeDocument/2006/relationships/image" Target="media/image97.png"/><Relationship Id="rId144" Type="http://schemas.openxmlformats.org/officeDocument/2006/relationships/image" Target="media/image98.png"/><Relationship Id="rId145" Type="http://schemas.openxmlformats.org/officeDocument/2006/relationships/image" Target="media/image99.png"/><Relationship Id="rId146" Type="http://schemas.openxmlformats.org/officeDocument/2006/relationships/image" Target="media/image100.png"/><Relationship Id="rId147" Type="http://schemas.openxmlformats.org/officeDocument/2006/relationships/image" Target="media/image101.png"/><Relationship Id="rId148" Type="http://schemas.openxmlformats.org/officeDocument/2006/relationships/image" Target="media/image102.png"/><Relationship Id="rId149" Type="http://schemas.openxmlformats.org/officeDocument/2006/relationships/image" Target="media/image103.png"/><Relationship Id="rId150" Type="http://schemas.openxmlformats.org/officeDocument/2006/relationships/image" Target="media/image104.png"/><Relationship Id="rId151" Type="http://schemas.openxmlformats.org/officeDocument/2006/relationships/image" Target="media/image105.png"/><Relationship Id="rId152" Type="http://schemas.openxmlformats.org/officeDocument/2006/relationships/image" Target="media/image106.png"/><Relationship Id="rId153" Type="http://schemas.openxmlformats.org/officeDocument/2006/relationships/image" Target="media/image107.png"/><Relationship Id="rId154" Type="http://schemas.openxmlformats.org/officeDocument/2006/relationships/image" Target="media/image108.png"/><Relationship Id="rId155" Type="http://schemas.openxmlformats.org/officeDocument/2006/relationships/image" Target="media/image109.png"/><Relationship Id="rId156" Type="http://schemas.openxmlformats.org/officeDocument/2006/relationships/image" Target="media/image110.png"/><Relationship Id="rId157" Type="http://schemas.openxmlformats.org/officeDocument/2006/relationships/image" Target="media/image111.png"/><Relationship Id="rId158" Type="http://schemas.openxmlformats.org/officeDocument/2006/relationships/image" Target="media/image112.png"/><Relationship Id="rId159" Type="http://schemas.openxmlformats.org/officeDocument/2006/relationships/image" Target="media/image113.png"/><Relationship Id="rId160" Type="http://schemas.openxmlformats.org/officeDocument/2006/relationships/image" Target="media/image114.png"/><Relationship Id="rId161" Type="http://schemas.openxmlformats.org/officeDocument/2006/relationships/image" Target="media/image115.png"/><Relationship Id="rId162" Type="http://schemas.openxmlformats.org/officeDocument/2006/relationships/image" Target="media/image116.png"/><Relationship Id="rId163" Type="http://schemas.openxmlformats.org/officeDocument/2006/relationships/image" Target="media/image117.png"/><Relationship Id="rId164" Type="http://schemas.openxmlformats.org/officeDocument/2006/relationships/image" Target="media/image118.png"/><Relationship Id="rId165" Type="http://schemas.openxmlformats.org/officeDocument/2006/relationships/image" Target="media/image119.png"/><Relationship Id="rId166" Type="http://schemas.openxmlformats.org/officeDocument/2006/relationships/header" Target="header10.xml"/><Relationship Id="rId167" Type="http://schemas.openxmlformats.org/officeDocument/2006/relationships/footer" Target="footer30.xml"/><Relationship Id="rId168" Type="http://schemas.openxmlformats.org/officeDocument/2006/relationships/image" Target="media/image120.png"/><Relationship Id="rId169" Type="http://schemas.openxmlformats.org/officeDocument/2006/relationships/image" Target="media/image121.png"/><Relationship Id="rId170" Type="http://schemas.openxmlformats.org/officeDocument/2006/relationships/footer" Target="footer31.xml"/><Relationship Id="rId171" Type="http://schemas.openxmlformats.org/officeDocument/2006/relationships/image" Target="media/image122.png"/><Relationship Id="rId172" Type="http://schemas.openxmlformats.org/officeDocument/2006/relationships/image" Target="media/image123.png"/><Relationship Id="rId173" Type="http://schemas.openxmlformats.org/officeDocument/2006/relationships/image" Target="media/image124.png"/><Relationship Id="rId174" Type="http://schemas.openxmlformats.org/officeDocument/2006/relationships/image" Target="media/image125.png"/><Relationship Id="rId175" Type="http://schemas.openxmlformats.org/officeDocument/2006/relationships/image" Target="media/image126.png"/><Relationship Id="rId176" Type="http://schemas.openxmlformats.org/officeDocument/2006/relationships/image" Target="media/image127.png"/><Relationship Id="rId177" Type="http://schemas.openxmlformats.org/officeDocument/2006/relationships/image" Target="media/image128.png"/><Relationship Id="rId178" Type="http://schemas.openxmlformats.org/officeDocument/2006/relationships/image" Target="media/image129.png"/><Relationship Id="rId179" Type="http://schemas.openxmlformats.org/officeDocument/2006/relationships/image" Target="media/image130.png"/><Relationship Id="rId180" Type="http://schemas.openxmlformats.org/officeDocument/2006/relationships/image" Target="media/image131.png"/><Relationship Id="rId181" Type="http://schemas.openxmlformats.org/officeDocument/2006/relationships/image" Target="media/image132.png"/><Relationship Id="rId182" Type="http://schemas.openxmlformats.org/officeDocument/2006/relationships/image" Target="media/image133.png"/><Relationship Id="rId183" Type="http://schemas.openxmlformats.org/officeDocument/2006/relationships/image" Target="media/image134.png"/><Relationship Id="rId184" Type="http://schemas.openxmlformats.org/officeDocument/2006/relationships/image" Target="media/image135.png"/><Relationship Id="rId185" Type="http://schemas.openxmlformats.org/officeDocument/2006/relationships/image" Target="media/image136.png"/><Relationship Id="rId186" Type="http://schemas.openxmlformats.org/officeDocument/2006/relationships/image" Target="media/image137.png"/><Relationship Id="rId187" Type="http://schemas.openxmlformats.org/officeDocument/2006/relationships/image" Target="media/image138.png"/><Relationship Id="rId188" Type="http://schemas.openxmlformats.org/officeDocument/2006/relationships/image" Target="media/image139.png"/><Relationship Id="rId189" Type="http://schemas.openxmlformats.org/officeDocument/2006/relationships/image" Target="media/image140.png"/><Relationship Id="rId190" Type="http://schemas.openxmlformats.org/officeDocument/2006/relationships/image" Target="media/image141.png"/><Relationship Id="rId191" Type="http://schemas.openxmlformats.org/officeDocument/2006/relationships/image" Target="media/image142.png"/><Relationship Id="rId192" Type="http://schemas.openxmlformats.org/officeDocument/2006/relationships/image" Target="media/image143.png"/><Relationship Id="rId193" Type="http://schemas.openxmlformats.org/officeDocument/2006/relationships/image" Target="media/image144.png"/><Relationship Id="rId194" Type="http://schemas.openxmlformats.org/officeDocument/2006/relationships/image" Target="media/image145.png"/><Relationship Id="rId195" Type="http://schemas.openxmlformats.org/officeDocument/2006/relationships/image" Target="media/image146.png"/><Relationship Id="rId196" Type="http://schemas.openxmlformats.org/officeDocument/2006/relationships/image" Target="media/image147.png"/><Relationship Id="rId197" Type="http://schemas.openxmlformats.org/officeDocument/2006/relationships/image" Target="media/image148.png"/><Relationship Id="rId198" Type="http://schemas.openxmlformats.org/officeDocument/2006/relationships/image" Target="media/image149.png"/><Relationship Id="rId199" Type="http://schemas.openxmlformats.org/officeDocument/2006/relationships/image" Target="media/image150.png"/><Relationship Id="rId200" Type="http://schemas.openxmlformats.org/officeDocument/2006/relationships/image" Target="media/image151.png"/><Relationship Id="rId201" Type="http://schemas.openxmlformats.org/officeDocument/2006/relationships/image" Target="media/image152.png"/><Relationship Id="rId202" Type="http://schemas.openxmlformats.org/officeDocument/2006/relationships/image" Target="media/image153.png"/><Relationship Id="rId203" Type="http://schemas.openxmlformats.org/officeDocument/2006/relationships/footer" Target="footer32.xml"/><Relationship Id="rId204" Type="http://schemas.openxmlformats.org/officeDocument/2006/relationships/header" Target="header11.xml"/><Relationship Id="rId205" Type="http://schemas.openxmlformats.org/officeDocument/2006/relationships/footer" Target="footer33.xml"/><Relationship Id="rId206" Type="http://schemas.openxmlformats.org/officeDocument/2006/relationships/image" Target="media/image154.png"/><Relationship Id="rId207" Type="http://schemas.openxmlformats.org/officeDocument/2006/relationships/image" Target="media/image155.png"/><Relationship Id="rId208" Type="http://schemas.openxmlformats.org/officeDocument/2006/relationships/footer" Target="footer34.xml"/><Relationship Id="rId209" Type="http://schemas.openxmlformats.org/officeDocument/2006/relationships/image" Target="media/image156.png"/><Relationship Id="rId210" Type="http://schemas.openxmlformats.org/officeDocument/2006/relationships/image" Target="media/image157.png"/><Relationship Id="rId211" Type="http://schemas.openxmlformats.org/officeDocument/2006/relationships/image" Target="media/image158.png"/><Relationship Id="rId212" Type="http://schemas.openxmlformats.org/officeDocument/2006/relationships/image" Target="media/image159.png"/><Relationship Id="rId213" Type="http://schemas.openxmlformats.org/officeDocument/2006/relationships/image" Target="media/image160.png"/><Relationship Id="rId214" Type="http://schemas.openxmlformats.org/officeDocument/2006/relationships/image" Target="media/image161.png"/><Relationship Id="rId215" Type="http://schemas.openxmlformats.org/officeDocument/2006/relationships/image" Target="media/image162.png"/><Relationship Id="rId216" Type="http://schemas.openxmlformats.org/officeDocument/2006/relationships/image" Target="media/image163.png"/><Relationship Id="rId217" Type="http://schemas.openxmlformats.org/officeDocument/2006/relationships/image" Target="media/image164.png"/><Relationship Id="rId218" Type="http://schemas.openxmlformats.org/officeDocument/2006/relationships/image" Target="media/image165.png"/><Relationship Id="rId219" Type="http://schemas.openxmlformats.org/officeDocument/2006/relationships/image" Target="media/image166.png"/><Relationship Id="rId220" Type="http://schemas.openxmlformats.org/officeDocument/2006/relationships/image" Target="media/image167.png"/><Relationship Id="rId221" Type="http://schemas.openxmlformats.org/officeDocument/2006/relationships/image" Target="media/image168.png"/><Relationship Id="rId222" Type="http://schemas.openxmlformats.org/officeDocument/2006/relationships/image" Target="media/image169.png"/><Relationship Id="rId223" Type="http://schemas.openxmlformats.org/officeDocument/2006/relationships/image" Target="media/image170.png"/><Relationship Id="rId224" Type="http://schemas.openxmlformats.org/officeDocument/2006/relationships/image" Target="media/image171.png"/><Relationship Id="rId225" Type="http://schemas.openxmlformats.org/officeDocument/2006/relationships/image" Target="media/image172.png"/><Relationship Id="rId226" Type="http://schemas.openxmlformats.org/officeDocument/2006/relationships/image" Target="media/image173.png"/><Relationship Id="rId227" Type="http://schemas.openxmlformats.org/officeDocument/2006/relationships/image" Target="media/image174.png"/><Relationship Id="rId228" Type="http://schemas.openxmlformats.org/officeDocument/2006/relationships/image" Target="media/image175.png"/><Relationship Id="rId229" Type="http://schemas.openxmlformats.org/officeDocument/2006/relationships/image" Target="media/image176.png"/><Relationship Id="rId230" Type="http://schemas.openxmlformats.org/officeDocument/2006/relationships/image" Target="media/image177.png"/><Relationship Id="rId231" Type="http://schemas.openxmlformats.org/officeDocument/2006/relationships/image" Target="media/image178.png"/><Relationship Id="rId232" Type="http://schemas.openxmlformats.org/officeDocument/2006/relationships/image" Target="media/image179.png"/><Relationship Id="rId233" Type="http://schemas.openxmlformats.org/officeDocument/2006/relationships/image" Target="media/image180.png"/><Relationship Id="rId234" Type="http://schemas.openxmlformats.org/officeDocument/2006/relationships/image" Target="media/image181.png"/><Relationship Id="rId235" Type="http://schemas.openxmlformats.org/officeDocument/2006/relationships/image" Target="media/image182.png"/><Relationship Id="rId236" Type="http://schemas.openxmlformats.org/officeDocument/2006/relationships/image" Target="media/image183.png"/><Relationship Id="rId237" Type="http://schemas.openxmlformats.org/officeDocument/2006/relationships/image" Target="media/image184.png"/><Relationship Id="rId238" Type="http://schemas.openxmlformats.org/officeDocument/2006/relationships/image" Target="media/image185.png"/><Relationship Id="rId239" Type="http://schemas.openxmlformats.org/officeDocument/2006/relationships/image" Target="media/image186.png"/><Relationship Id="rId240" Type="http://schemas.openxmlformats.org/officeDocument/2006/relationships/image" Target="media/image187.png"/><Relationship Id="rId241" Type="http://schemas.openxmlformats.org/officeDocument/2006/relationships/image" Target="media/image188.png"/><Relationship Id="rId242" Type="http://schemas.openxmlformats.org/officeDocument/2006/relationships/image" Target="media/image189.png"/><Relationship Id="rId243" Type="http://schemas.openxmlformats.org/officeDocument/2006/relationships/image" Target="media/image190.png"/><Relationship Id="rId244" Type="http://schemas.openxmlformats.org/officeDocument/2006/relationships/image" Target="media/image191.png"/><Relationship Id="rId245" Type="http://schemas.openxmlformats.org/officeDocument/2006/relationships/image" Target="media/image192.png"/><Relationship Id="rId246" Type="http://schemas.openxmlformats.org/officeDocument/2006/relationships/image" Target="media/image193.png"/><Relationship Id="rId247" Type="http://schemas.openxmlformats.org/officeDocument/2006/relationships/image" Target="media/image194.png"/><Relationship Id="rId248" Type="http://schemas.openxmlformats.org/officeDocument/2006/relationships/image" Target="media/image195.png"/><Relationship Id="rId249" Type="http://schemas.openxmlformats.org/officeDocument/2006/relationships/image" Target="media/image196.png"/><Relationship Id="rId250" Type="http://schemas.openxmlformats.org/officeDocument/2006/relationships/image" Target="media/image197.png"/><Relationship Id="rId251" Type="http://schemas.openxmlformats.org/officeDocument/2006/relationships/image" Target="media/image198.png"/><Relationship Id="rId252" Type="http://schemas.openxmlformats.org/officeDocument/2006/relationships/image" Target="media/image199.png"/><Relationship Id="rId253" Type="http://schemas.openxmlformats.org/officeDocument/2006/relationships/image" Target="media/image200.png"/><Relationship Id="rId254" Type="http://schemas.openxmlformats.org/officeDocument/2006/relationships/image" Target="media/image201.png"/><Relationship Id="rId255" Type="http://schemas.openxmlformats.org/officeDocument/2006/relationships/image" Target="media/image202.png"/><Relationship Id="rId256" Type="http://schemas.openxmlformats.org/officeDocument/2006/relationships/image" Target="media/image203.png"/><Relationship Id="rId257" Type="http://schemas.openxmlformats.org/officeDocument/2006/relationships/image" Target="media/image204.png"/><Relationship Id="rId258" Type="http://schemas.openxmlformats.org/officeDocument/2006/relationships/image" Target="media/image205.png"/><Relationship Id="rId259" Type="http://schemas.openxmlformats.org/officeDocument/2006/relationships/image" Target="media/image206.png"/><Relationship Id="rId260" Type="http://schemas.openxmlformats.org/officeDocument/2006/relationships/image" Target="media/image207.png"/><Relationship Id="rId261" Type="http://schemas.openxmlformats.org/officeDocument/2006/relationships/image" Target="media/image208.png"/><Relationship Id="rId262" Type="http://schemas.openxmlformats.org/officeDocument/2006/relationships/image" Target="media/image209.png"/><Relationship Id="rId263" Type="http://schemas.openxmlformats.org/officeDocument/2006/relationships/image" Target="media/image210.png"/><Relationship Id="rId264" Type="http://schemas.openxmlformats.org/officeDocument/2006/relationships/image" Target="media/image211.png"/><Relationship Id="rId265" Type="http://schemas.openxmlformats.org/officeDocument/2006/relationships/image" Target="media/image212.png"/><Relationship Id="rId266" Type="http://schemas.openxmlformats.org/officeDocument/2006/relationships/image" Target="media/image213.png"/><Relationship Id="rId267" Type="http://schemas.openxmlformats.org/officeDocument/2006/relationships/image" Target="media/image214.png"/><Relationship Id="rId268" Type="http://schemas.openxmlformats.org/officeDocument/2006/relationships/image" Target="media/image215.png"/><Relationship Id="rId269" Type="http://schemas.openxmlformats.org/officeDocument/2006/relationships/image" Target="media/image216.png"/><Relationship Id="rId270" Type="http://schemas.openxmlformats.org/officeDocument/2006/relationships/image" Target="media/image217.png"/><Relationship Id="rId271" Type="http://schemas.openxmlformats.org/officeDocument/2006/relationships/image" Target="media/image218.png"/><Relationship Id="rId272" Type="http://schemas.openxmlformats.org/officeDocument/2006/relationships/image" Target="media/image219.png"/><Relationship Id="rId273" Type="http://schemas.openxmlformats.org/officeDocument/2006/relationships/image" Target="media/image220.png"/><Relationship Id="rId274" Type="http://schemas.openxmlformats.org/officeDocument/2006/relationships/image" Target="media/image221.png"/><Relationship Id="rId275" Type="http://schemas.openxmlformats.org/officeDocument/2006/relationships/image" Target="media/image222.png"/><Relationship Id="rId276" Type="http://schemas.openxmlformats.org/officeDocument/2006/relationships/image" Target="media/image223.png"/><Relationship Id="rId277" Type="http://schemas.openxmlformats.org/officeDocument/2006/relationships/image" Target="media/image224.png"/><Relationship Id="rId278" Type="http://schemas.openxmlformats.org/officeDocument/2006/relationships/image" Target="media/image225.png"/><Relationship Id="rId279" Type="http://schemas.openxmlformats.org/officeDocument/2006/relationships/image" Target="media/image226.png"/><Relationship Id="rId280" Type="http://schemas.openxmlformats.org/officeDocument/2006/relationships/image" Target="media/image227.png"/><Relationship Id="rId281" Type="http://schemas.openxmlformats.org/officeDocument/2006/relationships/image" Target="media/image228.png"/><Relationship Id="rId282" Type="http://schemas.openxmlformats.org/officeDocument/2006/relationships/image" Target="media/image229.png"/><Relationship Id="rId283" Type="http://schemas.openxmlformats.org/officeDocument/2006/relationships/image" Target="media/image230.png"/><Relationship Id="rId284" Type="http://schemas.openxmlformats.org/officeDocument/2006/relationships/image" Target="media/image231.png"/><Relationship Id="rId285" Type="http://schemas.openxmlformats.org/officeDocument/2006/relationships/image" Target="media/image232.png"/><Relationship Id="rId286" Type="http://schemas.openxmlformats.org/officeDocument/2006/relationships/image" Target="media/image233.png"/><Relationship Id="rId287" Type="http://schemas.openxmlformats.org/officeDocument/2006/relationships/image" Target="media/image234.png"/><Relationship Id="rId288" Type="http://schemas.openxmlformats.org/officeDocument/2006/relationships/image" Target="media/image235.png"/><Relationship Id="rId289" Type="http://schemas.openxmlformats.org/officeDocument/2006/relationships/image" Target="media/image236.png"/><Relationship Id="rId290" Type="http://schemas.openxmlformats.org/officeDocument/2006/relationships/image" Target="media/image237.png"/><Relationship Id="rId291" Type="http://schemas.openxmlformats.org/officeDocument/2006/relationships/image" Target="media/image238.png"/><Relationship Id="rId292" Type="http://schemas.openxmlformats.org/officeDocument/2006/relationships/image" Target="media/image239.png"/><Relationship Id="rId293" Type="http://schemas.openxmlformats.org/officeDocument/2006/relationships/image" Target="media/image240.png"/><Relationship Id="rId294" Type="http://schemas.openxmlformats.org/officeDocument/2006/relationships/image" Target="media/image241.png"/><Relationship Id="rId295" Type="http://schemas.openxmlformats.org/officeDocument/2006/relationships/image" Target="media/image242.png"/><Relationship Id="rId296" Type="http://schemas.openxmlformats.org/officeDocument/2006/relationships/image" Target="media/image243.png"/><Relationship Id="rId297" Type="http://schemas.openxmlformats.org/officeDocument/2006/relationships/image" Target="media/image244.png"/><Relationship Id="rId298" Type="http://schemas.openxmlformats.org/officeDocument/2006/relationships/image" Target="media/image245.png"/><Relationship Id="rId299" Type="http://schemas.openxmlformats.org/officeDocument/2006/relationships/image" Target="media/image246.png"/><Relationship Id="rId300" Type="http://schemas.openxmlformats.org/officeDocument/2006/relationships/image" Target="media/image247.png"/><Relationship Id="rId301" Type="http://schemas.openxmlformats.org/officeDocument/2006/relationships/image" Target="media/image248.png"/><Relationship Id="rId302" Type="http://schemas.openxmlformats.org/officeDocument/2006/relationships/image" Target="media/image249.png"/><Relationship Id="rId303" Type="http://schemas.openxmlformats.org/officeDocument/2006/relationships/image" Target="media/image250.png"/><Relationship Id="rId304" Type="http://schemas.openxmlformats.org/officeDocument/2006/relationships/image" Target="media/image251.png"/><Relationship Id="rId305" Type="http://schemas.openxmlformats.org/officeDocument/2006/relationships/image" Target="media/image252.png"/><Relationship Id="rId306" Type="http://schemas.openxmlformats.org/officeDocument/2006/relationships/image" Target="media/image253.png"/><Relationship Id="rId307" Type="http://schemas.openxmlformats.org/officeDocument/2006/relationships/image" Target="media/image254.png"/><Relationship Id="rId308" Type="http://schemas.openxmlformats.org/officeDocument/2006/relationships/image" Target="media/image255.png"/><Relationship Id="rId309" Type="http://schemas.openxmlformats.org/officeDocument/2006/relationships/image" Target="media/image256.png"/><Relationship Id="rId310" Type="http://schemas.openxmlformats.org/officeDocument/2006/relationships/image" Target="media/image257.png"/><Relationship Id="rId311" Type="http://schemas.openxmlformats.org/officeDocument/2006/relationships/image" Target="media/image258.png"/><Relationship Id="rId312" Type="http://schemas.openxmlformats.org/officeDocument/2006/relationships/image" Target="media/image259.png"/><Relationship Id="rId313" Type="http://schemas.openxmlformats.org/officeDocument/2006/relationships/image" Target="media/image260.png"/><Relationship Id="rId314" Type="http://schemas.openxmlformats.org/officeDocument/2006/relationships/image" Target="media/image261.png"/><Relationship Id="rId315" Type="http://schemas.openxmlformats.org/officeDocument/2006/relationships/image" Target="media/image262.png"/><Relationship Id="rId316" Type="http://schemas.openxmlformats.org/officeDocument/2006/relationships/image" Target="media/image263.png"/><Relationship Id="rId317" Type="http://schemas.openxmlformats.org/officeDocument/2006/relationships/image" Target="media/image264.png"/><Relationship Id="rId318" Type="http://schemas.openxmlformats.org/officeDocument/2006/relationships/image" Target="media/image265.png"/><Relationship Id="rId319" Type="http://schemas.openxmlformats.org/officeDocument/2006/relationships/image" Target="media/image266.png"/><Relationship Id="rId320" Type="http://schemas.openxmlformats.org/officeDocument/2006/relationships/image" Target="media/image267.png"/><Relationship Id="rId321" Type="http://schemas.openxmlformats.org/officeDocument/2006/relationships/image" Target="media/image268.png"/><Relationship Id="rId322" Type="http://schemas.openxmlformats.org/officeDocument/2006/relationships/image" Target="media/image269.png"/><Relationship Id="rId323" Type="http://schemas.openxmlformats.org/officeDocument/2006/relationships/image" Target="media/image270.png"/><Relationship Id="rId324" Type="http://schemas.openxmlformats.org/officeDocument/2006/relationships/image" Target="media/image271.png"/><Relationship Id="rId325" Type="http://schemas.openxmlformats.org/officeDocument/2006/relationships/image" Target="media/image272.png"/><Relationship Id="rId326" Type="http://schemas.openxmlformats.org/officeDocument/2006/relationships/header" Target="header12.xml"/><Relationship Id="rId327" Type="http://schemas.openxmlformats.org/officeDocument/2006/relationships/footer" Target="footer35.xml"/><Relationship Id="rId328" Type="http://schemas.openxmlformats.org/officeDocument/2006/relationships/image" Target="media/image273.png"/><Relationship Id="rId329" Type="http://schemas.openxmlformats.org/officeDocument/2006/relationships/image" Target="media/image274.png"/><Relationship Id="rId330" Type="http://schemas.openxmlformats.org/officeDocument/2006/relationships/header" Target="header13.xml"/><Relationship Id="rId331" Type="http://schemas.openxmlformats.org/officeDocument/2006/relationships/footer" Target="footer36.xml"/><Relationship Id="rId332" Type="http://schemas.openxmlformats.org/officeDocument/2006/relationships/image" Target="media/image275.png"/><Relationship Id="rId333" Type="http://schemas.openxmlformats.org/officeDocument/2006/relationships/image" Target="media/image276.png"/><Relationship Id="rId334" Type="http://schemas.openxmlformats.org/officeDocument/2006/relationships/image" Target="media/image277.png"/><Relationship Id="rId335" Type="http://schemas.openxmlformats.org/officeDocument/2006/relationships/image" Target="media/image278.png"/><Relationship Id="rId336" Type="http://schemas.openxmlformats.org/officeDocument/2006/relationships/image" Target="media/image279.png"/><Relationship Id="rId337" Type="http://schemas.openxmlformats.org/officeDocument/2006/relationships/image" Target="media/image280.png"/><Relationship Id="rId338" Type="http://schemas.openxmlformats.org/officeDocument/2006/relationships/image" Target="media/image281.png"/><Relationship Id="rId339" Type="http://schemas.openxmlformats.org/officeDocument/2006/relationships/image" Target="media/image282.png"/><Relationship Id="rId340" Type="http://schemas.openxmlformats.org/officeDocument/2006/relationships/image" Target="media/image283.png"/><Relationship Id="rId341" Type="http://schemas.openxmlformats.org/officeDocument/2006/relationships/image" Target="media/image284.png"/><Relationship Id="rId342" Type="http://schemas.openxmlformats.org/officeDocument/2006/relationships/image" Target="media/image285.png"/><Relationship Id="rId343" Type="http://schemas.openxmlformats.org/officeDocument/2006/relationships/image" Target="media/image286.png"/><Relationship Id="rId344" Type="http://schemas.openxmlformats.org/officeDocument/2006/relationships/image" Target="media/image287.png"/><Relationship Id="rId345" Type="http://schemas.openxmlformats.org/officeDocument/2006/relationships/image" Target="media/image288.png"/><Relationship Id="rId346" Type="http://schemas.openxmlformats.org/officeDocument/2006/relationships/image" Target="media/image289.png"/><Relationship Id="rId347" Type="http://schemas.openxmlformats.org/officeDocument/2006/relationships/image" Target="media/image290.png"/><Relationship Id="rId348" Type="http://schemas.openxmlformats.org/officeDocument/2006/relationships/image" Target="media/image291.png"/><Relationship Id="rId349" Type="http://schemas.openxmlformats.org/officeDocument/2006/relationships/image" Target="media/image292.png"/><Relationship Id="rId350" Type="http://schemas.openxmlformats.org/officeDocument/2006/relationships/image" Target="media/image293.png"/><Relationship Id="rId351" Type="http://schemas.openxmlformats.org/officeDocument/2006/relationships/image" Target="media/image294.png"/><Relationship Id="rId352" Type="http://schemas.openxmlformats.org/officeDocument/2006/relationships/image" Target="media/image295.png"/><Relationship Id="rId353" Type="http://schemas.openxmlformats.org/officeDocument/2006/relationships/image" Target="media/image296.png"/><Relationship Id="rId354" Type="http://schemas.openxmlformats.org/officeDocument/2006/relationships/image" Target="media/image297.png"/><Relationship Id="rId355" Type="http://schemas.openxmlformats.org/officeDocument/2006/relationships/image" Target="media/image298.png"/><Relationship Id="rId356" Type="http://schemas.openxmlformats.org/officeDocument/2006/relationships/image" Target="media/image299.png"/><Relationship Id="rId357" Type="http://schemas.openxmlformats.org/officeDocument/2006/relationships/image" Target="media/image30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5.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5.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dc:title>&lt;4D6963726F736F667420576F7264202D20C9EEDBDABBDDB3CCA3BA32303131C4EAC4EAB6C8B1A8B8E6&gt;</dc:title>
  <dcterms:created xsi:type="dcterms:W3CDTF">2020-05-03T13:49:03Z</dcterms:created>
  <dcterms:modified xsi:type="dcterms:W3CDTF">2020-05-03T13:49:03Z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2012-04-19T00:00:00Z</vt:filetime>
  </property>
  <property fmtid="{D5CDD505-2E9C-101B-9397-08002B2CF9AE}" pid="3" name="Creator">
    <vt:lpwstr>PScript5.dll Version 5.2.2</vt:lpwstr>
  </property>
  <property fmtid="{D5CDD505-2E9C-101B-9397-08002B2CF9AE}" pid="4" name="LastSaved">
    <vt:filetime>2020-05-03T00:00:00Z</vt:filetime>
  </property>
</Properties>
</file>