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Default Extension="jpeg" ContentType="image/jpeg"/>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3.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6.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7.xml" ContentType="application/vnd.openxmlformats-officedocument.wordprocessingml.header+xml"/>
  <Override PartName="/word/footer42.xml" ContentType="application/vnd.openxmlformats-officedocument.wordprocessingml.footer+xml"/>
  <Override PartName="/word/header18.xml" ContentType="application/vnd.openxmlformats-officedocument.wordprocessingml.header+xml"/>
  <Override PartName="/word/footer43.xml" ContentType="application/vnd.openxmlformats-officedocument.wordprocessingml.footer+xml"/>
  <Override PartName="/word/header19.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994" w:right="994" w:firstLine="0"/>
        <w:jc w:val="center"/>
        <w:rPr>
          <w:rFonts w:ascii="宋体" w:hAnsi="宋体" w:cs="宋体" w:eastAsia="宋体" w:hint="default"/>
          <w:sz w:val="36"/>
          <w:szCs w:val="36"/>
        </w:rPr>
      </w:pPr>
      <w:r>
        <w:rPr/>
        <w:pict>
          <v:group style="position:absolute;margin-left:56.700001pt;margin-top:-84.896561pt;width:481.9pt;height:.1pt;mso-position-horizontal-relative:page;mso-position-vertical-relative:paragraph;z-index:0" coordorigin="1134,-1698" coordsize="9638,2">
            <v:shape style="position:absolute;left:1134;top:-1698;width:9638;height:2" coordorigin="1134,-1698" coordsize="9638,0" path="m1134,-1698l10772,-1698e" filled="false" stroked="true" strokeweight=".719971pt" strokecolor="#000000">
              <v:path arrowok="t"/>
            </v:shape>
            <w10:wrap type="none"/>
          </v:group>
        </w:pict>
      </w:r>
      <w:r>
        <w:rPr>
          <w:rFonts w:ascii="宋体" w:hAnsi="宋体" w:cs="宋体" w:eastAsia="宋体" w:hint="default"/>
          <w:b/>
          <w:bCs/>
          <w:sz w:val="36"/>
          <w:szCs w:val="36"/>
        </w:rPr>
        <w:t>深圳市惠程电气股份有限公司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994" w:right="9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994" w:right="9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1225" w:top="1060" w:bottom="142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108" w:firstLine="561"/>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spacing w:val="-135"/>
        </w:rPr>
        <w:t> </w:t>
      </w:r>
      <w:r>
        <w:rPr>
          <w:spacing w:val="-135"/>
        </w:rPr>
      </w:r>
      <w:r>
        <w:rPr/>
        <w:t>连带的法律责任。</w:t>
      </w:r>
      <w:r>
        <w:rPr>
          <w:b w:val="0"/>
          <w:bCs w:val="0"/>
        </w:rPr>
      </w:r>
    </w:p>
    <w:p>
      <w:pPr>
        <w:pStyle w:val="Heading2"/>
        <w:spacing w:line="475" w:lineRule="auto" w:before="160"/>
        <w:ind w:left="674" w:right="0"/>
        <w:jc w:val="left"/>
        <w:rPr>
          <w:b w:val="0"/>
          <w:bCs w:val="0"/>
        </w:rPr>
      </w:pPr>
      <w:r>
        <w:rPr/>
        <w:t>所有董事均已出席了审议本报告的董事会会议。</w:t>
      </w:r>
      <w:r>
        <w:rPr>
          <w:w w:val="99"/>
        </w:rPr>
        <w:t> </w:t>
      </w:r>
      <w:r>
        <w:rPr/>
        <w:t>公司计划不派发现金红利，不送红股，不以公积金转增股本。</w:t>
      </w:r>
      <w:r>
        <w:rPr>
          <w:w w:val="99"/>
        </w:rPr>
        <w:t> </w:t>
      </w:r>
      <w:r>
        <w:rPr>
          <w:spacing w:val="-1"/>
        </w:rPr>
        <w:t>公司负责人纪晓文、主管会计工作负责人田青及会计机构负责人</w:t>
      </w:r>
      <w:r>
        <w:rPr>
          <w:rFonts w:ascii="Times New Roman" w:hAnsi="Times New Roman" w:cs="Times New Roman" w:eastAsia="Times New Roman" w:hint="default"/>
          <w:spacing w:val="-1"/>
        </w:rPr>
        <w:t>(</w:t>
      </w:r>
      <w:r>
        <w:rPr>
          <w:spacing w:val="-1"/>
        </w:rPr>
        <w:t>会计主管</w:t>
      </w:r>
      <w:r>
        <w:rPr>
          <w:b w:val="0"/>
          <w:bCs w:val="0"/>
          <w:spacing w:val="-1"/>
        </w:rPr>
      </w:r>
    </w:p>
    <w:p>
      <w:pPr>
        <w:pStyle w:val="Heading2"/>
        <w:spacing w:line="320" w:lineRule="exact"/>
        <w:ind w:right="0"/>
        <w:jc w:val="left"/>
        <w:rPr>
          <w:b w:val="0"/>
          <w:bCs w:val="0"/>
        </w:rPr>
      </w:pPr>
      <w:r>
        <w:rPr/>
        <w:t>人员</w:t>
      </w:r>
      <w:r>
        <w:rPr>
          <w:rFonts w:ascii="Times New Roman" w:hAnsi="Times New Roman" w:cs="Times New Roman" w:eastAsia="Times New Roman" w:hint="default"/>
        </w:rPr>
        <w:t>)</w:t>
      </w:r>
      <w:r>
        <w:rPr/>
        <w:t>程昭霞声明：保证年度报告中财务报告的真实、准确、完整。</w:t>
      </w:r>
      <w:r>
        <w:rPr>
          <w:b w:val="0"/>
          <w:bCs w:val="0"/>
        </w:rPr>
      </w:r>
    </w:p>
    <w:p>
      <w:pPr>
        <w:spacing w:line="240" w:lineRule="auto" w:before="8"/>
        <w:rPr>
          <w:rFonts w:ascii="宋体" w:hAnsi="宋体" w:cs="宋体" w:eastAsia="宋体" w:hint="default"/>
          <w:b/>
          <w:bCs/>
          <w:sz w:val="25"/>
          <w:szCs w:val="25"/>
        </w:rPr>
      </w:pPr>
    </w:p>
    <w:p>
      <w:pPr>
        <w:pStyle w:val="Heading2"/>
        <w:spacing w:line="408" w:lineRule="auto"/>
        <w:ind w:right="108" w:firstLine="561"/>
        <w:jc w:val="both"/>
        <w:rPr>
          <w:b w:val="0"/>
          <w:bCs w:val="0"/>
        </w:rPr>
      </w:pPr>
      <w:r>
        <w:rPr>
          <w:spacing w:val="2"/>
        </w:rPr>
        <w:t>本年度报告涉及的经营计划、发展规划等前瞻性描述不构成公司对投资者</w:t>
      </w:r>
      <w:r>
        <w:rPr>
          <w:w w:val="99"/>
        </w:rPr>
        <w:t> </w:t>
      </w:r>
      <w:r>
        <w:rPr/>
        <w:t>的实质承诺，敬请投资者注意投资风险。</w:t>
      </w:r>
      <w:r>
        <w:rPr>
          <w:b w:val="0"/>
          <w:bCs w:val="0"/>
        </w:rPr>
      </w:r>
    </w:p>
    <w:p>
      <w:pPr>
        <w:spacing w:after="0" w:line="408" w:lineRule="auto"/>
        <w:jc w:val="both"/>
        <w:sectPr>
          <w:footerReference w:type="default" r:id="rId7"/>
          <w:pgSz w:w="11910" w:h="16840"/>
          <w:pgMar w:footer="1225" w:header="746" w:top="1060" w:bottom="1420" w:left="1020" w:right="102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994" w:right="9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 </w:t>
            </w:r>
            <w:r>
              <w:rPr/>
              <w:t>年度报告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2"/>
              </w:rPr>
              <w:t> </w:t>
            </w:r>
            <w:r>
              <w:rPr/>
              <w:t>公司简介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2"/>
              </w:rPr>
              <w:t> </w:t>
            </w:r>
            <w:r>
              <w:rPr/>
              <w:t>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2"/>
              </w:rPr>
              <w:t> </w:t>
            </w:r>
            <w:r>
              <w:rPr/>
              <w:t>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内部控制</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187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6" w:footer="1225" w:top="1060" w:bottom="1420" w:left="1020" w:right="1020"/>
        </w:sectPr>
      </w:pPr>
    </w:p>
    <w:p>
      <w:pPr>
        <w:spacing w:before="947"/>
        <w:ind w:left="994" w:right="9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深圳市惠程电气股份有限公司监事会</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聚酰亚胺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综合性能最佳的一种先进材料，是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世纪最有希望的材料之一。聚 </w:t>
            </w:r>
            <w:r>
              <w:rPr>
                <w:rFonts w:ascii="宋体" w:hAnsi="宋体" w:cs="宋体" w:eastAsia="宋体" w:hint="default"/>
                <w:spacing w:val="-2"/>
                <w:sz w:val="18"/>
                <w:szCs w:val="18"/>
              </w:rPr>
              <w:t>酰亚胺，因其在性能和合成方面的突出特点，其巨大的应用前景已经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得到充分的认识，被称为是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解决问题的能手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，并认为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没有聚酰亚胺</w:t>
            </w:r>
            <w:r>
              <w:rPr>
                <w:rFonts w:ascii="宋体" w:hAnsi="宋体" w:cs="宋体" w:eastAsia="宋体" w:hint="default"/>
                <w:spacing w:val="-69"/>
                <w:sz w:val="18"/>
                <w:szCs w:val="18"/>
              </w:rPr>
              <w:t> </w:t>
            </w:r>
            <w:r>
              <w:rPr>
                <w:rFonts w:ascii="宋体" w:hAnsi="宋体" w:cs="宋体" w:eastAsia="宋体" w:hint="default"/>
                <w:sz w:val="18"/>
                <w:szCs w:val="18"/>
              </w:rPr>
              <w:t>就不会有今天的微电子技术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长春高琦聚酰亚胺材料有限公司，本公司控股子公司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轶纶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长春高琦聚酰亚胺纤维的注册商标</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吉林高琦聚酰亚胺材料有限公司，本公司间接控股子公司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江西先材纳米纤维科技有限公司，本公司控股子公司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深圳市惠程高能能源科技有限公司，本公司全资子公司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长春聚明光电材料有限公司，本公司间接控股子公司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吉林高航复合材料有限公司，本公司控股子公司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香港惠程有限公司，本公司全资子公司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中汇联银投资管理（北京）有限公司，本公司全资子公司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《股票上市规则》</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《规范运作指引》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《深圳证券交易所中小企业板上市公司规范运作指引》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国海证券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国海证券股份有限公司，本公司保荐机构</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立信会计师事务所，本公司所聘年审会计师事务所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6" w:footer="1225" w:top="1060" w:bottom="142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3549" w:right="3689"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pStyle w:val="Heading2"/>
        <w:spacing w:line="408" w:lineRule="auto"/>
        <w:ind w:right="0" w:firstLine="561"/>
        <w:jc w:val="left"/>
        <w:rPr>
          <w:b w:val="0"/>
          <w:bCs w:val="0"/>
        </w:rPr>
      </w:pPr>
      <w:r>
        <w:rPr>
          <w:spacing w:val="-3"/>
        </w:rPr>
        <w:t>重大风险提示随着未来市场经营环境的变化，公司或将面临产业政策调整、</w:t>
      </w:r>
      <w:r>
        <w:rPr>
          <w:w w:val="99"/>
        </w:rPr>
        <w:t> </w:t>
      </w:r>
      <w:r>
        <w:rPr>
          <w:spacing w:val="2"/>
        </w:rPr>
        <w:t>市场竞争加剧、产品研发产业化不确定性增加等方面的风险。公司严格执行国</w:t>
      </w:r>
      <w:r>
        <w:rPr>
          <w:spacing w:val="-135"/>
        </w:rPr>
        <w:t> </w:t>
      </w:r>
      <w:r>
        <w:rPr>
          <w:spacing w:val="-135"/>
        </w:rPr>
      </w:r>
      <w:r>
        <w:rPr>
          <w:spacing w:val="2"/>
        </w:rPr>
        <w:t>家政策，对内理顺组织架构、优化生产管理流程，对外大力拓展市场，切实提</w:t>
      </w:r>
      <w:r>
        <w:rPr>
          <w:spacing w:val="-135"/>
        </w:rPr>
        <w:t> </w:t>
      </w:r>
      <w:r>
        <w:rPr>
          <w:spacing w:val="-135"/>
        </w:rPr>
      </w:r>
      <w:r>
        <w:rPr/>
        <w:t>升公司竞争实力和抗风险能力。</w:t>
      </w:r>
      <w:r>
        <w:rPr>
          <w:b w:val="0"/>
          <w:bCs w:val="0"/>
        </w:rPr>
      </w:r>
    </w:p>
    <w:p>
      <w:pPr>
        <w:spacing w:after="0" w:line="408" w:lineRule="auto"/>
        <w:jc w:val="left"/>
        <w:sectPr>
          <w:pgSz w:w="11910" w:h="16840"/>
          <w:pgMar w:header="746" w:footer="1225" w:top="1060" w:bottom="1420" w:left="1020" w:right="880"/>
        </w:sectPr>
      </w:pPr>
    </w:p>
    <w:p>
      <w:pPr>
        <w:spacing w:line="240" w:lineRule="auto" w:before="0"/>
        <w:rPr>
          <w:rFonts w:ascii="宋体" w:hAnsi="宋体" w:cs="宋体" w:eastAsia="宋体" w:hint="default"/>
          <w:b/>
          <w:bCs/>
          <w:sz w:val="20"/>
          <w:szCs w:val="20"/>
        </w:rPr>
      </w:pPr>
      <w:r>
        <w:rPr/>
        <w:pict>
          <v:group style="position:absolute;margin-left:171.050003pt;margin-top:269.600037pt;width:364pt;height:19.650pt;mso-position-horizontal-relative:page;mso-position-vertical-relative:page;z-index:-1010368" coordorigin="3421,5392" coordsize="7280,393">
            <v:shape style="position:absolute;left:3421;top:5392;width:7280;height:393" coordorigin="3421,5392" coordsize="7280,393" path="m3421,5392l10701,5392,10701,5785,3421,5785,3421,5392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994"/>
        <w:jc w:val="center"/>
        <w:rPr>
          <w:b w:val="0"/>
          <w:bCs w:val="0"/>
        </w:rPr>
      </w:pPr>
      <w:bookmarkStart w:name="_bookmark1" w:id="2"/>
      <w:bookmarkEnd w:id="2"/>
      <w:r>
        <w:rPr>
          <w:b w:val="0"/>
          <w:bCs w:val="0"/>
        </w:rPr>
      </w:r>
      <w:r>
        <w:rPr/>
        <w:t>第二节</w:t>
      </w:r>
      <w:r>
        <w:rPr>
          <w:spacing w:val="-7"/>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深圳惠程</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002168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深圳惠程</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SHENZHEN HIFUTURE ELECTRIC CO.,</w:t>
            </w:r>
            <w:r>
              <w:rPr>
                <w:rFonts w:ascii="Times New Roman"/>
                <w:spacing w:val="-13"/>
                <w:sz w:val="18"/>
              </w:rPr>
              <w:t> </w:t>
            </w:r>
            <w:r>
              <w:rPr>
                <w:rFonts w:ascii="Times New Roman"/>
                <w:spacing w:val="-6"/>
                <w:sz w:val="18"/>
              </w:rPr>
              <w:t>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HIFUTURE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纪晓文</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深圳市龙岗区大工业区兰景路以东、锦绣路以南惠程科技工业厂区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518118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深圳市龙岗区大工业区兰景路以东、锦绣路以南惠程科技工业厂区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518118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8">
              <w:r>
                <w:rPr>
                  <w:rFonts w:ascii="Times New Roman"/>
                  <w:sz w:val="18"/>
                </w:rPr>
                <w:t>www.hifuture.com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info@hifuture.com</w:t>
              </w:r>
            </w:hyperlink>
          </w:p>
        </w:tc>
      </w:tr>
    </w:tbl>
    <w:p>
      <w:pPr>
        <w:spacing w:line="240" w:lineRule="auto" w:before="13"/>
        <w:rPr>
          <w:rFonts w:ascii="宋体" w:hAnsi="宋体" w:cs="宋体" w:eastAsia="宋体" w:hint="default"/>
          <w:b/>
          <w:bCs/>
          <w:sz w:val="17"/>
          <w:szCs w:val="17"/>
        </w:rPr>
      </w:pPr>
    </w:p>
    <w:p>
      <w:pPr>
        <w:pStyle w:val="Heading4"/>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温秋萍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深圳市龙岗区大工业区兰景路以东、锦 绣路以南惠程科技工业厂区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深圳市龙岗区大工业区兰景路以东、锦 绣路以南惠程科技工业厂区</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0755-82763639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0755-82767767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0755-82767036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0755-82767036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fangli@hifuture.com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wenqiuping@hifuture.com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深圳市惠程电气股份有限公司董事会办公室</w:t>
            </w:r>
          </w:p>
        </w:tc>
      </w:tr>
    </w:tbl>
    <w:p>
      <w:pPr>
        <w:spacing w:after="0" w:line="240" w:lineRule="auto"/>
        <w:jc w:val="left"/>
        <w:rPr>
          <w:rFonts w:ascii="宋体" w:hAnsi="宋体" w:cs="宋体" w:eastAsia="宋体" w:hint="default"/>
          <w:sz w:val="18"/>
          <w:szCs w:val="18"/>
        </w:rPr>
        <w:sectPr>
          <w:pgSz w:w="11910" w:h="16840"/>
          <w:pgMar w:header="746" w:footer="1225" w:top="1060" w:bottom="1420" w:left="1020" w:right="1020"/>
        </w:sectPr>
      </w:pPr>
    </w:p>
    <w:p>
      <w:pPr>
        <w:spacing w:line="240" w:lineRule="auto" w:before="8"/>
        <w:rPr>
          <w:rFonts w:ascii="宋体" w:hAnsi="宋体" w:cs="宋体" w:eastAsia="宋体" w:hint="default"/>
          <w:b/>
          <w:bCs/>
          <w:sz w:val="23"/>
          <w:szCs w:val="23"/>
        </w:rPr>
      </w:pPr>
    </w:p>
    <w:p>
      <w:pPr>
        <w:pStyle w:val="Heading4"/>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1" w:right="70"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4403012026376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440301715211901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71521190-1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440301102994546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440301715211901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71521190-1</w:t>
            </w:r>
          </w:p>
        </w:tc>
      </w:tr>
      <w:tr>
        <w:trPr>
          <w:trHeight w:val="361"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6"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日，公司主营业务：电缆分支箱、环网柜等</w:t>
            </w:r>
          </w:p>
        </w:tc>
      </w:tr>
      <w:tr>
        <w:trPr>
          <w:trHeight w:val="307"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相关电力配网设备、电力电缆附件等高分子绝缘材料及相关制品的生产；高分子</w:t>
            </w:r>
          </w:p>
        </w:tc>
      </w:tr>
      <w:tr>
        <w:trPr>
          <w:trHeight w:val="31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绝缘材料</w:t>
            </w:r>
            <w:r>
              <w:rPr>
                <w:rFonts w:ascii="宋体" w:hAnsi="宋体" w:cs="宋体" w:eastAsia="宋体" w:hint="default"/>
                <w:spacing w:val="-15"/>
                <w:sz w:val="18"/>
                <w:szCs w:val="18"/>
              </w:rPr>
              <w:t>，</w:t>
            </w:r>
            <w:r>
              <w:rPr>
                <w:rFonts w:ascii="宋体" w:hAnsi="宋体" w:cs="宋体" w:eastAsia="宋体" w:hint="default"/>
                <w:sz w:val="18"/>
                <w:szCs w:val="18"/>
              </w:rPr>
              <w:t>电工器材的购</w:t>
            </w:r>
            <w:r>
              <w:rPr>
                <w:rFonts w:ascii="宋体" w:hAnsi="宋体" w:cs="宋体" w:eastAsia="宋体" w:hint="default"/>
                <w:spacing w:val="-12"/>
                <w:sz w:val="18"/>
                <w:szCs w:val="18"/>
              </w:rPr>
              <w:t>销</w:t>
            </w:r>
            <w:r>
              <w:rPr>
                <w:rFonts w:ascii="宋体" w:hAnsi="宋体" w:cs="宋体" w:eastAsia="宋体" w:hint="default"/>
                <w:sz w:val="18"/>
                <w:szCs w:val="18"/>
              </w:rPr>
              <w:t>（不含专营</w:t>
            </w:r>
            <w:r>
              <w:rPr>
                <w:rFonts w:ascii="宋体" w:hAnsi="宋体" w:cs="宋体" w:eastAsia="宋体" w:hint="default"/>
                <w:spacing w:val="-15"/>
                <w:sz w:val="18"/>
                <w:szCs w:val="18"/>
              </w:rPr>
              <w:t>、</w:t>
            </w:r>
            <w:r>
              <w:rPr>
                <w:rFonts w:ascii="宋体" w:hAnsi="宋体" w:cs="宋体" w:eastAsia="宋体" w:hint="default"/>
                <w:sz w:val="18"/>
                <w:szCs w:val="18"/>
              </w:rPr>
              <w:t>专控</w:t>
            </w:r>
            <w:r>
              <w:rPr>
                <w:rFonts w:ascii="宋体" w:hAnsi="宋体" w:cs="宋体" w:eastAsia="宋体" w:hint="default"/>
                <w:spacing w:val="-15"/>
                <w:sz w:val="18"/>
                <w:szCs w:val="18"/>
              </w:rPr>
              <w:t>、</w:t>
            </w:r>
            <w:r>
              <w:rPr>
                <w:rFonts w:ascii="宋体" w:hAnsi="宋体" w:cs="宋体" w:eastAsia="宋体" w:hint="default"/>
                <w:sz w:val="18"/>
                <w:szCs w:val="18"/>
              </w:rPr>
              <w:t>专卖商品及限制项目</w:t>
            </w:r>
            <w:r>
              <w:rPr>
                <w:rFonts w:ascii="宋体" w:hAnsi="宋体" w:cs="宋体" w:eastAsia="宋体" w:hint="default"/>
                <w:spacing w:val="-92"/>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经营进口</w:t>
            </w:r>
          </w:p>
        </w:tc>
      </w:tr>
      <w:tr>
        <w:trPr>
          <w:trHeight w:val="337"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业务（具体按商贸管准证字第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号文执行</w:t>
            </w:r>
            <w:r>
              <w:rPr>
                <w:rFonts w:ascii="宋体" w:hAnsi="宋体" w:cs="宋体" w:eastAsia="宋体" w:hint="default"/>
                <w:spacing w:val="-92"/>
                <w:sz w:val="18"/>
                <w:szCs w:val="18"/>
              </w:rPr>
              <w:t>）</w:t>
            </w:r>
            <w:r>
              <w:rPr>
                <w:rFonts w:ascii="宋体" w:hAnsi="宋体" w:cs="宋体" w:eastAsia="宋体" w:hint="default"/>
                <w:sz w:val="18"/>
                <w:szCs w:val="18"/>
              </w:rPr>
              <w:t>；自有产品的售后服务。</w:t>
            </w:r>
          </w:p>
        </w:tc>
      </w:tr>
      <w:tr>
        <w:trPr>
          <w:trHeight w:val="951"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309" w:lineRule="auto" w:before="26"/>
              <w:ind w:left="2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日至今，公司主营业务：电缆分支箱、环网柜、电力电缆附件等 高分子绝缘制品及相关材料、高低压电器、高低压成套开关设备、箱式变电站、 电力自动化产品、跌落式熔断器、柱上开关、柱上断路器、管母线等相关电力配</w:t>
            </w:r>
          </w:p>
        </w:tc>
      </w:tr>
      <w:tr>
        <w:trPr>
          <w:trHeight w:val="31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网设备的生产、销售及施工服务；高分子绝缘材料、聚酰亚胺纤维、纳米纤维、</w:t>
            </w:r>
          </w:p>
        </w:tc>
      </w:tr>
      <w:tr>
        <w:trPr>
          <w:trHeight w:val="31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薄膜、树脂及复合材料的综合研究开发及相关材料购销；电工器材的购销（不含</w:t>
            </w:r>
          </w:p>
        </w:tc>
      </w:tr>
      <w:tr>
        <w:trPr>
          <w:trHeight w:val="31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专营、专控、专卖产品及限制项目</w:t>
            </w:r>
            <w:r>
              <w:rPr>
                <w:rFonts w:ascii="宋体" w:hAnsi="宋体" w:cs="宋体" w:eastAsia="宋体" w:hint="default"/>
                <w:spacing w:val="-89"/>
                <w:sz w:val="18"/>
                <w:szCs w:val="18"/>
              </w:rPr>
              <w:t>）</w:t>
            </w:r>
            <w:r>
              <w:rPr>
                <w:rFonts w:ascii="宋体" w:hAnsi="宋体" w:cs="宋体" w:eastAsia="宋体" w:hint="default"/>
                <w:sz w:val="18"/>
                <w:szCs w:val="18"/>
              </w:rPr>
              <w:t>；经营进出口业务（具体按商贸管准证字第</w:t>
            </w:r>
          </w:p>
        </w:tc>
      </w:tr>
      <w:tr>
        <w:trPr>
          <w:trHeight w:val="357"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6"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号文执行</w:t>
            </w:r>
            <w:r>
              <w:rPr>
                <w:rFonts w:ascii="宋体" w:hAnsi="宋体" w:cs="宋体" w:eastAsia="宋体" w:hint="default"/>
                <w:spacing w:val="-89"/>
                <w:sz w:val="18"/>
                <w:szCs w:val="18"/>
              </w:rPr>
              <w:t>）</w:t>
            </w:r>
            <w:r>
              <w:rPr>
                <w:rFonts w:ascii="宋体" w:hAnsi="宋体" w:cs="宋体" w:eastAsia="宋体" w:hint="default"/>
                <w:sz w:val="18"/>
                <w:szCs w:val="18"/>
              </w:rPr>
              <w:t>；自由产品的售后服务。</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3"/>
        <w:rPr>
          <w:rFonts w:ascii="宋体" w:hAnsi="宋体" w:cs="宋体" w:eastAsia="宋体" w:hint="default"/>
          <w:b/>
          <w:bCs/>
          <w:sz w:val="18"/>
          <w:szCs w:val="18"/>
        </w:rPr>
      </w:pPr>
    </w:p>
    <w:p>
      <w:pPr>
        <w:pStyle w:val="Heading4"/>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深圳市福田区香梅路中投国际商务中心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邹军梅、康跃华</w:t>
            </w:r>
          </w:p>
        </w:tc>
      </w:tr>
    </w:tbl>
    <w:p>
      <w:pPr>
        <w:pStyle w:val="BodyText"/>
        <w:spacing w:line="240" w:lineRule="auto" w:before="50"/>
        <w:ind w:right="0"/>
        <w:jc w:val="left"/>
      </w:pPr>
      <w:r>
        <w:rPr/>
        <w:t>公司聘请的报告期内履行持续督导职责的保荐机构</w:t>
      </w:r>
    </w:p>
    <w:p>
      <w:pPr>
        <w:pStyle w:val="BodyText"/>
        <w:spacing w:line="340" w:lineRule="auto" w:before="115"/>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1225" w:top="106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06" w:right="0"/>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313,200,970.58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432,770,239.75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376,966,907.11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-88,852,296.24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35,659,127.27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64,202,521.84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-91,339,214.65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27,915,594.21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53,010,470.02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57,850,330.69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69,548,575.81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14,317,174.07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-0.12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-340.00%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-8.21%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1,588,365,748.10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1,444,110,905.62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1,397,337,933.57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1,043,574,328.05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1,119,634,336.98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1,129,756,907.88</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after="0" w:line="338" w:lineRule="auto"/>
        <w:jc w:val="left"/>
        <w:sectPr>
          <w:pgSz w:w="11910" w:h="16840"/>
          <w:pgMar w:header="746" w:footer="1225" w:top="1060" w:bottom="1420" w:left="1020" w:right="102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-4,990,538.48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-423,597.07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-27,716.85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11,172,699.15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11,241,733.56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14,992,795.64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6,244,972.54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369,301.36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-8,201,526.17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156,248.80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399,326.08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-179,112.47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2,267,604.19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2,472,442.68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1,917,801.10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963,248.04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2,069,211.73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2,486,918.41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7,743,533.06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11,192,051.82</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50"/>
        <w:ind w:right="112"/>
        <w:jc w:val="both"/>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t> 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12"/>
        <w:jc w:val="both"/>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both"/>
        <w:sectPr>
          <w:pgSz w:w="11910" w:h="16840"/>
          <w:pgMar w:header="746" w:footer="1225" w:top="106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52" w:right="3632"/>
        <w:jc w:val="center"/>
        <w:rPr>
          <w:b w:val="0"/>
          <w:bCs w:val="0"/>
        </w:rPr>
      </w:pPr>
      <w:bookmarkStart w:name="_bookmark3" w:id="4"/>
      <w:bookmarkEnd w:id="4"/>
      <w:r>
        <w:rPr>
          <w:b w:val="0"/>
          <w:bCs w:val="0"/>
        </w:rPr>
      </w:r>
      <w:r>
        <w:rPr/>
        <w:t>第四节</w:t>
      </w:r>
      <w:r>
        <w:rPr>
          <w:spacing w:val="-10"/>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86"/>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90" w:firstLine="420"/>
        <w:jc w:val="both"/>
      </w:pPr>
      <w:r>
        <w:rPr/>
        <w:t>报告期内，公司电气业务受配电行业市场竞争加剧、产品价格及毛利率下降等不利因素影响，营业收入及利润同比下 </w:t>
      </w:r>
      <w:r>
        <w:rPr>
          <w:spacing w:val="-2"/>
        </w:rPr>
        <w:t>降；聚酰亚胺新材料业务受市场接受程度影响，产品销售没有达到盈亏平衡的预期；</w:t>
      </w:r>
      <w:r>
        <w:rPr>
          <w:rFonts w:ascii="Times New Roman" w:hAnsi="Times New Roman" w:cs="Times New Roman" w:eastAsia="Times New Roman" w:hint="default"/>
          <w:spacing w:val="-2"/>
        </w:rPr>
        <w:t>2014</w:t>
      </w:r>
      <w:r>
        <w:rPr>
          <w:spacing w:val="-2"/>
        </w:rPr>
        <w:t>年公司全年发生较大亏损。公司管</w:t>
      </w:r>
      <w:r>
        <w:rPr>
          <w:spacing w:val="-62"/>
        </w:rPr>
        <w:t> </w:t>
      </w:r>
      <w:r>
        <w:rPr>
          <w:spacing w:val="-62"/>
        </w:rPr>
      </w:r>
      <w:r>
        <w:rPr/>
        <w:t>理层带领全体员工在市场开拓、内部管理、资本运作等方面积极改进，为公司走出困境、寻求发展奠定基础。</w:t>
      </w:r>
    </w:p>
    <w:p>
      <w:pPr>
        <w:pStyle w:val="BodyText"/>
        <w:spacing w:line="316" w:lineRule="auto" w:before="24"/>
        <w:ind w:right="192" w:firstLine="415"/>
        <w:jc w:val="both"/>
      </w:pPr>
      <w:r>
        <w:rPr>
          <w:rFonts w:ascii="宋体" w:hAnsi="宋体" w:cs="宋体" w:eastAsia="宋体" w:hint="default"/>
          <w:b/>
          <w:bCs/>
        </w:rPr>
        <w:t>市场开拓方面。</w:t>
      </w:r>
      <w:r>
        <w:rPr/>
        <w:t>报告期内，公司继续加大电气业务和聚酰亚胺新材料业务市场开发力度，从产品市场分析入手，重新 </w:t>
      </w:r>
      <w:r>
        <w:rPr>
          <w:spacing w:val="-2"/>
        </w:rPr>
        <w:t>定位市场营销策略和营销组织体系，梳理绩效考核与激励机制，从而推动公司核心产品销售业绩增长，全面提升公司营销职</w:t>
      </w:r>
      <w:r>
        <w:rPr>
          <w:spacing w:val="-65"/>
        </w:rPr>
        <w:t> </w:t>
      </w:r>
      <w:r>
        <w:rPr>
          <w:spacing w:val="-65"/>
        </w:rPr>
      </w:r>
      <w:r>
        <w:rPr/>
        <w:t>能能力。</w:t>
      </w:r>
    </w:p>
    <w:p>
      <w:pPr>
        <w:pStyle w:val="BodyText"/>
        <w:spacing w:line="316" w:lineRule="auto" w:before="19"/>
        <w:ind w:right="192" w:firstLine="420"/>
        <w:jc w:val="both"/>
      </w:pPr>
      <w:r>
        <w:rPr/>
        <w:t>电气业务，一是在公司传统的电网公司的招标市场上持续改进，优化投标工作，努力提升中标份额；二是加强重点产 </w:t>
      </w:r>
      <w:r>
        <w:rPr>
          <w:spacing w:val="-2"/>
        </w:rPr>
        <w:t>品宣传推广工作，突出产品特点和优势，通过优化销售方法，在满足客户需求的基础上，提高产品的市场认可度，从而扩大</w:t>
      </w:r>
      <w:r>
        <w:rPr>
          <w:spacing w:val="-65"/>
        </w:rPr>
        <w:t> </w:t>
      </w:r>
      <w:r>
        <w:rPr>
          <w:spacing w:val="-65"/>
        </w:rPr>
      </w:r>
      <w:r>
        <w:rPr>
          <w:spacing w:val="-2"/>
        </w:rPr>
        <w:t>销售规模；三是在巩固电网市场的基础上，依靠公司在电网市场多年积累的经验和知名度，大力开拓行业用户、工程用户和</w:t>
      </w:r>
      <w:r>
        <w:rPr>
          <w:spacing w:val="-66"/>
        </w:rPr>
        <w:t> </w:t>
      </w:r>
      <w:r>
        <w:rPr>
          <w:spacing w:val="-66"/>
        </w:rPr>
      </w:r>
      <w:r>
        <w:rPr/>
        <w:t>国际市场，支撑公司业绩回升；四是积极采取措施提高客户服务水平，提高产品质量，加强售后服务工作。</w:t>
      </w:r>
    </w:p>
    <w:p>
      <w:pPr>
        <w:pStyle w:val="BodyText"/>
        <w:spacing w:line="309" w:lineRule="auto" w:before="19"/>
        <w:ind w:right="192" w:firstLine="420"/>
        <w:jc w:val="both"/>
      </w:pPr>
      <w:r>
        <w:rPr/>
        <w:t>新材料业务，公司认真细分市场，仔细研究目标客户，探索了多个市场方向和营销路径，积极拓展多元化下游市场， </w:t>
      </w:r>
      <w:r>
        <w:rPr>
          <w:spacing w:val="-2"/>
        </w:rPr>
        <w:t>努力推广聚酰亚胺系列产品。尽管没有达到盈亏平衡的销售预期，但聚酰亚胺产品销售呈现出快速增长的势头，</w:t>
      </w:r>
      <w:r>
        <w:rPr>
          <w:rFonts w:ascii="Times New Roman" w:hAnsi="Times New Roman" w:cs="Times New Roman" w:eastAsia="Times New Roman" w:hint="default"/>
          <w:spacing w:val="-2"/>
        </w:rPr>
        <w:t>2012</w:t>
      </w:r>
      <w:r>
        <w:rPr>
          <w:spacing w:val="-2"/>
        </w:rPr>
        <w:t>年实现</w:t>
      </w:r>
      <w:r>
        <w:rPr>
          <w:spacing w:val="-63"/>
        </w:rPr>
        <w:t> </w:t>
      </w:r>
      <w:r>
        <w:rPr/>
        <w:t>营业收入</w:t>
      </w:r>
      <w:r>
        <w:rPr>
          <w:rFonts w:ascii="Times New Roman" w:hAnsi="Times New Roman" w:cs="Times New Roman" w:eastAsia="Times New Roman" w:hint="default"/>
        </w:rPr>
        <w:t>1,439.22</w:t>
      </w:r>
      <w:r>
        <w:rPr/>
        <w:t>万元，</w:t>
      </w:r>
      <w:r>
        <w:rPr>
          <w:rFonts w:ascii="Times New Roman" w:hAnsi="Times New Roman" w:cs="Times New Roman" w:eastAsia="Times New Roman" w:hint="default"/>
        </w:rPr>
        <w:t>2013</w:t>
      </w:r>
      <w:r>
        <w:rPr/>
        <w:t>年实现营业收入</w:t>
      </w:r>
      <w:r>
        <w:rPr>
          <w:rFonts w:ascii="Times New Roman" w:hAnsi="Times New Roman" w:cs="Times New Roman" w:eastAsia="Times New Roman" w:hint="default"/>
        </w:rPr>
        <w:t>2,907.39</w:t>
      </w:r>
      <w:r>
        <w:rPr/>
        <w:t>万元，</w:t>
      </w:r>
      <w:r>
        <w:rPr>
          <w:spacing w:val="-21"/>
        </w:rPr>
        <w:t> </w:t>
      </w:r>
      <w:r>
        <w:rPr>
          <w:rFonts w:ascii="Times New Roman" w:hAnsi="Times New Roman" w:cs="Times New Roman" w:eastAsia="Times New Roman" w:hint="default"/>
        </w:rPr>
        <w:t>2014</w:t>
      </w:r>
      <w:r>
        <w:rPr/>
        <w:t>年实现营业收入</w:t>
      </w:r>
      <w:r>
        <w:rPr>
          <w:rFonts w:ascii="Times New Roman" w:hAnsi="Times New Roman" w:cs="Times New Roman" w:eastAsia="Times New Roman" w:hint="default"/>
        </w:rPr>
        <w:t>4,543.73</w:t>
      </w:r>
      <w:r>
        <w:rPr/>
        <w:t>万元，平均增长达到</w:t>
      </w:r>
      <w:r>
        <w:rPr>
          <w:rFonts w:ascii="Times New Roman" w:hAnsi="Times New Roman" w:cs="Times New Roman" w:eastAsia="Times New Roman" w:hint="default"/>
        </w:rPr>
        <w:t>79.15%</w:t>
      </w:r>
      <w:r>
        <w:rPr/>
        <w:t>。</w:t>
      </w:r>
    </w:p>
    <w:p>
      <w:pPr>
        <w:pStyle w:val="BodyText"/>
        <w:spacing w:line="316" w:lineRule="auto" w:before="5"/>
        <w:ind w:right="231" w:firstLine="420"/>
        <w:jc w:val="both"/>
      </w:pPr>
      <w:r>
        <w:rPr/>
        <w:t>通过上述各项措施，公司在巩固现有优势市场的基础上，积极开拓新市场和薄弱市场，同时做好售前咨询、售后服务 工作，提高客户满意度，确保公司经营业绩的稳固。</w:t>
      </w:r>
    </w:p>
    <w:p>
      <w:pPr>
        <w:pStyle w:val="BodyText"/>
        <w:spacing w:line="316" w:lineRule="auto" w:before="19"/>
        <w:ind w:right="86" w:firstLine="415"/>
        <w:jc w:val="left"/>
      </w:pPr>
      <w:r>
        <w:rPr>
          <w:rFonts w:ascii="宋体" w:hAnsi="宋体" w:cs="宋体" w:eastAsia="宋体" w:hint="default"/>
          <w:b/>
          <w:bCs/>
          <w:spacing w:val="-1"/>
        </w:rPr>
        <w:t>内部管理方面。</w:t>
      </w:r>
      <w:r>
        <w:rPr>
          <w:spacing w:val="-1"/>
        </w:rPr>
        <w:t>报告期内，公司全面实行职业经理人制度，吸引聚集国际国内优秀人才，持续改善公司在生产、管理、</w:t>
      </w:r>
      <w:r>
        <w:rPr/>
        <w:t> </w:t>
      </w:r>
      <w:r>
        <w:rPr>
          <w:spacing w:val="-2"/>
        </w:rPr>
        <w:t>营销方面的薄弱环节，全面提升核心竞争力。根据公司发展战略要求，对公司章程进行了完善和修改，对原有组织结构、生</w:t>
      </w:r>
      <w:r>
        <w:rPr>
          <w:spacing w:val="-65"/>
        </w:rPr>
        <w:t> </w:t>
      </w:r>
      <w:r>
        <w:rPr>
          <w:spacing w:val="-65"/>
        </w:rPr>
      </w:r>
      <w:r>
        <w:rPr>
          <w:spacing w:val="-2"/>
        </w:rPr>
        <w:t>产管理体系、技术研发产业化流程、考核激励机制进行了调整和优化。新的组织架构包括决策职能、战略管理职能、核心业</w:t>
      </w:r>
      <w:r>
        <w:rPr>
          <w:spacing w:val="-65"/>
        </w:rPr>
        <w:t> </w:t>
      </w:r>
      <w:r>
        <w:rPr>
          <w:spacing w:val="-65"/>
        </w:rPr>
      </w:r>
      <w:r>
        <w:rPr>
          <w:spacing w:val="-2"/>
        </w:rPr>
        <w:t>务职能、财务和控制职能以及人事行政职能在内的完整的组织功能，职责分工明确、各职能协同运作有效支撑公司各项业务</w:t>
      </w:r>
      <w:r>
        <w:rPr>
          <w:spacing w:val="-65"/>
        </w:rPr>
        <w:t> </w:t>
      </w:r>
      <w:r>
        <w:rPr>
          <w:spacing w:val="-65"/>
        </w:rPr>
      </w:r>
      <w:r>
        <w:rPr>
          <w:spacing w:val="-2"/>
        </w:rPr>
        <w:t>发展。围绕战略目标，公司在管理和业务开展的各环节中进行风险管理和风险控制，树立全员风控意识，使内部控制体系更</w:t>
      </w:r>
      <w:r>
        <w:rPr>
          <w:spacing w:val="-66"/>
        </w:rPr>
        <w:t> </w:t>
      </w:r>
      <w:r>
        <w:rPr>
          <w:spacing w:val="-66"/>
        </w:rPr>
      </w:r>
      <w:r>
        <w:rPr>
          <w:spacing w:val="-2"/>
        </w:rPr>
        <w:t>加健全，规范管理水平进一步提升。公司还积极强化内部基础管理工作，完善制度和管理流程，完善各级人员工作标准，推</w:t>
      </w:r>
      <w:r>
        <w:rPr>
          <w:spacing w:val="-65"/>
        </w:rPr>
        <w:t> </w:t>
      </w:r>
      <w:r>
        <w:rPr>
          <w:spacing w:val="-65"/>
        </w:rPr>
      </w:r>
      <w:r>
        <w:rPr>
          <w:spacing w:val="-2"/>
        </w:rPr>
        <w:t>行全面预算管理和全员业绩考核，从考核指标、考核范围、执行过程监督、考核结果改进等细节入手，通过绩效考核，把员</w:t>
      </w:r>
      <w:r>
        <w:rPr>
          <w:spacing w:val="-66"/>
        </w:rPr>
        <w:t> </w:t>
      </w:r>
      <w:r>
        <w:rPr>
          <w:spacing w:val="-66"/>
        </w:rPr>
      </w:r>
      <w:r>
        <w:rPr/>
        <w:t>工聘用、培训发展、劳动薪酬相结合，使得企业激励机制得到充分运用。</w:t>
      </w:r>
    </w:p>
    <w:p>
      <w:pPr>
        <w:pStyle w:val="BodyText"/>
        <w:spacing w:line="312" w:lineRule="auto" w:before="59"/>
        <w:ind w:right="94" w:firstLine="360"/>
        <w:jc w:val="left"/>
      </w:pPr>
      <w:r>
        <w:rPr>
          <w:rFonts w:ascii="宋体" w:hAnsi="宋体" w:cs="宋体" w:eastAsia="宋体" w:hint="default"/>
          <w:b/>
          <w:bCs/>
          <w:spacing w:val="-2"/>
        </w:rPr>
        <w:t>投资运作方面</w:t>
      </w:r>
      <w:r>
        <w:rPr>
          <w:spacing w:val="-2"/>
        </w:rPr>
        <w:t>。报告期内，公司进一步理顺产业结构，审慎研究、充分论证聚酰亚胺新材料业务现状与风险，公司认为</w:t>
      </w:r>
      <w:r>
        <w:rPr/>
        <w:t> </w:t>
      </w:r>
      <w:r>
        <w:rPr>
          <w:spacing w:val="-2"/>
        </w:rPr>
        <w:t>虽然聚酰亚胺产品应用领域广泛，市场前景看好，但是目前技术和工艺不完善的现状以及市场对聚酰亚胺产品和价格的接受</w:t>
      </w:r>
      <w:r>
        <w:rPr>
          <w:spacing w:val="-64"/>
        </w:rPr>
        <w:t> </w:t>
      </w:r>
      <w:r>
        <w:rPr>
          <w:spacing w:val="-64"/>
        </w:rPr>
      </w:r>
      <w:r>
        <w:rPr>
          <w:spacing w:val="-4"/>
        </w:rPr>
        <w:t>程度不理想的困难在短期内难以完全克服，子公司长春高琦、江西先材一直处于亏损状态，预计在今后一段时期内长春高琦、</w:t>
      </w:r>
      <w:r>
        <w:rPr>
          <w:spacing w:val="-40"/>
        </w:rPr>
        <w:t> </w:t>
      </w:r>
      <w:r>
        <w:rPr>
          <w:spacing w:val="-40"/>
        </w:rPr>
      </w:r>
      <w:r>
        <w:rPr/>
        <w:t>江西先材将持续亏损，未来发展存在较大的不确定性，为了保证公司资产安全和保值增值，优化资产质量，回避经营风险， 公司与股东吕晓义、何平签订了《股权转让协议》将长春高琦</w:t>
      </w:r>
      <w:r>
        <w:rPr>
          <w:rFonts w:ascii="Times New Roman" w:hAnsi="Times New Roman" w:cs="Times New Roman" w:eastAsia="Times New Roman" w:hint="default"/>
        </w:rPr>
        <w:t>66.63177%</w:t>
      </w:r>
      <w:r>
        <w:rPr/>
        <w:t>股权转让给吕晓义，将江西先材</w:t>
      </w:r>
      <w:r>
        <w:rPr>
          <w:rFonts w:ascii="Times New Roman" w:hAnsi="Times New Roman" w:cs="Times New Roman" w:eastAsia="Times New Roman" w:hint="default"/>
        </w:rPr>
        <w:t>52.8%</w:t>
      </w:r>
      <w:r>
        <w:rPr/>
        <w:t>股权转让给</w:t>
      </w:r>
      <w:r>
        <w:rPr>
          <w:spacing w:val="-41"/>
        </w:rPr>
        <w:t> </w:t>
      </w:r>
      <w:r>
        <w:rPr>
          <w:spacing w:val="-41"/>
        </w:rPr>
      </w:r>
      <w:r>
        <w:rPr>
          <w:spacing w:val="-2"/>
        </w:rPr>
        <w:t>吕晓义、何平。通过股权转让回收现金有利于公司巩固和发展现有业务，寻求新的利润增长点。</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月公司筹划重大资</w:t>
      </w:r>
      <w:r>
        <w:rPr>
          <w:spacing w:val="-61"/>
        </w:rPr>
        <w:t> </w:t>
      </w:r>
      <w:r>
        <w:rPr/>
        <w:t>产重组工作，虽然后期终止资产重组，但公司积极寻求外延内涵式扩张、努力推进产业延伸、升级、转型的思路已经明确。</w:t>
      </w:r>
    </w:p>
    <w:p>
      <w:pPr>
        <w:spacing w:after="0" w:line="312" w:lineRule="auto"/>
        <w:jc w:val="left"/>
        <w:sectPr>
          <w:footerReference w:type="default" r:id="rId13"/>
          <w:pgSz w:w="11910" w:h="16840"/>
          <w:pgMar w:footer="1225" w:header="746" w:top="1060" w:bottom="1420" w:left="1020" w:right="940"/>
          <w:pgNumType w:start="10"/>
        </w:sectPr>
      </w:pPr>
    </w:p>
    <w:p>
      <w:pPr>
        <w:spacing w:line="240" w:lineRule="auto" w:before="8"/>
        <w:rPr>
          <w:rFonts w:ascii="宋体" w:hAnsi="宋体" w:cs="宋体" w:eastAsia="宋体" w:hint="default"/>
          <w:sz w:val="23"/>
          <w:szCs w:val="23"/>
        </w:rPr>
      </w:pPr>
    </w:p>
    <w:p>
      <w:pPr>
        <w:pStyle w:val="Heading4"/>
        <w:spacing w:line="240" w:lineRule="auto" w:before="26"/>
        <w:ind w:right="138"/>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38"/>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49" w:firstLine="360"/>
        <w:jc w:val="both"/>
      </w:pPr>
      <w:r>
        <w:rPr>
          <w:rFonts w:ascii="Times New Roman" w:hAnsi="Times New Roman" w:cs="Times New Roman" w:eastAsia="Times New Roman" w:hint="default"/>
          <w:spacing w:val="-2"/>
        </w:rPr>
        <w:t>2014</w:t>
      </w:r>
      <w:r>
        <w:rPr>
          <w:spacing w:val="-2"/>
        </w:rPr>
        <w:t>年，由于电气业务市场竞争加剧，公司产品中标数量、中标金额大幅下降；公司加大市场拓展力度，导致销售费用</w:t>
      </w:r>
      <w:r>
        <w:rPr/>
        <w:t> </w:t>
      </w:r>
      <w:r>
        <w:rPr>
          <w:spacing w:val="-2"/>
        </w:rPr>
        <w:t>上升；期内计提资产减值损失；聚酰亚胺新材料业务销售未达到预期，成本费用大幅上升等不利因素影响，公司营业收入及</w:t>
      </w:r>
      <w:r>
        <w:rPr>
          <w:spacing w:val="-64"/>
        </w:rPr>
        <w:t> </w:t>
      </w:r>
      <w:r>
        <w:rPr>
          <w:spacing w:val="-64"/>
        </w:rPr>
      </w:r>
      <w:r>
        <w:rPr/>
        <w:t>净利润较前期均大幅下滑。</w:t>
      </w:r>
      <w:r>
        <w:rPr>
          <w:rFonts w:ascii="Times New Roman" w:hAnsi="Times New Roman" w:cs="Times New Roman" w:eastAsia="Times New Roman" w:hint="default"/>
        </w:rPr>
        <w:t>2014</w:t>
      </w:r>
      <w:r>
        <w:rPr/>
        <w:t>年全年公司实现营业收入</w:t>
      </w:r>
      <w:r>
        <w:rPr>
          <w:rFonts w:ascii="Times New Roman" w:hAnsi="Times New Roman" w:cs="Times New Roman" w:eastAsia="Times New Roman" w:hint="default"/>
        </w:rPr>
        <w:t>31,320.10</w:t>
      </w:r>
      <w:r>
        <w:rPr/>
        <w:t>万元，同比下降</w:t>
      </w:r>
      <w:r>
        <w:rPr>
          <w:rFonts w:ascii="Times New Roman" w:hAnsi="Times New Roman" w:cs="Times New Roman" w:eastAsia="Times New Roman" w:hint="default"/>
        </w:rPr>
        <w:t>27.63%</w:t>
      </w:r>
      <w:r>
        <w:rPr/>
        <w:t>；营业利润</w:t>
      </w:r>
      <w:r>
        <w:rPr>
          <w:rFonts w:ascii="Times New Roman" w:hAnsi="Times New Roman" w:cs="Times New Roman" w:eastAsia="Times New Roman" w:hint="default"/>
        </w:rPr>
        <w:t>-11,791.00</w:t>
      </w:r>
      <w:r>
        <w:rPr/>
        <w:t>万元，同比</w:t>
      </w:r>
      <w:r>
        <w:rPr>
          <w:spacing w:val="-83"/>
        </w:rPr>
        <w:t> </w:t>
      </w:r>
      <w:r>
        <w:rPr>
          <w:spacing w:val="-83"/>
        </w:rPr>
      </w:r>
      <w:r>
        <w:rPr/>
        <w:t>下降</w:t>
      </w:r>
      <w:r>
        <w:rPr>
          <w:rFonts w:ascii="Times New Roman" w:hAnsi="Times New Roman" w:cs="Times New Roman" w:eastAsia="Times New Roman" w:hint="default"/>
        </w:rPr>
        <w:t>549.91</w:t>
      </w:r>
      <w:r>
        <w:rPr>
          <w:rFonts w:ascii="Times New Roman" w:hAnsi="Times New Roman" w:cs="Times New Roman" w:eastAsia="Times New Roman" w:hint="default"/>
          <w:spacing w:val="-15"/>
        </w:rPr>
        <w:t> </w:t>
      </w:r>
      <w:r>
        <w:rPr>
          <w:rFonts w:ascii="Times New Roman" w:hAnsi="Times New Roman" w:cs="Times New Roman" w:eastAsia="Times New Roman" w:hint="default"/>
        </w:rPr>
        <w:t>%</w:t>
      </w:r>
      <w:r>
        <w:rPr/>
        <w:t>；归属于上市公司股东的净利润</w:t>
      </w:r>
      <w:r>
        <w:rPr>
          <w:rFonts w:ascii="Times New Roman" w:hAnsi="Times New Roman" w:cs="Times New Roman" w:eastAsia="Times New Roman" w:hint="default"/>
        </w:rPr>
        <w:t>-8,885.23</w:t>
      </w:r>
      <w:r>
        <w:rPr/>
        <w:t>万元，同比下降</w:t>
      </w:r>
      <w:r>
        <w:rPr>
          <w:rFonts w:ascii="Times New Roman" w:hAnsi="Times New Roman" w:cs="Times New Roman" w:eastAsia="Times New Roman" w:hint="default"/>
        </w:rPr>
        <w:t>349.17%</w:t>
      </w:r>
      <w:r>
        <w:rPr/>
        <w:t>；产品毛利率</w:t>
      </w:r>
      <w:r>
        <w:rPr>
          <w:spacing w:val="-28"/>
        </w:rPr>
        <w:t> </w:t>
      </w:r>
      <w:r>
        <w:rPr>
          <w:rFonts w:ascii="Times New Roman" w:hAnsi="Times New Roman" w:cs="Times New Roman" w:eastAsia="Times New Roman" w:hint="default"/>
        </w:rPr>
        <w:t>31.21</w:t>
      </w:r>
      <w:r>
        <w:rPr>
          <w:rFonts w:ascii="Times New Roman" w:hAnsi="Times New Roman" w:cs="Times New Roman" w:eastAsia="Times New Roman" w:hint="default"/>
          <w:spacing w:val="-15"/>
        </w:rPr>
        <w:t> </w:t>
      </w:r>
      <w:r>
        <w:rPr>
          <w:rFonts w:ascii="Times New Roman" w:hAnsi="Times New Roman" w:cs="Times New Roman" w:eastAsia="Times New Roman" w:hint="default"/>
        </w:rPr>
        <w:t>%</w:t>
      </w:r>
      <w:r>
        <w:rPr/>
        <w:t>，同比下降</w:t>
      </w:r>
      <w:r>
        <w:rPr>
          <w:rFonts w:ascii="Times New Roman" w:hAnsi="Times New Roman" w:cs="Times New Roman" w:eastAsia="Times New Roman" w:hint="default"/>
        </w:rPr>
        <w:t>3.33</w:t>
      </w:r>
      <w:r>
        <w:rPr/>
        <w:t>个百分 点。</w:t>
      </w:r>
    </w:p>
    <w:tbl>
      <w:tblPr>
        <w:tblW w:w="0" w:type="auto"/>
        <w:jc w:val="left"/>
        <w:tblInd w:w="106" w:type="dxa"/>
        <w:tblLayout w:type="fixed"/>
        <w:tblCellMar>
          <w:top w:w="0" w:type="dxa"/>
          <w:left w:w="0" w:type="dxa"/>
          <w:bottom w:w="0" w:type="dxa"/>
          <w:right w:w="0" w:type="dxa"/>
        </w:tblCellMar>
        <w:tblLook w:val="01E0"/>
      </w:tblPr>
      <w:tblGrid>
        <w:gridCol w:w="1807"/>
        <w:gridCol w:w="1582"/>
        <w:gridCol w:w="2341"/>
        <w:gridCol w:w="1964"/>
        <w:gridCol w:w="1964"/>
      </w:tblGrid>
      <w:tr>
        <w:trPr>
          <w:trHeight w:val="427" w:hRule="exact"/>
        </w:trPr>
        <w:tc>
          <w:tcPr>
            <w:tcW w:w="18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年（万元）</w:t>
            </w:r>
          </w:p>
        </w:tc>
        <w:tc>
          <w:tcPr>
            <w:tcW w:w="2341"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年（万元）</w:t>
            </w:r>
          </w:p>
        </w:tc>
        <w:tc>
          <w:tcPr>
            <w:tcW w:w="196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6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31,320.10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43,277.02</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-27.63</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市场订单下降</w:t>
            </w: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22,253.18</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28,185.10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-21.05</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市场订单下降</w:t>
            </w: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7,959.46</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4,345.49</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83.17</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加大力度开拓市场所致</w:t>
            </w:r>
          </w:p>
        </w:tc>
      </w:tr>
      <w:tr>
        <w:trPr>
          <w:trHeight w:val="739" w:hRule="exact"/>
        </w:trPr>
        <w:tc>
          <w:tcPr>
            <w:tcW w:w="18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10,988.42</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7,303.09</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50.46</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524" w:right="75" w:hanging="452"/>
              <w:jc w:val="left"/>
              <w:rPr>
                <w:rFonts w:ascii="宋体" w:hAnsi="宋体" w:cs="宋体" w:eastAsia="宋体" w:hint="default"/>
                <w:sz w:val="18"/>
                <w:szCs w:val="18"/>
              </w:rPr>
            </w:pPr>
            <w:r>
              <w:rPr>
                <w:rFonts w:ascii="宋体" w:hAnsi="宋体" w:cs="宋体" w:eastAsia="宋体" w:hint="default"/>
                <w:sz w:val="18"/>
                <w:szCs w:val="18"/>
              </w:rPr>
              <w:t>管理规模扩大及研发投 入增加所致</w:t>
            </w: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center"/>
              <w:rPr>
                <w:rFonts w:ascii="Times New Roman" w:hAnsi="Times New Roman" w:cs="Times New Roman" w:eastAsia="Times New Roman" w:hint="default"/>
                <w:sz w:val="18"/>
                <w:szCs w:val="18"/>
              </w:rPr>
            </w:pPr>
            <w:r>
              <w:rPr>
                <w:rFonts w:ascii="Times New Roman"/>
                <w:sz w:val="18"/>
              </w:rPr>
              <w:t>-334.93</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-435.00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23.00</w:t>
            </w:r>
          </w:p>
        </w:tc>
        <w:tc>
          <w:tcPr>
            <w:tcW w:w="19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4,484.32</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4,367.21</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2.68</w:t>
            </w:r>
          </w:p>
        </w:tc>
        <w:tc>
          <w:tcPr>
            <w:tcW w:w="1964"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80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316" w:lineRule="auto" w:before="60"/>
              <w:ind w:left="536" w:right="85" w:hanging="452"/>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5,785.03</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6,954.86</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-16.82</w:t>
            </w:r>
          </w:p>
        </w:tc>
        <w:tc>
          <w:tcPr>
            <w:tcW w:w="19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25"/>
          <w:szCs w:val="25"/>
        </w:rPr>
      </w:pPr>
    </w:p>
    <w:p>
      <w:pPr>
        <w:pStyle w:val="BodyText"/>
        <w:spacing w:line="240" w:lineRule="auto" w:before="44"/>
        <w:ind w:right="138"/>
        <w:jc w:val="left"/>
      </w:pPr>
      <w:r>
        <w:rPr/>
        <w:t>公司回顾总结前期披露的发展战略和经营计划在报告期内的进展情况</w:t>
      </w:r>
    </w:p>
    <w:p>
      <w:pPr>
        <w:pStyle w:val="BodyText"/>
        <w:spacing w:line="300" w:lineRule="auto" w:before="115"/>
        <w:ind w:right="152" w:firstLine="480"/>
        <w:jc w:val="both"/>
      </w:pPr>
      <w:r>
        <w:rPr>
          <w:rFonts w:ascii="Times New Roman" w:hAnsi="Times New Roman" w:cs="Times New Roman" w:eastAsia="Times New Roman" w:hint="default"/>
        </w:rPr>
        <w:t>2014</w:t>
      </w:r>
      <w:r>
        <w:rPr/>
        <w:t>年公司遵循</w:t>
      </w:r>
      <w:r>
        <w:rPr>
          <w:rFonts w:ascii="Times New Roman" w:hAnsi="Times New Roman" w:cs="Times New Roman" w:eastAsia="Times New Roman" w:hint="default"/>
        </w:rPr>
        <w:t>“</w:t>
      </w:r>
      <w:r>
        <w:rPr/>
        <w:t>保持电气产品的市场投入，巩固和提升电气产品的市场份额和盈利能力；加快新材料产品的研发、 产业化、市场营销力度，构筑产品技术壁垒，挖掘和培育新的利润增长点</w:t>
      </w:r>
      <w:r>
        <w:rPr>
          <w:rFonts w:ascii="Times New Roman" w:hAnsi="Times New Roman" w:cs="Times New Roman" w:eastAsia="Times New Roman" w:hint="default"/>
        </w:rPr>
        <w:t>”</w:t>
      </w:r>
      <w:r>
        <w:rPr/>
        <w:t>的发展规划，埋头经营，努力克服不利因素的影</w:t>
      </w:r>
      <w:r>
        <w:rPr>
          <w:spacing w:val="-76"/>
        </w:rPr>
        <w:t> </w:t>
      </w:r>
      <w:r>
        <w:rPr>
          <w:spacing w:val="-76"/>
        </w:rPr>
      </w:r>
      <w:r>
        <w:rPr/>
        <w:t>响。</w:t>
      </w:r>
    </w:p>
    <w:p>
      <w:pPr>
        <w:pStyle w:val="BodyText"/>
        <w:spacing w:line="300" w:lineRule="auto" w:before="31"/>
        <w:ind w:right="149" w:firstLine="360"/>
        <w:jc w:val="both"/>
      </w:pPr>
      <w:r>
        <w:rPr/>
        <w:t>（</w:t>
      </w:r>
      <w:r>
        <w:rPr>
          <w:rFonts w:ascii="Times New Roman" w:hAnsi="Times New Roman" w:cs="Times New Roman" w:eastAsia="Times New Roman" w:hint="default"/>
        </w:rPr>
        <w:t>1</w:t>
      </w:r>
      <w:r>
        <w:rPr/>
        <w:t>）电气业务实现营业收入</w:t>
      </w:r>
      <w:r>
        <w:rPr>
          <w:rFonts w:ascii="Times New Roman" w:hAnsi="Times New Roman" w:cs="Times New Roman" w:eastAsia="Times New Roman" w:hint="default"/>
        </w:rPr>
        <w:t>26,487.68</w:t>
      </w:r>
      <w:r>
        <w:rPr/>
        <w:t>万元，与去年同期相比下降</w:t>
      </w:r>
      <w:r>
        <w:rPr>
          <w:rFonts w:ascii="Times New Roman" w:hAnsi="Times New Roman" w:cs="Times New Roman" w:eastAsia="Times New Roman" w:hint="default"/>
        </w:rPr>
        <w:t>33.89 %</w:t>
      </w:r>
      <w:r>
        <w:rPr/>
        <w:t>，产品毛利率</w:t>
      </w:r>
      <w:r>
        <w:rPr>
          <w:rFonts w:ascii="Times New Roman" w:hAnsi="Times New Roman" w:cs="Times New Roman" w:eastAsia="Times New Roman" w:hint="default"/>
        </w:rPr>
        <w:t>36.47</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3"/>
        </w:rPr>
        <w:t>%</w:t>
      </w:r>
      <w:r>
        <w:rPr>
          <w:spacing w:val="-3"/>
        </w:rPr>
        <w:t>，上升</w:t>
      </w:r>
      <w:r>
        <w:rPr>
          <w:rFonts w:ascii="Times New Roman" w:hAnsi="Times New Roman" w:cs="Times New Roman" w:eastAsia="Times New Roman" w:hint="default"/>
          <w:spacing w:val="-3"/>
        </w:rPr>
        <w:t>1.75</w:t>
      </w:r>
      <w:r>
        <w:rPr>
          <w:spacing w:val="-3"/>
        </w:rPr>
        <w:t>个百分点，主</w:t>
      </w:r>
      <w:r>
        <w:rPr/>
        <w:t> 要受公司电气产品市场竞争激烈，公司中标金额下降等因素的影响。</w:t>
      </w:r>
    </w:p>
    <w:p>
      <w:pPr>
        <w:pStyle w:val="BodyText"/>
        <w:spacing w:line="309" w:lineRule="auto" w:before="31"/>
        <w:ind w:right="152" w:firstLine="360"/>
        <w:jc w:val="both"/>
      </w:pPr>
      <w:r>
        <w:rPr/>
        <w:t>（</w:t>
      </w:r>
      <w:r>
        <w:rPr>
          <w:rFonts w:ascii="Times New Roman" w:hAnsi="Times New Roman" w:cs="Times New Roman" w:eastAsia="Times New Roman" w:hint="default"/>
        </w:rPr>
        <w:t>2</w:t>
      </w:r>
      <w:r>
        <w:rPr/>
        <w:t>）聚酰亚胺业务实现营业收入4,543.73万元，与去年同期相比上升56.28</w:t>
      </w:r>
      <w:r>
        <w:rPr>
          <w:spacing w:val="-59"/>
        </w:rPr>
        <w:t> </w:t>
      </w:r>
      <w:r>
        <w:rPr>
          <w:rFonts w:ascii="Times New Roman" w:hAnsi="Times New Roman" w:cs="Times New Roman" w:eastAsia="Times New Roman" w:hint="default"/>
        </w:rPr>
        <w:t>%</w:t>
      </w:r>
      <w:r>
        <w:rPr/>
        <w:t>，产品毛利率0.54</w:t>
      </w:r>
      <w:r>
        <w:rPr>
          <w:spacing w:val="-61"/>
        </w:rPr>
        <w:t> </w:t>
      </w:r>
      <w:r>
        <w:rPr>
          <w:rFonts w:ascii="Times New Roman" w:hAnsi="Times New Roman" w:cs="Times New Roman" w:eastAsia="Times New Roman" w:hint="default"/>
        </w:rPr>
        <w:t>%</w:t>
      </w:r>
      <w:r>
        <w:rPr/>
        <w:t>，下降31.40个百分 </w:t>
      </w:r>
      <w:r>
        <w:rPr>
          <w:spacing w:val="-2"/>
        </w:rPr>
        <w:t>点。虽然聚酰亚胺产品市场销售情况不及预期，未能实现盈亏平衡，但公司不断在产品战略、技术更新、生产工艺、能耗功</w:t>
      </w:r>
      <w:r>
        <w:rPr>
          <w:spacing w:val="-66"/>
        </w:rPr>
        <w:t> </w:t>
      </w:r>
      <w:r>
        <w:rPr>
          <w:spacing w:val="-66"/>
        </w:rPr>
      </w:r>
      <w:r>
        <w:rPr/>
        <w:t>效、营销策略等方面进行改进和优化，主要表现在报告期内生产能耗显著下降、产品质量明显改善、工艺水平有所提升。</w:t>
      </w:r>
    </w:p>
    <w:p>
      <w:pPr>
        <w:pStyle w:val="BodyText"/>
        <w:spacing w:line="312" w:lineRule="auto" w:before="24"/>
        <w:ind w:right="152" w:firstLine="420"/>
        <w:jc w:val="both"/>
      </w:pPr>
      <w:r>
        <w:rPr/>
        <w:t>1）聚酰亚胺纤维产品实现营业收入</w:t>
      </w:r>
      <w:r>
        <w:rPr>
          <w:rFonts w:ascii="Times New Roman" w:hAnsi="Times New Roman" w:cs="Times New Roman" w:eastAsia="Times New Roman" w:hint="default"/>
        </w:rPr>
        <w:t>3,903.95</w:t>
      </w:r>
      <w:r>
        <w:rPr/>
        <w:t>万元，同比上升</w:t>
      </w:r>
      <w:r>
        <w:rPr>
          <w:rFonts w:ascii="Times New Roman" w:hAnsi="Times New Roman" w:cs="Times New Roman" w:eastAsia="Times New Roman" w:hint="default"/>
        </w:rPr>
        <w:t>50.07%</w:t>
      </w:r>
      <w:r>
        <w:rPr/>
        <w:t>；产品毛利率</w:t>
      </w:r>
      <w:r>
        <w:rPr>
          <w:spacing w:val="-43"/>
        </w:rPr>
        <w:t> </w:t>
      </w:r>
      <w:r>
        <w:rPr>
          <w:rFonts w:ascii="Times New Roman" w:hAnsi="Times New Roman" w:cs="Times New Roman" w:eastAsia="Times New Roman" w:hint="default"/>
        </w:rPr>
        <w:t>2.10%</w:t>
      </w:r>
      <w:r>
        <w:rPr/>
        <w:t>，同比下降</w:t>
      </w:r>
      <w:r>
        <w:rPr>
          <w:rFonts w:ascii="Times New Roman" w:hAnsi="Times New Roman" w:cs="Times New Roman" w:eastAsia="Times New Roman" w:hint="default"/>
        </w:rPr>
        <w:t>30.62</w:t>
      </w:r>
      <w:r>
        <w:rPr/>
        <w:t>个百分点。聚 </w:t>
      </w:r>
      <w:r>
        <w:rPr>
          <w:spacing w:val="-2"/>
        </w:rPr>
        <w:t>酰亚胺纤维产品毛利率大幅下降，主要原因是报告期内原材料成本上升、产品价格下调所致。作为世界第二家、国内第一家</w:t>
      </w:r>
      <w:r>
        <w:rPr>
          <w:spacing w:val="-66"/>
        </w:rPr>
        <w:t> </w:t>
      </w:r>
      <w:r>
        <w:rPr>
          <w:spacing w:val="-66"/>
        </w:rPr>
      </w:r>
      <w:r>
        <w:rPr/>
        <w:t>生产聚酰亚胺纤维的企业，公司产品的性能、质量完全可以与德国赢创集团的P84纤维媲美，正在逐步获得市场、客户的认</w:t>
      </w:r>
      <w:r>
        <w:rPr/>
        <w:t> 可，目前国内国外的大部分知名高温滤袋厂商均与公司建立了销售关系。</w:t>
      </w:r>
    </w:p>
    <w:p>
      <w:pPr>
        <w:pStyle w:val="BodyText"/>
        <w:spacing w:line="300" w:lineRule="auto" w:before="22"/>
        <w:ind w:right="236" w:firstLine="420"/>
        <w:jc w:val="both"/>
      </w:pPr>
      <w:r>
        <w:rPr/>
        <w:t>2）聚酰亚胺树脂产品（特种工程塑料），实现营业收入</w:t>
      </w:r>
      <w:r>
        <w:rPr>
          <w:rFonts w:ascii="Times New Roman" w:hAnsi="Times New Roman" w:cs="Times New Roman" w:eastAsia="Times New Roman" w:hint="default"/>
        </w:rPr>
        <w:t>428.24</w:t>
      </w:r>
      <w:r>
        <w:rPr/>
        <w:t>万元，同比上升</w:t>
      </w:r>
      <w:r>
        <w:rPr>
          <w:rFonts w:ascii="Times New Roman" w:hAnsi="Times New Roman" w:cs="Times New Roman" w:eastAsia="Times New Roman" w:hint="default"/>
        </w:rPr>
        <w:t>39.98%</w:t>
      </w:r>
      <w:r>
        <w:rPr/>
        <w:t>；产品毛利率</w:t>
      </w:r>
      <w:r>
        <w:rPr>
          <w:rFonts w:ascii="Times New Roman" w:hAnsi="Times New Roman" w:cs="Times New Roman" w:eastAsia="Times New Roman" w:hint="default"/>
        </w:rPr>
        <w:t>-13.41%</w:t>
      </w:r>
      <w:r>
        <w:rPr/>
        <w:t>，同比下 降</w:t>
      </w:r>
      <w:r>
        <w:rPr>
          <w:rFonts w:ascii="Times New Roman" w:hAnsi="Times New Roman" w:cs="Times New Roman" w:eastAsia="Times New Roman" w:hint="default"/>
        </w:rPr>
        <w:t>38.64</w:t>
      </w:r>
      <w:r>
        <w:rPr/>
        <w:t>个百分点。聚酰亚胺树脂产品毛利率大幅下降，主要原因是报告期内原材料成本上升、产品价格下调所致。</w:t>
      </w:r>
    </w:p>
    <w:p>
      <w:pPr>
        <w:pStyle w:val="BodyText"/>
        <w:spacing w:line="300" w:lineRule="auto" w:before="13"/>
        <w:ind w:right="152" w:firstLine="420"/>
        <w:jc w:val="both"/>
      </w:pPr>
      <w:r>
        <w:rPr>
          <w:spacing w:val="-1"/>
        </w:rPr>
        <w:t>3）聚酰亚胺薄膜材料（可弯曲白光柔性透明导电膜）实现营业收入</w:t>
      </w:r>
      <w:r>
        <w:rPr>
          <w:rFonts w:ascii="Times New Roman" w:hAnsi="Times New Roman" w:cs="Times New Roman" w:eastAsia="Times New Roman" w:hint="default"/>
          <w:spacing w:val="-1"/>
        </w:rPr>
        <w:t>211.53</w:t>
      </w:r>
      <w:r>
        <w:rPr>
          <w:spacing w:val="-1"/>
        </w:rPr>
        <w:t>万元，这是公司在电子级聚酰亚胺薄膜材料</w:t>
      </w:r>
      <w:r>
        <w:rPr/>
        <w:t> 方面首次实现规模化销售突破。</w:t>
      </w:r>
    </w:p>
    <w:p>
      <w:pPr>
        <w:pStyle w:val="BodyText"/>
        <w:spacing w:line="300" w:lineRule="auto" w:before="72"/>
        <w:ind w:right="138" w:firstLine="360"/>
        <w:jc w:val="left"/>
      </w:pPr>
      <w:r>
        <w:rPr>
          <w:spacing w:val="-2"/>
        </w:rPr>
        <w:t>4）聚酰亚胺纳米纤维锂电池隔膜方面，江西先材的生产设备采购工作尚未开始，由此影响一期</w:t>
      </w:r>
      <w:r>
        <w:rPr>
          <w:spacing w:val="-42"/>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t>万平方米锂电池隔 膜项目厂房建成投产时间比原计划延迟</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个月以上。报告期，公司继续对产品配方进行优化，已经形成</w:t>
      </w:r>
      <w:r>
        <w:rPr>
          <w:spacing w:val="-46"/>
        </w:rPr>
        <w:t> </w:t>
      </w:r>
      <w:r>
        <w:rPr>
          <w:rFonts w:ascii="Times New Roman" w:hAnsi="Times New Roman" w:cs="Times New Roman" w:eastAsia="Times New Roman" w:hint="default"/>
        </w:rPr>
        <w:t>PI20</w:t>
      </w:r>
      <w:r>
        <w:rPr/>
        <w:t>、</w:t>
      </w:r>
      <w:r>
        <w:rPr>
          <w:rFonts w:ascii="Times New Roman" w:hAnsi="Times New Roman" w:cs="Times New Roman" w:eastAsia="Times New Roman" w:hint="default"/>
        </w:rPr>
        <w:t>PI40</w:t>
      </w:r>
      <w:r>
        <w:rPr/>
        <w:t>、</w:t>
      </w:r>
      <w:r>
        <w:rPr>
          <w:rFonts w:ascii="Times New Roman" w:hAnsi="Times New Roman" w:cs="Times New Roman" w:eastAsia="Times New Roman" w:hint="default"/>
        </w:rPr>
        <w:t>PI60</w:t>
      </w:r>
      <w:r>
        <w:rPr>
          <w:rFonts w:ascii="Times New Roman" w:hAnsi="Times New Roman" w:cs="Times New Roman" w:eastAsia="Times New Roman" w:hint="default"/>
          <w:w w:val="99"/>
        </w:rPr>
        <w:t> </w:t>
      </w:r>
      <w:r>
        <w:rPr/>
        <w:t>三大系列产品，其中</w:t>
      </w:r>
      <w:r>
        <w:rPr>
          <w:spacing w:val="-61"/>
        </w:rPr>
        <w:t> </w:t>
      </w:r>
      <w:r>
        <w:rPr>
          <w:rFonts w:ascii="Times New Roman" w:hAnsi="Times New Roman" w:cs="Times New Roman" w:eastAsia="Times New Roman" w:hint="default"/>
        </w:rPr>
        <w:t>PI60</w:t>
      </w:r>
      <w:r>
        <w:rPr>
          <w:rFonts w:ascii="Times New Roman" w:hAnsi="Times New Roman" w:cs="Times New Roman" w:eastAsia="Times New Roman" w:hint="default"/>
          <w:spacing w:val="-16"/>
        </w:rPr>
        <w:t> </w:t>
      </w:r>
      <w:r>
        <w:rPr/>
        <w:t>型号电池隔膜厚度在</w:t>
      </w:r>
      <w:r>
        <w:rPr>
          <w:spacing w:val="-61"/>
        </w:rPr>
        <w:t> </w:t>
      </w:r>
      <w:r>
        <w:rPr>
          <w:rFonts w:ascii="Times New Roman" w:hAnsi="Times New Roman" w:cs="Times New Roman" w:eastAsia="Times New Roman" w:hint="default"/>
        </w:rPr>
        <w:t>20</w:t>
      </w:r>
      <w:r>
        <w:rPr>
          <w:rFonts w:ascii="Times New Roman" w:hAnsi="Times New Roman" w:cs="Times New Roman" w:eastAsia="Times New Roman" w:hint="default"/>
          <w:spacing w:val="-18"/>
        </w:rPr>
        <w:t> </w:t>
      </w:r>
      <w:r>
        <w:rPr/>
        <w:t>微米以下，正在提供给客户试用，完善性能指标。公司从研发层面已经完</w:t>
      </w:r>
      <w:r>
        <w:rPr>
          <w:w w:val="99"/>
        </w:rPr>
        <w:t> </w:t>
      </w:r>
      <w:r>
        <w:rPr/>
        <w:t>成对动力锂电池、一次性锂离子电池、超级电容器，高温防爆特种二次锂离子电池、的产品覆盖。</w:t>
      </w:r>
    </w:p>
    <w:p>
      <w:pPr>
        <w:spacing w:after="0" w:line="300" w:lineRule="auto"/>
        <w:jc w:val="left"/>
        <w:sectPr>
          <w:pgSz w:w="11910" w:h="16840"/>
          <w:pgMar w:header="746" w:footer="1225" w:top="1060" w:bottom="1420" w:left="1020" w:right="980"/>
        </w:sectPr>
      </w:pPr>
    </w:p>
    <w:p>
      <w:pPr>
        <w:spacing w:line="240" w:lineRule="auto" w:before="12"/>
        <w:rPr>
          <w:rFonts w:ascii="宋体" w:hAnsi="宋体" w:cs="宋体" w:eastAsia="宋体" w:hint="default"/>
          <w:sz w:val="25"/>
          <w:szCs w:val="25"/>
        </w:rPr>
      </w:pPr>
    </w:p>
    <w:p>
      <w:pPr>
        <w:pStyle w:val="BodyText"/>
        <w:spacing w:line="240" w:lineRule="auto" w:before="44"/>
        <w:ind w:left="132" w:right="138"/>
        <w:jc w:val="left"/>
      </w:pPr>
      <w:r>
        <w:rPr/>
        <w:t>公司实际经营业绩较曾公开披露过的本年度盈利预测低于或高于</w:t>
      </w:r>
      <w:r>
        <w:rPr>
          <w:spacing w:val="-48"/>
        </w:rPr>
        <w:t> </w:t>
      </w:r>
      <w:r>
        <w:rPr>
          <w:rFonts w:ascii="Times New Roman" w:hAnsi="Times New Roman" w:cs="Times New Roman" w:eastAsia="Times New Roman" w:hint="default"/>
        </w:rPr>
        <w:t>20%</w:t>
      </w:r>
      <w:r>
        <w:rPr/>
        <w:t>以上的差异原因</w:t>
      </w:r>
    </w:p>
    <w:p>
      <w:pPr>
        <w:pStyle w:val="BodyText"/>
        <w:spacing w:line="240" w:lineRule="auto" w:before="101"/>
        <w:ind w:left="132"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left="132" w:right="138"/>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38"/>
        <w:jc w:val="left"/>
      </w:pPr>
      <w:r>
        <w:rPr/>
        <w:t>说明</w:t>
      </w: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57"/>
        <w:gridCol w:w="2401"/>
        <w:gridCol w:w="2401"/>
        <w:gridCol w:w="2399"/>
      </w:tblGrid>
      <w:tr>
        <w:trPr>
          <w:trHeight w:val="342" w:hRule="exact"/>
        </w:trPr>
        <w:tc>
          <w:tcPr>
            <w:tcW w:w="2457"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单位：元</w:t>
            </w:r>
          </w:p>
        </w:tc>
      </w:tr>
      <w:tr>
        <w:trPr>
          <w:trHeight w:val="342" w:hRule="exact"/>
        </w:trPr>
        <w:tc>
          <w:tcPr>
            <w:tcW w:w="245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1042"/>
              <w:jc w:val="right"/>
              <w:rPr>
                <w:rFonts w:ascii="宋体" w:hAnsi="宋体" w:cs="宋体" w:eastAsia="宋体" w:hint="default"/>
                <w:sz w:val="18"/>
                <w:szCs w:val="18"/>
              </w:rPr>
            </w:pPr>
            <w:r>
              <w:rPr>
                <w:rFonts w:ascii="宋体" w:hAnsi="宋体" w:cs="宋体" w:eastAsia="宋体" w:hint="default"/>
                <w:sz w:val="18"/>
                <w:szCs w:val="18"/>
              </w:rPr>
              <w:t>项目</w:t>
            </w:r>
          </w:p>
        </w:tc>
        <w:tc>
          <w:tcPr>
            <w:tcW w:w="24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4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3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652"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342"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82,114,833.96</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157,339,802.54</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-47.81%</w:t>
            </w:r>
          </w:p>
        </w:tc>
      </w:tr>
      <w:tr>
        <w:trPr>
          <w:trHeight w:val="342"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28,253,987.75</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81,998,690.76</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-65.54%</w:t>
            </w:r>
          </w:p>
        </w:tc>
      </w:tr>
      <w:tr>
        <w:trPr>
          <w:trHeight w:val="342"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23,834,269.28</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20,132,087.93</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18.39%</w:t>
            </w:r>
          </w:p>
        </w:tc>
      </w:tr>
      <w:tr>
        <w:trPr>
          <w:trHeight w:val="342"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30,945,582.13</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31,484,785.41</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-1.71%</w:t>
            </w:r>
          </w:p>
        </w:tc>
      </w:tr>
      <w:tr>
        <w:trPr>
          <w:trHeight w:val="342"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绝缘母线和管母线</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11,884,298.44</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12,083,198.03</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-1.65%</w:t>
            </w:r>
          </w:p>
        </w:tc>
      </w:tr>
      <w:tr>
        <w:trPr>
          <w:trHeight w:val="342"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60,125,304.06</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62,393,269.99</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-3.63%</w:t>
            </w:r>
          </w:p>
        </w:tc>
      </w:tr>
      <w:tr>
        <w:trPr>
          <w:trHeight w:val="734"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0"/>
              <w:ind w:left="3" w:right="3"/>
              <w:jc w:val="left"/>
              <w:rPr>
                <w:rFonts w:ascii="宋体" w:hAnsi="宋体" w:cs="宋体" w:eastAsia="宋体" w:hint="default"/>
                <w:sz w:val="18"/>
                <w:szCs w:val="18"/>
              </w:rPr>
            </w:pPr>
            <w:r>
              <w:rPr>
                <w:rFonts w:ascii="宋体" w:hAnsi="宋体" w:cs="宋体" w:eastAsia="宋体" w:hint="default"/>
                <w:spacing w:val="-6"/>
                <w:sz w:val="18"/>
                <w:szCs w:val="18"/>
              </w:rPr>
              <w:t>聚酰亚胺薄膜材料（可弯曲白光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柔性透明导电膜）</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2,115,299.15</w:t>
            </w:r>
          </w:p>
        </w:tc>
        <w:tc>
          <w:tcPr>
            <w:tcW w:w="2401"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734"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0"/>
              <w:ind w:left="3" w:right="3"/>
              <w:jc w:val="left"/>
              <w:rPr>
                <w:rFonts w:ascii="宋体" w:hAnsi="宋体" w:cs="宋体" w:eastAsia="宋体" w:hint="default"/>
                <w:sz w:val="18"/>
                <w:szCs w:val="18"/>
              </w:rPr>
            </w:pPr>
            <w:r>
              <w:rPr>
                <w:rFonts w:ascii="宋体" w:hAnsi="宋体" w:cs="宋体" w:eastAsia="宋体" w:hint="default"/>
                <w:spacing w:val="-6"/>
                <w:sz w:val="18"/>
                <w:szCs w:val="18"/>
              </w:rPr>
              <w:t>聚酰亚胺树脂产品（特种工程塑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4,282,445.98</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3,059,369.26</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39.98%</w:t>
            </w:r>
          </w:p>
        </w:tc>
      </w:tr>
      <w:tr>
        <w:trPr>
          <w:trHeight w:val="422"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聚酰亚胺纤维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39,039,520.27</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26,014,555.56</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50.07%</w:t>
            </w:r>
          </w:p>
        </w:tc>
      </w:tr>
      <w:tr>
        <w:trPr>
          <w:trHeight w:val="342" w:hRule="exact"/>
        </w:trPr>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27,718,490.75</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35,204,908.72</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-21.27%</w:t>
            </w:r>
          </w:p>
        </w:tc>
      </w:tr>
      <w:tr>
        <w:trPr>
          <w:trHeight w:val="342" w:hRule="exact"/>
        </w:trPr>
        <w:tc>
          <w:tcPr>
            <w:tcW w:w="245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1"/>
              <w:ind w:right="1042"/>
              <w:jc w:val="right"/>
              <w:rPr>
                <w:rFonts w:ascii="宋体" w:hAnsi="宋体" w:cs="宋体" w:eastAsia="宋体" w:hint="default"/>
                <w:sz w:val="18"/>
                <w:szCs w:val="18"/>
              </w:rPr>
            </w:pPr>
            <w:r>
              <w:rPr>
                <w:rFonts w:ascii="宋体" w:hAnsi="宋体" w:cs="宋体" w:eastAsia="宋体" w:hint="default"/>
                <w:sz w:val="18"/>
                <w:szCs w:val="18"/>
              </w:rPr>
              <w:t>合计</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310,314,031.77</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429,710,668.20</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-27.79%</w:t>
            </w:r>
          </w:p>
        </w:tc>
      </w:tr>
    </w:tbl>
    <w:p>
      <w:pPr>
        <w:pStyle w:val="BodyText"/>
        <w:spacing w:line="309" w:lineRule="auto" w:before="11"/>
        <w:ind w:left="132" w:right="132"/>
        <w:jc w:val="both"/>
      </w:pPr>
      <w:r>
        <w:rPr>
          <w:spacing w:val="-1"/>
        </w:rPr>
        <w:t>说明：</w:t>
      </w:r>
      <w:r>
        <w:rPr>
          <w:rFonts w:ascii="Times New Roman" w:hAnsi="Times New Roman" w:cs="Times New Roman" w:eastAsia="Times New Roman" w:hint="default"/>
          <w:spacing w:val="-1"/>
        </w:rPr>
        <w:t>2014</w:t>
      </w:r>
      <w:r>
        <w:rPr>
          <w:spacing w:val="-1"/>
        </w:rPr>
        <w:t>年度公司主营业务收入为</w:t>
      </w:r>
      <w:r>
        <w:rPr>
          <w:rFonts w:ascii="Times New Roman" w:hAnsi="Times New Roman" w:cs="Times New Roman" w:eastAsia="Times New Roman" w:hint="default"/>
          <w:spacing w:val="-1"/>
        </w:rPr>
        <w:t>31,031.4</w:t>
      </w:r>
      <w:r>
        <w:rPr>
          <w:spacing w:val="-1"/>
        </w:rPr>
        <w:t>万元，较上年同期下降</w:t>
      </w:r>
      <w:r>
        <w:rPr>
          <w:rFonts w:ascii="Times New Roman" w:hAnsi="Times New Roman" w:cs="Times New Roman" w:eastAsia="Times New Roman" w:hint="default"/>
          <w:spacing w:val="-1"/>
        </w:rPr>
        <w:t>27.79%</w:t>
      </w:r>
      <w:r>
        <w:rPr>
          <w:spacing w:val="-1"/>
        </w:rPr>
        <w:t>。公司主营业务范围未发生重大变化，仍以电气</w:t>
      </w:r>
      <w:r>
        <w:rPr>
          <w:spacing w:val="-45"/>
        </w:rPr>
        <w:t> </w:t>
      </w:r>
      <w:r>
        <w:rPr>
          <w:spacing w:val="-45"/>
        </w:rPr>
      </w:r>
      <w:r>
        <w:rPr>
          <w:spacing w:val="-2"/>
        </w:rPr>
        <w:t>设备、聚酰亚胺新材料为主营业务。在结构上，由于市场订单量减少，主要产品中压电缆分支箱及低压分支箱出现较大幅度</w:t>
      </w:r>
      <w:r>
        <w:rPr>
          <w:spacing w:val="-66"/>
        </w:rPr>
        <w:t> </w:t>
      </w:r>
      <w:r>
        <w:rPr>
          <w:spacing w:val="-66"/>
        </w:rPr>
      </w:r>
      <w:r>
        <w:rPr/>
        <w:t>的下降，聚酰亚胺材料本报告期有较大增长，主要原因系新材料领域加大市场推广力度，推行优惠的促销政策。</w:t>
      </w:r>
    </w:p>
    <w:p>
      <w:pPr>
        <w:pStyle w:val="BodyText"/>
        <w:spacing w:line="240" w:lineRule="auto" w:before="65"/>
        <w:ind w:left="132" w:right="0"/>
        <w:jc w:val="both"/>
      </w:pPr>
      <w:r>
        <w:rPr/>
        <w:t>公司实物销售收入是否大于劳务收入</w:t>
      </w:r>
    </w:p>
    <w:p>
      <w:pPr>
        <w:pStyle w:val="BodyText"/>
        <w:spacing w:line="240" w:lineRule="auto" w:before="115"/>
        <w:ind w:left="132"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22.41%</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119,195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121.48%</w:t>
            </w:r>
          </w:p>
        </w:tc>
      </w:tr>
    </w:tbl>
    <w:p>
      <w:pPr>
        <w:pStyle w:val="BodyText"/>
        <w:spacing w:line="240" w:lineRule="auto" w:before="51"/>
        <w:ind w:left="132" w:right="138"/>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38" w:lineRule="auto" w:before="103"/>
        <w:ind w:left="132" w:right="1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Times New Roman" w:hAnsi="Times New Roman" w:cs="Times New Roman" w:eastAsia="Times New Roman" w:hint="default"/>
        </w:rPr>
        <w:t>2014</w:t>
      </w:r>
      <w:r>
        <w:rPr/>
        <w:t>年销售量、生产量、库存量同比增加了</w:t>
      </w:r>
      <w:r>
        <w:rPr>
          <w:rFonts w:ascii="Times New Roman" w:hAnsi="Times New Roman" w:cs="Times New Roman" w:eastAsia="Times New Roman" w:hint="default"/>
        </w:rPr>
        <w:t>22.41</w:t>
      </w:r>
      <w:r>
        <w:rPr/>
        <w:t>％、</w:t>
      </w:r>
      <w:r>
        <w:rPr>
          <w:rFonts w:ascii="Times New Roman" w:hAnsi="Times New Roman" w:cs="Times New Roman" w:eastAsia="Times New Roman" w:hint="default"/>
        </w:rPr>
        <w:t>33.51</w:t>
      </w:r>
      <w:r>
        <w:rPr/>
        <w:t>和</w:t>
      </w:r>
      <w:r>
        <w:rPr>
          <w:rFonts w:ascii="Times New Roman" w:hAnsi="Times New Roman" w:cs="Times New Roman" w:eastAsia="Times New Roman" w:hint="default"/>
        </w:rPr>
        <w:t>121.48</w:t>
      </w:r>
      <w:r>
        <w:rPr/>
        <w:t>％，主要原因系产品结构影响所致。 公司重大的在手订单情况</w:t>
      </w:r>
    </w:p>
    <w:p>
      <w:pPr>
        <w:pStyle w:val="BodyText"/>
        <w:spacing w:line="338" w:lineRule="auto" w:before="43"/>
        <w:ind w:left="132" w:right="5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公司报告期内产品或服务发生重大变化或调整有关情况</w:t>
      </w:r>
    </w:p>
    <w:p>
      <w:pPr>
        <w:pStyle w:val="BodyText"/>
        <w:spacing w:line="340" w:lineRule="auto" w:before="43"/>
        <w:ind w:left="132" w:right="7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公司主要销售客户情况</w:t>
      </w:r>
    </w:p>
    <w:p>
      <w:pPr>
        <w:spacing w:line="240" w:lineRule="auto" w:before="0"/>
        <w:rPr>
          <w:rFonts w:ascii="宋体" w:hAnsi="宋体" w:cs="宋体" w:eastAsia="宋体" w:hint="default"/>
          <w:sz w:val="2"/>
          <w:szCs w:val="2"/>
        </w:rPr>
      </w:pPr>
    </w:p>
    <w:p>
      <w:pPr>
        <w:spacing w:line="414"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3;width:4252;height:397" coordorigin="13,13" coordsize="4252,397">
              <v:shape style="position:absolute;left:13;top:13;width:4252;height:397" coordorigin="13,13" coordsize="4252,397" path="m13,13l4265,13,4265,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4267;top:5;width:2;height:400" coordorigin="4267,5" coordsize="2,400">
              <v:shape style="position:absolute;left:4267;top:5;width:2;height:400" coordorigin="4267,5" coordsize="0,400" path="m4267,5l4267,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10;top:10;width:4257;height:400" type="#_x0000_t202" filled="false" stroked="false">
                <v:textbox inset="0,0,0,0">
                  <w:txbxContent>
                    <w:p>
                      <w:pPr>
                        <w:spacing w:before="55"/>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xbxContent>
                </v:textbox>
                <w10:wrap type="none"/>
              </v:shape>
              <v:shape style="position:absolute;left:4267;top:10;width:5311;height:400" type="#_x0000_t202" filled="false" stroked="false">
                <v:textbox inset="0,0,0,0">
                  <w:txbxContent>
                    <w:p>
                      <w:pPr>
                        <w:spacing w:before="98"/>
                        <w:ind w:left="0" w:right="26" w:firstLine="0"/>
                        <w:jc w:val="right"/>
                        <w:rPr>
                          <w:rFonts w:ascii="Times New Roman" w:hAnsi="Times New Roman" w:cs="Times New Roman" w:eastAsia="Times New Roman" w:hint="default"/>
                          <w:sz w:val="18"/>
                          <w:szCs w:val="18"/>
                        </w:rPr>
                      </w:pPr>
                      <w:r>
                        <w:rPr>
                          <w:rFonts w:ascii="Times New Roman"/>
                          <w:spacing w:val="-1"/>
                          <w:sz w:val="18"/>
                        </w:rPr>
                        <w:t>151,759,875.71</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746" w:footer="1225" w:top="1060" w:bottom="1420" w:left="1000" w:right="1000"/>
        </w:sectPr>
      </w:pPr>
    </w:p>
    <w:p>
      <w:pPr>
        <w:spacing w:line="240" w:lineRule="auto" w:before="1"/>
        <w:rPr>
          <w:rFonts w:ascii="宋体" w:hAnsi="宋体" w:cs="宋体" w:eastAsia="宋体" w:hint="default"/>
          <w:sz w:val="28"/>
          <w:szCs w:val="28"/>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252;height:397" coordorigin="13,13" coordsize="4252,397">
              <v:shape style="position:absolute;left:13;top:13;width:4252;height:397" coordorigin="13,13" coordsize="4252,397" path="m13,13l4265,13,4265,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267;top:5;width:2;height:402" coordorigin="4267,5" coordsize="2,402">
              <v:shape style="position:absolute;left:4267;top:5;width:2;height:402" coordorigin="4267,5" coordsize="0,402" path="m4267,5l4267,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257;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xbxContent>
                </v:textbox>
                <w10:wrap type="none"/>
              </v:shape>
              <v:shape style="position:absolute;left:8996;top:130;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48.45%</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59,678,445.87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37,689,007.21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12.03%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32,087,959.82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15,495,042.74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6,809,420.08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151,759,875.71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48.45%</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7"/>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168,273,152.41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261,521,262.47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45,193,411.87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19,789,689.32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w:t>
            </w:r>
          </w:p>
        </w:tc>
      </w:tr>
    </w:tbl>
    <w:p>
      <w:pPr>
        <w:pStyle w:val="BodyText"/>
        <w:spacing w:line="240" w:lineRule="auto" w:before="52"/>
        <w:ind w:right="0"/>
        <w:jc w:val="left"/>
      </w:pPr>
      <w:r>
        <w:rPr/>
        <w:t>产品分类</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43,030,507.57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88,167,017.64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25,574,547.33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74,206,258.98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13,135,534.09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12,923,451.12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15,803,367.86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16,528,654.16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绝缘母线和管母 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10,315,065.60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10,053,654.61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36,098,202.23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35,819,243.10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聚酰亚胺薄膜材 料（可弯曲白光 柔性透明导电 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2,115,299.16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02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聚酰亚胺树脂产 品（特种工程塑 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4,856,632.76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2,287,369.08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1225" w:top="1060" w:bottom="142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聚酰亚胺纤维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38,221,479.95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17,502,320.24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24,315,927.73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23,822,982.86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2.46%</w:t>
            </w:r>
          </w:p>
        </w:tc>
      </w:tr>
    </w:tbl>
    <w:p>
      <w:pPr>
        <w:pStyle w:val="BodyText"/>
        <w:spacing w:line="360" w:lineRule="auto" w:before="50"/>
        <w:ind w:left="132" w:right="8134"/>
        <w:jc w:val="left"/>
      </w:pPr>
      <w:r>
        <w:rPr/>
        <w:t>说明：无。 公司主要供应商情况</w:t>
      </w:r>
    </w:p>
    <w:tbl>
      <w:tblPr>
        <w:tblW w:w="0" w:type="auto"/>
        <w:jc w:val="left"/>
        <w:tblInd w:w="12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39,602,484.83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24.32%</w:t>
            </w:r>
          </w:p>
        </w:tc>
      </w:tr>
    </w:tbl>
    <w:p>
      <w:pPr>
        <w:pStyle w:val="BodyText"/>
        <w:spacing w:line="240" w:lineRule="auto" w:before="68"/>
        <w:ind w:left="132" w:right="138"/>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left="132"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10,660,335.94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5,413,777.93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5,428,370.96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39,602,484.83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24.32%</w:t>
            </w:r>
          </w:p>
        </w:tc>
      </w:tr>
    </w:tbl>
    <w:p>
      <w:pPr>
        <w:spacing w:line="240" w:lineRule="auto" w:before="4"/>
        <w:rPr>
          <w:rFonts w:ascii="宋体" w:hAnsi="宋体" w:cs="宋体" w:eastAsia="宋体" w:hint="default"/>
          <w:sz w:val="19"/>
          <w:szCs w:val="19"/>
        </w:rPr>
      </w:pPr>
    </w:p>
    <w:p>
      <w:pPr>
        <w:pStyle w:val="Heading5"/>
        <w:spacing w:line="240" w:lineRule="auto" w:before="34"/>
        <w:ind w:left="132" w:right="138"/>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575"/>
        <w:gridCol w:w="2551"/>
        <w:gridCol w:w="1843"/>
        <w:gridCol w:w="1843"/>
        <w:gridCol w:w="1701"/>
      </w:tblGrid>
      <w:tr>
        <w:trPr>
          <w:trHeight w:val="342" w:hRule="exact"/>
        </w:trPr>
        <w:tc>
          <w:tcPr>
            <w:tcW w:w="157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费用项目</w:t>
            </w:r>
          </w:p>
        </w:tc>
        <w:tc>
          <w:tcPr>
            <w:tcW w:w="25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4"/>
              <w:jc w:val="right"/>
              <w:rPr>
                <w:rFonts w:ascii="宋体" w:hAnsi="宋体" w:cs="宋体" w:eastAsia="宋体" w:hint="default"/>
                <w:sz w:val="18"/>
                <w:szCs w:val="18"/>
              </w:rPr>
            </w:pPr>
            <w:r>
              <w:rPr>
                <w:rFonts w:ascii="宋体" w:hAnsi="宋体" w:cs="宋体" w:eastAsia="宋体" w:hint="default"/>
                <w:sz w:val="18"/>
                <w:szCs w:val="18"/>
              </w:rPr>
              <w:t>本年度比上年增减</w:t>
            </w:r>
          </w:p>
        </w:tc>
        <w:tc>
          <w:tcPr>
            <w:tcW w:w="17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p>
        </w:tc>
      </w:tr>
      <w:tr>
        <w:trPr>
          <w:trHeight w:val="342"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79,594,593.58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43,454,885.34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83.17%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46,451,697.88</w:t>
            </w:r>
          </w:p>
        </w:tc>
      </w:tr>
      <w:tr>
        <w:trPr>
          <w:trHeight w:val="342"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109,884,156.87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73,030,884.70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50.46%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57,811,019.36</w:t>
            </w:r>
          </w:p>
        </w:tc>
      </w:tr>
      <w:tr>
        <w:trPr>
          <w:trHeight w:val="342"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-3,349,305.27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-4,350,001.88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-675,318.74</w:t>
            </w:r>
          </w:p>
        </w:tc>
      </w:tr>
      <w:tr>
        <w:trPr>
          <w:trHeight w:val="342"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所得税费用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-545,722.64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3,959,130.92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-113.78%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11,788,661.97</w:t>
            </w:r>
          </w:p>
        </w:tc>
      </w:tr>
      <w:tr>
        <w:trPr>
          <w:trHeight w:val="654" w:hRule="exact"/>
        </w:trPr>
        <w:tc>
          <w:tcPr>
            <w:tcW w:w="157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合计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5" w:right="0"/>
              <w:jc w:val="left"/>
              <w:rPr>
                <w:rFonts w:ascii="Times New Roman" w:hAnsi="Times New Roman" w:cs="Times New Roman" w:eastAsia="Times New Roman" w:hint="default"/>
                <w:sz w:val="18"/>
                <w:szCs w:val="18"/>
              </w:rPr>
            </w:pPr>
            <w:r>
              <w:rPr>
                <w:rFonts w:ascii="Times New Roman"/>
                <w:sz w:val="18"/>
              </w:rPr>
              <w:t>185,583,722.54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116,094,899.08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59.86%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115,376,060.47</w:t>
            </w:r>
          </w:p>
        </w:tc>
      </w:tr>
    </w:tbl>
    <w:p>
      <w:pPr>
        <w:pStyle w:val="BodyText"/>
        <w:spacing w:line="300" w:lineRule="auto" w:before="51"/>
        <w:ind w:left="132" w:right="132"/>
        <w:jc w:val="both"/>
      </w:pPr>
      <w:r>
        <w:rPr/>
        <w:t>销售费用同比增长</w:t>
      </w:r>
      <w:r>
        <w:rPr>
          <w:rFonts w:ascii="Times New Roman" w:hAnsi="Times New Roman" w:cs="Times New Roman" w:eastAsia="Times New Roman" w:hint="default"/>
        </w:rPr>
        <w:t>83.17%</w:t>
      </w:r>
      <w:r>
        <w:rPr/>
        <w:t>，主要原因系期内加大市场拓展力度、开设营销中心所致；管理费用同比增长</w:t>
      </w:r>
      <w:r>
        <w:rPr>
          <w:rFonts w:ascii="Times New Roman" w:hAnsi="Times New Roman" w:cs="Times New Roman" w:eastAsia="Times New Roman" w:hint="default"/>
        </w:rPr>
        <w:t>50.46</w:t>
      </w:r>
      <w:r>
        <w:rPr/>
        <w:t>％，主要原因 </w:t>
      </w:r>
      <w:r>
        <w:rPr>
          <w:spacing w:val="-1"/>
        </w:rPr>
        <w:t>系公司管理规模扩大及研发投入增加所致，所得税费用同比减少</w:t>
      </w:r>
      <w:r>
        <w:rPr>
          <w:rFonts w:ascii="Times New Roman" w:hAnsi="Times New Roman" w:cs="Times New Roman" w:eastAsia="Times New Roman" w:hint="default"/>
          <w:spacing w:val="-1"/>
        </w:rPr>
        <w:t>113.78</w:t>
      </w:r>
      <w:r>
        <w:rPr>
          <w:spacing w:val="-1"/>
        </w:rPr>
        <w:t>％，主要原因系本年度亏损以及资产减值准备计提所</w:t>
      </w:r>
      <w:r>
        <w:rPr>
          <w:spacing w:val="-73"/>
        </w:rPr>
        <w:t> </w:t>
      </w:r>
      <w:r>
        <w:rPr>
          <w:spacing w:val="-73"/>
        </w:rPr>
      </w:r>
      <w:r>
        <w:rPr/>
        <w:t>致。</w:t>
      </w:r>
    </w:p>
    <w:p>
      <w:pPr>
        <w:spacing w:line="240" w:lineRule="auto" w:before="5"/>
        <w:rPr>
          <w:rFonts w:ascii="宋体" w:hAnsi="宋体" w:cs="宋体" w:eastAsia="宋体" w:hint="default"/>
          <w:sz w:val="23"/>
          <w:szCs w:val="23"/>
        </w:rPr>
      </w:pPr>
    </w:p>
    <w:p>
      <w:pPr>
        <w:pStyle w:val="Heading5"/>
        <w:spacing w:line="240" w:lineRule="auto"/>
        <w:ind w:left="132" w:right="0"/>
        <w:jc w:val="both"/>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455"/>
        <w:gridCol w:w="2401"/>
        <w:gridCol w:w="2401"/>
        <w:gridCol w:w="2401"/>
      </w:tblGrid>
      <w:tr>
        <w:trPr>
          <w:trHeight w:val="342" w:hRule="exact"/>
        </w:trPr>
        <w:tc>
          <w:tcPr>
            <w:tcW w:w="9658" w:type="dxa"/>
            <w:gridSpan w:val="4"/>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公司研发费用投入及成果分析</w:t>
            </w:r>
          </w:p>
        </w:tc>
      </w:tr>
      <w:tr>
        <w:trPr>
          <w:trHeight w:val="342" w:hRule="exact"/>
        </w:trPr>
        <w:tc>
          <w:tcPr>
            <w:tcW w:w="96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单位：万元</w:t>
            </w:r>
          </w:p>
        </w:tc>
      </w:tr>
      <w:tr>
        <w:trPr>
          <w:trHeight w:val="342" w:hRule="exact"/>
        </w:trPr>
        <w:tc>
          <w:tcPr>
            <w:tcW w:w="245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4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24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42"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4,456.83</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4,367.21</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3,159.43</w:t>
            </w:r>
          </w:p>
        </w:tc>
      </w:tr>
      <w:tr>
        <w:trPr>
          <w:trHeight w:val="342"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31,320.10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43,277.02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37,696.70</w:t>
            </w:r>
          </w:p>
        </w:tc>
      </w:tr>
      <w:tr>
        <w:trPr>
          <w:trHeight w:val="342"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14.23%</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Times New Roman" w:hAnsi="Times New Roman" w:cs="Times New Roman" w:eastAsia="Times New Roman" w:hint="default"/>
                <w:sz w:val="18"/>
                <w:szCs w:val="18"/>
              </w:rPr>
            </w:pPr>
            <w:r>
              <w:rPr>
                <w:rFonts w:ascii="Times New Roman"/>
                <w:sz w:val="18"/>
              </w:rPr>
              <w:t>10.09%</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8.38%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1225" w:top="1060" w:bottom="1420" w:left="1000" w:right="1000"/>
        </w:sectPr>
      </w:pPr>
    </w:p>
    <w:p>
      <w:pPr>
        <w:spacing w:line="240" w:lineRule="auto" w:before="10"/>
        <w:rPr>
          <w:rFonts w:ascii="宋体" w:hAnsi="宋体" w:cs="宋体" w:eastAsia="宋体" w:hint="default"/>
          <w:b/>
          <w:bCs/>
          <w:sz w:val="24"/>
          <w:szCs w:val="24"/>
        </w:rPr>
      </w:pPr>
    </w:p>
    <w:p>
      <w:pPr>
        <w:pStyle w:val="Heading5"/>
        <w:spacing w:line="240" w:lineRule="auto" w:before="34"/>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468,589,256.17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501,000,440.85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410,738,925.48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431,451,865.04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57,850,330.69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69,548,575.81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1,167,788,971.70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1,851,243.16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62,981.34%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1,211,345,069.34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58,754,860.33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1,961.69%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-43,556,097.64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-56,903,617.17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25,167,909.69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35,537,826.89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22,015,209.76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66,781,619.43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-67.03%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3,152,699.93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-31,243,792.54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17,447,088.58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-18,601,506.54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193.79%</w:t>
            </w:r>
          </w:p>
        </w:tc>
      </w:tr>
    </w:tbl>
    <w:p>
      <w:pPr>
        <w:pStyle w:val="BodyText"/>
        <w:spacing w:line="240" w:lineRule="auto" w:before="51"/>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、筹资活动产生的现金流量净额同比增加</w:t>
      </w:r>
      <w:r>
        <w:rPr>
          <w:rFonts w:ascii="Times New Roman" w:hAnsi="Times New Roman" w:cs="Times New Roman" w:eastAsia="Times New Roman" w:hint="default"/>
        </w:rPr>
        <w:t>110.09</w:t>
      </w:r>
      <w:r>
        <w:rPr/>
        <w:t>％，</w:t>
      </w:r>
      <w:r>
        <w:rPr>
          <w:spacing w:val="-2"/>
        </w:rPr>
        <w:t> </w:t>
      </w:r>
      <w:r>
        <w:rPr/>
        <w:t>主要原因系分配股利所支付的现金支出减少所致；</w:t>
      </w:r>
    </w:p>
    <w:p>
      <w:pPr>
        <w:pStyle w:val="BodyText"/>
        <w:spacing w:line="240" w:lineRule="auto" w:before="103"/>
        <w:ind w:right="0"/>
        <w:jc w:val="left"/>
      </w:pPr>
      <w:r>
        <w:rPr>
          <w:rFonts w:ascii="Times New Roman" w:hAnsi="Times New Roman" w:cs="Times New Roman" w:eastAsia="Times New Roman" w:hint="default"/>
        </w:rPr>
        <w:t>2</w:t>
      </w:r>
      <w:r>
        <w:rPr/>
        <w:t>、现金及现金等价物净增加额同比增加</w:t>
      </w:r>
      <w:r>
        <w:rPr>
          <w:rFonts w:ascii="Times New Roman" w:hAnsi="Times New Roman" w:cs="Times New Roman" w:eastAsia="Times New Roman" w:hint="default"/>
        </w:rPr>
        <w:t>193.79</w:t>
      </w:r>
      <w:r>
        <w:rPr/>
        <w:t>％，主要原因系投资及筹资活动现金流量净额增加所致；</w:t>
      </w:r>
    </w:p>
    <w:p>
      <w:pPr>
        <w:pStyle w:val="BodyText"/>
        <w:spacing w:line="240" w:lineRule="auto" w:before="103"/>
        <w:ind w:right="0"/>
        <w:jc w:val="left"/>
      </w:pPr>
      <w:r>
        <w:rPr>
          <w:rFonts w:ascii="Times New Roman" w:hAnsi="Times New Roman" w:cs="Times New Roman" w:eastAsia="Times New Roman" w:hint="default"/>
        </w:rPr>
        <w:t>3</w:t>
      </w:r>
      <w:r>
        <w:rPr/>
        <w:t>、投资活动现金流入小计同比增加</w:t>
      </w:r>
      <w:r>
        <w:rPr>
          <w:rFonts w:ascii="Times New Roman" w:hAnsi="Times New Roman" w:cs="Times New Roman" w:eastAsia="Times New Roman" w:hint="default"/>
        </w:rPr>
        <w:t>62,981.34%</w:t>
      </w:r>
      <w:r>
        <w:rPr/>
        <w:t>，主要原因系购买理财产品及收到转让股权款所致；</w:t>
      </w:r>
    </w:p>
    <w:p>
      <w:pPr>
        <w:pStyle w:val="BodyText"/>
        <w:spacing w:line="340" w:lineRule="auto" w:before="101"/>
        <w:ind w:right="2204"/>
        <w:jc w:val="left"/>
      </w:pPr>
      <w:r>
        <w:rPr>
          <w:rFonts w:ascii="Times New Roman" w:hAnsi="Times New Roman" w:cs="Times New Roman" w:eastAsia="Times New Roman" w:hint="default"/>
        </w:rPr>
        <w:t>4</w:t>
      </w:r>
      <w:r>
        <w:rPr/>
        <w:t>、投资活动现金流出小计同比增加</w:t>
      </w:r>
      <w:r>
        <w:rPr>
          <w:rFonts w:ascii="Times New Roman" w:hAnsi="Times New Roman" w:cs="Times New Roman" w:eastAsia="Times New Roman" w:hint="default"/>
        </w:rPr>
        <w:t>1,961.69%</w:t>
      </w:r>
      <w:r>
        <w:rPr/>
        <w:t>，主要原因系购买理财产品支付的本金增加所致。 报告期内公司经营活动的现金流量与本年度净利润存在重大差异的原因说明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6"/>
        <w:gridCol w:w="1366"/>
        <w:gridCol w:w="1366"/>
        <w:gridCol w:w="1370"/>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8"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8"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8"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264,876,766.37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168,273,152.41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）化工行业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45,437,265.40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45,193,411.87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中压电缆分支箱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82,114,833.96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43,030,507.57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低压电缆分支箱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28,253,987.75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25,574,547.33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1225" w:top="1060" w:bottom="142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369"/>
        <w:gridCol w:w="1367"/>
        <w:gridCol w:w="1367"/>
        <w:gridCol w:w="1366"/>
        <w:gridCol w:w="1366"/>
        <w:gridCol w:w="1366"/>
        <w:gridCol w:w="1370"/>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23,834,269.28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13,135,534.09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30,945,582.13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15,803,367.86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1.43%</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绝缘母线和管母 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11,884,298.44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10,315,065.60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60,125,304.06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36,098,202.23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-2.63%</w:t>
            </w:r>
          </w:p>
        </w:tc>
      </w:tr>
      <w:tr>
        <w:trPr>
          <w:trHeight w:val="356"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聚酰亚胺薄膜材</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料（可弯曲白光 柔性透明导电</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2,115,299.15</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2,115,299.16</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膜）</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聚酰亚胺树脂产</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品（特种工程塑</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4,282,445.98</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4,856,632.76</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-13.41%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39.98%</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112.32%</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-38.64%</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料）</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聚酰亚胺纤维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39,039,520.27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38,221,479.95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118.38%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27,718,490.75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24,315,927.73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33,425,510.05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19,934,126.00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76,184,218.86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53,101,321.72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39,309,537.31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24,594,068.92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1,760,214.20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1,696,296.13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125,018,628.70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88,686,137.49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西南及西北地区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23,051,471.04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15,926,334.77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11,564,451.61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9,528,279.27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w:t>
            </w:r>
          </w:p>
        </w:tc>
      </w:tr>
    </w:tbl>
    <w:p>
      <w:pPr>
        <w:pStyle w:val="BodyText"/>
        <w:spacing w:line="240" w:lineRule="auto" w:before="50"/>
        <w:ind w:left="132" w:right="184"/>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left="13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left="132" w:right="184"/>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tabs>
          <w:tab w:pos="8995" w:val="left" w:leader="none"/>
        </w:tabs>
        <w:spacing w:before="0"/>
        <w:ind w:left="132" w:right="184" w:firstLine="0"/>
        <w:jc w:val="left"/>
        <w:rPr>
          <w:rFonts w:ascii="宋体" w:hAnsi="宋体" w:cs="宋体" w:eastAsia="宋体" w:hint="default"/>
          <w:sz w:val="18"/>
          <w:szCs w:val="18"/>
        </w:rPr>
      </w:pPr>
      <w:r>
        <w:rPr>
          <w:rFonts w:ascii="Times New Roman" w:hAnsi="Times New Roman" w:cs="Times New Roman" w:eastAsia="Times New Roman" w:hint="default"/>
          <w:b/>
          <w:bCs/>
          <w:spacing w:val="-2"/>
          <w:w w:val="95"/>
          <w:sz w:val="21"/>
          <w:szCs w:val="21"/>
        </w:rPr>
        <w:t>1</w:t>
      </w:r>
      <w:r>
        <w:rPr>
          <w:rFonts w:ascii="宋体" w:hAnsi="宋体" w:cs="宋体" w:eastAsia="宋体" w:hint="default"/>
          <w:b/>
          <w:bCs/>
          <w:spacing w:val="-2"/>
          <w:w w:val="95"/>
          <w:sz w:val="21"/>
          <w:szCs w:val="21"/>
        </w:rPr>
        <w:t>、资产项目重大变动情况</w:t>
        <w:tab/>
      </w:r>
      <w:r>
        <w:rPr>
          <w:rFonts w:ascii="宋体" w:hAnsi="宋体" w:cs="宋体" w:eastAsia="宋体" w:hint="default"/>
          <w:spacing w:val="-9"/>
          <w:sz w:val="18"/>
          <w:szCs w:val="18"/>
        </w:rPr>
        <w:t>单位：元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50"/>
        <w:gridCol w:w="1693"/>
        <w:gridCol w:w="1152"/>
        <w:gridCol w:w="1508"/>
        <w:gridCol w:w="1450"/>
        <w:gridCol w:w="991"/>
        <w:gridCol w:w="1450"/>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3D3D3"/>
          </w:tcPr>
          <w:p>
            <w:pP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9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450" w:type="dxa"/>
            <w:vMerge/>
            <w:tcBorders>
              <w:left w:val="single" w:sz="4" w:space="0" w:color="000000"/>
              <w:bottom w:val="single" w:sz="4" w:space="0" w:color="000000"/>
              <w:right w:val="single" w:sz="4" w:space="0" w:color="000000"/>
            </w:tcBorders>
            <w:shd w:val="clear" w:color="auto" w:fill="D3D3D3"/>
          </w:tcPr>
          <w:p>
            <w:pPr/>
          </w:p>
        </w:tc>
        <w:tc>
          <w:tcPr>
            <w:tcW w:w="1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0"/>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1" w:type="dxa"/>
            <w:vMerge/>
            <w:tcBorders>
              <w:left w:val="single" w:sz="4" w:space="0" w:color="000000"/>
              <w:bottom w:val="single" w:sz="4" w:space="0" w:color="000000"/>
              <w:right w:val="single" w:sz="4" w:space="0" w:color="000000"/>
            </w:tcBorders>
            <w:shd w:val="clear" w:color="auto" w:fill="D3D3D3"/>
          </w:tcPr>
          <w:p>
            <w:pPr/>
          </w:p>
        </w:tc>
        <w:tc>
          <w:tcPr>
            <w:tcW w:w="145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361,903,081.98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348,805,584.96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-1.37%</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130,024,537.39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213,045,985.62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-6.56%</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115,066,625.93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155,211,226.40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-3.51%</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6,219,330.85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6,719,796.25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-0.08%</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119,110.38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0.01%</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431,355,322.57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456,622,188.61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-4.46%</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46,343,833.75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29,031,893.63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0.91%</w:t>
            </w:r>
          </w:p>
        </w:tc>
        <w:tc>
          <w:tcPr>
            <w:tcW w:w="14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1225" w:top="1060" w:bottom="1420" w:left="1000" w:right="98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1.26%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1.38%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1" w:right="0"/>
              <w:jc w:val="lef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五、核心竞争力分析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3554" w:firstLine="420"/>
        <w:jc w:val="left"/>
      </w:pPr>
      <w:r>
        <w:rPr/>
        <w:t>公司的核心竞争力表现在技术竞争优势、管理竞争优势、营销竞争优势。 1、技术竞争优势。</w:t>
      </w:r>
    </w:p>
    <w:p>
      <w:pPr>
        <w:pStyle w:val="BodyText"/>
        <w:spacing w:line="316" w:lineRule="auto" w:before="19"/>
        <w:ind w:right="110" w:firstLine="420"/>
        <w:jc w:val="both"/>
      </w:pPr>
      <w:r>
        <w:rPr/>
        <w:t>公司从成立至今，在材料科学和电气科学相结合方面处于国内领先地位，并在人才、设备与技术等方面具有明显的竞 </w:t>
      </w:r>
      <w:r>
        <w:rPr>
          <w:spacing w:val="-2"/>
        </w:rPr>
        <w:t>争优势。公司的产品研发思路注重细分领域差异化竞争，公司的技术领先性主要体现在绝缘材料在电力行业的前瞻性研究和</w:t>
      </w:r>
      <w:r>
        <w:rPr>
          <w:spacing w:val="-64"/>
        </w:rPr>
        <w:t> </w:t>
      </w:r>
      <w:r>
        <w:rPr>
          <w:spacing w:val="-64"/>
        </w:rPr>
      </w:r>
      <w:r>
        <w:rPr>
          <w:spacing w:val="-2"/>
        </w:rPr>
        <w:t>应用，通过不断创新构建的产品一直深受国家电网、南方电网客户好评。公司从进入新材料领域至今，坚持引进人才和培养</w:t>
      </w:r>
      <w:r>
        <w:rPr>
          <w:spacing w:val="-64"/>
        </w:rPr>
        <w:t> </w:t>
      </w:r>
      <w:r>
        <w:rPr>
          <w:spacing w:val="-64"/>
        </w:rPr>
      </w:r>
      <w:r>
        <w:rPr>
          <w:spacing w:val="-2"/>
        </w:rPr>
        <w:t>人才并重，坚持技术引进和自主创新并举，积极与国内知名科研院所紧密合作，围绕聚酰亚胺新材料陆续与中科院长春应化</w:t>
      </w:r>
      <w:r>
        <w:rPr>
          <w:spacing w:val="-63"/>
        </w:rPr>
        <w:t> </w:t>
      </w:r>
      <w:r>
        <w:rPr>
          <w:spacing w:val="-63"/>
        </w:rPr>
      </w:r>
      <w:r>
        <w:rPr>
          <w:spacing w:val="-2"/>
        </w:rPr>
        <w:t>所、中科院宁波材料所、北京航空航天大学、江西师范大学开展了深入合作，确立了公司在聚酰亚胺新材料方面的技术壁垒</w:t>
      </w:r>
      <w:r>
        <w:rPr>
          <w:spacing w:val="-64"/>
        </w:rPr>
        <w:t> </w:t>
      </w:r>
      <w:r>
        <w:rPr>
          <w:spacing w:val="-64"/>
        </w:rPr>
      </w:r>
      <w:r>
        <w:rPr/>
        <w:t>优势。</w:t>
      </w:r>
    </w:p>
    <w:p>
      <w:pPr>
        <w:pStyle w:val="BodyText"/>
        <w:spacing w:line="240" w:lineRule="auto" w:before="19"/>
        <w:ind w:right="0"/>
        <w:jc w:val="left"/>
      </w:pPr>
      <w:r>
        <w:rPr/>
        <w:t>2、管理竞争优势</w:t>
      </w:r>
    </w:p>
    <w:p>
      <w:pPr>
        <w:pStyle w:val="BodyText"/>
        <w:spacing w:line="316" w:lineRule="auto" w:before="76"/>
        <w:ind w:right="0" w:firstLine="420"/>
        <w:jc w:val="left"/>
      </w:pPr>
      <w:r>
        <w:rPr/>
        <w:t>公司从上市以来，经过多年的精益生产管理提升，公司内部已经建成标准化流程网络平台和生产质量控制体系，运行 </w:t>
      </w:r>
      <w:r>
        <w:rPr>
          <w:spacing w:val="-2"/>
        </w:rPr>
        <w:t>效率逐年提升；从2014年开始，公司开始实施职业经理人制度，组建了一支专业化、市场化、国际化的高管团队，持续改善</w:t>
      </w:r>
      <w:r>
        <w:rPr>
          <w:spacing w:val="-61"/>
        </w:rPr>
        <w:t> </w:t>
      </w:r>
      <w:r>
        <w:rPr>
          <w:spacing w:val="-61"/>
        </w:rPr>
      </w:r>
      <w:r>
        <w:rPr/>
        <w:t>公司在生产、管理、营销方面的薄弱环节，全面提升核心竞争力，为公司做强做大提供强有力的智力支持和机制保障。 3、营销竞争优势</w:t>
      </w:r>
    </w:p>
    <w:p>
      <w:pPr>
        <w:pStyle w:val="BodyText"/>
        <w:spacing w:line="316" w:lineRule="auto" w:before="19"/>
        <w:ind w:right="0" w:firstLine="420"/>
        <w:jc w:val="left"/>
      </w:pPr>
      <w:r>
        <w:rPr/>
        <w:t>经过多年经营，公司的营销网络覆盖中国大陆除西藏外的各省、直辖市和自治区，一方面有利于巩固传统市场地区的 业务，另一方面为今后其他市场领域开拓奠定了坚实基础。</w:t>
      </w:r>
    </w:p>
    <w:p>
      <w:pPr>
        <w:spacing w:after="0" w:line="316" w:lineRule="auto"/>
        <w:jc w:val="left"/>
        <w:sectPr>
          <w:pgSz w:w="11910" w:h="16840"/>
          <w:pgMar w:header="746" w:footer="1225" w:top="1060" w:bottom="1420" w:left="1020" w:right="1020"/>
        </w:sectPr>
      </w:pPr>
    </w:p>
    <w:p>
      <w:pPr>
        <w:spacing w:line="240" w:lineRule="auto" w:before="8"/>
        <w:rPr>
          <w:rFonts w:ascii="宋体" w:hAnsi="宋体" w:cs="宋体" w:eastAsia="宋体" w:hint="default"/>
          <w:sz w:val="23"/>
          <w:szCs w:val="23"/>
        </w:rPr>
      </w:pPr>
    </w:p>
    <w:p>
      <w:pPr>
        <w:pStyle w:val="Heading4"/>
        <w:spacing w:line="240" w:lineRule="auto" w:before="26"/>
        <w:ind w:right="138"/>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38"/>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38"/>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60"/>
        <w:gridCol w:w="6662"/>
        <w:gridCol w:w="154"/>
        <w:gridCol w:w="1290"/>
      </w:tblGrid>
      <w:tr>
        <w:trPr>
          <w:trHeight w:val="402" w:hRule="exact"/>
        </w:trPr>
        <w:tc>
          <w:tcPr>
            <w:tcW w:w="96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报告期投资额（元</w:t>
            </w:r>
          </w:p>
        </w:tc>
        <w:tc>
          <w:tcPr>
            <w:tcW w:w="68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2501" w:val="left" w:leader="none"/>
              </w:tabs>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w:t>
              <w:tab/>
              <w:t>上年同期投资额（元）</w:t>
            </w:r>
          </w:p>
        </w:tc>
        <w:tc>
          <w:tcPr>
            <w:tcW w:w="1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9"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2" w:right="0"/>
              <w:jc w:val="left"/>
              <w:rPr>
                <w:rFonts w:ascii="Times New Roman" w:hAnsi="Times New Roman" w:cs="Times New Roman" w:eastAsia="Times New Roman" w:hint="default"/>
                <w:sz w:val="18"/>
                <w:szCs w:val="18"/>
              </w:rPr>
            </w:pPr>
            <w:r>
              <w:rPr>
                <w:rFonts w:ascii="Times New Roman"/>
                <w:sz w:val="18"/>
              </w:rPr>
              <w:t>9,000,000.00</w:t>
            </w:r>
          </w:p>
        </w:tc>
        <w:tc>
          <w:tcPr>
            <w:tcW w:w="6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6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7" w:right="84"/>
              <w:jc w:val="left"/>
              <w:rPr>
                <w:rFonts w:ascii="宋体" w:hAnsi="宋体" w:cs="宋体" w:eastAsia="宋体" w:hint="default"/>
                <w:sz w:val="18"/>
                <w:szCs w:val="18"/>
              </w:rPr>
            </w:pPr>
            <w:r>
              <w:rPr>
                <w:rFonts w:ascii="宋体" w:hAnsi="宋体" w:cs="宋体" w:eastAsia="宋体" w:hint="default"/>
                <w:sz w:val="18"/>
                <w:szCs w:val="18"/>
              </w:rPr>
              <w:t>上市公司占被投 资公司权益比例</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聚酰亚胺纤维材料及制品、高分子材料、无石棉摩擦材料、特种工程塑料制品生产及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技术咨询、技术开发</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51.00%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聚酰亚胺制造</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51.00%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2"/>
                <w:sz w:val="18"/>
                <w:szCs w:val="18"/>
              </w:rPr>
              <w:t>聚合物纳米纤维和碳纳米纤维及其纳米纤维电池隔膜、绝缘膜、过滤膜、纳米纤维布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的生产、销售</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60.45%</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20"/>
              <w:jc w:val="both"/>
              <w:rPr>
                <w:rFonts w:ascii="宋体" w:hAnsi="宋体" w:cs="宋体" w:eastAsia="宋体" w:hint="default"/>
                <w:sz w:val="18"/>
                <w:szCs w:val="18"/>
              </w:rPr>
            </w:pPr>
            <w:r>
              <w:rPr>
                <w:rFonts w:ascii="宋体" w:hAnsi="宋体" w:cs="宋体" w:eastAsia="宋体" w:hint="default"/>
                <w:spacing w:val="-2"/>
                <w:sz w:val="18"/>
                <w:szCs w:val="18"/>
              </w:rPr>
              <w:t>超级电容器、高能电容、电池储能组件、电动车及工具用动力电容、光伏太阳能路灯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组件、</w:t>
            </w:r>
            <w:r>
              <w:rPr>
                <w:rFonts w:ascii="Times New Roman" w:hAnsi="Times New Roman" w:cs="Times New Roman" w:eastAsia="Times New Roman" w:hint="default"/>
                <w:spacing w:val="-3"/>
                <w:sz w:val="18"/>
                <w:szCs w:val="18"/>
              </w:rPr>
              <w:t>UPS</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用中继电容及材料的研发、购销；信息咨询（不含人才中介服务及其他限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制项目）</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光电子器件研究及开发、聚酰亚胺薄膜材料生产、销售及技术咨询</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55" w:right="0"/>
              <w:jc w:val="left"/>
              <w:rPr>
                <w:rFonts w:ascii="Times New Roman" w:hAnsi="Times New Roman" w:cs="Times New Roman" w:eastAsia="Times New Roman" w:hint="default"/>
                <w:sz w:val="18"/>
                <w:szCs w:val="18"/>
              </w:rPr>
            </w:pPr>
            <w:r>
              <w:rPr>
                <w:rFonts w:ascii="Times New Roman"/>
                <w:sz w:val="18"/>
              </w:rPr>
              <w:t>28.56%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销售高分子复合材料</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47.43%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电力设备及相关配件产品的销售，提供技术支持服务</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6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投资管理；项目投资；资产管理；投资咨询；经济贸易咨询</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7" w:right="0"/>
              <w:jc w:val="lef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北京金喜凯德科技 有限公司</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both"/>
              <w:rPr>
                <w:rFonts w:ascii="宋体" w:hAnsi="宋体" w:cs="宋体" w:eastAsia="宋体" w:hint="default"/>
                <w:sz w:val="18"/>
                <w:szCs w:val="18"/>
              </w:rPr>
            </w:pPr>
            <w:r>
              <w:rPr>
                <w:rFonts w:ascii="宋体" w:hAnsi="宋体" w:cs="宋体" w:eastAsia="宋体" w:hint="default"/>
                <w:spacing w:val="-2"/>
                <w:sz w:val="18"/>
                <w:szCs w:val="18"/>
              </w:rPr>
              <w:t>技术推广服务；计算机系统服务；数据处理；计算机维修；基础软件服务；应用软件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sz w:val="18"/>
                <w:szCs w:val="18"/>
              </w:rPr>
              <w:t>服务；销售电子产品、通讯器材、机械设备、计算机、软件及辅助设备、化工产品（不</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含危险化学品）、机械设备、家用电器；投资咨询；投资管理</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30.00%</w:t>
            </w:r>
          </w:p>
        </w:tc>
      </w:tr>
    </w:tbl>
    <w:p>
      <w:pPr>
        <w:spacing w:line="240" w:lineRule="auto" w:before="2"/>
        <w:rPr>
          <w:rFonts w:ascii="宋体" w:hAnsi="宋体" w:cs="宋体" w:eastAsia="宋体" w:hint="default"/>
          <w:sz w:val="19"/>
          <w:szCs w:val="19"/>
        </w:rPr>
      </w:pPr>
    </w:p>
    <w:p>
      <w:pPr>
        <w:pStyle w:val="Heading5"/>
        <w:spacing w:line="240" w:lineRule="auto" w:before="34"/>
        <w:ind w:right="138"/>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公司报告期未持有金融企业股权。</w:t>
      </w:r>
    </w:p>
    <w:p>
      <w:pPr>
        <w:spacing w:line="240" w:lineRule="auto" w:before="5"/>
        <w:rPr>
          <w:rFonts w:ascii="宋体" w:hAnsi="宋体" w:cs="宋体" w:eastAsia="宋体" w:hint="default"/>
          <w:sz w:val="21"/>
          <w:szCs w:val="21"/>
        </w:rPr>
      </w:pPr>
    </w:p>
    <w:p>
      <w:pPr>
        <w:pStyle w:val="Heading5"/>
        <w:spacing w:line="240" w:lineRule="auto"/>
        <w:ind w:right="138"/>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公司报告期不存在证券投资。</w:t>
      </w:r>
    </w:p>
    <w:p>
      <w:pPr>
        <w:spacing w:after="0" w:line="338" w:lineRule="auto"/>
        <w:jc w:val="left"/>
        <w:sectPr>
          <w:pgSz w:w="11910" w:h="16840"/>
          <w:pgMar w:header="746" w:footer="1225" w:top="1060" w:bottom="1420" w:left="1020" w:right="98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公司报告期未持有其他上市公司股权。</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0"/>
        <w:gridCol w:w="798"/>
        <w:gridCol w:w="796"/>
        <w:gridCol w:w="815"/>
        <w:gridCol w:w="796"/>
        <w:gridCol w:w="798"/>
        <w:gridCol w:w="796"/>
        <w:gridCol w:w="798"/>
        <w:gridCol w:w="796"/>
        <w:gridCol w:w="798"/>
        <w:gridCol w:w="796"/>
        <w:gridCol w:w="784"/>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5" w:right="33"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2"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0"/>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 w:right="31"/>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3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5"/>
              <w:jc w:val="both"/>
              <w:rPr>
                <w:rFonts w:ascii="宋体" w:hAnsi="宋体" w:cs="宋体" w:eastAsia="宋体" w:hint="default"/>
                <w:sz w:val="18"/>
                <w:szCs w:val="18"/>
              </w:rPr>
            </w:pPr>
            <w:r>
              <w:rPr>
                <w:rFonts w:ascii="宋体" w:hAnsi="宋体" w:cs="宋体" w:eastAsia="宋体" w:hint="default"/>
                <w:sz w:val="18"/>
                <w:szCs w:val="18"/>
              </w:rPr>
              <w:t>中国工商 银行深圳 龙华支行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53.01</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中国工商 银行深圳 龙华支行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56.71</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5"/>
              <w:jc w:val="both"/>
              <w:rPr>
                <w:rFonts w:ascii="宋体" w:hAnsi="宋体" w:cs="宋体" w:eastAsia="宋体" w:hint="default"/>
                <w:sz w:val="18"/>
                <w:szCs w:val="18"/>
              </w:rPr>
            </w:pPr>
            <w:r>
              <w:rPr>
                <w:rFonts w:ascii="宋体" w:hAnsi="宋体" w:cs="宋体" w:eastAsia="宋体" w:hint="default"/>
                <w:sz w:val="18"/>
                <w:szCs w:val="18"/>
              </w:rPr>
              <w:t>中国工商 银行深圳 龙华支行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57.95</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11.31</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10.57</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平安银行 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11.68</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5"/>
              <w:jc w:val="both"/>
              <w:rPr>
                <w:rFonts w:ascii="宋体" w:hAnsi="宋体" w:cs="宋体" w:eastAsia="宋体" w:hint="default"/>
                <w:sz w:val="18"/>
                <w:szCs w:val="18"/>
              </w:rPr>
            </w:pPr>
            <w:r>
              <w:rPr>
                <w:rFonts w:ascii="宋体" w:hAnsi="宋体" w:cs="宋体" w:eastAsia="宋体" w:hint="default"/>
                <w:sz w:val="18"/>
                <w:szCs w:val="18"/>
              </w:rPr>
              <w:t>平安银行 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平安银行 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w:t>
            </w:r>
          </w:p>
        </w:tc>
      </w:tr>
      <w:tr>
        <w:trPr>
          <w:trHeight w:val="102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5"/>
              <w:jc w:val="both"/>
              <w:rPr>
                <w:rFonts w:ascii="宋体" w:hAnsi="宋体" w:cs="宋体" w:eastAsia="宋体" w:hint="default"/>
                <w:sz w:val="18"/>
                <w:szCs w:val="18"/>
              </w:rPr>
            </w:pPr>
            <w:r>
              <w:rPr>
                <w:rFonts w:ascii="宋体" w:hAnsi="宋体" w:cs="宋体" w:eastAsia="宋体" w:hint="default"/>
                <w:sz w:val="18"/>
                <w:szCs w:val="18"/>
              </w:rPr>
              <w:t>平安银行 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1225" w:top="1060" w:bottom="14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00"/>
        <w:gridCol w:w="798"/>
        <w:gridCol w:w="796"/>
        <w:gridCol w:w="815"/>
        <w:gridCol w:w="796"/>
        <w:gridCol w:w="798"/>
        <w:gridCol w:w="796"/>
        <w:gridCol w:w="798"/>
        <w:gridCol w:w="796"/>
        <w:gridCol w:w="798"/>
        <w:gridCol w:w="796"/>
        <w:gridCol w:w="784"/>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14.84</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12.95</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平安银行 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36.99</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31.56</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浦发银行 深圳高新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平安银行 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11.04</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平安银行 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12.08</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平安银行 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32.88</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13.46</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平安银行 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11.51</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浦发银行 深圳高新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12.77</w:t>
            </w:r>
          </w:p>
        </w:tc>
      </w:tr>
      <w:tr>
        <w:trPr>
          <w:trHeight w:val="4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保本固定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到期一次</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36.52</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1225" w:header="746" w:top="1060" w:bottom="1420" w:left="1020" w:right="1020"/>
          <w:pgNumType w:start="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00"/>
        <w:gridCol w:w="798"/>
        <w:gridCol w:w="796"/>
        <w:gridCol w:w="815"/>
        <w:gridCol w:w="796"/>
        <w:gridCol w:w="798"/>
        <w:gridCol w:w="796"/>
        <w:gridCol w:w="798"/>
        <w:gridCol w:w="796"/>
        <w:gridCol w:w="798"/>
        <w:gridCol w:w="796"/>
        <w:gridCol w:w="784"/>
      </w:tblGrid>
      <w:tr>
        <w:trPr>
          <w:trHeight w:val="67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5"/>
              <w:jc w:val="left"/>
              <w:rPr>
                <w:rFonts w:ascii="宋体" w:hAnsi="宋体" w:cs="宋体" w:eastAsia="宋体" w:hint="default"/>
                <w:sz w:val="18"/>
                <w:szCs w:val="18"/>
              </w:rPr>
            </w:pPr>
            <w:r>
              <w:rPr>
                <w:rFonts w:ascii="宋体" w:hAnsi="宋体" w:cs="宋体" w:eastAsia="宋体" w:hint="default"/>
                <w:sz w:val="18"/>
                <w:szCs w:val="18"/>
              </w:rPr>
              <w:t>深圳坪山 新区支行</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43"/>
              <w:jc w:val="left"/>
              <w:rPr>
                <w:rFonts w:ascii="宋体" w:hAnsi="宋体" w:cs="宋体" w:eastAsia="宋体" w:hint="default"/>
                <w:sz w:val="18"/>
                <w:szCs w:val="18"/>
              </w:rPr>
            </w:pPr>
            <w:r>
              <w:rPr>
                <w:rFonts w:ascii="宋体" w:hAnsi="宋体" w:cs="宋体" w:eastAsia="宋体" w:hint="default"/>
                <w:sz w:val="18"/>
                <w:szCs w:val="18"/>
              </w:rPr>
              <w:t>性还本付 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42.85</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深圳兴业 银行沙井 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15.46</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中国银河 证券深圳 宝安路营 业部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2.37</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中国银河 证券深圳 宝安路营 业部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4.89</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中国银河 证券深圳 宝安路营 业部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8.08</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博时基金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国信证券 深圳红岭 中路营业 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4"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到期一次 性还本付 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83.84</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招行北京 分行北三 环支行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每周五付 息后自动 滚动</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151,350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501.1</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自有闲置资金</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bottom w:val="single" w:sz="4" w:space="0" w:color="000000"/>
              <w:right w:val="single" w:sz="4" w:space="0" w:color="000000"/>
            </w:tcBorders>
            <w:shd w:val="clear" w:color="auto" w:fill="D3D3D3"/>
          </w:tcPr>
          <w:p>
            <w:pP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6" w:footer="1225" w:top="1060" w:bottom="1420" w:left="1020" w:right="102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left="0" w:right="117"/>
        <w:jc w:val="right"/>
      </w:pPr>
      <w:r>
        <w:rPr/>
        <w:pict>
          <v:shape style="position:absolute;margin-left:56.459999pt;margin-top:-344.367798pt;width:479.3pt;height:537.7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798"/>
                    <w:gridCol w:w="796"/>
                    <w:gridCol w:w="815"/>
                    <w:gridCol w:w="796"/>
                    <w:gridCol w:w="798"/>
                    <w:gridCol w:w="796"/>
                    <w:gridCol w:w="798"/>
                    <w:gridCol w:w="796"/>
                    <w:gridCol w:w="798"/>
                    <w:gridCol w:w="796"/>
                    <w:gridCol w:w="784"/>
                  </w:tblGrid>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815"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31"/>
                          <w:jc w:val="right"/>
                          <w:rPr>
                            <w:rFonts w:ascii="宋体" w:hAnsi="宋体" w:cs="宋体" w:eastAsia="宋体" w:hint="default"/>
                            <w:sz w:val="18"/>
                            <w:szCs w:val="18"/>
                          </w:rPr>
                        </w:pPr>
                        <w:r>
                          <w:rPr>
                            <w:rFonts w:ascii="宋体" w:hAnsi="宋体" w:cs="宋体" w:eastAsia="宋体" w:hint="default"/>
                            <w:sz w:val="18"/>
                            <w:szCs w:val="18"/>
                          </w:rPr>
                          <w:t>期末投资</w:t>
                        </w:r>
                      </w:p>
                    </w:tc>
                    <w:tc>
                      <w:tcPr>
                        <w:tcW w:w="7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6" w:hRule="exact"/>
                    </w:trPr>
                    <w:tc>
                      <w:tcPr>
                        <w:tcW w:w="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 w:right="33"/>
                          <w:jc w:val="center"/>
                          <w:rPr>
                            <w:rFonts w:ascii="宋体" w:hAnsi="宋体" w:cs="宋体" w:eastAsia="宋体" w:hint="default"/>
                            <w:sz w:val="18"/>
                            <w:szCs w:val="18"/>
                          </w:rPr>
                        </w:pPr>
                        <w:r>
                          <w:rPr>
                            <w:rFonts w:ascii="宋体" w:hAnsi="宋体" w:cs="宋体" w:eastAsia="宋体" w:hint="default"/>
                            <w:sz w:val="18"/>
                            <w:szCs w:val="18"/>
                          </w:rPr>
                          <w:t>衍生品投 资操作方 名称</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31" w:right="40" w:hanging="89"/>
                          <w:jc w:val="left"/>
                          <w:rPr>
                            <w:rFonts w:ascii="宋体" w:hAnsi="宋体" w:cs="宋体" w:eastAsia="宋体" w:hint="default"/>
                            <w:sz w:val="18"/>
                            <w:szCs w:val="18"/>
                          </w:rPr>
                        </w:pPr>
                        <w:r>
                          <w:rPr>
                            <w:rFonts w:ascii="宋体" w:hAnsi="宋体" w:cs="宋体" w:eastAsia="宋体" w:hint="default"/>
                            <w:sz w:val="18"/>
                            <w:szCs w:val="18"/>
                          </w:rPr>
                          <w:t>衍生品投 资类型</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2" w:right="32"/>
                          <w:jc w:val="both"/>
                          <w:rPr>
                            <w:rFonts w:ascii="宋体" w:hAnsi="宋体" w:cs="宋体" w:eastAsia="宋体" w:hint="default"/>
                            <w:sz w:val="18"/>
                            <w:szCs w:val="18"/>
                          </w:rPr>
                        </w:pPr>
                        <w:r>
                          <w:rPr>
                            <w:rFonts w:ascii="宋体" w:hAnsi="宋体" w:cs="宋体" w:eastAsia="宋体" w:hint="default"/>
                            <w:sz w:val="18"/>
                            <w:szCs w:val="18"/>
                          </w:rPr>
                          <w:t>衍生品投 资初始投 资金额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期初投资 金额</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0"/>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期末投资 金额</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1"/>
                          <w:jc w:val="both"/>
                          <w:rPr>
                            <w:rFonts w:ascii="宋体" w:hAnsi="宋体" w:cs="宋体" w:eastAsia="宋体" w:hint="default"/>
                            <w:sz w:val="18"/>
                            <w:szCs w:val="18"/>
                          </w:rPr>
                        </w:pPr>
                        <w:r>
                          <w:rPr>
                            <w:rFonts w:ascii="宋体" w:hAnsi="宋体" w:cs="宋体" w:eastAsia="宋体" w:hint="default"/>
                            <w:sz w:val="18"/>
                            <w:szCs w:val="18"/>
                          </w:rPr>
                          <w:t>金额占公 司报告期 末净资产</w:t>
                        </w:r>
                      </w:p>
                    </w:tc>
                    <w:tc>
                      <w:tcPr>
                        <w:tcW w:w="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357" w:hRule="exact"/>
                    </w:trPr>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815"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中国银河</w:t>
                        </w: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5"/>
                          <w:jc w:val="left"/>
                          <w:rPr>
                            <w:rFonts w:ascii="宋体" w:hAnsi="宋体" w:cs="宋体" w:eastAsia="宋体" w:hint="default"/>
                            <w:sz w:val="18"/>
                            <w:szCs w:val="18"/>
                          </w:rPr>
                        </w:pPr>
                        <w:r>
                          <w:rPr>
                            <w:rFonts w:ascii="宋体" w:hAnsi="宋体" w:cs="宋体" w:eastAsia="宋体" w:hint="default"/>
                            <w:sz w:val="18"/>
                            <w:szCs w:val="18"/>
                          </w:rPr>
                          <w:t>证券深圳 宝安路营</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59"/>
                          <w:jc w:val="left"/>
                          <w:rPr>
                            <w:rFonts w:ascii="宋体" w:hAnsi="宋体" w:cs="宋体" w:eastAsia="宋体" w:hint="default"/>
                            <w:sz w:val="18"/>
                            <w:szCs w:val="18"/>
                          </w:rPr>
                        </w:pPr>
                        <w:r>
                          <w:rPr>
                            <w:rFonts w:ascii="宋体" w:hAnsi="宋体" w:cs="宋体" w:eastAsia="宋体" w:hint="default"/>
                            <w:sz w:val="18"/>
                            <w:szCs w:val="18"/>
                          </w:rPr>
                          <w:t>国债逆回 购</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298,580</w:t>
                        </w: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6"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121.01</w:t>
                        </w: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业部</w:t>
                        </w: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298,580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121.01</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自有闲置资金</w:t>
                        </w:r>
                      </w:p>
                    </w:tc>
                  </w:tr>
                  <w:tr>
                    <w:trPr>
                      <w:trHeight w:val="402" w:hRule="exact"/>
                    </w:trPr>
                    <w:tc>
                      <w:tcPr>
                        <w:tcW w:w="3209" w:type="dxa"/>
                        <w:gridSpan w:val="4"/>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6"/>
                          <w:ind w:left="22" w:right="0"/>
                          <w:jc w:val="left"/>
                          <w:rPr>
                            <w:rFonts w:ascii="宋体" w:hAnsi="宋体" w:cs="宋体" w:eastAsia="宋体" w:hint="default"/>
                            <w:sz w:val="18"/>
                            <w:szCs w:val="18"/>
                          </w:rPr>
                        </w:pPr>
                        <w:r>
                          <w:rPr>
                            <w:rFonts w:ascii="宋体" w:hAnsi="宋体" w:cs="宋体" w:eastAsia="宋体" w:hint="default"/>
                            <w:sz w:val="18"/>
                            <w:szCs w:val="18"/>
                          </w:rPr>
                          <w:t>衍生品投资审批董事会公告披露日</w:t>
                        </w:r>
                        <w:r>
                          <w:rPr>
                            <w:rFonts w:ascii="宋体" w:hAnsi="宋体" w:cs="宋体" w:eastAsia="宋体" w:hint="default"/>
                            <w:spacing w:val="-87"/>
                            <w:sz w:val="18"/>
                            <w:szCs w:val="18"/>
                          </w:rPr>
                          <w:t>期</w:t>
                        </w:r>
                        <w:r>
                          <w:rPr>
                            <w:rFonts w:ascii="宋体" w:hAnsi="宋体" w:cs="宋体" w:eastAsia="宋体" w:hint="default"/>
                            <w:sz w:val="18"/>
                            <w:szCs w:val="18"/>
                          </w:rPr>
                          <w:t>（如</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衍生品投资审批股东会公告披露日期（如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3209"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362" w:type="dxa"/>
                        <w:gridSpan w:val="8"/>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日公告的《独立董事对相关事项的独立意见》中独立董事关于</w:t>
                        </w:r>
                      </w:p>
                    </w:tc>
                  </w:tr>
                  <w:tr>
                    <w:trPr>
                      <w:trHeight w:val="308"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公司利用自有资金投资国债逆回购和货币基金等理财产品事项的独立意见：公司</w:t>
                        </w:r>
                      </w:p>
                    </w:tc>
                  </w:tr>
                  <w:tr>
                    <w:trPr>
                      <w:trHeight w:val="316"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在不影响正常生产经营的情况下，拟使用不超过人民币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pacing w:val="-6"/>
                            <w:sz w:val="18"/>
                            <w:szCs w:val="18"/>
                          </w:rPr>
                          <w:t>亿元（含本数）的闲置</w:t>
                        </w:r>
                      </w:p>
                    </w:tc>
                  </w:tr>
                  <w:tr>
                    <w:trPr>
                      <w:trHeight w:val="308"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自有资金进行国债逆回购投资，投资品种不涉及《深圳证券交易所中小企业板信</w:t>
                        </w:r>
                      </w:p>
                    </w:tc>
                  </w:tr>
                  <w:tr>
                    <w:trPr>
                      <w:trHeight w:val="316"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息披露业务备忘录第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风险投资》规定的风险投资品种。该项投资有利于提</w:t>
                        </w:r>
                      </w:p>
                    </w:tc>
                  </w:tr>
                  <w:tr>
                    <w:trPr>
                      <w:trHeight w:val="308"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高公司资金使用效率，增加投资收益，不存在损害公司及股东（特别是中小股东</w:t>
                        </w:r>
                      </w:p>
                    </w:tc>
                  </w:tr>
                  <w:tr>
                    <w:trPr>
                      <w:trHeight w:val="312"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利益的情形。本次投资事项的审批程序符合有关规定，自有资金来源合规。我们</w:t>
                        </w:r>
                      </w:p>
                    </w:tc>
                  </w:tr>
                  <w:tr>
                    <w:trPr>
                      <w:trHeight w:val="979"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 情况的专项意见</w:t>
                        </w: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7"/>
                          <w:jc w:val="left"/>
                          <w:rPr>
                            <w:rFonts w:ascii="宋体" w:hAnsi="宋体" w:cs="宋体" w:eastAsia="宋体" w:hint="default"/>
                            <w:sz w:val="18"/>
                            <w:szCs w:val="18"/>
                          </w:rPr>
                        </w:pPr>
                        <w:r>
                          <w:rPr>
                            <w:rFonts w:ascii="宋体" w:hAnsi="宋体" w:cs="宋体" w:eastAsia="宋体" w:hint="default"/>
                            <w:sz w:val="18"/>
                            <w:szCs w:val="18"/>
                          </w:rPr>
                          <w:t>同意公司使用自有资金在本次董事会审议通过的投资额度、品种、期限范围内开 展国债逆回购和货币基金投资。</w:t>
                        </w:r>
                      </w:p>
                      <w:p>
                        <w:pPr>
                          <w:pStyle w:val="TableParagraph"/>
                          <w:spacing w:line="240" w:lineRule="auto" w:before="57"/>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日公告的《独立董事对相关事项的独立意见》中独立董事关于</w:t>
                        </w:r>
                      </w:p>
                    </w:tc>
                  </w:tr>
                  <w:tr>
                    <w:trPr>
                      <w:trHeight w:val="307"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增加理财产品投资额度议案的独立意见：公司在不影响正常生产经营的情况下，</w:t>
                        </w:r>
                      </w:p>
                    </w:tc>
                  </w:tr>
                  <w:tr>
                    <w:trPr>
                      <w:trHeight w:val="317"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拟使用不超过人民币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亿元（含本数）的闲置自有资金投资理财产品，投资品种</w:t>
                        </w:r>
                      </w:p>
                    </w:tc>
                  </w:tr>
                  <w:tr>
                    <w:trPr>
                      <w:trHeight w:val="312"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不涉及《深圳证券交易所中小企业版信息披露业务备忘录第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2"/>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风险投资》规</w:t>
                        </w:r>
                      </w:p>
                    </w:tc>
                  </w:tr>
                  <w:tr>
                    <w:trPr>
                      <w:trHeight w:val="307"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定的风险投资品种。该项投资有利于提高公司资金使用效率，增加投资收益，不</w:t>
                        </w:r>
                      </w:p>
                    </w:tc>
                  </w:tr>
                  <w:tr>
                    <w:trPr>
                      <w:trHeight w:val="312"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存在损害公司及股东（特别是中小股东）利益的情形。本次投资事项的审批程序</w:t>
                        </w:r>
                      </w:p>
                    </w:tc>
                  </w:tr>
                  <w:tr>
                    <w:trPr>
                      <w:trHeight w:val="317" w:hRule="exact"/>
                    </w:trPr>
                    <w:tc>
                      <w:tcPr>
                        <w:tcW w:w="3209" w:type="dxa"/>
                        <w:gridSpan w:val="4"/>
                        <w:tcBorders>
                          <w:top w:val="nil" w:sz="6" w:space="0" w:color="auto"/>
                          <w:left w:val="single" w:sz="4" w:space="0" w:color="000000"/>
                          <w:bottom w:val="nil" w:sz="6" w:space="0" w:color="auto"/>
                          <w:right w:val="single" w:sz="4" w:space="0" w:color="000000"/>
                        </w:tcBorders>
                        <w:shd w:val="clear" w:color="auto" w:fill="D3D3D3"/>
                      </w:tcPr>
                      <w:p>
                        <w:pPr/>
                      </w:p>
                    </w:tc>
                    <w:tc>
                      <w:tcPr>
                        <w:tcW w:w="6362"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符合有关规定，自有资金来源合规。 </w:t>
                        </w:r>
                        <w:r>
                          <w:rPr>
                            <w:rFonts w:ascii="宋体" w:hAnsi="宋体" w:cs="宋体" w:eastAsia="宋体" w:hint="default"/>
                            <w:spacing w:val="-4"/>
                            <w:sz w:val="18"/>
                            <w:szCs w:val="18"/>
                          </w:rPr>
                          <w:t>综上，我们同意公司使用不超过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4"/>
                            <w:sz w:val="18"/>
                            <w:szCs w:val="18"/>
                          </w:rPr>
                          <w:t> </w:t>
                        </w:r>
                        <w:r>
                          <w:rPr>
                            <w:rFonts w:ascii="宋体" w:hAnsi="宋体" w:cs="宋体" w:eastAsia="宋体" w:hint="default"/>
                            <w:spacing w:val="-11"/>
                            <w:sz w:val="18"/>
                            <w:szCs w:val="18"/>
                          </w:rPr>
                          <w:t>亿元（含</w:t>
                        </w:r>
                      </w:p>
                    </w:tc>
                  </w:tr>
                  <w:tr>
                    <w:trPr>
                      <w:trHeight w:val="353" w:hRule="exact"/>
                    </w:trPr>
                    <w:tc>
                      <w:tcPr>
                        <w:tcW w:w="3209"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362" w:type="dxa"/>
                        <w:gridSpan w:val="8"/>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本数）的自有资金投资理财产品。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单位：万元</w:t>
      </w:r>
    </w:p>
    <w:p>
      <w:pPr>
        <w:spacing w:after="0" w:line="240" w:lineRule="auto"/>
        <w:jc w:val="right"/>
        <w:sectPr>
          <w:pgSz w:w="11910" w:h="16840"/>
          <w:pgMar w:header="746" w:footer="1225" w:top="1060" w:bottom="142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052"/>
        <w:gridCol w:w="881"/>
        <w:gridCol w:w="881"/>
        <w:gridCol w:w="882"/>
        <w:gridCol w:w="1436"/>
        <w:gridCol w:w="1436"/>
      </w:tblGrid>
      <w:tr>
        <w:trPr>
          <w:trHeight w:val="714"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6" w:right="74" w:hanging="272"/>
              <w:jc w:val="left"/>
              <w:rPr>
                <w:rFonts w:ascii="宋体" w:hAnsi="宋体" w:cs="宋体" w:eastAsia="宋体" w:hint="default"/>
                <w:sz w:val="18"/>
                <w:szCs w:val="18"/>
              </w:rPr>
            </w:pPr>
            <w:r>
              <w:rPr>
                <w:rFonts w:ascii="宋体" w:hAnsi="宋体" w:cs="宋体" w:eastAsia="宋体" w:hint="default"/>
                <w:sz w:val="18"/>
                <w:szCs w:val="18"/>
              </w:rPr>
              <w:t>是否关联 方</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担保人或抵押物</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21" w:right="82" w:hanging="540"/>
              <w:jc w:val="left"/>
              <w:rPr>
                <w:rFonts w:ascii="宋体" w:hAnsi="宋体" w:cs="宋体" w:eastAsia="宋体" w:hint="default"/>
                <w:sz w:val="18"/>
                <w:szCs w:val="18"/>
              </w:rPr>
            </w:pPr>
            <w:r>
              <w:rPr>
                <w:rFonts w:ascii="宋体" w:hAnsi="宋体" w:cs="宋体" w:eastAsia="宋体" w:hint="default"/>
                <w:sz w:val="18"/>
                <w:szCs w:val="18"/>
              </w:rPr>
              <w:t>贷款对象资金用 途</w:t>
            </w:r>
          </w:p>
        </w:tc>
      </w:tr>
      <w:tr>
        <w:trPr>
          <w:trHeight w:val="71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6.15%</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42"/>
              <w:jc w:val="left"/>
              <w:rPr>
                <w:rFonts w:ascii="宋体" w:hAnsi="宋体" w:cs="宋体" w:eastAsia="宋体" w:hint="default"/>
                <w:sz w:val="18"/>
                <w:szCs w:val="18"/>
              </w:rPr>
            </w:pPr>
            <w:r>
              <w:rPr>
                <w:rFonts w:ascii="宋体" w:hAnsi="宋体" w:cs="宋体" w:eastAsia="宋体" w:hint="default"/>
                <w:sz w:val="18"/>
                <w:szCs w:val="18"/>
              </w:rPr>
              <w:t>购置固定资产原 材料</w:t>
            </w:r>
          </w:p>
        </w:tc>
      </w:tr>
      <w:tr>
        <w:trPr>
          <w:trHeight w:val="402"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展期、逾期或诉讼事项（如有）</w:t>
            </w:r>
          </w:p>
        </w:tc>
        <w:tc>
          <w:tcPr>
            <w:tcW w:w="5516" w:type="dxa"/>
            <w:gridSpan w:val="5"/>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万元财务资助已于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日到期，长春高琦未能 及时履行还款义务，主要原因是长春高琦虽然生产经营一切正常，但 聚酰亚胺产品产销工作不及预期，致使长春高琦出现较大幅度亏损， 资金周转非常困难。</w:t>
            </w:r>
          </w:p>
        </w:tc>
      </w:tr>
      <w:tr>
        <w:trPr>
          <w:trHeight w:val="402"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展期、逾期或诉讼事项等风险的应对措施（如有）</w:t>
            </w:r>
          </w:p>
        </w:tc>
        <w:tc>
          <w:tcPr>
            <w:tcW w:w="55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目前公司正在采取各种措施协调长春高琦尽快还本付息。</w:t>
            </w:r>
          </w:p>
        </w:tc>
      </w:tr>
      <w:tr>
        <w:trPr>
          <w:trHeight w:val="402"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委托贷款审批董事会公告披露日期（如有</w:t>
            </w:r>
            <w:r>
              <w:rPr>
                <w:rFonts w:ascii="Times New Roman" w:hAnsi="Times New Roman" w:cs="Times New Roman" w:eastAsia="Times New Roman" w:hint="default"/>
                <w:sz w:val="18"/>
                <w:szCs w:val="18"/>
              </w:rPr>
              <w:t>)</w:t>
            </w:r>
          </w:p>
        </w:tc>
        <w:tc>
          <w:tcPr>
            <w:tcW w:w="55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委托贷款审批股东会公告披露日期（如有</w:t>
            </w:r>
            <w:r>
              <w:rPr>
                <w:rFonts w:ascii="Times New Roman" w:hAnsi="Times New Roman" w:cs="Times New Roman" w:eastAsia="Times New Roman" w:hint="default"/>
                <w:sz w:val="18"/>
                <w:szCs w:val="18"/>
              </w:rPr>
              <w:t>)</w:t>
            </w:r>
          </w:p>
        </w:tc>
        <w:tc>
          <w:tcPr>
            <w:tcW w:w="5516"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121"/>
        <w:jc w:val="right"/>
      </w:pPr>
      <w:r>
        <w:rPr/>
        <w:pict>
          <v:shape style="position:absolute;margin-left:56.459999pt;margin-top:-194.428284pt;width:479.15pt;height:331.4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43,698.54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196.45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33,163.65</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01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[2010]1771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号文《关于核准深圳市惠程电气股份有限公司非公开发行股票的批复》的 核准，同意本公司于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15,021,600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 发行认购价格为人民币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元，共计募集人民币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452,300,376.00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日，本公司共计募集资金人民 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452,300,376.00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元，扣除与发行有关的费用人民币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15,315,000.00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元，本公司实际募集资金净额为人民币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436,985,376.00 </w:t>
                        </w:r>
                        <w:r>
                          <w:rPr>
                            <w:rFonts w:ascii="宋体" w:hAnsi="宋体" w:cs="宋体" w:eastAsia="宋体" w:hint="default"/>
                            <w:sz w:val="18"/>
                            <w:szCs w:val="18"/>
                          </w:rPr>
                          <w:t>元。本公司上述注册资本变更事项业经立信大华会计师事务所于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日出具立信大华验字</w:t>
                        </w:r>
                        <w:r>
                          <w:rPr>
                            <w:rFonts w:ascii="Times New Roman" w:hAnsi="Times New Roman" w:cs="Times New Roman" w:eastAsia="Times New Roman" w:hint="default"/>
                            <w:sz w:val="18"/>
                            <w:szCs w:val="18"/>
                          </w:rPr>
                          <w:t>[2010]190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 告验证确认。</w:t>
                        </w:r>
                      </w:p>
                      <w:p>
                        <w:pPr>
                          <w:pStyle w:val="TableParagraph"/>
                          <w:spacing w:line="340" w:lineRule="auto" w:before="72"/>
                          <w:ind w:left="22" w:right="111"/>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日，本公司非公开发行的募集资金合计账户合计减少的金额为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436,767,212.28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元，具体情况如下：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、募集资金累计投入募集资金项目的金额为</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331,636,532.92</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元，其中：（</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）以前年度使用的金额为</w:t>
                        </w:r>
                        <w:r>
                          <w:rPr>
                            <w:rFonts w:ascii="宋体" w:hAnsi="宋体" w:cs="宋体" w:eastAsia="宋体" w:hint="default"/>
                            <w:spacing w:val="-59"/>
                            <w:sz w:val="18"/>
                            <w:szCs w:val="18"/>
                          </w:rPr>
                          <w:t> </w:t>
                        </w:r>
                        <w:r>
                          <w:rPr>
                            <w:rFonts w:ascii="Times New Roman" w:hAnsi="Times New Roman" w:cs="Times New Roman" w:eastAsia="Times New Roman" w:hint="default"/>
                            <w:spacing w:val="-2"/>
                            <w:sz w:val="18"/>
                            <w:szCs w:val="18"/>
                          </w:rPr>
                          <w:t>329,672,019.95</w:t>
                        </w:r>
                        <w:r>
                          <w:rPr>
                            <w:rFonts w:ascii="宋体" w:hAnsi="宋体" w:cs="宋体" w:eastAsia="宋体" w:hint="default"/>
                            <w:spacing w:val="-2"/>
                            <w:sz w:val="18"/>
                            <w:szCs w:val="18"/>
                          </w:rPr>
                          <w:t>，其中</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①公司于募集资金到位后置换已利用自筹资金和银行贷款先期投入募集资金项目的金额为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75"/>
                            <w:sz w:val="18"/>
                            <w:szCs w:val="18"/>
                          </w:rPr>
                          <w:t>；</w:t>
                        </w:r>
                        <w:r>
                          <w:rPr>
                            <w:rFonts w:ascii="宋体" w:hAnsi="宋体" w:cs="宋体" w:eastAsia="宋体" w:hint="default"/>
                            <w:sz w:val="18"/>
                            <w:szCs w:val="18"/>
                          </w:rPr>
                          <w:t>②募集资金到</w:t>
                        </w:r>
                      </w:p>
                      <w:p>
                        <w:pPr>
                          <w:pStyle w:val="TableParagraph"/>
                          <w:spacing w:line="338" w:lineRule="auto" w:before="63"/>
                          <w:ind w:left="22" w:right="802"/>
                          <w:jc w:val="left"/>
                          <w:rPr>
                            <w:rFonts w:ascii="宋体" w:hAnsi="宋体" w:cs="宋体" w:eastAsia="宋体" w:hint="default"/>
                            <w:sz w:val="18"/>
                            <w:szCs w:val="18"/>
                          </w:rPr>
                        </w:pPr>
                        <w:r>
                          <w:rPr>
                            <w:rFonts w:ascii="宋体" w:hAnsi="宋体" w:cs="宋体" w:eastAsia="宋体" w:hint="default"/>
                            <w:sz w:val="18"/>
                            <w:szCs w:val="18"/>
                          </w:rPr>
                          <w:t>位后直接投入募集资金项目的金额为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268,733,719.95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）本年度使用的募集资金的金额为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1,964,512.97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、本年度使用闲置募集资金暂时补充流动资金且尚未归还至募集资金账户的金额为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19" w:lineRule="auto" w:before="22"/>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、终止部分募投项目后，使用剩余募集资金永久性补充流动资金的金额为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80,055,976.97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元（含募集资金账户利息收入及 手续费支出净额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1,742,930.02</w:t>
                        </w:r>
                        <w:r>
                          <w:rPr>
                            <w:rFonts w:ascii="Times New Roman" w:hAnsi="Times New Roman" w:cs="Times New Roman" w:eastAsia="Times New Roman" w:hint="default"/>
                            <w:spacing w:val="-3"/>
                            <w:sz w:val="18"/>
                            <w:szCs w:val="18"/>
                          </w:rPr>
                          <w:t> </w:t>
                        </w:r>
                        <w:r>
                          <w:rPr>
                            <w:rFonts w:ascii="宋体" w:hAnsi="宋体" w:cs="宋体" w:eastAsia="宋体" w:hint="default"/>
                            <w:spacing w:val="-30"/>
                            <w:sz w:val="18"/>
                            <w:szCs w:val="18"/>
                          </w:rPr>
                          <w:t>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、募集资金账户累计收到的利息收入扣除累计支付的手续费支出后，累计利息收入净额为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4,925,297.61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日，非公开发行的募集资金余额为人民币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218,163.72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746" w:footer="1225" w:top="1060" w:bottom="1420" w:left="1020" w:right="102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4"/>
        <w:ind w:left="0" w:right="121"/>
        <w:jc w:val="right"/>
      </w:pPr>
      <w:r>
        <w:rPr/>
        <w:pict>
          <v:shape style="position:absolute;margin-left:56.459999pt;margin-top:-464.488281pt;width:479.15pt;height:624.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75"/>
                    <w:gridCol w:w="776"/>
                    <w:gridCol w:w="776"/>
                    <w:gridCol w:w="781"/>
                    <w:gridCol w:w="782"/>
                    <w:gridCol w:w="782"/>
                    <w:gridCol w:w="781"/>
                    <w:gridCol w:w="782"/>
                    <w:gridCol w:w="782"/>
                    <w:gridCol w:w="787"/>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17" w:right="66"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0"/>
                          <w:ind w:left="82" w:right="8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2"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0"/>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 w:right="27"/>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高性能耐热聚酰亚胺 纤维产业化项目</w:t>
                        </w:r>
                        <w:r>
                          <w:rPr>
                            <w:rFonts w:ascii="Times New Roman" w:hAnsi="Times New Roman" w:cs="Times New Roman" w:eastAsia="Times New Roman" w:hint="default"/>
                            <w:sz w:val="18"/>
                            <w:szCs w:val="18"/>
                          </w:rPr>
                          <w:t>*1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33,140.83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33,140.83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30,437.25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91.84%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1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新型高性能高分子材</w:t>
                        </w:r>
                      </w:p>
                    </w:tc>
                    <w:tc>
                      <w:tcPr>
                        <w:tcW w:w="7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料金属复合管母线及</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7,610.39</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1,697.72</w:t>
                        </w:r>
                      </w:p>
                    </w:tc>
                    <w:tc>
                      <w:tcPr>
                        <w:tcW w:w="781" w:type="dxa"/>
                        <w:vMerge/>
                        <w:tcBorders>
                          <w:left w:val="single" w:sz="4" w:space="0" w:color="000000"/>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1,697.72</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3" w:right="0"/>
                          <w:jc w:val="center"/>
                          <w:rPr>
                            <w:rFonts w:ascii="Times New Roman" w:hAnsi="Times New Roman" w:cs="Times New Roman" w:eastAsia="Times New Roman" w:hint="default"/>
                            <w:sz w:val="18"/>
                            <w:szCs w:val="18"/>
                          </w:rPr>
                        </w:pPr>
                        <w:r>
                          <w:rPr>
                            <w:rFonts w:ascii="Times New Roman"/>
                            <w:sz w:val="18"/>
                          </w:rPr>
                          <w:t>100.00%</w:t>
                        </w:r>
                      </w:p>
                    </w:tc>
                    <w:tc>
                      <w:tcPr>
                        <w:tcW w:w="781"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2" w:hRule="exact"/>
                    </w:trPr>
                    <w:tc>
                      <w:tcPr>
                        <w:tcW w:w="17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结构件项目</w:t>
                        </w:r>
                      </w:p>
                    </w:tc>
                    <w:tc>
                      <w:tcPr>
                        <w:tcW w:w="7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9"/>
                          <w:jc w:val="left"/>
                          <w:rPr>
                            <w:rFonts w:ascii="宋体" w:hAnsi="宋体" w:cs="宋体" w:eastAsia="宋体" w:hint="default"/>
                            <w:sz w:val="18"/>
                            <w:szCs w:val="18"/>
                          </w:rPr>
                        </w:pPr>
                        <w:r>
                          <w:rPr>
                            <w:rFonts w:ascii="宋体" w:hAnsi="宋体" w:cs="宋体" w:eastAsia="宋体" w:hint="default"/>
                            <w:sz w:val="18"/>
                            <w:szCs w:val="18"/>
                          </w:rPr>
                          <w:t>真空绝缘电气控制设 备项目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4,479.05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1,028.7</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0"/>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45,230.27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35,867.25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33,163.67</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0"/>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45,230.27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35,867.25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33,163.67</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7"/>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1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4"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日召开第四届董事会第八次会议审议通过《关于部分募集资金投资项目预计达到</w:t>
                        </w:r>
                      </w:p>
                    </w:tc>
                  </w:tr>
                  <w:tr>
                    <w:trPr>
                      <w:trHeight w:val="312"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可使用状态时间调整的议案</w:t>
                        </w:r>
                        <w:r>
                          <w:rPr>
                            <w:rFonts w:ascii="宋体" w:hAnsi="宋体" w:cs="宋体" w:eastAsia="宋体" w:hint="default"/>
                            <w:spacing w:val="-89"/>
                            <w:sz w:val="18"/>
                            <w:szCs w:val="18"/>
                          </w:rPr>
                          <w:t>》</w:t>
                        </w:r>
                        <w:r>
                          <w:rPr>
                            <w:rFonts w:ascii="宋体" w:hAnsi="宋体" w:cs="宋体" w:eastAsia="宋体" w:hint="default"/>
                            <w:sz w:val="18"/>
                            <w:szCs w:val="18"/>
                          </w:rPr>
                          <w:t>。将承诺投资项目</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真空绝缘电气控制设备项目</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和</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新型高性能高分子</w:t>
                        </w:r>
                      </w:p>
                    </w:tc>
                  </w:tr>
                  <w:tr>
                    <w:trPr>
                      <w:trHeight w:val="1268"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材料金属复合管母线及结构件项目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预计达到可使用状态时间调整为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日。根据目前 </w:t>
                        </w:r>
                        <w:r>
                          <w:rPr>
                            <w:rFonts w:ascii="宋体" w:hAnsi="宋体" w:cs="宋体" w:eastAsia="宋体" w:hint="default"/>
                            <w:spacing w:val="-2"/>
                            <w:sz w:val="18"/>
                            <w:szCs w:val="18"/>
                          </w:rPr>
                          <w:t>的市场及相关募集资金项目的投资进度以及可行性发生重大变化等原因，公司决定终止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真空绝缘电</w:t>
                        </w:r>
                        <w:r>
                          <w:rPr>
                            <w:rFonts w:ascii="宋体" w:hAnsi="宋体" w:cs="宋体" w:eastAsia="宋体" w:hint="default"/>
                            <w:spacing w:val="-76"/>
                            <w:sz w:val="18"/>
                            <w:szCs w:val="18"/>
                          </w:rPr>
                          <w:t> </w:t>
                        </w:r>
                        <w:r>
                          <w:rPr>
                            <w:rFonts w:ascii="宋体" w:hAnsi="宋体" w:cs="宋体" w:eastAsia="宋体" w:hint="default"/>
                            <w:sz w:val="18"/>
                            <w:szCs w:val="18"/>
                          </w:rPr>
                          <w:t>气控制设备项目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新型高性能高分子材料金属复合管母线及结构件项目，并经公司第四届董事会 第十五次会议、公司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tc>
                  </w:tr>
                  <w:tr>
                    <w:trPr>
                      <w:trHeight w:val="331"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高性能耐热聚酰亚胺纤维产业化项目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本年度效益尚未达到预期效益主要原因系该项目市场推广</w:t>
                        </w:r>
                      </w:p>
                    </w:tc>
                  </w:tr>
                  <w:tr>
                    <w:trPr>
                      <w:trHeight w:val="353" w:hRule="exact"/>
                    </w:trPr>
                    <w:tc>
                      <w:tcPr>
                        <w:tcW w:w="1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4"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不甚理想，尚未进行大批量生产以及销售，固定成本、损耗大造成成本较高。</w:t>
                        </w:r>
                      </w:p>
                    </w:tc>
                  </w:tr>
                  <w:tr>
                    <w:trPr>
                      <w:trHeight w:val="361" w:hRule="exact"/>
                    </w:trPr>
                    <w:tc>
                      <w:tcPr>
                        <w:tcW w:w="1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4"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、新型高性能高分子材料金属复合管母线及结构件项目可行性发生重大变化的情况说明：由于该项</w:t>
                        </w:r>
                      </w:p>
                    </w:tc>
                  </w:tr>
                  <w:tr>
                    <w:trPr>
                      <w:trHeight w:val="307"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目的整体生产工艺属于自主创新，主要设备及模具由公司自主研发；同时为确保设备加工性能的可</w:t>
                        </w:r>
                      </w:p>
                    </w:tc>
                  </w:tr>
                  <w:tr>
                    <w:trPr>
                      <w:trHeight w:val="312"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靠性，公司管理层采取谨慎态度，避免因加快进度赶工期而使设备投入与市场需求脱节，避免造成</w:t>
                        </w:r>
                      </w:p>
                    </w:tc>
                  </w:tr>
                  <w:tr>
                    <w:trPr>
                      <w:trHeight w:val="312"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资金的使用浪费。项目建设期内，相关设备主要采取分批验证方式进行；同时公司进行了工艺完善</w:t>
                        </w:r>
                      </w:p>
                    </w:tc>
                  </w:tr>
                  <w:tr>
                    <w:trPr>
                      <w:trHeight w:val="312"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设备改造、模具结构优化等工作，原计划外购的部分设备都采取成本更低的自制方式完成。从目前</w:t>
                        </w:r>
                      </w:p>
                    </w:tc>
                  </w:tr>
                  <w:tr>
                    <w:trPr>
                      <w:trHeight w:val="936"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9"/>
                          <w:jc w:val="both"/>
                          <w:rPr>
                            <w:rFonts w:ascii="宋体" w:hAnsi="宋体" w:cs="宋体" w:eastAsia="宋体" w:hint="default"/>
                            <w:sz w:val="18"/>
                            <w:szCs w:val="18"/>
                          </w:rPr>
                        </w:pPr>
                        <w:r>
                          <w:rPr>
                            <w:rFonts w:ascii="宋体" w:hAnsi="宋体" w:cs="宋体" w:eastAsia="宋体" w:hint="default"/>
                            <w:sz w:val="18"/>
                            <w:szCs w:val="18"/>
                          </w:rPr>
                          <w:t>市场情况来分析，现阶段该项目的市场情况较募集资金项目拟定之时发生了较大变化，由于实体经 济下滑，再加上部分行业（目标客户）都处于整体盈利较弱的状态，客户不愿使用高质高价的这类 产品，该项目产品面临其他低成本产品的竞争越来越激烈，毛利水平达不到预期要求。从目前的市</w:t>
                        </w:r>
                      </w:p>
                    </w:tc>
                  </w:tr>
                  <w:tr>
                    <w:trPr>
                      <w:trHeight w:val="312"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场需求来看，公司完成的投资规模及建成产能已经完全能够满足现在及未来几年市场的需求。因此</w:t>
                        </w:r>
                      </w:p>
                    </w:tc>
                  </w:tr>
                  <w:tr>
                    <w:trPr>
                      <w:trHeight w:val="312"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如果继续按照原计划实施将会造成投资过剩。综合以上因素，本着成本节约及有效利用募集资金的</w:t>
                        </w:r>
                      </w:p>
                    </w:tc>
                  </w:tr>
                  <w:tr>
                    <w:trPr>
                      <w:trHeight w:val="332"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原则，为保证资金使用的效率及效果，公司决定终止该项目建设。</w:t>
                        </w:r>
                      </w:p>
                    </w:tc>
                  </w:tr>
                  <w:tr>
                    <w:trPr>
                      <w:trHeight w:val="337"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
                    </w:tc>
                    <w:tc>
                      <w:tcPr>
                        <w:tcW w:w="78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、真空绝缘电气控制设备项目可行性发生重大变化的情况说明：由于该项目产品对主焊接设备精度</w:t>
                        </w:r>
                      </w:p>
                    </w:tc>
                  </w:tr>
                  <w:tr>
                    <w:trPr>
                      <w:trHeight w:val="310" w:hRule="exact"/>
                    </w:trPr>
                    <w:tc>
                      <w:tcPr>
                        <w:tcW w:w="1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4"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要求很高，而且对主焊接设备与工装辅助设备配合性能要求苛刻，这几年该工艺供应链发展较快，</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21"/>
        <w:jc w:val="right"/>
      </w:pPr>
      <w:r>
        <w:rPr/>
        <w:t>，</w:t>
      </w:r>
    </w:p>
    <w:p>
      <w:pPr>
        <w:spacing w:after="0" w:line="240" w:lineRule="auto"/>
        <w:jc w:val="right"/>
        <w:sectPr>
          <w:pgSz w:w="11910" w:h="16840"/>
          <w:pgMar w:header="746" w:footer="1225" w:top="1060" w:bottom="142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15pt;height:686.9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2234"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9"/>
                          <w:jc w:val="both"/>
                          <w:rPr>
                            <w:rFonts w:ascii="宋体" w:hAnsi="宋体" w:cs="宋体" w:eastAsia="宋体" w:hint="default"/>
                            <w:sz w:val="18"/>
                            <w:szCs w:val="18"/>
                          </w:rPr>
                        </w:pPr>
                        <w:r>
                          <w:rPr>
                            <w:rFonts w:ascii="宋体" w:hAnsi="宋体" w:cs="宋体" w:eastAsia="宋体" w:hint="default"/>
                            <w:sz w:val="18"/>
                            <w:szCs w:val="18"/>
                          </w:rPr>
                          <w:t>随着实体经济的萎缩，供应链产能明显过剩，为公司提供了低成本产品的供货平台，公司决定主焊 接工艺采取专业外协方式加工；同时公司不断提升设备使用效率，原有设备经过改造升级，可以分 担该项目部分产能；公司内部不断进行技术创新、工艺创新，原计划外购的工装设备都采取自制解 决。随着客户集中招标越来越标准化，该项目产品面临其他低成本产品竞争越来越激烈，毛利水平 未来呈下降趋势，根据目前的市场需求，公司已经建成的生产规模完全能够满足现在及未来几年的 市场需求。综合以上因素，为控制投资风险，避免增加投资损失，更好地维护投资者利益，公司决 定终止该项目建设。</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2" w:right="109"/>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经立信大华会计师事务所出具的立信大华核字</w:t>
                        </w:r>
                        <w:r>
                          <w:rPr>
                            <w:rFonts w:ascii="Times New Roman" w:hAnsi="Times New Roman" w:cs="Times New Roman" w:eastAsia="Times New Roman" w:hint="default"/>
                            <w:sz w:val="18"/>
                            <w:szCs w:val="18"/>
                          </w:rPr>
                          <w:t>[2011]176 </w:t>
                        </w:r>
                        <w:r>
                          <w:rPr>
                            <w:rFonts w:ascii="宋体" w:hAnsi="宋体" w:cs="宋体" w:eastAsia="宋体" w:hint="default"/>
                            <w:spacing w:val="-4"/>
                            <w:sz w:val="18"/>
                            <w:szCs w:val="18"/>
                          </w:rPr>
                          <w:t>号《深圳市惠程电气股份有限公司自筹资金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预先投入募集资金投资项目的鉴证报告》、保荐机构国海证券有限责任公司出具《关于深圳市惠程电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气股份有限公司以募集资金置换预先已投入募集资金投资项目自筹资金的核查意见》，本公司于</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日召开的第三届董事会第二十五次会议，审议通过了《关于用募集资金置换已预先 </w:t>
                        </w:r>
                        <w:r>
                          <w:rPr>
                            <w:rFonts w:ascii="宋体" w:hAnsi="宋体" w:cs="宋体" w:eastAsia="宋体" w:hint="default"/>
                            <w:spacing w:val="-4"/>
                            <w:sz w:val="18"/>
                            <w:szCs w:val="18"/>
                          </w:rPr>
                          <w:t>投入募集资金投资项目自筹资金的议案》，公司用募集资金置换预先已投入募集资金投资项目建设的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6,093.83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12"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日召开的第三届董事会第二十三次会议，审议通过了《关于用部分闲置募 </w:t>
                        </w:r>
                        <w:r>
                          <w:rPr>
                            <w:rFonts w:ascii="宋体" w:hAnsi="宋体" w:cs="宋体" w:eastAsia="宋体" w:hint="default"/>
                            <w:spacing w:val="-6"/>
                            <w:sz w:val="18"/>
                            <w:szCs w:val="18"/>
                          </w:rPr>
                          <w:t>集资金暂时补充流动资金的议案》，根据该决议，公司将</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万元的闲置募集资金暂时补充流动资</w:t>
                        </w:r>
                        <w:r>
                          <w:rPr>
                            <w:rFonts w:ascii="宋体" w:hAnsi="宋体" w:cs="宋体" w:eastAsia="宋体" w:hint="default"/>
                            <w:spacing w:val="-87"/>
                            <w:sz w:val="18"/>
                            <w:szCs w:val="18"/>
                          </w:rPr>
                          <w:t> </w:t>
                        </w:r>
                        <w:r>
                          <w:rPr>
                            <w:rFonts w:ascii="宋体" w:hAnsi="宋体" w:cs="宋体" w:eastAsia="宋体" w:hint="default"/>
                            <w:sz w:val="18"/>
                            <w:szCs w:val="18"/>
                          </w:rPr>
                          <w:t>金，使用期限不超过六个月。截止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日，公司已按照承诺向募集资金专用账户归还补 充流动资金的金额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300"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日召开的第三届董事会第二十七次会议，审议通过了《关于再次使用部分 </w:t>
                        </w:r>
                        <w:r>
                          <w:rPr>
                            <w:rFonts w:ascii="宋体" w:hAnsi="宋体" w:cs="宋体" w:eastAsia="宋体" w:hint="default"/>
                            <w:spacing w:val="-5"/>
                            <w:sz w:val="18"/>
                            <w:szCs w:val="18"/>
                          </w:rPr>
                          <w:t>闲置募集资金暂时补充流动资金的议案》，根据该决议，公司将</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万元的闲置募集资金暂时补充 流动资金，使用期限不超过六个月。截止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日，公司已按照承诺向募集资金专用账 户归还补充流动资金的金额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300" w:lineRule="auto" w:before="5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日召开的第四届董事会第二次会议审议通过《关于继续使用部分闲置 </w:t>
                        </w:r>
                        <w:r>
                          <w:rPr>
                            <w:rFonts w:ascii="宋体" w:hAnsi="宋体" w:cs="宋体" w:eastAsia="宋体" w:hint="default"/>
                            <w:spacing w:val="-5"/>
                            <w:sz w:val="18"/>
                            <w:szCs w:val="18"/>
                          </w:rPr>
                          <w:t>募集资金暂时补充流动资金的议案》。根据该议案，公司将</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万元募集资金暂时用于补充流 动资金，期限不超过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个月（以董事会会议批准次日起计至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pacing w:val="-12"/>
                            <w:sz w:val="18"/>
                            <w:szCs w:val="18"/>
                          </w:rPr>
                          <w:t>日止）。</w:t>
                        </w:r>
                        <w:r>
                          <w:rPr>
                            <w:rFonts w:ascii="Times New Roman" w:hAnsi="Times New Roman" w:cs="Times New Roman" w:eastAsia="Times New Roman" w:hint="default"/>
                            <w:spacing w:val="-12"/>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日，公司已按照承诺归还补充流动资金的金额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万元至募集资金专用账户。</w:t>
                        </w:r>
                      </w:p>
                      <w:p>
                        <w:pPr>
                          <w:pStyle w:val="TableParagraph"/>
                          <w:spacing w:line="300" w:lineRule="auto" w:before="5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日召开的第四届董事会第五次会议审议通过《关于公司及间接控股公司 </w:t>
                        </w:r>
                        <w:r>
                          <w:rPr>
                            <w:rFonts w:ascii="宋体" w:hAnsi="宋体" w:cs="宋体" w:eastAsia="宋体" w:hint="default"/>
                            <w:spacing w:val="-4"/>
                            <w:sz w:val="18"/>
                            <w:szCs w:val="18"/>
                          </w:rPr>
                          <w:t>使用部分闲置募集资金暂时补充流动资金的议案》，并于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年第三次临时股 东大会审议通过。根据该议案，公司将</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万非公开发行募集资金补充本公司流动资金，将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pacing w:val="-3"/>
                            <w:sz w:val="18"/>
                            <w:szCs w:val="18"/>
                          </w:rPr>
                          <w:t>万非公开发行募集资金补充本公司之子公司吉林高琦流动资金，期限均为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个月。</w:t>
                        </w:r>
                        <w:r>
                          <w:rPr>
                            <w:rFonts w:ascii="Times New Roman" w:hAnsi="Times New Roman" w:cs="Times New Roman" w:eastAsia="Times New Roman" w:hint="default"/>
                            <w:spacing w:val="-9"/>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82"/>
                            <w:sz w:val="18"/>
                            <w:szCs w:val="18"/>
                          </w:rPr>
                          <w:t> </w:t>
                        </w:r>
                        <w:r>
                          <w:rPr>
                            <w:rFonts w:ascii="宋体" w:hAnsi="宋体" w:cs="宋体" w:eastAsia="宋体" w:hint="default"/>
                            <w:sz w:val="18"/>
                            <w:szCs w:val="18"/>
                          </w:rPr>
                          <w:t>公司已按照承诺归还补充流动资金的金额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万元至募集资金专用账户。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44"/>
        <w:ind w:left="0" w:right="121"/>
        <w:jc w:val="right"/>
      </w:pPr>
      <w:r>
        <w:rPr/>
        <w:t>，</w:t>
      </w:r>
    </w:p>
    <w:p>
      <w:pPr>
        <w:spacing w:after="0" w:line="240" w:lineRule="auto"/>
        <w:jc w:val="right"/>
        <w:sectPr>
          <w:pgSz w:w="11910" w:h="16840"/>
          <w:pgMar w:header="746" w:footer="1225" w:top="1060" w:bottom="142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64"/>
        <w:gridCol w:w="7804"/>
      </w:tblGrid>
      <w:tr>
        <w:trPr>
          <w:trHeight w:val="322" w:hRule="exact"/>
        </w:trPr>
        <w:tc>
          <w:tcPr>
            <w:tcW w:w="1764" w:type="dxa"/>
            <w:vMerge w:val="restart"/>
            <w:tcBorders>
              <w:top w:val="single" w:sz="4" w:space="0" w:color="000000"/>
              <w:left w:val="single" w:sz="4" w:space="0" w:color="000000"/>
              <w:right w:val="single" w:sz="4" w:space="0" w:color="000000"/>
            </w:tcBorders>
            <w:shd w:val="clear" w:color="auto" w:fill="D3D3D3"/>
          </w:tcPr>
          <w:p>
            <w:pPr/>
          </w:p>
        </w:tc>
        <w:tc>
          <w:tcPr>
            <w:tcW w:w="7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日召开的第四届董事会第十次会议审议通过《关于公司及间接控股公司继</w:t>
            </w:r>
          </w:p>
        </w:tc>
      </w:tr>
      <w:tr>
        <w:trPr>
          <w:trHeight w:val="312"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续使用部分闲置募集资金暂时补充流动资金的议案</w:t>
            </w:r>
            <w:r>
              <w:rPr>
                <w:rFonts w:ascii="宋体" w:hAnsi="宋体" w:cs="宋体" w:eastAsia="宋体" w:hint="default"/>
                <w:spacing w:val="-89"/>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公司计划以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年非公开发行募集资金补充</w:t>
            </w:r>
          </w:p>
        </w:tc>
      </w:tr>
      <w:tr>
        <w:trPr>
          <w:trHeight w:val="312"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深圳惠程流动资金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万元，补充吉林高琦聚酰亚胺材料有限公司（以下简称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吉林高琦</w:t>
            </w:r>
            <w:r>
              <w:rPr>
                <w:rFonts w:ascii="Times New Roman" w:hAnsi="Times New Roman" w:cs="Times New Roman" w:eastAsia="Times New Roman" w:hint="default"/>
                <w:sz w:val="18"/>
                <w:szCs w:val="18"/>
              </w:rPr>
              <w:t>”</w:t>
            </w:r>
            <w:r>
              <w:rPr>
                <w:rFonts w:ascii="宋体" w:hAnsi="宋体" w:cs="宋体" w:eastAsia="宋体" w:hint="default"/>
                <w:sz w:val="18"/>
                <w:szCs w:val="18"/>
              </w:rPr>
              <w:t>）流动</w:t>
            </w:r>
          </w:p>
        </w:tc>
      </w:tr>
      <w:tr>
        <w:trPr>
          <w:trHeight w:val="312"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万元，期限均为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个月。</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日，根据募集资金投资项目整体进展资金需求</w:t>
            </w:r>
          </w:p>
        </w:tc>
      </w:tr>
      <w:tr>
        <w:trPr>
          <w:trHeight w:val="312"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pacing w:val="-82"/>
                <w:sz w:val="18"/>
                <w:szCs w:val="18"/>
              </w:rPr>
              <w:t>，</w:t>
            </w:r>
            <w:r>
              <w:rPr>
                <w:rFonts w:ascii="宋体" w:hAnsi="宋体" w:cs="宋体" w:eastAsia="宋体" w:hint="default"/>
                <w:sz w:val="18"/>
                <w:szCs w:val="18"/>
              </w:rPr>
              <w:t>公司已将补充流动资金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万元人民币归还至公司募集资金专户</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并将上述募集资金的归还</w:t>
            </w:r>
          </w:p>
        </w:tc>
      </w:tr>
      <w:tr>
        <w:trPr>
          <w:trHeight w:val="312"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情况及时通知了保荐机构及保荐代表人</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子公司吉林高琦已将补充流动资金</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tc>
      </w:tr>
      <w:tr>
        <w:trPr>
          <w:trHeight w:val="308"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万元人民币归还至募集资金专用账户，并将上述募集资金的归还情况及时通知了保荐机构及保荐代</w:t>
            </w:r>
          </w:p>
        </w:tc>
      </w:tr>
      <w:tr>
        <w:trPr>
          <w:trHeight w:val="331"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表人。</w:t>
            </w:r>
          </w:p>
        </w:tc>
      </w:tr>
      <w:tr>
        <w:trPr>
          <w:trHeight w:val="336"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6</w:t>
            </w:r>
            <w:r>
              <w:rPr>
                <w:rFonts w:ascii="宋体" w:hAnsi="宋体" w:cs="宋体" w:eastAsia="宋体" w:hint="default"/>
                <w:spacing w:val="-8"/>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日召开的第四届董事会第二十五次会议审议通过《关于间接控股公司使用</w:t>
            </w:r>
          </w:p>
        </w:tc>
      </w:tr>
      <w:tr>
        <w:trPr>
          <w:trHeight w:val="312"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部分闲置募集资金暂时补充流动资金的议案</w:t>
            </w:r>
            <w:r>
              <w:rPr>
                <w:rFonts w:ascii="宋体" w:hAnsi="宋体" w:cs="宋体" w:eastAsia="宋体" w:hint="default"/>
                <w:spacing w:val="-89"/>
                <w:sz w:val="18"/>
                <w:szCs w:val="18"/>
              </w:rPr>
              <w:t>》</w:t>
            </w:r>
            <w:r>
              <w:rPr>
                <w:rFonts w:ascii="宋体" w:hAnsi="宋体" w:cs="宋体" w:eastAsia="宋体" w:hint="default"/>
                <w:spacing w:val="-84"/>
                <w:sz w:val="18"/>
                <w:szCs w:val="18"/>
              </w:rPr>
              <w:t>，</w:t>
            </w:r>
            <w:r>
              <w:rPr>
                <w:rFonts w:ascii="宋体" w:hAnsi="宋体" w:cs="宋体" w:eastAsia="宋体" w:hint="default"/>
                <w:sz w:val="18"/>
                <w:szCs w:val="18"/>
              </w:rPr>
              <w:t>公司计划以</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年非公开发行募集资金补充吉林高</w:t>
            </w:r>
          </w:p>
        </w:tc>
      </w:tr>
      <w:tr>
        <w:trPr>
          <w:trHeight w:val="312" w:hRule="exact"/>
        </w:trPr>
        <w:tc>
          <w:tcPr>
            <w:tcW w:w="1764" w:type="dxa"/>
            <w:vMerge/>
            <w:tcBorders>
              <w:left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琦流动资金</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期限为</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吉林高琦已经将暂时补充流动资金的</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tc>
      </w:tr>
      <w:tr>
        <w:trPr>
          <w:trHeight w:val="353" w:hRule="exact"/>
        </w:trPr>
        <w:tc>
          <w:tcPr>
            <w:tcW w:w="1764" w:type="dxa"/>
            <w:vMerge/>
            <w:tcBorders>
              <w:left w:val="single" w:sz="4" w:space="0" w:color="000000"/>
              <w:bottom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万元人民币归还至募集资金专户</w:t>
            </w:r>
          </w:p>
        </w:tc>
      </w:tr>
      <w:tr>
        <w:trPr>
          <w:trHeight w:val="402" w:hRule="exact"/>
        </w:trPr>
        <w:tc>
          <w:tcPr>
            <w:tcW w:w="1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13"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804" w:type="dxa"/>
            <w:vMerge w:val="restart"/>
            <w:tcBorders>
              <w:top w:val="single" w:sz="4" w:space="0" w:color="000000"/>
              <w:left w:val="single" w:sz="4" w:space="0" w:color="000000"/>
              <w:right w:val="single" w:sz="4" w:space="0" w:color="000000"/>
            </w:tcBorders>
          </w:tcPr>
          <w:p>
            <w:pPr>
              <w:pStyle w:val="TableParagraph"/>
              <w:spacing w:line="300" w:lineRule="auto" w:before="50"/>
              <w:ind w:left="22" w:right="22"/>
              <w:jc w:val="both"/>
              <w:rPr>
                <w:rFonts w:ascii="宋体" w:hAnsi="宋体" w:cs="宋体" w:eastAsia="宋体" w:hint="default"/>
                <w:sz w:val="18"/>
                <w:szCs w:val="18"/>
              </w:rPr>
            </w:pPr>
            <w:r>
              <w:rPr>
                <w:rFonts w:ascii="宋体" w:hAnsi="宋体" w:cs="宋体" w:eastAsia="宋体" w:hint="default"/>
                <w:spacing w:val="-2"/>
                <w:sz w:val="18"/>
                <w:szCs w:val="18"/>
              </w:rPr>
              <w:t>由于市场及相关募集资金项目的投资进度以及可行性发生重大变化等原因，公司决定终止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真空绝缘</w:t>
            </w:r>
            <w:r>
              <w:rPr>
                <w:rFonts w:ascii="宋体" w:hAnsi="宋体" w:cs="宋体" w:eastAsia="宋体" w:hint="default"/>
                <w:spacing w:val="-76"/>
                <w:sz w:val="18"/>
                <w:szCs w:val="18"/>
              </w:rPr>
              <w:t> </w:t>
            </w:r>
            <w:r>
              <w:rPr>
                <w:rFonts w:ascii="宋体" w:hAnsi="宋体" w:cs="宋体" w:eastAsia="宋体" w:hint="default"/>
                <w:spacing w:val="-2"/>
                <w:sz w:val="18"/>
                <w:szCs w:val="18"/>
              </w:rPr>
              <w:t>电气控制设备项目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新型高性能高分子材料金属复合管母线及结构件项目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，上述两个项目节约的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金额为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80,055,976.97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元（含募集资金账户利息收入及手续费支出净额</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1,742,930.02</w:t>
            </w:r>
            <w:r>
              <w:rPr>
                <w:rFonts w:ascii="Times New Roman" w:hAnsi="Times New Roman" w:cs="Times New Roman" w:eastAsia="Times New Roman" w:hint="default"/>
                <w:spacing w:val="2"/>
                <w:sz w:val="18"/>
                <w:szCs w:val="18"/>
              </w:rPr>
              <w:t> </w:t>
            </w:r>
            <w:r>
              <w:rPr>
                <w:rFonts w:ascii="宋体" w:hAnsi="宋体" w:cs="宋体" w:eastAsia="宋体" w:hint="default"/>
                <w:spacing w:val="-30"/>
                <w:sz w:val="18"/>
                <w:szCs w:val="18"/>
              </w:rPr>
              <w:t>元）。</w:t>
            </w:r>
          </w:p>
        </w:tc>
      </w:tr>
      <w:tr>
        <w:trPr>
          <w:trHeight w:val="713" w:hRule="exact"/>
        </w:trPr>
        <w:tc>
          <w:tcPr>
            <w:tcW w:w="176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804" w:type="dxa"/>
            <w:vMerge/>
            <w:tcBorders>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尚未使用的募集资金仍存放与募集资金专户中。</w:t>
            </w:r>
          </w:p>
        </w:tc>
      </w:tr>
      <w:tr>
        <w:trPr>
          <w:trHeight w:val="356" w:hRule="exact"/>
        </w:trPr>
        <w:tc>
          <w:tcPr>
            <w:tcW w:w="17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8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176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804"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公司报告期不存在募集资金变更项目情况。</w:t>
      </w:r>
    </w:p>
    <w:p>
      <w:pPr>
        <w:spacing w:after="0" w:line="338" w:lineRule="auto"/>
        <w:jc w:val="left"/>
        <w:sectPr>
          <w:pgSz w:w="11910" w:h="16840"/>
          <w:pgMar w:header="746" w:footer="1225" w:top="1060" w:bottom="1420" w:left="1020" w:right="1020"/>
        </w:sectPr>
      </w:pPr>
    </w:p>
    <w:p>
      <w:pPr>
        <w:pStyle w:val="BodyText"/>
        <w:spacing w:line="240" w:lineRule="auto" w:before="16"/>
        <w:ind w:left="0" w:right="137"/>
        <w:jc w:val="righ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p>
      <w:pPr>
        <w:spacing w:line="240" w:lineRule="auto" w:before="6"/>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pStyle w:val="Heading5"/>
        <w:spacing w:line="240" w:lineRule="auto" w:before="34"/>
        <w:ind w:left="140" w:right="132"/>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5"/>
          <w:footerReference w:type="default" r:id="rId16"/>
          <w:pgSz w:w="16840" w:h="11910" w:orient="landscape"/>
          <w:pgMar w:header="0" w:footer="0" w:top="800" w:bottom="280" w:left="1300" w:right="1300"/>
        </w:sectPr>
      </w:pPr>
    </w:p>
    <w:p>
      <w:pPr>
        <w:pStyle w:val="BodyText"/>
        <w:spacing w:line="340" w:lineRule="auto" w:before="44"/>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420" w:left="1300" w:right="1300"/>
          <w:cols w:num="2" w:equalWidth="0">
            <w:col w:w="2301" w:space="10938"/>
            <w:col w:w="1001"/>
          </w:cols>
        </w:sectPr>
      </w:pP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79"/>
        <w:gridCol w:w="709"/>
        <w:gridCol w:w="850"/>
        <w:gridCol w:w="4865"/>
        <w:gridCol w:w="956"/>
        <w:gridCol w:w="1181"/>
        <w:gridCol w:w="1181"/>
        <w:gridCol w:w="1091"/>
        <w:gridCol w:w="1151"/>
        <w:gridCol w:w="1151"/>
      </w:tblGrid>
      <w:tr>
        <w:trPr>
          <w:trHeight w:val="714" w:hRule="exact"/>
        </w:trPr>
        <w:tc>
          <w:tcPr>
            <w:tcW w:w="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4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主要产品或服务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pacing w:val="-2"/>
                <w:sz w:val="18"/>
                <w:szCs w:val="18"/>
              </w:rPr>
              <w:t>聚酰亚胺纤维材料及制品、高分子材料、无石棉摩擦材料、特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种工程塑料制品生产及技术咨询、技术开发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97,596,200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532,437,577.44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455,068,333.92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43,234,000.64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-7,268,545.56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-4,538,354.70</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聚酰亚胺制造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381,408,300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387,569,124.85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313,233,167.90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34,711,875.01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-53,330,659.48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-55,159,964.40</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销售高分子复合材料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8,440,044.39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7,353,346.59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-146,394.18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-146,394.18</w:t>
            </w:r>
          </w:p>
        </w:tc>
      </w:tr>
      <w:tr>
        <w:trPr>
          <w:trHeight w:val="71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光电子器件研究及开发、聚酰亚胺薄膜材料生产、销售及技术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15,296,781.09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15,001,445.26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2,115,299.15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-736,991.17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-531,549.88</w:t>
            </w:r>
          </w:p>
        </w:tc>
      </w:tr>
      <w:tr>
        <w:trPr>
          <w:trHeight w:val="71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49"/>
              <w:jc w:val="left"/>
              <w:rPr>
                <w:rFonts w:ascii="宋体" w:hAnsi="宋体" w:cs="宋体" w:eastAsia="宋体" w:hint="default"/>
                <w:sz w:val="18"/>
                <w:szCs w:val="18"/>
              </w:rPr>
            </w:pPr>
            <w:r>
              <w:rPr>
                <w:rFonts w:ascii="宋体" w:hAnsi="宋体" w:cs="宋体" w:eastAsia="宋体" w:hint="default"/>
                <w:sz w:val="18"/>
                <w:szCs w:val="18"/>
              </w:rPr>
              <w:t>聚合物纳米纤维和碳纳米纤维及其纳米纤维电池隔膜、绝缘 膜、过滤膜、纳米纤维布的生产、销售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94,913,339.46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71,861,815.09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64,170.94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-9,006,370.15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-9,869,080.39</w:t>
            </w:r>
          </w:p>
        </w:tc>
      </w:tr>
      <w:tr>
        <w:trPr>
          <w:trHeight w:val="102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超级电容器、高能电容、电池储能组件、电动车及工具用动力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电容、光伏太阳能路灯组件、</w:t>
            </w:r>
            <w:r>
              <w:rPr>
                <w:rFonts w:ascii="Times New Roman" w:hAnsi="Times New Roman" w:cs="Times New Roman" w:eastAsia="Times New Roman" w:hint="default"/>
                <w:sz w:val="18"/>
                <w:szCs w:val="18"/>
              </w:rPr>
              <w:t>UPS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用中继电容及材料的研发 购销；信息咨询（不含人才中介服务及其他限制项目）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2,440,832.92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1,796,286.38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-420,628.85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-420,628.85</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电力设备及相关配件产品的销售，提供技术支持服务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HKD10,000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184,607.18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-1,059,000.32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-300,573.84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-300,573.84</w:t>
            </w:r>
          </w:p>
        </w:tc>
      </w:tr>
      <w:tr>
        <w:trPr>
          <w:trHeight w:val="4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投资管理；项目投资；资产管理；投资咨询；经济贸易咨询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9,008,431.58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9,008,431.58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8,431.58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8,431.58</w:t>
            </w:r>
          </w:p>
        </w:tc>
      </w:tr>
    </w:tbl>
    <w:p>
      <w:pPr>
        <w:pStyle w:val="BodyText"/>
        <w:spacing w:line="240" w:lineRule="auto" w:before="50"/>
        <w:ind w:left="140" w:right="132"/>
        <w:jc w:val="left"/>
      </w:pPr>
      <w:r>
        <w:rPr/>
        <w:pict>
          <v:group style="position:absolute;margin-left:435.899994pt;margin-top:-91.607788pt;width:47.55pt;height:51.05pt;mso-position-horizontal-relative:page;mso-position-vertical-relative:paragraph;z-index:-1010080" coordorigin="8718,-1832" coordsize="951,1021">
            <v:shape style="position:absolute;left:8718;top:-1832;width:951;height:1021" coordorigin="8718,-1832" coordsize="951,1021" path="m8718,-1832l9669,-1832,9669,-811,8718,-811,8718,-1832xe" filled="true" fillcolor="#ffffff" stroked="false">
              <v:path arrowok="t"/>
              <v:fill type="solid"/>
            </v:shape>
            <w10:wrap type="none"/>
          </v:group>
        </w:pict>
      </w:r>
      <w:r>
        <w:rPr/>
        <w:t>主要子公司、参股公司情况说明</w:t>
      </w:r>
    </w:p>
    <w:p>
      <w:pPr>
        <w:pStyle w:val="BodyText"/>
        <w:spacing w:line="300" w:lineRule="auto" w:before="117"/>
        <w:ind w:left="140" w:right="132"/>
        <w:jc w:val="left"/>
      </w:pPr>
      <w:r>
        <w:rPr>
          <w:spacing w:val="-2"/>
        </w:rPr>
        <w:t>经公司总裁办公会审议批准，报告期内新设立全资子公司中汇联银投资管理（北京）有限公司，成立于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日，注册资本</w:t>
      </w:r>
      <w:r>
        <w:rPr>
          <w:rFonts w:ascii="Times New Roman" w:hAnsi="Times New Roman" w:cs="Times New Roman" w:eastAsia="Times New Roman" w:hint="default"/>
          <w:spacing w:val="-2"/>
        </w:rPr>
        <w:t>900</w:t>
      </w:r>
      <w:r>
        <w:rPr>
          <w:spacing w:val="-2"/>
        </w:rPr>
        <w:t>万元，经营范围为：投资管理；项目投资；资</w:t>
      </w:r>
      <w:r>
        <w:rPr>
          <w:spacing w:val="-17"/>
        </w:rPr>
        <w:t> </w:t>
      </w:r>
      <w:r>
        <w:rPr>
          <w:spacing w:val="-17"/>
        </w:rPr>
      </w:r>
      <w:r>
        <w:rPr/>
        <w:t>产管理；投资咨询；经济贸易咨询。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76"/>
        <w:ind w:left="6963" w:right="6963"/>
        <w:jc w:val="center"/>
        <w:rPr>
          <w:rFonts w:ascii="Times New Roman" w:hAnsi="Times New Roman" w:cs="Times New Roman" w:eastAsia="Times New Roman" w:hint="default"/>
        </w:rPr>
      </w:pPr>
      <w:r>
        <w:rPr>
          <w:rFonts w:ascii="Times New Roman"/>
        </w:rPr>
        <w:t>27</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42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BodyText"/>
        <w:spacing w:line="240" w:lineRule="auto"/>
        <w:ind w:right="138"/>
        <w:jc w:val="left"/>
      </w:pPr>
      <w:r>
        <w:rPr/>
        <w:t>报告期内取得和处置子公司的情况</w:t>
      </w:r>
    </w:p>
    <w:p>
      <w:pPr>
        <w:pStyle w:val="BodyText"/>
        <w:spacing w:line="240" w:lineRule="auto" w:before="117"/>
        <w:ind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0" w:right="110"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中汇联银投资管理（北京）有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进行投资管理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对公司整体生产和业绩暂无 影响</w:t>
            </w:r>
          </w:p>
        </w:tc>
      </w:tr>
    </w:tbl>
    <w:p>
      <w:pPr>
        <w:spacing w:line="240" w:lineRule="auto" w:before="3"/>
        <w:rPr>
          <w:rFonts w:ascii="宋体" w:hAnsi="宋体" w:cs="宋体" w:eastAsia="宋体" w:hint="default"/>
          <w:sz w:val="19"/>
          <w:szCs w:val="19"/>
        </w:rPr>
      </w:pPr>
    </w:p>
    <w:p>
      <w:pPr>
        <w:pStyle w:val="Heading5"/>
        <w:spacing w:line="240" w:lineRule="auto" w:before="34"/>
        <w:ind w:right="138"/>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5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86"/>
        <w:gridCol w:w="665"/>
        <w:gridCol w:w="851"/>
        <w:gridCol w:w="1071"/>
        <w:gridCol w:w="645"/>
        <w:gridCol w:w="527"/>
        <w:gridCol w:w="851"/>
        <w:gridCol w:w="3570"/>
      </w:tblGrid>
      <w:tr>
        <w:trPr>
          <w:trHeight w:val="1025"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7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计划投 资总额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5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0" w:right="78"/>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6" w:right="46"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8" w:right="77"/>
              <w:jc w:val="both"/>
              <w:rPr>
                <w:rFonts w:ascii="宋体" w:hAnsi="宋体" w:cs="宋体" w:eastAsia="宋体" w:hint="default"/>
                <w:sz w:val="18"/>
                <w:szCs w:val="18"/>
              </w:rPr>
            </w:pPr>
            <w:r>
              <w:rPr>
                <w:rFonts w:ascii="宋体" w:hAnsi="宋体" w:cs="宋体" w:eastAsia="宋体" w:hint="default"/>
                <w:sz w:val="18"/>
                <w:szCs w:val="18"/>
              </w:rPr>
              <w:t>项目 收益 情况</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3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9"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62" w:hRule="exact"/>
        </w:trPr>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江西先材纳米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w:t>
            </w:r>
          </w:p>
        </w:tc>
        <w:tc>
          <w:tcPr>
            <w:tcW w:w="66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071" w:type="dxa"/>
            <w:tcBorders>
              <w:top w:val="single" w:sz="4" w:space="0" w:color="000000"/>
              <w:left w:val="single" w:sz="4" w:space="0" w:color="000000"/>
              <w:bottom w:val="nil" w:sz="6" w:space="0" w:color="auto"/>
              <w:right w:val="single" w:sz="4" w:space="0" w:color="000000"/>
            </w:tcBorders>
          </w:tcPr>
          <w:p>
            <w:pPr/>
          </w:p>
        </w:tc>
        <w:tc>
          <w:tcPr>
            <w:tcW w:w="645" w:type="dxa"/>
            <w:tcBorders>
              <w:top w:val="single" w:sz="4" w:space="0" w:color="000000"/>
              <w:left w:val="single" w:sz="4" w:space="0" w:color="000000"/>
              <w:bottom w:val="nil" w:sz="6" w:space="0" w:color="auto"/>
              <w:right w:val="single" w:sz="4" w:space="0" w:color="000000"/>
            </w:tcBorders>
          </w:tcPr>
          <w:p>
            <w:pPr/>
          </w:p>
        </w:tc>
        <w:tc>
          <w:tcPr>
            <w:tcW w:w="527"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3570" w:type="dxa"/>
            <w:tcBorders>
              <w:top w:val="single" w:sz="4" w:space="0" w:color="000000"/>
              <w:left w:val="single" w:sz="4" w:space="0" w:color="000000"/>
              <w:bottom w:val="nil" w:sz="6" w:space="0" w:color="auto"/>
              <w:right w:val="single" w:sz="4" w:space="0" w:color="000000"/>
            </w:tcBorders>
          </w:tcPr>
          <w:p>
            <w:pPr/>
          </w:p>
        </w:tc>
      </w:tr>
      <w:tr>
        <w:trPr>
          <w:trHeight w:val="632"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91"/>
              <w:jc w:val="left"/>
              <w:rPr>
                <w:rFonts w:ascii="宋体" w:hAnsi="宋体" w:cs="宋体" w:eastAsia="宋体" w:hint="default"/>
                <w:sz w:val="18"/>
                <w:szCs w:val="18"/>
              </w:rPr>
            </w:pPr>
            <w:r>
              <w:rPr>
                <w:rFonts w:ascii="宋体" w:hAnsi="宋体" w:cs="宋体" w:eastAsia="宋体" w:hint="default"/>
                <w:sz w:val="18"/>
                <w:szCs w:val="18"/>
              </w:rPr>
              <w:t>纳米纤维电池隔 膜生产线设备安</w:t>
            </w:r>
          </w:p>
        </w:tc>
        <w:tc>
          <w:tcPr>
            <w:tcW w:w="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88.93</w:t>
            </w:r>
          </w:p>
        </w:tc>
        <w:tc>
          <w:tcPr>
            <w:tcW w:w="10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652.03</w:t>
            </w:r>
          </w:p>
        </w:tc>
        <w:tc>
          <w:tcPr>
            <w:tcW w:w="6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w:t>
            </w:r>
          </w:p>
        </w:tc>
        <w:tc>
          <w:tcPr>
            <w:tcW w:w="527"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1"/>
              <w:jc w:val="center"/>
              <w:rPr>
                <w:rFonts w:ascii="Times New Roman" w:hAnsi="Times New Roman" w:cs="Times New Roman" w:eastAsia="Times New Roman" w:hint="default"/>
                <w:sz w:val="18"/>
                <w:szCs w:val="18"/>
              </w:rPr>
            </w:pPr>
            <w:r>
              <w:rPr>
                <w:rFonts w:ascii="Times New Roman"/>
                <w:sz w:val="18"/>
              </w:rPr>
              <w:t>2014-1-10</w:t>
            </w:r>
          </w:p>
        </w:tc>
        <w:tc>
          <w:tcPr>
            <w:tcW w:w="3570" w:type="dxa"/>
            <w:tcBorders>
              <w:top w:val="nil" w:sz="6" w:space="0" w:color="auto"/>
              <w:left w:val="single" w:sz="4" w:space="0" w:color="000000"/>
              <w:bottom w:val="nil" w:sz="6" w:space="0" w:color="auto"/>
              <w:right w:val="single" w:sz="4" w:space="0" w:color="000000"/>
            </w:tcBorders>
          </w:tcPr>
          <w:p>
            <w:pPr>
              <w:pStyle w:val="TableParagraph"/>
              <w:spacing w:line="316" w:lineRule="auto" w:before="30"/>
              <w:ind w:left="22" w:right="24"/>
              <w:jc w:val="left"/>
              <w:rPr>
                <w:rFonts w:ascii="宋体" w:hAnsi="宋体" w:cs="宋体" w:eastAsia="宋体" w:hint="default"/>
                <w:sz w:val="18"/>
                <w:szCs w:val="18"/>
              </w:rPr>
            </w:pPr>
            <w:r>
              <w:rPr>
                <w:rFonts w:ascii="宋体" w:hAnsi="宋体" w:cs="宋体" w:eastAsia="宋体" w:hint="default"/>
                <w:sz w:val="18"/>
                <w:szCs w:val="18"/>
              </w:rPr>
              <w:t>1.</w:t>
            </w:r>
            <w:hyperlink r:id="rId18">
              <w:r>
                <w:rPr>
                  <w:rFonts w:ascii="宋体" w:hAnsi="宋体" w:cs="宋体" w:eastAsia="宋体" w:hint="default"/>
                  <w:sz w:val="18"/>
                  <w:szCs w:val="18"/>
                </w:rPr>
                <w:t>巨潮资讯网（www.cinfo.com</w:t>
              </w:r>
            </w:hyperlink>
            <w:r>
              <w:rPr>
                <w:rFonts w:ascii="宋体" w:hAnsi="宋体" w:cs="宋体" w:eastAsia="宋体" w:hint="default"/>
                <w:sz w:val="18"/>
                <w:szCs w:val="18"/>
              </w:rPr>
              <w:t>）《关于控股</w:t>
            </w:r>
            <w:r>
              <w:rPr>
                <w:rFonts w:ascii="宋体" w:hAnsi="宋体" w:cs="宋体" w:eastAsia="宋体" w:hint="default"/>
                <w:sz w:val="18"/>
                <w:szCs w:val="18"/>
              </w:rPr>
              <w:t> 子公司江西先材纳米纤维科技有限公司聚酰</w:t>
            </w:r>
          </w:p>
        </w:tc>
      </w:tr>
      <w:tr>
        <w:trPr>
          <w:trHeight w:val="344" w:hRule="exact"/>
        </w:trPr>
        <w:tc>
          <w:tcPr>
            <w:tcW w:w="1486"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装</w:t>
            </w:r>
          </w:p>
        </w:tc>
        <w:tc>
          <w:tcPr>
            <w:tcW w:w="66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071" w:type="dxa"/>
            <w:tcBorders>
              <w:top w:val="nil" w:sz="6" w:space="0" w:color="auto"/>
              <w:left w:val="single" w:sz="4" w:space="0" w:color="000000"/>
              <w:bottom w:val="single" w:sz="4" w:space="0" w:color="000000"/>
              <w:right w:val="single" w:sz="4" w:space="0" w:color="000000"/>
            </w:tcBorders>
          </w:tcPr>
          <w:p>
            <w:pPr/>
          </w:p>
        </w:tc>
        <w:tc>
          <w:tcPr>
            <w:tcW w:w="645" w:type="dxa"/>
            <w:tcBorders>
              <w:top w:val="nil" w:sz="6" w:space="0" w:color="auto"/>
              <w:left w:val="single" w:sz="4" w:space="0" w:color="000000"/>
              <w:bottom w:val="single" w:sz="4" w:space="0" w:color="000000"/>
              <w:right w:val="single" w:sz="4" w:space="0" w:color="000000"/>
            </w:tcBorders>
          </w:tcPr>
          <w:p>
            <w:pPr/>
          </w:p>
        </w:tc>
        <w:tc>
          <w:tcPr>
            <w:tcW w:w="527"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3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pacing w:val="-4"/>
                <w:sz w:val="18"/>
                <w:szCs w:val="18"/>
              </w:rPr>
              <w:t>亚胺（</w:t>
            </w:r>
            <w:r>
              <w:rPr>
                <w:rFonts w:ascii="Times New Roman" w:hAnsi="Times New Roman" w:cs="Times New Roman" w:eastAsia="Times New Roman" w:hint="default"/>
                <w:spacing w:val="-4"/>
                <w:sz w:val="18"/>
                <w:szCs w:val="18"/>
              </w:rPr>
              <w:t>PI</w:t>
            </w:r>
            <w:r>
              <w:rPr>
                <w:rFonts w:ascii="宋体" w:hAnsi="宋体" w:cs="宋体" w:eastAsia="宋体" w:hint="default"/>
                <w:spacing w:val="-4"/>
                <w:sz w:val="18"/>
                <w:szCs w:val="18"/>
              </w:rPr>
              <w:t>）纳米纤维电池隔膜产品项目进展公</w:t>
            </w:r>
          </w:p>
        </w:tc>
      </w:tr>
      <w:tr>
        <w:trPr>
          <w:trHeight w:val="349" w:hRule="exact"/>
        </w:trPr>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江西先材年产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tc>
        <w:tc>
          <w:tcPr>
            <w:tcW w:w="66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071" w:type="dxa"/>
            <w:tcBorders>
              <w:top w:val="single" w:sz="4" w:space="0" w:color="000000"/>
              <w:left w:val="single" w:sz="4" w:space="0" w:color="000000"/>
              <w:bottom w:val="nil" w:sz="6" w:space="0" w:color="auto"/>
              <w:right w:val="single" w:sz="4" w:space="0" w:color="000000"/>
            </w:tcBorders>
          </w:tcPr>
          <w:p>
            <w:pPr/>
          </w:p>
        </w:tc>
        <w:tc>
          <w:tcPr>
            <w:tcW w:w="645" w:type="dxa"/>
            <w:tcBorders>
              <w:top w:val="single" w:sz="4" w:space="0" w:color="000000"/>
              <w:left w:val="single" w:sz="4" w:space="0" w:color="000000"/>
              <w:bottom w:val="nil" w:sz="6" w:space="0" w:color="auto"/>
              <w:right w:val="single" w:sz="4" w:space="0" w:color="000000"/>
            </w:tcBorders>
          </w:tcPr>
          <w:p>
            <w:pPr/>
          </w:p>
        </w:tc>
        <w:tc>
          <w:tcPr>
            <w:tcW w:w="527"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357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告》（公告编号：2014-009）</w:t>
            </w:r>
          </w:p>
        </w:tc>
      </w:tr>
      <w:tr>
        <w:trPr>
          <w:trHeight w:val="312"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亿平方米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纳米</w:t>
            </w:r>
          </w:p>
        </w:tc>
        <w:tc>
          <w:tcPr>
            <w:tcW w:w="66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071"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c>
          <w:tcPr>
            <w:tcW w:w="527"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357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
                <w:sz w:val="18"/>
                <w:szCs w:val="18"/>
              </w:rPr>
              <w:t> </w:t>
            </w:r>
            <w:r>
              <w:rPr>
                <w:rFonts w:ascii="宋体" w:hAnsi="宋体" w:cs="宋体" w:eastAsia="宋体" w:hint="default"/>
                <w:spacing w:val="-4"/>
                <w:sz w:val="18"/>
                <w:szCs w:val="18"/>
              </w:rPr>
              <w:t>巨潮资讯网</w:t>
            </w:r>
            <w:hyperlink r:id="rId18">
              <w:r>
                <w:rPr>
                  <w:rFonts w:ascii="宋体" w:hAnsi="宋体" w:cs="宋体" w:eastAsia="宋体" w:hint="default"/>
                  <w:spacing w:val="-4"/>
                  <w:sz w:val="18"/>
                  <w:szCs w:val="18"/>
                </w:rPr>
                <w:t>（www.cinfo.com</w:t>
              </w:r>
            </w:hyperlink>
            <w:r>
              <w:rPr>
                <w:rFonts w:ascii="宋体" w:hAnsi="宋体" w:cs="宋体" w:eastAsia="宋体" w:hint="default"/>
                <w:spacing w:val="-4"/>
                <w:sz w:val="18"/>
                <w:szCs w:val="18"/>
              </w:rPr>
              <w:t>）《关于控股</w:t>
            </w:r>
          </w:p>
        </w:tc>
      </w:tr>
      <w:tr>
        <w:trPr>
          <w:trHeight w:val="312"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纤维电池隔膜产</w:t>
            </w:r>
          </w:p>
        </w:tc>
        <w:tc>
          <w:tcPr>
            <w:tcW w:w="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18"/>
                <w:szCs w:val="18"/>
              </w:rPr>
            </w:pPr>
            <w:r>
              <w:rPr>
                <w:rFonts w:ascii="Times New Roman"/>
                <w:sz w:val="18"/>
              </w:rPr>
              <w:t>4,150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8"/>
                <w:szCs w:val="18"/>
              </w:rPr>
            </w:pPr>
            <w:r>
              <w:rPr>
                <w:rFonts w:ascii="Times New Roman"/>
                <w:spacing w:val="-1"/>
                <w:sz w:val="18"/>
              </w:rPr>
              <w:t>3,495.32</w:t>
            </w:r>
          </w:p>
        </w:tc>
        <w:tc>
          <w:tcPr>
            <w:tcW w:w="1071"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18"/>
                <w:szCs w:val="18"/>
              </w:rPr>
            </w:pPr>
            <w:r>
              <w:rPr>
                <w:rFonts w:ascii="Times New Roman"/>
                <w:spacing w:val="-1"/>
                <w:sz w:val="18"/>
              </w:rPr>
              <w:t>3,810.72</w:t>
            </w:r>
          </w:p>
        </w:tc>
        <w:tc>
          <w:tcPr>
            <w:tcW w:w="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9"/>
              <w:jc w:val="right"/>
              <w:rPr>
                <w:rFonts w:ascii="Times New Roman" w:hAnsi="Times New Roman" w:cs="Times New Roman" w:eastAsia="Times New Roman" w:hint="default"/>
                <w:sz w:val="18"/>
                <w:szCs w:val="18"/>
              </w:rPr>
            </w:pPr>
            <w:r>
              <w:rPr>
                <w:rFonts w:ascii="Times New Roman"/>
                <w:spacing w:val="-1"/>
                <w:sz w:val="18"/>
              </w:rPr>
              <w:t>91.83%</w:t>
            </w:r>
          </w:p>
        </w:tc>
        <w:tc>
          <w:tcPr>
            <w:tcW w:w="527"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41"/>
              <w:jc w:val="center"/>
              <w:rPr>
                <w:rFonts w:ascii="Times New Roman" w:hAnsi="Times New Roman" w:cs="Times New Roman" w:eastAsia="Times New Roman" w:hint="default"/>
                <w:sz w:val="18"/>
                <w:szCs w:val="18"/>
              </w:rPr>
            </w:pPr>
            <w:r>
              <w:rPr>
                <w:rFonts w:ascii="Times New Roman"/>
                <w:sz w:val="18"/>
              </w:rPr>
              <w:t>2014-9-25</w:t>
            </w:r>
          </w:p>
        </w:tc>
        <w:tc>
          <w:tcPr>
            <w:tcW w:w="3570"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子公司聚酰亚胺（</w:t>
            </w:r>
            <w:r>
              <w:rPr>
                <w:rFonts w:ascii="Times New Roman" w:hAnsi="Times New Roman" w:cs="Times New Roman" w:eastAsia="Times New Roman" w:hint="default"/>
                <w:spacing w:val="-4"/>
                <w:sz w:val="18"/>
                <w:szCs w:val="18"/>
              </w:rPr>
              <w:t>PI</w:t>
            </w:r>
            <w:r>
              <w:rPr>
                <w:rFonts w:ascii="宋体" w:hAnsi="宋体" w:cs="宋体" w:eastAsia="宋体" w:hint="default"/>
                <w:spacing w:val="-4"/>
                <w:sz w:val="18"/>
                <w:szCs w:val="18"/>
              </w:rPr>
              <w:t>）纳米纤维电池隔膜产品</w:t>
            </w:r>
          </w:p>
        </w:tc>
      </w:tr>
      <w:tr>
        <w:trPr>
          <w:trHeight w:val="319"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品（一期）工程项</w:t>
            </w:r>
          </w:p>
        </w:tc>
        <w:tc>
          <w:tcPr>
            <w:tcW w:w="66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071"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c>
          <w:tcPr>
            <w:tcW w:w="527"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357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项目进展公告》（公告编号：2014-090）</w:t>
            </w:r>
          </w:p>
        </w:tc>
      </w:tr>
      <w:tr>
        <w:trPr>
          <w:trHeight w:val="357" w:hRule="exact"/>
        </w:trPr>
        <w:tc>
          <w:tcPr>
            <w:tcW w:w="14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66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071" w:type="dxa"/>
            <w:tcBorders>
              <w:top w:val="nil" w:sz="6" w:space="0" w:color="auto"/>
              <w:left w:val="single" w:sz="4" w:space="0" w:color="000000"/>
              <w:bottom w:val="single" w:sz="4" w:space="0" w:color="000000"/>
              <w:right w:val="single" w:sz="4" w:space="0" w:color="000000"/>
            </w:tcBorders>
          </w:tcPr>
          <w:p>
            <w:pPr/>
          </w:p>
        </w:tc>
        <w:tc>
          <w:tcPr>
            <w:tcW w:w="645" w:type="dxa"/>
            <w:tcBorders>
              <w:top w:val="nil" w:sz="6" w:space="0" w:color="auto"/>
              <w:left w:val="single" w:sz="4" w:space="0" w:color="000000"/>
              <w:bottom w:val="single" w:sz="4" w:space="0" w:color="000000"/>
              <w:right w:val="single" w:sz="4" w:space="0" w:color="000000"/>
            </w:tcBorders>
          </w:tcPr>
          <w:p>
            <w:pPr/>
          </w:p>
        </w:tc>
        <w:tc>
          <w:tcPr>
            <w:tcW w:w="527"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357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3,584.25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4,462.75</w:t>
            </w: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4"/>
        <w:spacing w:line="240" w:lineRule="auto" w:before="26"/>
        <w:ind w:right="0"/>
        <w:jc w:val="both"/>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t>八、公司未来发展的展望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72" w:right="138" w:hanging="360"/>
        <w:jc w:val="left"/>
      </w:pPr>
      <w:r>
        <w:rPr>
          <w:rFonts w:ascii="Times New Roman" w:hAnsi="Times New Roman" w:cs="Times New Roman" w:eastAsia="Times New Roman" w:hint="default"/>
        </w:rPr>
        <w:t>1</w:t>
      </w:r>
      <w:r>
        <w:rPr/>
        <w:t>、公司所处行业发展趋势 </w:t>
      </w:r>
      <w:r>
        <w:rPr>
          <w:spacing w:val="-2"/>
        </w:rPr>
        <w:t>深圳惠程作为城乡配电网络高可靠性装备供应商和综合解决方案提供商，以新型高分子电气绝缘材料技术为特色和核心</w:t>
      </w:r>
    </w:p>
    <w:p>
      <w:pPr>
        <w:pStyle w:val="BodyText"/>
        <w:spacing w:line="304" w:lineRule="auto" w:before="2"/>
        <w:ind w:right="151"/>
        <w:jc w:val="both"/>
      </w:pPr>
      <w:r>
        <w:rPr>
          <w:spacing w:val="-2"/>
        </w:rPr>
        <w:t>优势，主要从事高性能复合材料绝缘制品以及相关电力配网设备的研发、生产和销售。产品包括全密闭全绝缘中、低压电缆</w:t>
      </w:r>
      <w:r>
        <w:rPr>
          <w:spacing w:val="-66"/>
        </w:rPr>
        <w:t> </w:t>
      </w:r>
      <w:r>
        <w:rPr>
          <w:spacing w:val="-66"/>
        </w:rPr>
      </w:r>
      <w:r>
        <w:rPr>
          <w:spacing w:val="-7"/>
          <w:w w:val="99"/>
        </w:rPr>
        <w:t>分接箱，电缆对接箱，硅橡胶电缆附件、电缆插头等硅橡胶绝缘制品，</w:t>
      </w:r>
      <w:r>
        <w:rPr>
          <w:rFonts w:ascii="Times New Roman" w:hAnsi="Times New Roman" w:cs="Times New Roman" w:eastAsia="Times New Roman" w:hint="default"/>
          <w:spacing w:val="-7"/>
          <w:w w:val="99"/>
        </w:rPr>
        <w:t>SMC</w:t>
      </w:r>
      <w:r>
        <w:rPr>
          <w:spacing w:val="-7"/>
          <w:w w:val="99"/>
        </w:rPr>
        <w:t>电气设备箱体等。公司将子公司长春高琦</w:t>
      </w:r>
      <w:r>
        <w:rPr>
          <w:rFonts w:ascii="Times New Roman" w:hAnsi="Times New Roman" w:cs="Times New Roman" w:eastAsia="Times New Roman" w:hint="default"/>
          <w:spacing w:val="-7"/>
          <w:w w:val="99"/>
        </w:rPr>
        <w:t>66.63177%</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11"/>
          <w:w w:val="99"/>
        </w:rPr>
      </w:r>
      <w:r>
        <w:rPr>
          <w:spacing w:val="-1"/>
        </w:rPr>
        <w:t>股权、江西先材</w:t>
      </w:r>
      <w:r>
        <w:rPr>
          <w:rFonts w:ascii="Times New Roman" w:hAnsi="Times New Roman" w:cs="Times New Roman" w:eastAsia="Times New Roman" w:hint="default"/>
          <w:spacing w:val="-1"/>
        </w:rPr>
        <w:t>52.8%</w:t>
      </w:r>
      <w:r>
        <w:rPr>
          <w:spacing w:val="-1"/>
        </w:rPr>
        <w:t>股权转让给股东吕晓义、何平同时签订了《股权托管暨回购协议》，公司受托行使吕晓义、何平在长</w:t>
      </w:r>
      <w:r>
        <w:rPr>
          <w:spacing w:val="-45"/>
        </w:rPr>
        <w:t> </w:t>
      </w:r>
      <w:r>
        <w:rPr>
          <w:spacing w:val="-45"/>
        </w:rPr>
      </w:r>
      <w:r>
        <w:rPr/>
        <w:t>春高琦和江西先材的股东权力，受托负责两家公司的日常生产经营，管理决策，</w:t>
      </w:r>
      <w:r>
        <w:rPr>
          <w:rFonts w:ascii="Times New Roman" w:hAnsi="Times New Roman" w:cs="Times New Roman" w:eastAsia="Times New Roman" w:hint="default"/>
        </w:rPr>
        <w:t>5</w:t>
      </w:r>
      <w:r>
        <w:rPr/>
        <w:t>年内如果两家公司经营情况好转公司可以 以转让原价（加期间利息）回购股权，公司仍然看好聚酰亚胺新材料业务的发展前景。</w:t>
      </w:r>
    </w:p>
    <w:p>
      <w:pPr>
        <w:pStyle w:val="BodyText"/>
        <w:spacing w:line="360" w:lineRule="auto" w:before="68"/>
        <w:ind w:left="472" w:right="138"/>
        <w:jc w:val="left"/>
      </w:pPr>
      <w:r>
        <w:rPr>
          <w:rFonts w:ascii="宋体" w:hAnsi="宋体" w:cs="宋体" w:eastAsia="宋体" w:hint="default"/>
          <w:b/>
          <w:bCs/>
        </w:rPr>
        <w:t>电气业务</w:t>
      </w:r>
      <w:r>
        <w:rPr>
          <w:rFonts w:ascii="宋体" w:hAnsi="宋体" w:cs="宋体" w:eastAsia="宋体" w:hint="default"/>
          <w:b/>
          <w:bCs/>
          <w:w w:val="99"/>
        </w:rPr>
        <w:t> </w:t>
      </w:r>
      <w:r>
        <w:rPr>
          <w:spacing w:val="-2"/>
        </w:rPr>
        <w:t>近年来，伴随着宏观经济逐步走向平稳增长的轨道，我国的电力行业发展取得了较快的增长，促进了对电网的投资，推</w:t>
      </w:r>
    </w:p>
    <w:p>
      <w:pPr>
        <w:pStyle w:val="BodyText"/>
        <w:spacing w:line="236" w:lineRule="exact"/>
        <w:ind w:right="0"/>
        <w:jc w:val="both"/>
      </w:pPr>
      <w:r>
        <w:rPr/>
        <w:t>动输配电及控制设备行业的发展。</w:t>
      </w:r>
      <w:r>
        <w:rPr>
          <w:rFonts w:ascii="Times New Roman" w:hAnsi="Times New Roman" w:cs="Times New Roman" w:eastAsia="Times New Roman" w:hint="default"/>
        </w:rPr>
        <w:t>2015</w:t>
      </w:r>
      <w:r>
        <w:rPr/>
        <w:t>年国网公司计划完成</w:t>
      </w:r>
      <w:r>
        <w:rPr>
          <w:rFonts w:ascii="Times New Roman" w:hAnsi="Times New Roman" w:cs="Times New Roman" w:eastAsia="Times New Roman" w:hint="default"/>
        </w:rPr>
        <w:t>4202</w:t>
      </w:r>
      <w:r>
        <w:rPr/>
        <w:t>亿元的电网投资，较</w:t>
      </w:r>
      <w:r>
        <w:rPr>
          <w:rFonts w:ascii="Times New Roman" w:hAnsi="Times New Roman" w:cs="Times New Roman" w:eastAsia="Times New Roman" w:hint="default"/>
        </w:rPr>
        <w:t>2014</w:t>
      </w:r>
      <w:r>
        <w:rPr/>
        <w:t>年实际投资额</w:t>
      </w:r>
      <w:r>
        <w:rPr>
          <w:rFonts w:ascii="Times New Roman" w:hAnsi="Times New Roman" w:cs="Times New Roman" w:eastAsia="Times New Roman" w:hint="default"/>
        </w:rPr>
        <w:t>3855</w:t>
      </w:r>
      <w:r>
        <w:rPr/>
        <w:t>亿元同比增幅达</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9%</w:t>
      </w:r>
      <w:r>
        <w:rPr/>
        <w:t>；南网公司计划完成电网投资总额</w:t>
      </w:r>
      <w:r>
        <w:rPr>
          <w:rFonts w:ascii="Times New Roman" w:hAnsi="Times New Roman" w:cs="Times New Roman" w:eastAsia="Times New Roman" w:hint="default"/>
        </w:rPr>
        <w:t>755</w:t>
      </w:r>
      <w:r>
        <w:rPr/>
        <w:t>亿元。</w:t>
      </w:r>
      <w:r>
        <w:rPr>
          <w:spacing w:val="-5"/>
        </w:rPr>
        <w:t> </w:t>
      </w:r>
      <w:r>
        <w:rPr>
          <w:rFonts w:ascii="Times New Roman" w:hAnsi="Times New Roman" w:cs="Times New Roman" w:eastAsia="Times New Roman" w:hint="default"/>
        </w:rPr>
        <w:t>2015</w:t>
      </w:r>
      <w:r>
        <w:rPr/>
        <w:t>年，随着电网建设重心由主干网向配网侧的转移，配电网建设在</w:t>
      </w:r>
      <w:r>
        <w:rPr>
          <w:rFonts w:ascii="Times New Roman" w:hAnsi="Times New Roman" w:cs="Times New Roman" w:eastAsia="Times New Roman" w:hint="default"/>
        </w:rPr>
        <w:t>2015</w:t>
      </w:r>
    </w:p>
    <w:p>
      <w:pPr>
        <w:spacing w:after="0" w:line="240" w:lineRule="auto"/>
        <w:jc w:val="both"/>
        <w:rPr>
          <w:rFonts w:ascii="Times New Roman" w:hAnsi="Times New Roman" w:cs="Times New Roman" w:eastAsia="Times New Roman" w:hint="default"/>
        </w:rPr>
        <w:sectPr>
          <w:footerReference w:type="default" r:id="rId17"/>
          <w:pgSz w:w="11910" w:h="16840"/>
          <w:pgMar w:footer="1225" w:header="0" w:top="1060" w:bottom="1420" w:left="1020" w:right="980"/>
          <w:pgNumType w:start="28"/>
        </w:sectPr>
      </w:pPr>
    </w:p>
    <w:p>
      <w:pPr>
        <w:spacing w:line="240" w:lineRule="auto" w:before="5"/>
        <w:rPr>
          <w:rFonts w:ascii="Times New Roman" w:hAnsi="Times New Roman" w:cs="Times New Roman" w:eastAsia="Times New Roman" w:hint="default"/>
          <w:sz w:val="29"/>
          <w:szCs w:val="29"/>
        </w:rPr>
      </w:pPr>
    </w:p>
    <w:p>
      <w:pPr>
        <w:pStyle w:val="BodyText"/>
        <w:spacing w:line="316" w:lineRule="auto" w:before="44"/>
        <w:ind w:right="192"/>
        <w:jc w:val="both"/>
      </w:pPr>
      <w:r>
        <w:rPr>
          <w:spacing w:val="-2"/>
        </w:rPr>
        <w:t>年将有较大发展。由于配电网建设对稳定性与可靠性要求的提高，以及对一体化解决方案的需求增大，设备配套能力强、覆</w:t>
      </w:r>
      <w:r>
        <w:rPr>
          <w:spacing w:val="-66"/>
        </w:rPr>
        <w:t> </w:t>
      </w:r>
      <w:r>
        <w:rPr>
          <w:spacing w:val="-66"/>
        </w:rPr>
      </w:r>
      <w:r>
        <w:rPr>
          <w:spacing w:val="-2"/>
        </w:rPr>
        <w:t>盖面广的配网设备企业有望维持较高的市场占有率水平。结合我国输配电及控制设备行业发展现状，未来产业发展趋势主要</w:t>
      </w:r>
      <w:r>
        <w:rPr>
          <w:spacing w:val="-64"/>
        </w:rPr>
        <w:t> </w:t>
      </w:r>
      <w:r>
        <w:rPr>
          <w:spacing w:val="-64"/>
        </w:rPr>
      </w:r>
      <w:r>
        <w:rPr/>
        <w:t>有以下方面：</w:t>
      </w:r>
    </w:p>
    <w:p>
      <w:pPr>
        <w:pStyle w:val="BodyText"/>
        <w:spacing w:line="312" w:lineRule="auto" w:before="57"/>
        <w:ind w:right="192" w:firstLine="360"/>
        <w:jc w:val="both"/>
      </w:pPr>
      <w:r>
        <w:rPr>
          <w:spacing w:val="-2"/>
        </w:rPr>
        <w:t>加强自主创新和技术改造，将推进自主创新作为转变发展方式的中心环节，发展重大技术装备，突破关键技术，进一步</w:t>
      </w:r>
      <w:r>
        <w:rPr/>
        <w:t> </w:t>
      </w:r>
      <w:r>
        <w:rPr>
          <w:spacing w:val="-2"/>
        </w:rPr>
        <w:t>提高自主化能力。推进节能减排，推行绿色制造，把推进节能减排作为提升产业整体素质的长期任务；坚持以资源节约、环</w:t>
      </w:r>
      <w:r>
        <w:rPr>
          <w:spacing w:val="-65"/>
        </w:rPr>
        <w:t> </w:t>
      </w:r>
      <w:r>
        <w:rPr>
          <w:spacing w:val="-65"/>
        </w:rPr>
      </w:r>
      <w:r>
        <w:rPr>
          <w:spacing w:val="-2"/>
        </w:rPr>
        <w:t>境友好、低碳排放、绿色发展为前提，由消耗、污染制造向绿色制造转变。随着</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规划的实施，加快促进各地智能电</w:t>
      </w:r>
      <w:r>
        <w:rPr>
          <w:spacing w:val="-45"/>
        </w:rPr>
        <w:t> </w:t>
      </w:r>
      <w:r>
        <w:rPr>
          <w:spacing w:val="-45"/>
        </w:rPr>
      </w:r>
      <w:r>
        <w:rPr/>
        <w:t>网的大力发展，带动输配电及控制设备行业的快速发展。</w:t>
      </w:r>
    </w:p>
    <w:p>
      <w:pPr>
        <w:pStyle w:val="BodyText"/>
        <w:spacing w:line="360" w:lineRule="auto" w:before="63"/>
        <w:ind w:left="472" w:right="94"/>
        <w:jc w:val="left"/>
      </w:pPr>
      <w:r>
        <w:rPr>
          <w:rFonts w:ascii="宋体" w:hAnsi="宋体" w:cs="宋体" w:eastAsia="宋体" w:hint="default"/>
          <w:b/>
          <w:bCs/>
        </w:rPr>
        <w:t>新材料业务</w:t>
      </w:r>
      <w:r>
        <w:rPr>
          <w:rFonts w:ascii="宋体" w:hAnsi="宋体" w:cs="宋体" w:eastAsia="宋体" w:hint="default"/>
          <w:b/>
          <w:bCs/>
          <w:w w:val="99"/>
        </w:rPr>
        <w:t> </w:t>
      </w:r>
      <w:r>
        <w:rPr/>
        <w:t>我国已经成为新材料的生产和消费大国，钢铁、重要有色金属、主要建材、合成纤维等基础材料的产量均居世界首位。</w:t>
      </w:r>
    </w:p>
    <w:p>
      <w:pPr>
        <w:pStyle w:val="BodyText"/>
        <w:spacing w:line="222" w:lineRule="exact"/>
        <w:ind w:right="0"/>
        <w:jc w:val="both"/>
      </w:pPr>
      <w:r>
        <w:rPr>
          <w:spacing w:val="-4"/>
        </w:rPr>
        <w:t>当前新材料研究与发展呈现四大趋势：新材料的研发、生产和应用趋于一体化；从深入微观层次有目标地发现和开发新材料；</w:t>
      </w:r>
    </w:p>
    <w:p>
      <w:pPr>
        <w:pStyle w:val="BodyText"/>
        <w:spacing w:line="316" w:lineRule="auto" w:before="76"/>
        <w:ind w:right="192"/>
        <w:jc w:val="both"/>
      </w:pPr>
      <w:r>
        <w:rPr>
          <w:spacing w:val="-2"/>
        </w:rPr>
        <w:t>计算材料学－模拟－实验的结合是未来发展新材料的重要研究方法；世界各国越来越重视国家对新材料研发工作的组织和指</w:t>
      </w:r>
      <w:r>
        <w:rPr>
          <w:spacing w:val="-64"/>
        </w:rPr>
        <w:t> </w:t>
      </w:r>
      <w:r>
        <w:rPr>
          <w:spacing w:val="-64"/>
        </w:rPr>
      </w:r>
      <w:r>
        <w:rPr>
          <w:spacing w:val="-2"/>
        </w:rPr>
        <w:t>导。我国的新材料产业还存在很多问题，比如在生产过程中资源、能源消耗大，在高性能材料及其品种开发、先进制备加工</w:t>
      </w:r>
      <w:r>
        <w:rPr>
          <w:spacing w:val="-65"/>
        </w:rPr>
        <w:t> </w:t>
      </w:r>
      <w:r>
        <w:rPr>
          <w:spacing w:val="-65"/>
        </w:rPr>
      </w:r>
      <w:r>
        <w:rPr>
          <w:spacing w:val="-2"/>
        </w:rPr>
        <w:t>技术、材料性能表征与应用等方面与世界先进水平有较大差距，而且具有自主知识产权的品种较少，高技术含量和高附加值</w:t>
      </w:r>
      <w:r>
        <w:rPr>
          <w:spacing w:val="-65"/>
        </w:rPr>
        <w:t> </w:t>
      </w:r>
      <w:r>
        <w:rPr>
          <w:spacing w:val="-65"/>
        </w:rPr>
      </w:r>
      <w:r>
        <w:rPr>
          <w:spacing w:val="-2"/>
        </w:rPr>
        <w:t>的关键材料大部分依赖进口。从我国新材料发展趋势来看，国防军工的现代化将极大的拉动新材料的需求，国内消费增长刺</w:t>
      </w:r>
      <w:r>
        <w:rPr>
          <w:spacing w:val="-65"/>
        </w:rPr>
        <w:t> </w:t>
      </w:r>
      <w:r>
        <w:rPr>
          <w:spacing w:val="-65"/>
        </w:rPr>
      </w:r>
      <w:r>
        <w:rPr/>
        <w:t>激化工新材料的发展，国内龙头企业自主创新能力提升，进口替代趋势明显。</w:t>
      </w:r>
    </w:p>
    <w:p>
      <w:pPr>
        <w:pStyle w:val="BodyText"/>
        <w:spacing w:line="340" w:lineRule="auto" w:before="57"/>
        <w:ind w:left="412" w:right="191" w:hanging="300"/>
        <w:jc w:val="left"/>
      </w:pPr>
      <w:r>
        <w:rPr>
          <w:rFonts w:ascii="Times New Roman" w:hAnsi="Times New Roman" w:cs="Times New Roman" w:eastAsia="Times New Roman" w:hint="default"/>
        </w:rPr>
        <w:t>2</w:t>
      </w:r>
      <w:r>
        <w:rPr/>
        <w:t>、公司面临的市场竞争格局 </w:t>
      </w:r>
      <w:r>
        <w:rPr>
          <w:rFonts w:ascii="宋体" w:hAnsi="宋体" w:cs="宋体" w:eastAsia="宋体" w:hint="default"/>
          <w:b/>
          <w:bCs/>
          <w:spacing w:val="-1"/>
        </w:rPr>
        <w:t>电气业务方面，</w:t>
      </w:r>
      <w:r>
        <w:rPr>
          <w:spacing w:val="-1"/>
        </w:rPr>
        <w:t>目前我国输配电设备市场以</w:t>
      </w:r>
      <w:r>
        <w:rPr>
          <w:rFonts w:ascii="Times New Roman" w:hAnsi="Times New Roman" w:cs="Times New Roman" w:eastAsia="Times New Roman" w:hint="default"/>
          <w:spacing w:val="-1"/>
        </w:rPr>
        <w:t>ABB</w:t>
      </w:r>
      <w:r>
        <w:rPr>
          <w:spacing w:val="-1"/>
        </w:rPr>
        <w:t>、西门子、阿尔斯通三大外资垄断为主，国内输配电设备制造行业集中</w:t>
      </w:r>
    </w:p>
    <w:p>
      <w:pPr>
        <w:pStyle w:val="BodyText"/>
        <w:spacing w:line="228" w:lineRule="exact"/>
        <w:ind w:right="0"/>
        <w:jc w:val="both"/>
      </w:pPr>
      <w:r>
        <w:rPr/>
        <w:t>度较低，整体竞争力较弱。行业处于</w:t>
      </w:r>
      <w:r>
        <w:rPr>
          <w:rFonts w:ascii="Times New Roman" w:hAnsi="Times New Roman" w:cs="Times New Roman" w:eastAsia="Times New Roman" w:hint="default"/>
        </w:rPr>
        <w:t>“</w:t>
      </w:r>
      <w:r>
        <w:rPr/>
        <w:t>大而全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小而全</w:t>
      </w:r>
      <w:r>
        <w:rPr>
          <w:rFonts w:ascii="Times New Roman" w:hAnsi="Times New Roman" w:cs="Times New Roman" w:eastAsia="Times New Roman" w:hint="default"/>
        </w:rPr>
        <w:t>”</w:t>
      </w:r>
      <w:r>
        <w:rPr/>
        <w:t>的状态，企业数量多，规模小，生产效率低，技术装备落后，与国</w:t>
      </w:r>
    </w:p>
    <w:p>
      <w:pPr>
        <w:pStyle w:val="BodyText"/>
        <w:spacing w:line="316" w:lineRule="auto" w:before="63"/>
        <w:ind w:right="86"/>
        <w:jc w:val="left"/>
      </w:pPr>
      <w:r>
        <w:rPr>
          <w:spacing w:val="-4"/>
        </w:rPr>
        <w:t>际先进水平尚有差距。在低压开关、电器等一次设备领域，主要是大量国内企业竞争，由于产品科技含量不高，价格战激烈，</w:t>
      </w:r>
      <w:r>
        <w:rPr>
          <w:spacing w:val="-42"/>
        </w:rPr>
        <w:t> </w:t>
      </w:r>
      <w:r>
        <w:rPr>
          <w:spacing w:val="-42"/>
        </w:rPr>
      </w:r>
      <w:r>
        <w:rPr>
          <w:spacing w:val="-2"/>
        </w:rPr>
        <w:t>造成企业效益不佳。组合设备与成套设备供应已成为国内输配电行业的发展趋势，国内领先企业纷纷加强成套设备供应能力</w:t>
      </w:r>
      <w:r>
        <w:rPr>
          <w:spacing w:val="-64"/>
        </w:rPr>
        <w:t> </w:t>
      </w:r>
      <w:r>
        <w:rPr>
          <w:spacing w:val="-64"/>
        </w:rPr>
      </w:r>
      <w:r>
        <w:rPr/>
        <w:t>以应对未来竞争。</w:t>
      </w:r>
    </w:p>
    <w:p>
      <w:pPr>
        <w:pStyle w:val="BodyText"/>
        <w:spacing w:line="316" w:lineRule="auto" w:before="59"/>
        <w:ind w:right="192" w:firstLine="362"/>
        <w:jc w:val="both"/>
      </w:pPr>
      <w:r>
        <w:rPr>
          <w:rFonts w:ascii="宋体" w:hAnsi="宋体" w:cs="宋体" w:eastAsia="宋体" w:hint="default"/>
          <w:b/>
          <w:bCs/>
          <w:spacing w:val="-2"/>
        </w:rPr>
        <w:t>新材料业务方面</w:t>
      </w:r>
      <w:r>
        <w:rPr>
          <w:spacing w:val="-2"/>
        </w:rPr>
        <w:t>，经过几年的发展，我国新材料产业已经初具规模，但是与先进国家比，我们仍存在生产能力不足、产</w:t>
      </w:r>
      <w:r>
        <w:rPr/>
        <w:t> </w:t>
      </w:r>
      <w:r>
        <w:rPr>
          <w:spacing w:val="-2"/>
        </w:rPr>
        <w:t>品质量不高、产品规格较少、没有实现系列化等缺点，因此，许多重要产品和高性能产品仍需依赖进口。新材料的技术壁垒</w:t>
      </w:r>
      <w:r>
        <w:rPr>
          <w:spacing w:val="-65"/>
        </w:rPr>
        <w:t> </w:t>
      </w:r>
      <w:r>
        <w:rPr>
          <w:spacing w:val="-65"/>
        </w:rPr>
      </w:r>
      <w:r>
        <w:rPr/>
        <w:t>普遍较高，行业内企业平均经营规模仍然较小，</w:t>
      </w:r>
      <w:r>
        <w:rPr>
          <w:spacing w:val="1"/>
        </w:rPr>
        <w:t> </w:t>
      </w:r>
      <w:r>
        <w:rPr/>
        <w:t>缺乏核心技术和核心竞争力，尚未形成有规模和市场影响力的企业。</w:t>
      </w:r>
    </w:p>
    <w:p>
      <w:pPr>
        <w:pStyle w:val="BodyText"/>
        <w:spacing w:line="240" w:lineRule="auto" w:before="57"/>
        <w:ind w:right="0"/>
        <w:jc w:val="both"/>
      </w:pPr>
      <w:r>
        <w:rPr>
          <w:rFonts w:ascii="Times New Roman" w:hAnsi="Times New Roman" w:cs="Times New Roman" w:eastAsia="Times New Roman" w:hint="default"/>
        </w:rPr>
        <w:t>3</w:t>
      </w:r>
      <w:r>
        <w:rPr/>
        <w:t>、公司未来发展机遇</w:t>
      </w:r>
    </w:p>
    <w:p>
      <w:pPr>
        <w:pStyle w:val="BodyText"/>
        <w:spacing w:line="300" w:lineRule="auto" w:before="103"/>
        <w:ind w:right="192" w:firstLine="360"/>
        <w:jc w:val="both"/>
      </w:pPr>
      <w:r>
        <w:rPr>
          <w:rFonts w:ascii="宋体" w:hAnsi="宋体" w:cs="宋体" w:eastAsia="宋体" w:hint="default"/>
          <w:b/>
          <w:bCs/>
        </w:rPr>
        <w:t>电气业务，</w:t>
      </w:r>
      <w:r>
        <w:rPr/>
        <w:t>近年来我国持续加大电网建设投资，国网、南网电网建设投资持续保持在</w:t>
      </w:r>
      <w:r>
        <w:rPr>
          <w:rFonts w:ascii="Times New Roman" w:hAnsi="Times New Roman" w:cs="Times New Roman" w:eastAsia="Times New Roman" w:hint="default"/>
        </w:rPr>
        <w:t>2500</w:t>
      </w:r>
      <w:r>
        <w:rPr/>
        <w:t>亿</w:t>
      </w:r>
      <w:r>
        <w:rPr>
          <w:rFonts w:ascii="Times New Roman" w:hAnsi="Times New Roman" w:cs="Times New Roman" w:eastAsia="Times New Roman" w:hint="default"/>
        </w:rPr>
        <w:t>-3000</w:t>
      </w:r>
      <w:r>
        <w:rPr/>
        <w:t>亿规模，</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 </w:t>
      </w:r>
      <w:r>
        <w:rPr>
          <w:spacing w:val="-2"/>
        </w:rPr>
        <w:t>间国网和南网的电网投资大幅增长。</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规划中加大城乡电网改造投资，智能电网和特高压电网建设推动市场需求快速</w:t>
      </w:r>
      <w:r>
        <w:rPr>
          <w:spacing w:val="-44"/>
        </w:rPr>
        <w:t> </w:t>
      </w:r>
      <w:r>
        <w:rPr>
          <w:spacing w:val="-44"/>
        </w:rPr>
      </w:r>
      <w:r>
        <w:rPr/>
        <w:t>提升，输配电制造行业将在未来较长时期呈现持续景气。</w:t>
      </w:r>
    </w:p>
    <w:p>
      <w:pPr>
        <w:pStyle w:val="BodyText"/>
        <w:spacing w:line="314" w:lineRule="auto" w:before="72"/>
        <w:ind w:right="94" w:firstLine="360"/>
        <w:jc w:val="left"/>
      </w:pPr>
      <w:r>
        <w:rPr>
          <w:rFonts w:ascii="宋体" w:hAnsi="宋体" w:cs="宋体" w:eastAsia="宋体" w:hint="default"/>
          <w:b/>
          <w:bCs/>
          <w:spacing w:val="-2"/>
        </w:rPr>
        <w:t>新材料业务，</w:t>
      </w:r>
      <w:r>
        <w:rPr>
          <w:spacing w:val="-2"/>
        </w:rPr>
        <w:t>随着社会科技的进步和新兴产业的快速发展，对新材料需求的种类和数量都大大增加，新材料市场需求前</w:t>
      </w:r>
      <w:r>
        <w:rPr/>
        <w:t> </w:t>
      </w:r>
      <w:r>
        <w:rPr>
          <w:spacing w:val="-2"/>
        </w:rPr>
        <w:t>景十分看好。以新材料为支撑的新兴产业，如计算机、通讯、绿色能源、生物医药、纳米产业等的快速发展，对新材料的种</w:t>
      </w:r>
      <w:r>
        <w:rPr>
          <w:spacing w:val="-64"/>
        </w:rPr>
        <w:t> </w:t>
      </w:r>
      <w:r>
        <w:rPr>
          <w:spacing w:val="-64"/>
        </w:rPr>
      </w:r>
      <w:r>
        <w:rPr>
          <w:spacing w:val="-2"/>
        </w:rPr>
        <w:t>类和数量需求也将进一步扩大。一是由于技术进步以及新兴产业的发展，一些新材料相对于传统材料来说，在性能和成本方</w:t>
      </w:r>
      <w:r>
        <w:rPr>
          <w:spacing w:val="-65"/>
        </w:rPr>
        <w:t> </w:t>
      </w:r>
      <w:r>
        <w:rPr>
          <w:spacing w:val="-65"/>
        </w:rPr>
      </w:r>
      <w:r>
        <w:rPr>
          <w:spacing w:val="-2"/>
        </w:rPr>
        <w:t>面有明显的优势；二是出于环境保护的考虑和资源的限制，一些新材料有较大的优势。当前中国新材料产业发展迅速，产业</w:t>
      </w:r>
      <w:r>
        <w:rPr>
          <w:spacing w:val="-66"/>
        </w:rPr>
        <w:t> </w:t>
      </w:r>
      <w:r>
        <w:rPr>
          <w:spacing w:val="-66"/>
        </w:rPr>
      </w:r>
      <w:r>
        <w:rPr/>
        <w:t>规模保持平稳增长；材料种类日益丰富，产品结构略有起伏；政策资金积极扶持，发展环境逐步优化；产业基地建设加快， </w:t>
      </w:r>
      <w:r>
        <w:rPr>
          <w:spacing w:val="-2"/>
        </w:rPr>
        <w:t>区域特色逐渐形成。</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时期，是我国材料工业由大变强的关键时期，高性能纤维复合材料需求将日渐强劲，尤其是环</w:t>
      </w:r>
      <w:r>
        <w:rPr>
          <w:spacing w:val="-45"/>
        </w:rPr>
        <w:t> </w:t>
      </w:r>
      <w:r>
        <w:rPr>
          <w:spacing w:val="-45"/>
        </w:rPr>
      </w:r>
      <w:r>
        <w:rPr/>
        <w:t>保、消费升级、交通运输、能源、微电子等领域，公司的新材料业务将面临绝佳的历史发展机遇。</w:t>
      </w:r>
    </w:p>
    <w:p>
      <w:pPr>
        <w:pStyle w:val="BodyText"/>
        <w:spacing w:line="240" w:lineRule="auto" w:before="59"/>
        <w:ind w:right="0"/>
        <w:jc w:val="both"/>
      </w:pPr>
      <w:r>
        <w:rPr>
          <w:rFonts w:ascii="Times New Roman" w:hAnsi="Times New Roman" w:cs="Times New Roman" w:eastAsia="Times New Roman" w:hint="default"/>
        </w:rPr>
        <w:t>4</w:t>
      </w:r>
      <w:r>
        <w:rPr/>
        <w:t>、公司未来发展规划</w:t>
      </w:r>
    </w:p>
    <w:p>
      <w:pPr>
        <w:pStyle w:val="BodyText"/>
        <w:spacing w:line="312" w:lineRule="auto" w:before="103"/>
        <w:ind w:right="192" w:firstLine="360"/>
        <w:jc w:val="both"/>
      </w:pPr>
      <w:r>
        <w:rPr>
          <w:rFonts w:ascii="Times New Roman" w:hAnsi="Times New Roman" w:cs="Times New Roman" w:eastAsia="Times New Roman" w:hint="default"/>
          <w:spacing w:val="-2"/>
        </w:rPr>
        <w:t>2015</w:t>
      </w:r>
      <w:r>
        <w:rPr>
          <w:spacing w:val="-2"/>
        </w:rPr>
        <w:t>年，公司将继续加强电气业务经营，大力拓展聚酰亚胺新材料业务，同时积极寻找其他投资机会丰富产业结构，拓</w:t>
      </w:r>
      <w:r>
        <w:rPr/>
        <w:t> </w:t>
      </w:r>
      <w:r>
        <w:rPr>
          <w:spacing w:val="-2"/>
        </w:rPr>
        <w:t>展产业空间。电气业务经营方针：抓住行业发展机会、通过区域扩张渠道拓展、优化产品组合方案、构建高效执行队伍，实</w:t>
      </w:r>
      <w:r>
        <w:rPr>
          <w:spacing w:val="-66"/>
        </w:rPr>
        <w:t> </w:t>
      </w:r>
      <w:r>
        <w:rPr>
          <w:spacing w:val="-66"/>
        </w:rPr>
      </w:r>
      <w:r>
        <w:rPr>
          <w:spacing w:val="-2"/>
        </w:rPr>
        <w:t>现收入增长、产品盈利能力提升；新材料业务经营方针：强化市场规划、聚焦重点方向，大力加强营销工作，建立科学的生</w:t>
      </w:r>
      <w:r>
        <w:rPr>
          <w:spacing w:val="-66"/>
        </w:rPr>
        <w:t> </w:t>
      </w:r>
      <w:r>
        <w:rPr>
          <w:spacing w:val="-66"/>
        </w:rPr>
      </w:r>
      <w:r>
        <w:rPr/>
        <w:t>产经营体系，降本增效，提升产品性能。</w:t>
      </w:r>
    </w:p>
    <w:p>
      <w:pPr>
        <w:pStyle w:val="BodyText"/>
        <w:spacing w:line="240" w:lineRule="auto" w:before="63"/>
        <w:ind w:left="472" w:right="86"/>
        <w:jc w:val="left"/>
      </w:pPr>
      <w:r>
        <w:rPr/>
        <w:t>公司</w:t>
      </w:r>
      <w:r>
        <w:rPr>
          <w:rFonts w:ascii="Times New Roman" w:hAnsi="Times New Roman" w:cs="Times New Roman" w:eastAsia="Times New Roman" w:hint="default"/>
        </w:rPr>
        <w:t>2015</w:t>
      </w:r>
      <w:r>
        <w:rPr/>
        <w:t>年经营计划</w:t>
      </w:r>
    </w:p>
    <w:p>
      <w:pPr>
        <w:pStyle w:val="Heading7"/>
        <w:spacing w:line="240" w:lineRule="auto" w:before="101"/>
        <w:ind w:left="475" w:right="86"/>
        <w:jc w:val="left"/>
        <w:rPr>
          <w:b w:val="0"/>
          <w:bCs w:val="0"/>
        </w:rPr>
      </w:pPr>
      <w:r>
        <w:rPr/>
        <w:t>（</w:t>
      </w:r>
      <w:r>
        <w:rPr>
          <w:rFonts w:ascii="Times New Roman" w:hAnsi="Times New Roman" w:cs="Times New Roman" w:eastAsia="Times New Roman" w:hint="default"/>
        </w:rPr>
        <w:t>1</w:t>
      </w:r>
      <w:r>
        <w:rPr/>
        <w:t>）转变电气业务销售模式，加强销售体系建设，实现销售规模和利润的增长。</w:t>
      </w:r>
      <w:r>
        <w:rPr>
          <w:b w:val="0"/>
          <w:bCs w:val="0"/>
        </w:rPr>
      </w:r>
    </w:p>
    <w:p>
      <w:pPr>
        <w:spacing w:after="0" w:line="240" w:lineRule="auto"/>
        <w:jc w:val="left"/>
        <w:sectPr>
          <w:pgSz w:w="11910" w:h="16840"/>
          <w:pgMar w:header="0" w:footer="1225" w:top="1060" w:bottom="1420" w:left="1020" w:right="940"/>
        </w:sectPr>
      </w:pPr>
    </w:p>
    <w:p>
      <w:pPr>
        <w:spacing w:line="240" w:lineRule="auto" w:before="12"/>
        <w:rPr>
          <w:rFonts w:ascii="宋体" w:hAnsi="宋体" w:cs="宋体" w:eastAsia="宋体" w:hint="default"/>
          <w:b/>
          <w:bCs/>
          <w:sz w:val="25"/>
          <w:szCs w:val="25"/>
        </w:rPr>
      </w:pPr>
    </w:p>
    <w:p>
      <w:pPr>
        <w:pStyle w:val="BodyText"/>
        <w:spacing w:line="312" w:lineRule="auto" w:before="44"/>
        <w:ind w:right="94" w:firstLine="360"/>
        <w:jc w:val="left"/>
      </w:pPr>
      <w:r>
        <w:rPr>
          <w:rFonts w:ascii="Times New Roman" w:hAnsi="Times New Roman" w:cs="Times New Roman" w:eastAsia="Times New Roman" w:hint="default"/>
        </w:rPr>
        <w:t>2015</w:t>
      </w:r>
      <w:r>
        <w:rPr/>
        <w:t>年，公司将电气业务</w:t>
      </w:r>
      <w:r>
        <w:rPr>
          <w:spacing w:val="-1"/>
        </w:rPr>
        <w:t> </w:t>
      </w:r>
      <w:r>
        <w:rPr>
          <w:rFonts w:ascii="Times New Roman" w:hAnsi="Times New Roman" w:cs="Times New Roman" w:eastAsia="Times New Roman" w:hint="default"/>
        </w:rPr>
        <w:t>“</w:t>
      </w:r>
      <w:r>
        <w:rPr/>
        <w:t>直销为主，经销为补充</w:t>
      </w:r>
      <w:r>
        <w:rPr>
          <w:rFonts w:ascii="Times New Roman" w:hAnsi="Times New Roman" w:cs="Times New Roman" w:eastAsia="Times New Roman" w:hint="default"/>
        </w:rPr>
        <w:t>”</w:t>
      </w:r>
      <w:r>
        <w:rPr/>
        <w:t>的直接销售模式，调整为</w:t>
      </w:r>
      <w:r>
        <w:rPr>
          <w:rFonts w:ascii="Times New Roman" w:hAnsi="Times New Roman" w:cs="Times New Roman" w:eastAsia="Times New Roman" w:hint="default"/>
        </w:rPr>
        <w:t>“</w:t>
      </w:r>
      <w:r>
        <w:rPr/>
        <w:t>经销为主，区域扩张渠道拓展</w:t>
      </w:r>
      <w:r>
        <w:rPr>
          <w:rFonts w:ascii="Times New Roman" w:hAnsi="Times New Roman" w:cs="Times New Roman" w:eastAsia="Times New Roman" w:hint="default"/>
        </w:rPr>
        <w:t>”</w:t>
      </w:r>
      <w:r>
        <w:rPr/>
        <w:t>的销售策 </w:t>
      </w:r>
      <w:r>
        <w:rPr>
          <w:spacing w:val="-4"/>
        </w:rPr>
        <w:t>略。针对新的招投标方式导致的渠道下沉的情况，公司逐步建立起与之对应的客户关系，对现有销售覆盖区域增建经销网络，</w:t>
      </w:r>
      <w:r>
        <w:rPr>
          <w:spacing w:val="-42"/>
        </w:rPr>
        <w:t> </w:t>
      </w:r>
      <w:r>
        <w:rPr>
          <w:spacing w:val="-42"/>
        </w:rPr>
      </w:r>
      <w:r>
        <w:rPr>
          <w:spacing w:val="-4"/>
        </w:rPr>
        <w:t>增强市场渗透能力，对销售薄弱区域，寻找并建立新的经销渠道关系；建立大客户服务部门，集中力量向大客户、行业客户、</w:t>
      </w:r>
      <w:r>
        <w:rPr>
          <w:spacing w:val="-42"/>
        </w:rPr>
        <w:t> </w:t>
      </w:r>
      <w:r>
        <w:rPr>
          <w:spacing w:val="-42"/>
        </w:rPr>
      </w:r>
      <w:r>
        <w:rPr/>
        <w:t>集群客户销售。通过市场技术支持，认真分析市场竞争情况，识别市场需求趋势，积极优化产品方案，开发高毛利新产品。 </w:t>
      </w:r>
      <w:r>
        <w:rPr>
          <w:spacing w:val="-2"/>
        </w:rPr>
        <w:t>加强产品培训和宣传，重点突出产品特点和优势，聚焦重点开发区域，组织对销售人员和客户进行专业技术培训。以客户需</w:t>
      </w:r>
      <w:r>
        <w:rPr>
          <w:spacing w:val="-66"/>
        </w:rPr>
        <w:t> </w:t>
      </w:r>
      <w:r>
        <w:rPr>
          <w:spacing w:val="-66"/>
        </w:rPr>
      </w:r>
      <w:r>
        <w:rPr>
          <w:spacing w:val="-4"/>
        </w:rPr>
        <w:t>求为导向，建立为客户提供全方位服务的售后服务体系，打造专家型销售团队，提高综合服务能力，确保</w:t>
      </w:r>
      <w:r>
        <w:rPr>
          <w:rFonts w:ascii="Times New Roman" w:hAnsi="Times New Roman" w:cs="Times New Roman" w:eastAsia="Times New Roman" w:hint="default"/>
          <w:spacing w:val="-4"/>
        </w:rPr>
        <w:t>2015</w:t>
      </w:r>
      <w:r>
        <w:rPr>
          <w:spacing w:val="-4"/>
        </w:rPr>
        <w:t>全年销售收入、</w:t>
      </w:r>
      <w:r>
        <w:rPr>
          <w:spacing w:val="-37"/>
        </w:rPr>
        <w:t> </w:t>
      </w:r>
      <w:r>
        <w:rPr/>
        <w:t>净利润和毛利率能够在竞争激烈的市场中稳健增长。</w:t>
      </w:r>
    </w:p>
    <w:p>
      <w:pPr>
        <w:pStyle w:val="Heading7"/>
        <w:spacing w:line="240" w:lineRule="auto" w:before="61"/>
        <w:ind w:left="412" w:right="86"/>
        <w:jc w:val="left"/>
        <w:rPr>
          <w:b w:val="0"/>
          <w:bCs w:val="0"/>
        </w:rPr>
      </w:pPr>
      <w:r>
        <w:rPr/>
        <w:t>（</w:t>
      </w:r>
      <w:r>
        <w:rPr>
          <w:rFonts w:ascii="Times New Roman" w:hAnsi="Times New Roman" w:cs="Times New Roman" w:eastAsia="Times New Roman" w:hint="default"/>
        </w:rPr>
        <w:t>2</w:t>
      </w:r>
      <w:r>
        <w:rPr/>
        <w:t>）继续推进新材料业务的生产、销售改善计划。</w:t>
      </w:r>
      <w:r>
        <w:rPr>
          <w:b w:val="0"/>
          <w:bCs w:val="0"/>
        </w:rPr>
      </w:r>
    </w:p>
    <w:p>
      <w:pPr>
        <w:pStyle w:val="BodyText"/>
        <w:spacing w:line="314" w:lineRule="auto" w:before="103"/>
        <w:ind w:right="86" w:firstLine="300"/>
        <w:jc w:val="left"/>
      </w:pPr>
      <w:r>
        <w:rPr>
          <w:rFonts w:ascii="Times New Roman" w:hAnsi="Times New Roman" w:cs="Times New Roman" w:eastAsia="Times New Roman" w:hint="default"/>
        </w:rPr>
        <w:t>2015</w:t>
      </w:r>
      <w:r>
        <w:rPr/>
        <w:t>年公司以市场为导向，以科研为依托，诊断和改进工艺技术，提升产品性能和质量，完善研、产、销的协调配合机 </w:t>
      </w:r>
      <w:r>
        <w:rPr>
          <w:spacing w:val="-2"/>
        </w:rPr>
        <w:t>制，建立科学的经营管理体系；认真深入地进行新材料市场调研，制定系统的营销战略，明确重点市场和重点产品，合理配</w:t>
      </w:r>
      <w:r>
        <w:rPr>
          <w:spacing w:val="-65"/>
        </w:rPr>
        <w:t> </w:t>
      </w:r>
      <w:r>
        <w:rPr>
          <w:spacing w:val="-65"/>
        </w:rPr>
      </w:r>
      <w:r>
        <w:rPr>
          <w:spacing w:val="-2"/>
        </w:rPr>
        <w:t>置营销资源，探索相关产品在多行业多市场的应用，尤其是聚酰亚胺纤维业务要借助国家、社会、民众关注空气质量、雾霾</w:t>
      </w:r>
      <w:r>
        <w:rPr>
          <w:spacing w:val="-65"/>
        </w:rPr>
        <w:t> </w:t>
      </w:r>
      <w:r>
        <w:rPr>
          <w:spacing w:val="-65"/>
        </w:rPr>
      </w:r>
      <w:r>
        <w:rPr>
          <w:spacing w:val="-2"/>
        </w:rPr>
        <w:t>治理的舆论氛围，紧密把握国家提高工业废气排放标准、加大企业达标排放执法力度的历史机遇，充分发挥聚酰亚胺纤维过</w:t>
      </w:r>
      <w:r>
        <w:rPr>
          <w:spacing w:val="-65"/>
        </w:rPr>
        <w:t> </w:t>
      </w:r>
      <w:r>
        <w:rPr>
          <w:spacing w:val="-65"/>
        </w:rPr>
      </w:r>
      <w:r>
        <w:rPr>
          <w:spacing w:val="-4"/>
        </w:rPr>
        <w:t>滤材料耐热、强度、模量性能最好的产品优势，全力开拓国内国外两个市场，深度挖掘水泥、钢铁、发电、有色金属、化工、</w:t>
      </w:r>
      <w:r>
        <w:rPr>
          <w:spacing w:val="-44"/>
        </w:rPr>
        <w:t> </w:t>
      </w:r>
      <w:r>
        <w:rPr>
          <w:spacing w:val="-44"/>
        </w:rPr>
      </w:r>
      <w:r>
        <w:rPr/>
        <w:t>垃圾焚烧等产生高温尘埃气体的行业，争取2015年的营业收入继续保持50%以上增长速度。</w:t>
      </w:r>
    </w:p>
    <w:p>
      <w:pPr>
        <w:pStyle w:val="Heading7"/>
        <w:spacing w:line="240" w:lineRule="auto" w:before="61"/>
        <w:ind w:left="412" w:right="86"/>
        <w:jc w:val="left"/>
        <w:rPr>
          <w:b w:val="0"/>
          <w:bCs w:val="0"/>
        </w:rPr>
      </w:pPr>
      <w:r>
        <w:rPr/>
        <w:t>（</w:t>
      </w:r>
      <w:r>
        <w:rPr>
          <w:rFonts w:ascii="Times New Roman" w:hAnsi="Times New Roman" w:cs="Times New Roman" w:eastAsia="Times New Roman" w:hint="default"/>
        </w:rPr>
        <w:t>3</w:t>
      </w:r>
      <w:r>
        <w:rPr/>
        <w:t>）积极探索投资运营，丰富产业结构，多渠道增加公司收益。</w:t>
      </w:r>
      <w:r>
        <w:rPr>
          <w:b w:val="0"/>
          <w:bCs w:val="0"/>
        </w:rPr>
      </w:r>
    </w:p>
    <w:p>
      <w:pPr>
        <w:pStyle w:val="BodyText"/>
        <w:spacing w:line="309" w:lineRule="auto" w:before="101"/>
        <w:ind w:right="192" w:firstLine="360"/>
        <w:jc w:val="both"/>
      </w:pPr>
      <w:r>
        <w:rPr>
          <w:rFonts w:ascii="Times New Roman" w:hAnsi="Times New Roman" w:cs="Times New Roman" w:eastAsia="Times New Roman" w:hint="default"/>
          <w:spacing w:val="-2"/>
        </w:rPr>
        <w:t>2015</w:t>
      </w:r>
      <w:r>
        <w:rPr>
          <w:spacing w:val="-2"/>
        </w:rPr>
        <w:t>年，公司将根据实际需要，围绕公司产业上下游或横向的具有资源的优势企业，通过产业投资并购基金的运作，完</w:t>
      </w:r>
      <w:r>
        <w:rPr/>
        <w:t> </w:t>
      </w:r>
      <w:r>
        <w:rPr>
          <w:spacing w:val="-2"/>
        </w:rPr>
        <w:t>善公司产业链，丰富公司产业结构，实现公司整体规模和经济效益的快速提升。此外，公司将通过理财投资、证券投资，进</w:t>
      </w:r>
      <w:r>
        <w:rPr>
          <w:spacing w:val="-66"/>
        </w:rPr>
        <w:t> </w:t>
      </w:r>
      <w:r>
        <w:rPr>
          <w:spacing w:val="-66"/>
        </w:rPr>
      </w:r>
      <w:r>
        <w:rPr/>
        <w:t>一步探索更为丰富的盈利与投资模式，提高公司自有资金使用效率，合理利用自有闲置资金，增加公司收益。</w:t>
      </w:r>
    </w:p>
    <w:p>
      <w:pPr>
        <w:pStyle w:val="Heading7"/>
        <w:spacing w:line="240" w:lineRule="auto" w:before="65"/>
        <w:ind w:left="472" w:right="86"/>
        <w:jc w:val="left"/>
        <w:rPr>
          <w:b w:val="0"/>
          <w:bCs w:val="0"/>
        </w:rPr>
      </w:pPr>
      <w:r>
        <w:rPr/>
        <w:t>（</w:t>
      </w:r>
      <w:r>
        <w:rPr>
          <w:rFonts w:ascii="Times New Roman" w:hAnsi="Times New Roman" w:cs="Times New Roman" w:eastAsia="Times New Roman" w:hint="default"/>
        </w:rPr>
        <w:t>4</w:t>
      </w:r>
      <w:r>
        <w:rPr/>
        <w:t>）进一步理顺管理架构，加强内部管理控制，确保战略目标实现。</w:t>
      </w:r>
      <w:r>
        <w:rPr>
          <w:b w:val="0"/>
          <w:bCs w:val="0"/>
        </w:rPr>
      </w:r>
    </w:p>
    <w:p>
      <w:pPr>
        <w:pStyle w:val="BodyText"/>
        <w:spacing w:line="312" w:lineRule="auto" w:before="103"/>
        <w:ind w:right="192" w:firstLine="360"/>
        <w:jc w:val="both"/>
      </w:pPr>
      <w:r>
        <w:rPr>
          <w:rFonts w:ascii="Times New Roman" w:hAnsi="Times New Roman" w:cs="Times New Roman" w:eastAsia="Times New Roman" w:hint="default"/>
          <w:spacing w:val="-2"/>
        </w:rPr>
        <w:t>2015</w:t>
      </w:r>
      <w:r>
        <w:rPr>
          <w:spacing w:val="-2"/>
        </w:rPr>
        <w:t>年，将进一步完善公司的法人治理结构，完善公司绩效考核体系和薪酬体系，充分调动全体员工的积极性、责任感</w:t>
      </w:r>
      <w:r>
        <w:rPr/>
        <w:t> </w:t>
      </w:r>
      <w:r>
        <w:rPr>
          <w:spacing w:val="-2"/>
        </w:rPr>
        <w:t>和使命感，努力营造学习型、创新型公司，形成积极进取、务实高效、团结和谐的公司文化。继续深化内控体系建设，树立</w:t>
      </w:r>
      <w:r>
        <w:rPr>
          <w:spacing w:val="-64"/>
        </w:rPr>
        <w:t> </w:t>
      </w:r>
      <w:r>
        <w:rPr>
          <w:spacing w:val="-64"/>
        </w:rPr>
      </w:r>
      <w:r>
        <w:rPr>
          <w:spacing w:val="-2"/>
        </w:rPr>
        <w:t>全员风险意识，建立风险防范长效机制，实现对企业风险管控的有力保障。进一步完善人力资源管理，稳定人才队伍，凝聚</w:t>
      </w:r>
      <w:r>
        <w:rPr>
          <w:spacing w:val="-65"/>
        </w:rPr>
        <w:t> </w:t>
      </w:r>
      <w:r>
        <w:rPr>
          <w:spacing w:val="-65"/>
        </w:rPr>
      </w:r>
      <w:r>
        <w:rPr/>
        <w:t>团队力量，提高公司运行效率，使公司管理更加规范化、精细化。</w:t>
      </w:r>
    </w:p>
    <w:p>
      <w:pPr>
        <w:pStyle w:val="BodyText"/>
        <w:spacing w:line="240" w:lineRule="auto" w:before="61"/>
        <w:ind w:right="86"/>
        <w:jc w:val="left"/>
      </w:pPr>
      <w:r>
        <w:rPr>
          <w:rFonts w:ascii="Times New Roman" w:hAnsi="Times New Roman" w:cs="Times New Roman" w:eastAsia="Times New Roman" w:hint="default"/>
        </w:rPr>
        <w:t>5</w:t>
      </w:r>
      <w:r>
        <w:rPr/>
        <w:t>、可能面对的风险</w:t>
      </w:r>
    </w:p>
    <w:p>
      <w:pPr>
        <w:pStyle w:val="BodyText"/>
        <w:spacing w:line="340" w:lineRule="auto" w:before="103"/>
        <w:ind w:left="472" w:right="86"/>
        <w:jc w:val="left"/>
      </w:pPr>
      <w:r>
        <w:rPr/>
        <w:t>（</w:t>
      </w:r>
      <w:r>
        <w:rPr>
          <w:rFonts w:ascii="Times New Roman" w:hAnsi="Times New Roman" w:cs="Times New Roman" w:eastAsia="Times New Roman" w:hint="default"/>
        </w:rPr>
        <w:t>1</w:t>
      </w:r>
      <w:r>
        <w:rPr/>
        <w:t>）政策风险 </w:t>
      </w:r>
      <w:r>
        <w:rPr>
          <w:spacing w:val="-2"/>
        </w:rPr>
        <w:t>公司所处的配电网络高可靠性装备行业与国家宏观经济政策、产业政策以及国家电力规划有着密切联系，易受国家相关</w:t>
      </w:r>
    </w:p>
    <w:p>
      <w:pPr>
        <w:pStyle w:val="BodyText"/>
        <w:spacing w:line="240" w:lineRule="auto" w:before="1"/>
        <w:ind w:right="86"/>
        <w:jc w:val="left"/>
      </w:pPr>
      <w:r>
        <w:rPr/>
        <w:t>产业政策的影响。国民经济发展的周期波动、国家行业发展方向等方面的政策变化可能对公司的生产经营造成影响。</w:t>
      </w:r>
    </w:p>
    <w:p>
      <w:pPr>
        <w:pStyle w:val="BodyText"/>
        <w:spacing w:line="340" w:lineRule="auto" w:before="115"/>
        <w:ind w:left="564" w:right="182" w:hanging="92"/>
        <w:jc w:val="left"/>
      </w:pPr>
      <w:r>
        <w:rPr/>
        <w:t>（</w:t>
      </w:r>
      <w:r>
        <w:rPr>
          <w:rFonts w:ascii="Times New Roman" w:hAnsi="Times New Roman" w:cs="Times New Roman" w:eastAsia="Times New Roman" w:hint="default"/>
        </w:rPr>
        <w:t>2</w:t>
      </w:r>
      <w:r>
        <w:rPr/>
        <w:t>）市场竞争风险 公司的主导产品价格及市场需求受到国内外竞争的影响。随着国内外企业纷纷加强国内市场开发，市场竞争的加剧，</w:t>
      </w:r>
    </w:p>
    <w:p>
      <w:pPr>
        <w:pStyle w:val="BodyText"/>
        <w:spacing w:line="240" w:lineRule="auto" w:before="1"/>
        <w:ind w:right="86"/>
        <w:jc w:val="left"/>
      </w:pPr>
      <w:r>
        <w:rPr/>
        <w:t>可能对公司的经营业绩造成一定不利影响。</w:t>
      </w:r>
    </w:p>
    <w:p>
      <w:pPr>
        <w:spacing w:line="240" w:lineRule="auto" w:before="1"/>
        <w:rPr>
          <w:rFonts w:ascii="宋体" w:hAnsi="宋体" w:cs="宋体" w:eastAsia="宋体" w:hint="default"/>
          <w:sz w:val="25"/>
          <w:szCs w:val="25"/>
        </w:rPr>
      </w:pPr>
    </w:p>
    <w:p>
      <w:pPr>
        <w:pStyle w:val="Heading4"/>
        <w:spacing w:line="240" w:lineRule="auto"/>
        <w:ind w:right="86"/>
        <w:jc w:val="left"/>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4"/>
        <w:spacing w:line="240" w:lineRule="auto"/>
        <w:ind w:right="86"/>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日，公司召开了第五届董事会第五次会议，审议通过了公司《关于会计政策变更的议案》，同意公司根据财政部</w:t>
      </w:r>
      <w:r>
        <w:rPr>
          <w:spacing w:val="-62"/>
        </w:rPr>
        <w:t> </w:t>
      </w:r>
      <w:r>
        <w:rPr>
          <w:spacing w:val="-62"/>
        </w:rPr>
      </w:r>
      <w:r>
        <w:rPr/>
        <w:t>自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41"/>
        </w:rPr>
        <w:t> </w:t>
      </w:r>
      <w:r>
        <w:rPr/>
        <w:t>日起陆续颁布及修订的系列会计准则相应变更公司会计政策，本次会计政策变更不会对公司</w:t>
      </w:r>
      <w:r>
        <w:rPr>
          <w:rFonts w:ascii="Times New Roman" w:hAnsi="Times New Roman" w:cs="Times New Roman" w:eastAsia="Times New Roman" w:hint="default"/>
        </w:rPr>
        <w:t>2013</w:t>
      </w:r>
      <w:r>
        <w:rPr/>
        <w:t>年度</w:t>
      </w:r>
    </w:p>
    <w:p>
      <w:pPr>
        <w:pStyle w:val="BodyText"/>
        <w:spacing w:line="246" w:lineRule="exact"/>
        <w:ind w:right="86"/>
        <w:jc w:val="left"/>
      </w:pPr>
      <w:r>
        <w:rPr/>
        <w:t>及</w:t>
      </w:r>
      <w:r>
        <w:rPr>
          <w:rFonts w:ascii="Times New Roman" w:hAnsi="Times New Roman" w:cs="Times New Roman" w:eastAsia="Times New Roman" w:hint="default"/>
        </w:rPr>
        <w:t>2014</w:t>
      </w:r>
      <w:r>
        <w:rPr/>
        <w:t>年度财务报表产生重大影响。详见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日公司刊登在《中国证券报》、《证券时报》及巨潮资讯网</w:t>
      </w:r>
    </w:p>
    <w:p>
      <w:pPr>
        <w:pStyle w:val="BodyText"/>
        <w:spacing w:line="240" w:lineRule="auto" w:before="63"/>
        <w:ind w:right="86"/>
        <w:jc w:val="left"/>
      </w:pPr>
      <w:r>
        <w:rPr/>
        <w:t>（</w:t>
      </w:r>
      <w:hyperlink r:id="rId12">
        <w:r>
          <w:rPr>
            <w:rFonts w:ascii="Times New Roman" w:hAnsi="Times New Roman" w:cs="Times New Roman" w:eastAsia="Times New Roman" w:hint="default"/>
          </w:rPr>
          <w:t>www.cninfo.com.cn</w:t>
        </w:r>
      </w:hyperlink>
      <w:r>
        <w:rPr/>
        <w:t>）的《深圳市惠程电气股份有限公司关于会计政策变更的公告》。</w:t>
      </w:r>
    </w:p>
    <w:p>
      <w:pPr>
        <w:spacing w:after="0" w:line="240" w:lineRule="auto"/>
        <w:jc w:val="left"/>
        <w:sectPr>
          <w:footerReference w:type="default" r:id="rId19"/>
          <w:pgSz w:w="11910" w:h="16840"/>
          <w:pgMar w:footer="1225" w:header="0" w:top="1060" w:bottom="1420" w:left="1020" w:right="940"/>
          <w:pgNumType w:start="30"/>
        </w:sectPr>
      </w:pPr>
    </w:p>
    <w:p>
      <w:pPr>
        <w:spacing w:line="240" w:lineRule="auto" w:before="8"/>
        <w:rPr>
          <w:rFonts w:ascii="宋体" w:hAnsi="宋体" w:cs="宋体" w:eastAsia="宋体" w:hint="default"/>
          <w:sz w:val="23"/>
          <w:szCs w:val="23"/>
        </w:rPr>
      </w:pPr>
    </w:p>
    <w:p>
      <w:pPr>
        <w:pStyle w:val="Heading4"/>
        <w:spacing w:line="240" w:lineRule="auto" w:before="26"/>
        <w:ind w:left="132" w:right="138"/>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32" w:right="5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4"/>
        <w:spacing w:line="240" w:lineRule="auto"/>
        <w:ind w:left="132" w:right="138"/>
        <w:jc w:val="left"/>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32" w:right="8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本年合并范围增加</w:t>
      </w:r>
    </w:p>
    <w:tbl>
      <w:tblPr>
        <w:tblW w:w="0" w:type="auto"/>
        <w:jc w:val="left"/>
        <w:tblInd w:w="116" w:type="dxa"/>
        <w:tblLayout w:type="fixed"/>
        <w:tblCellMar>
          <w:top w:w="0" w:type="dxa"/>
          <w:left w:w="0" w:type="dxa"/>
          <w:bottom w:w="0" w:type="dxa"/>
          <w:right w:w="0" w:type="dxa"/>
        </w:tblCellMar>
        <w:tblLook w:val="01E0"/>
      </w:tblPr>
      <w:tblGrid>
        <w:gridCol w:w="2987"/>
        <w:gridCol w:w="1559"/>
        <w:gridCol w:w="1248"/>
        <w:gridCol w:w="1932"/>
        <w:gridCol w:w="1932"/>
      </w:tblGrid>
      <w:tr>
        <w:trPr>
          <w:trHeight w:val="347"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股权取得方式</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4"/>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7"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中汇联银投资管理（北京）有限公司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新设子公司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18"/>
                <w:szCs w:val="18"/>
              </w:rPr>
            </w:pPr>
            <w:r>
              <w:rPr>
                <w:rFonts w:ascii="Times New Roman"/>
                <w:sz w:val="18"/>
              </w:rPr>
              <w:t>900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ind w:left="132" w:right="138"/>
        <w:jc w:val="left"/>
      </w:pPr>
      <w:r>
        <w:rPr/>
        <w:t>与去年相比，本年因新设合并增加中汇联银投资管理（北京）有限公司</w:t>
      </w:r>
      <w:r>
        <w:rPr>
          <w:rFonts w:ascii="Times New Roman" w:hAnsi="Times New Roman" w:cs="Times New Roman" w:eastAsia="Times New Roman" w:hint="default"/>
        </w:rPr>
        <w:t>1</w:t>
      </w:r>
      <w:r>
        <w:rPr/>
        <w:t>家公司，无减少子公司。</w:t>
      </w:r>
    </w:p>
    <w:p>
      <w:pPr>
        <w:spacing w:line="240" w:lineRule="auto" w:before="0"/>
        <w:rPr>
          <w:rFonts w:ascii="宋体" w:hAnsi="宋体" w:cs="宋体" w:eastAsia="宋体" w:hint="default"/>
          <w:sz w:val="24"/>
          <w:szCs w:val="24"/>
        </w:rPr>
      </w:pPr>
    </w:p>
    <w:p>
      <w:pPr>
        <w:pStyle w:val="Heading4"/>
        <w:spacing w:line="240" w:lineRule="auto"/>
        <w:ind w:left="132" w:right="138"/>
        <w:jc w:val="left"/>
        <w:rPr>
          <w:b w:val="0"/>
          <w:bCs w:val="0"/>
        </w:rPr>
      </w:pPr>
      <w:r>
        <w:rPr/>
        <w:t>十三、公司利润分配及分红派息情况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2" w:right="138"/>
        <w:jc w:val="left"/>
      </w:pPr>
      <w:r>
        <w:rPr/>
        <w:t>报告期内利润分配政策的制定、执行或调整情况</w:t>
      </w:r>
    </w:p>
    <w:p>
      <w:pPr>
        <w:pStyle w:val="BodyText"/>
        <w:spacing w:line="240" w:lineRule="auto" w:before="115"/>
        <w:ind w:left="132"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132" w:right="138"/>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03"/>
        <w:ind w:left="49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日，公司以现有总股本</w:t>
      </w:r>
      <w:r>
        <w:rPr>
          <w:rFonts w:ascii="Times New Roman" w:hAnsi="Times New Roman" w:cs="Times New Roman" w:eastAsia="Times New Roman" w:hint="default"/>
        </w:rPr>
        <w:t>630,920,640</w:t>
      </w:r>
      <w:r>
        <w:rPr/>
        <w:t>股为基数，向全体股东每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0.3</w:t>
      </w:r>
      <w:r>
        <w:rPr/>
        <w:t>股，派</w:t>
      </w:r>
      <w:r>
        <w:rPr>
          <w:rFonts w:ascii="Times New Roman" w:hAnsi="Times New Roman" w:cs="Times New Roman" w:eastAsia="Times New Roman" w:hint="default"/>
        </w:rPr>
        <w:t>0.035</w:t>
      </w:r>
      <w:r>
        <w:rPr/>
        <w:t>元人民币现金</w:t>
      </w:r>
    </w:p>
    <w:p>
      <w:pPr>
        <w:pStyle w:val="BodyText"/>
        <w:spacing w:line="300" w:lineRule="auto" w:before="63"/>
        <w:ind w:left="132" w:right="169"/>
        <w:jc w:val="left"/>
      </w:pPr>
      <w:r>
        <w:rPr/>
        <w:t>（含税），同时，以资本公积金向全体股东每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1.7</w:t>
      </w:r>
      <w:r>
        <w:rPr/>
        <w:t>股，共转增</w:t>
      </w:r>
      <w:r>
        <w:rPr>
          <w:rFonts w:ascii="Times New Roman" w:hAnsi="Times New Roman" w:cs="Times New Roman" w:eastAsia="Times New Roman" w:hint="default"/>
        </w:rPr>
        <w:t>107,256,509</w:t>
      </w:r>
      <w:r>
        <w:rPr/>
        <w:t>股。完成资本公积金转增股本方案后，总 股本由</w:t>
      </w:r>
      <w:r>
        <w:rPr>
          <w:rFonts w:ascii="Times New Roman" w:hAnsi="Times New Roman" w:cs="Times New Roman" w:eastAsia="Times New Roman" w:hint="default"/>
        </w:rPr>
        <w:t>630,920,640</w:t>
      </w:r>
      <w:r>
        <w:rPr/>
        <w:t>股增加至</w:t>
      </w:r>
      <w:r>
        <w:rPr>
          <w:rFonts w:ascii="Times New Roman" w:hAnsi="Times New Roman" w:cs="Times New Roman" w:eastAsia="Times New Roman" w:hint="default"/>
        </w:rPr>
        <w:t>757,104,768</w:t>
      </w:r>
      <w:r>
        <w:rPr/>
        <w:t>股。</w:t>
      </w:r>
    </w:p>
    <w:p>
      <w:pPr>
        <w:pStyle w:val="BodyText"/>
        <w:spacing w:line="300" w:lineRule="auto" w:before="51"/>
        <w:ind w:left="132" w:right="169"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日，公司以现有总股本</w:t>
      </w:r>
      <w:r>
        <w:rPr>
          <w:rFonts w:ascii="Times New Roman" w:hAnsi="Times New Roman" w:cs="Times New Roman" w:eastAsia="Times New Roman" w:hint="default"/>
        </w:rPr>
        <w:t>757,104,768</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0.6</w:t>
      </w:r>
      <w:r>
        <w:rPr/>
        <w:t>元人民币现金（含税），不以 资本公积金转增股本，不以未分配利润送股。</w:t>
      </w:r>
    </w:p>
    <w:p>
      <w:pPr>
        <w:pStyle w:val="BodyText"/>
        <w:spacing w:line="300" w:lineRule="auto" w:before="72"/>
        <w:ind w:left="132" w:right="0" w:firstLine="36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w:t>
      </w:r>
      <w:r>
        <w:rPr>
          <w:rFonts w:ascii="Times New Roman" w:hAnsi="Times New Roman" w:cs="Times New Roman" w:eastAsia="Times New Roman" w:hint="default"/>
          <w:spacing w:val="-2"/>
        </w:rPr>
        <w:t>2013</w:t>
      </w:r>
      <w:r>
        <w:rPr>
          <w:spacing w:val="-2"/>
        </w:rPr>
        <w:t>年度不进行利润分配，不进行分红送股，也不以资本公积金转增股本，留存收益全部用</w:t>
      </w:r>
      <w:r>
        <w:rPr/>
        <w:t> 于公司日常生产经营。</w:t>
      </w:r>
    </w:p>
    <w:p>
      <w:pPr>
        <w:pStyle w:val="BodyText"/>
        <w:spacing w:line="240" w:lineRule="auto" w:before="72"/>
        <w:ind w:left="132" w:right="138"/>
        <w:jc w:val="left"/>
      </w:pPr>
      <w:r>
        <w:rPr/>
        <w:t>公司近三年现金分红情况表</w:t>
      </w:r>
    </w:p>
    <w:p>
      <w:pPr>
        <w:pStyle w:val="BodyText"/>
        <w:spacing w:line="240" w:lineRule="auto" w:before="115"/>
        <w:ind w:left="0" w:right="132"/>
        <w:jc w:val="right"/>
      </w:pPr>
      <w:r>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13"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2" w:right="7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-88,852,296.24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35,659,127.27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45,426,286.08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64,202,521.84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left="132" w:right="138"/>
        <w:jc w:val="left"/>
      </w:pPr>
      <w:r>
        <w:rPr/>
        <w:t>公司报告期内盈利且母公司未分配利润为正但未提出现金红利分配预案</w:t>
      </w:r>
    </w:p>
    <w:p>
      <w:pPr>
        <w:pStyle w:val="BodyText"/>
        <w:spacing w:line="240" w:lineRule="auto" w:before="115"/>
        <w:ind w:left="132"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4"/>
        <w:spacing w:line="240" w:lineRule="auto"/>
        <w:ind w:left="132" w:right="138"/>
        <w:jc w:val="left"/>
        <w:rPr>
          <w:b w:val="0"/>
          <w:bCs w:val="0"/>
        </w:rPr>
      </w:pPr>
      <w:r>
        <w:rPr/>
        <w:t>十四、本报告期利润分配及资本公积金转增股本预案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32" w:right="4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公司计划年度不派发现金红利，不送红股，不以公积金转增股本。</w:t>
      </w:r>
    </w:p>
    <w:p>
      <w:pPr>
        <w:spacing w:after="0" w:line="340" w:lineRule="auto"/>
        <w:jc w:val="left"/>
        <w:sectPr>
          <w:pgSz w:w="11910" w:h="16840"/>
          <w:pgMar w:header="0" w:footer="1225" w:top="1060" w:bottom="1420" w:left="1000" w:right="1000"/>
        </w:sectPr>
      </w:pPr>
    </w:p>
    <w:p>
      <w:pPr>
        <w:spacing w:line="240" w:lineRule="auto" w:before="8"/>
        <w:rPr>
          <w:rFonts w:ascii="宋体" w:hAnsi="宋体" w:cs="宋体" w:eastAsia="宋体" w:hint="default"/>
          <w:sz w:val="23"/>
          <w:szCs w:val="23"/>
        </w:rPr>
      </w:pPr>
      <w:r>
        <w:rPr/>
        <w:pict>
          <v:group style="position:absolute;margin-left:467.950012pt;margin-top:425.200012pt;width:67.1pt;height:97.85pt;mso-position-horizontal-relative:page;mso-position-vertical-relative:page;z-index:-1010056" coordorigin="9359,8504" coordsize="1342,1957">
            <v:shape style="position:absolute;left:9359;top:8504;width:1342;height:1957" coordorigin="9359,8504" coordsize="1342,1957" path="m9359,8504l10701,8504,10701,10461,9359,10461,9359,8504xe" filled="true" fillcolor="#ffffff" stroked="false">
              <v:path arrowok="t"/>
              <v:fill type="solid"/>
            </v:shape>
            <w10:wrap type="none"/>
          </v:group>
        </w:pict>
      </w:r>
    </w:p>
    <w:p>
      <w:pPr>
        <w:pStyle w:val="Heading4"/>
        <w:spacing w:line="240" w:lineRule="auto" w:before="26"/>
        <w:ind w:right="0"/>
        <w:jc w:val="left"/>
        <w:rPr>
          <w:b w:val="0"/>
          <w:bCs w:val="0"/>
        </w:rPr>
      </w:pPr>
      <w:r>
        <w:rPr/>
        <w:t>十五、社会责任情况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十六、报告期内接待调研、沟通、采访等活动登记表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94"/>
        <w:gridCol w:w="1058"/>
        <w:gridCol w:w="850"/>
        <w:gridCol w:w="709"/>
        <w:gridCol w:w="4111"/>
        <w:gridCol w:w="134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9" w:right="78"/>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28" w:right="37" w:hanging="92"/>
              <w:jc w:val="left"/>
              <w:rPr>
                <w:rFonts w:ascii="宋体" w:hAnsi="宋体" w:cs="宋体" w:eastAsia="宋体" w:hint="default"/>
                <w:sz w:val="18"/>
                <w:szCs w:val="18"/>
              </w:rPr>
            </w:pPr>
            <w:r>
              <w:rPr>
                <w:rFonts w:ascii="宋体" w:hAnsi="宋体" w:cs="宋体" w:eastAsia="宋体" w:hint="default"/>
                <w:sz w:val="18"/>
                <w:szCs w:val="18"/>
              </w:rPr>
              <w:t>谈论的主要内容 及提供的资料</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长江证券李刚，易方达基金孙松，银河证券邹海淼</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国都证券尹德才，西南证券商艾华</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东方证券袁瑶，银河证券邹海淼、黑宁</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国信证券杨敬梅，泰信基金吴秉韬</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东方证券袁瑶、杨森</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国信证券杨敬梅</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中邮基金刘田、张腾、白岩</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申万证券谢平</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中山证券刘峥，广发证券徐云飞，西南证券商艾华 </w:t>
            </w:r>
            <w:r>
              <w:rPr>
                <w:rFonts w:ascii="宋体" w:hAnsi="宋体" w:cs="宋体" w:eastAsia="宋体" w:hint="default"/>
                <w:spacing w:val="-4"/>
                <w:sz w:val="18"/>
                <w:szCs w:val="18"/>
              </w:rPr>
              <w:t>大成基金彭瀚达，摩根华鑫基金朱睿，华夏基金裴彦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春，国投瑞银简楠辉，招商基金张磊、梁亮，诺安基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金蔡宇滨、罗延军、吴博俊，广发基金马文文、严力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苗宇，鹏华基金孙婕衎、王学兵，轩辕金融游思亮 华强鼎信周海</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天弘基金王建东，宏源证券杨培龙、白岩</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华夏基金惠博文、汤一昕</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2"/>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英大证券高㼆</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bl>
    <w:p>
      <w:pPr>
        <w:spacing w:after="0" w:line="240" w:lineRule="auto"/>
        <w:jc w:val="left"/>
        <w:rPr>
          <w:rFonts w:ascii="宋体" w:hAnsi="宋体" w:cs="宋体" w:eastAsia="宋体" w:hint="default"/>
          <w:sz w:val="18"/>
          <w:szCs w:val="18"/>
        </w:rPr>
        <w:sectPr>
          <w:pgSz w:w="11910" w:h="16840"/>
          <w:pgMar w:header="0" w:footer="1225" w:top="106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94"/>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3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公司报告期未收购资产。</w:t>
      </w:r>
    </w:p>
    <w:p>
      <w:pPr>
        <w:spacing w:after="0" w:line="340" w:lineRule="auto"/>
        <w:jc w:val="left"/>
        <w:sectPr>
          <w:pgSz w:w="11910" w:h="16840"/>
          <w:pgMar w:header="0" w:footer="1225" w:top="1060" w:bottom="1420" w:left="1020" w:right="1020"/>
        </w:sectPr>
      </w:pPr>
    </w:p>
    <w:p>
      <w:pPr>
        <w:spacing w:line="240" w:lineRule="auto" w:before="1"/>
        <w:rPr>
          <w:rFonts w:ascii="宋体" w:hAnsi="宋体" w:cs="宋体" w:eastAsia="宋体" w:hint="default"/>
          <w:sz w:val="24"/>
          <w:szCs w:val="24"/>
        </w:rPr>
      </w:pPr>
    </w:p>
    <w:p>
      <w:pPr>
        <w:pStyle w:val="Heading5"/>
        <w:spacing w:line="240" w:lineRule="auto"/>
        <w:ind w:left="140" w:right="0"/>
        <w:jc w:val="left"/>
        <w:rPr>
          <w:b w:val="0"/>
          <w:bCs w:val="0"/>
        </w:rPr>
      </w:pPr>
      <w:r>
        <w:rPr/>
        <w:pict>
          <v:group style="position:absolute;margin-left:72pt;margin-top:-.506372pt;width:697.9pt;height:.1pt;mso-position-horizontal-relative:page;mso-position-vertical-relative:paragraph;z-index:1432" coordorigin="1440,-10" coordsize="13958,2">
            <v:shape style="position:absolute;left:1440;top:-10;width:13958;height:2" coordorigin="1440,-10" coordsize="13958,0" path="m1440,-10l15398,-10e" filled="false" stroked="true" strokeweight=".719971pt" strokecolor="#000000">
              <v:path arrowok="t"/>
            </v:shape>
            <w10:wrap type="none"/>
          </v:group>
        </w:pict>
      </w:r>
      <w:r>
        <w:rPr>
          <w:rFonts w:ascii="Times New Roman" w:hAnsi="Times New Roman" w:cs="Times New Roman" w:eastAsia="Times New Roman" w:hint="default"/>
          <w:w w:val="95"/>
        </w:rPr>
        <w:t>2</w:t>
      </w:r>
      <w:r>
        <w:rPr>
          <w:w w:val="95"/>
        </w:rPr>
        <w:t>、出售资产情况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6"/>
        <w:ind w:left="140" w:right="0"/>
        <w:jc w:val="left"/>
      </w:pPr>
      <w:r>
        <w:rPr/>
        <w:br w:type="column"/>
      </w: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20"/>
          <w:footerReference w:type="default" r:id="rId21"/>
          <w:pgSz w:w="16840" w:h="11910" w:orient="landscape"/>
          <w:pgMar w:header="0" w:footer="0" w:top="800" w:bottom="280" w:left="1300" w:right="1240"/>
          <w:cols w:num="2" w:equalWidth="0">
            <w:col w:w="1720" w:space="8187"/>
            <w:col w:w="439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0" w:right="108"/>
        <w:jc w:val="right"/>
      </w:pPr>
      <w:r>
        <w:rPr/>
        <w:pict>
          <v:shape style="position:absolute;margin-left:70.360001pt;margin-top:-214.828278pt;width:701.45pt;height:41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5"/>
                    <w:gridCol w:w="1088"/>
                    <w:gridCol w:w="621"/>
                    <w:gridCol w:w="908"/>
                    <w:gridCol w:w="1478"/>
                    <w:gridCol w:w="738"/>
                    <w:gridCol w:w="1229"/>
                    <w:gridCol w:w="500"/>
                    <w:gridCol w:w="434"/>
                    <w:gridCol w:w="1011"/>
                    <w:gridCol w:w="699"/>
                    <w:gridCol w:w="699"/>
                    <w:gridCol w:w="623"/>
                    <w:gridCol w:w="3531"/>
                  </w:tblGrid>
                  <w:tr>
                    <w:trPr>
                      <w:trHeight w:val="1650" w:hRule="exact"/>
                    </w:trPr>
                    <w:tc>
                      <w:tcPr>
                        <w:tcW w:w="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42" w:right="41"/>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1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8"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8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4" w:right="101"/>
                          <w:jc w:val="center"/>
                          <w:rPr>
                            <w:rFonts w:ascii="宋体" w:hAnsi="宋体" w:cs="宋体" w:eastAsia="宋体" w:hint="default"/>
                            <w:sz w:val="18"/>
                            <w:szCs w:val="18"/>
                          </w:rPr>
                        </w:pPr>
                        <w:r>
                          <w:rPr>
                            <w:rFonts w:ascii="宋体" w:hAnsi="宋体" w:cs="宋体" w:eastAsia="宋体" w:hint="default"/>
                            <w:sz w:val="18"/>
                            <w:szCs w:val="18"/>
                          </w:rPr>
                          <w:t>本期初起至出售 日该资产为上市 公司贡献的净利 润（万元）</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21" w:hanging="3"/>
                          <w:jc w:val="center"/>
                          <w:rPr>
                            <w:rFonts w:ascii="宋体" w:hAnsi="宋体" w:cs="宋体" w:eastAsia="宋体" w:hint="default"/>
                            <w:sz w:val="18"/>
                            <w:szCs w:val="18"/>
                          </w:rPr>
                        </w:pPr>
                        <w:r>
                          <w:rPr>
                            <w:rFonts w:ascii="宋体" w:hAnsi="宋体" w:cs="宋体" w:eastAsia="宋体" w:hint="default"/>
                            <w:sz w:val="18"/>
                            <w:szCs w:val="18"/>
                          </w:rPr>
                          <w:t>出售对 公司的 </w:t>
                        </w:r>
                        <w:r>
                          <w:rPr>
                            <w:rFonts w:ascii="宋体" w:hAnsi="宋体" w:cs="宋体" w:eastAsia="宋体" w:hint="default"/>
                            <w:spacing w:val="-10"/>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68" w:right="69"/>
                          <w:jc w:val="both"/>
                          <w:rPr>
                            <w:rFonts w:ascii="宋体" w:hAnsi="宋体" w:cs="宋体" w:eastAsia="宋体" w:hint="default"/>
                            <w:sz w:val="18"/>
                            <w:szCs w:val="18"/>
                          </w:rPr>
                        </w:pPr>
                        <w:r>
                          <w:rPr>
                            <w:rFonts w:ascii="宋体" w:hAnsi="宋体" w:cs="宋体" w:eastAsia="宋体" w:hint="default"/>
                            <w:sz w:val="18"/>
                            <w:szCs w:val="18"/>
                          </w:rPr>
                          <w:t>资产出售为上 市公司贡献的 净利润占净利 润总额的比例</w:t>
                        </w:r>
                      </w:p>
                    </w:tc>
                    <w:tc>
                      <w:tcPr>
                        <w:tcW w:w="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65" w:right="63"/>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31" w:right="31"/>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10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与交易对方 的关联关系</w:t>
                        </w:r>
                      </w:p>
                      <w:p>
                        <w:pPr>
                          <w:pStyle w:val="TableParagraph"/>
                          <w:spacing w:line="316" w:lineRule="auto" w:before="19"/>
                          <w:ind w:left="50" w:right="48"/>
                          <w:jc w:val="left"/>
                          <w:rPr>
                            <w:rFonts w:ascii="宋体" w:hAnsi="宋体" w:cs="宋体" w:eastAsia="宋体" w:hint="default"/>
                            <w:sz w:val="18"/>
                            <w:szCs w:val="18"/>
                          </w:rPr>
                        </w:pPr>
                        <w:r>
                          <w:rPr>
                            <w:rFonts w:ascii="宋体" w:hAnsi="宋体" w:cs="宋体" w:eastAsia="宋体" w:hint="default"/>
                            <w:sz w:val="18"/>
                            <w:szCs w:val="18"/>
                          </w:rPr>
                          <w:t>（适用关联 交易情形）</w:t>
                        </w:r>
                      </w:p>
                    </w:tc>
                    <w:tc>
                      <w:tcPr>
                        <w:tcW w:w="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3"/>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16" w:right="34"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3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9" w:hRule="exact"/>
                    </w:trPr>
                    <w:tc>
                      <w:tcPr>
                        <w:tcW w:w="455" w:type="dxa"/>
                        <w:tcBorders>
                          <w:top w:val="single" w:sz="4" w:space="0" w:color="000000"/>
                          <w:left w:val="single" w:sz="4" w:space="0" w:color="000000"/>
                          <w:bottom w:val="nil" w:sz="6" w:space="0" w:color="auto"/>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c>
                      <w:tcPr>
                        <w:tcW w:w="621"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1478"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依据</w:t>
                        </w:r>
                      </w:p>
                    </w:tc>
                    <w:tc>
                      <w:tcPr>
                        <w:tcW w:w="434" w:type="dxa"/>
                        <w:tcBorders>
                          <w:top w:val="single" w:sz="4" w:space="0" w:color="000000"/>
                          <w:left w:val="single" w:sz="4" w:space="0" w:color="000000"/>
                          <w:bottom w:val="nil" w:sz="6" w:space="0" w:color="auto"/>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699" w:type="dxa"/>
                        <w:tcBorders>
                          <w:top w:val="single" w:sz="4" w:space="0" w:color="000000"/>
                          <w:left w:val="single" w:sz="4" w:space="0" w:color="000000"/>
                          <w:bottom w:val="nil" w:sz="6" w:space="0" w:color="auto"/>
                          <w:right w:val="single" w:sz="4" w:space="0" w:color="000000"/>
                        </w:tcBorders>
                      </w:tcPr>
                      <w:p>
                        <w:pPr/>
                      </w:p>
                    </w:tc>
                    <w:tc>
                      <w:tcPr>
                        <w:tcW w:w="699"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3531"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4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吕晓 义</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33.63177%</w:t>
                        </w:r>
                        <w:r>
                          <w:rPr>
                            <w:rFonts w:ascii="宋体" w:hAnsi="宋体" w:cs="宋体" w:eastAsia="宋体" w:hint="default"/>
                            <w:sz w:val="18"/>
                            <w:szCs w:val="18"/>
                          </w:rPr>
                          <w:t>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16,083.44</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-160.97</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0</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732" w:right="0"/>
                          <w:jc w:val="left"/>
                          <w:rPr>
                            <w:rFonts w:ascii="Times New Roman" w:hAnsi="Times New Roman" w:cs="Times New Roman" w:eastAsia="Times New Roman" w:hint="default"/>
                            <w:sz w:val="18"/>
                            <w:szCs w:val="18"/>
                          </w:rPr>
                        </w:pPr>
                        <w:r>
                          <w:rPr>
                            <w:rFonts w:ascii="Times New Roman"/>
                            <w:sz w:val="18"/>
                          </w:rPr>
                          <w:t>0.00%</w:t>
                        </w:r>
                      </w:p>
                    </w:tc>
                    <w:tc>
                      <w:tcPr>
                        <w:tcW w:w="5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6"/>
                          <w:jc w:val="both"/>
                          <w:rPr>
                            <w:rFonts w:ascii="宋体" w:hAnsi="宋体" w:cs="宋体" w:eastAsia="宋体" w:hint="default"/>
                            <w:sz w:val="18"/>
                            <w:szCs w:val="18"/>
                          </w:rPr>
                        </w:pPr>
                        <w:r>
                          <w:rPr>
                            <w:rFonts w:ascii="宋体" w:hAnsi="宋体" w:cs="宋体" w:eastAsia="宋体" w:hint="default"/>
                            <w:sz w:val="18"/>
                            <w:szCs w:val="18"/>
                          </w:rPr>
                          <w:t>审计 和评 估结</w:t>
                        </w:r>
                      </w:p>
                    </w:tc>
                    <w:tc>
                      <w:tcPr>
                        <w:tcW w:w="4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5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65"/>
                          <w:jc w:val="lef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）上的《关</w:t>
                        </w:r>
                        <w:r>
                          <w:rPr>
                            <w:rFonts w:ascii="宋体" w:hAnsi="宋体" w:cs="宋体" w:eastAsia="宋体" w:hint="default"/>
                            <w:spacing w:val="-82"/>
                            <w:sz w:val="18"/>
                            <w:szCs w:val="18"/>
                          </w:rPr>
                          <w:t> </w:t>
                        </w:r>
                        <w:r>
                          <w:rPr>
                            <w:rFonts w:ascii="宋体" w:hAnsi="宋体" w:cs="宋体" w:eastAsia="宋体" w:hint="default"/>
                            <w:spacing w:val="-5"/>
                            <w:sz w:val="18"/>
                            <w:szCs w:val="18"/>
                          </w:rPr>
                          <w:t>联交易公告》（公告编号：</w:t>
                        </w:r>
                        <w:r>
                          <w:rPr>
                            <w:rFonts w:ascii="Times New Roman" w:hAnsi="Times New Roman" w:cs="Times New Roman" w:eastAsia="Times New Roman" w:hint="default"/>
                            <w:spacing w:val="-5"/>
                            <w:sz w:val="18"/>
                            <w:szCs w:val="18"/>
                          </w:rPr>
                          <w:t>2014-058</w:t>
                        </w:r>
                        <w:r>
                          <w:rPr>
                            <w:rFonts w:ascii="宋体" w:hAnsi="宋体" w:cs="宋体" w:eastAsia="宋体" w:hint="default"/>
                            <w:spacing w:val="-5"/>
                            <w:sz w:val="18"/>
                            <w:szCs w:val="18"/>
                          </w:rPr>
                          <w:t>）</w:t>
                        </w:r>
                      </w:p>
                    </w:tc>
                  </w:tr>
                  <w:tr>
                    <w:trPr>
                      <w:trHeight w:val="352" w:hRule="exact"/>
                    </w:trPr>
                    <w:tc>
                      <w:tcPr>
                        <w:tcW w:w="455" w:type="dxa"/>
                        <w:tcBorders>
                          <w:top w:val="nil" w:sz="6" w:space="0" w:color="auto"/>
                          <w:left w:val="single" w:sz="4" w:space="0" w:color="000000"/>
                          <w:bottom w:val="single" w:sz="4" w:space="0" w:color="000000"/>
                          <w:right w:val="single" w:sz="4" w:space="0" w:color="000000"/>
                        </w:tcBorders>
                      </w:tcPr>
                      <w:p>
                        <w:pPr/>
                      </w:p>
                    </w:tc>
                    <w:tc>
                      <w:tcPr>
                        <w:tcW w:w="1088" w:type="dxa"/>
                        <w:tcBorders>
                          <w:top w:val="nil" w:sz="6" w:space="0" w:color="auto"/>
                          <w:left w:val="single" w:sz="4" w:space="0" w:color="000000"/>
                          <w:bottom w:val="single" w:sz="4" w:space="0" w:color="000000"/>
                          <w:right w:val="single" w:sz="4" w:space="0" w:color="000000"/>
                        </w:tcBorders>
                      </w:tcPr>
                      <w:p>
                        <w:pPr/>
                      </w:p>
                    </w:tc>
                    <w:tc>
                      <w:tcPr>
                        <w:tcW w:w="621"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果</w:t>
                        </w:r>
                      </w:p>
                    </w:tc>
                    <w:tc>
                      <w:tcPr>
                        <w:tcW w:w="434" w:type="dxa"/>
                        <w:tcBorders>
                          <w:top w:val="nil" w:sz="6" w:space="0" w:color="auto"/>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699" w:type="dxa"/>
                        <w:tcBorders>
                          <w:top w:val="nil" w:sz="6" w:space="0" w:color="auto"/>
                          <w:left w:val="single" w:sz="4" w:space="0" w:color="000000"/>
                          <w:bottom w:val="single" w:sz="4" w:space="0" w:color="000000"/>
                          <w:right w:val="single" w:sz="4" w:space="0" w:color="000000"/>
                        </w:tcBorders>
                      </w:tcPr>
                      <w:p>
                        <w:pPr/>
                      </w:p>
                    </w:tc>
                    <w:tc>
                      <w:tcPr>
                        <w:tcW w:w="699"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353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455" w:type="dxa"/>
                        <w:tcBorders>
                          <w:top w:val="single" w:sz="4" w:space="0" w:color="000000"/>
                          <w:left w:val="single" w:sz="4" w:space="0" w:color="000000"/>
                          <w:bottom w:val="nil" w:sz="6" w:space="0" w:color="auto"/>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c>
                      <w:tcPr>
                        <w:tcW w:w="621"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1478" w:type="dxa"/>
                        <w:tcBorders>
                          <w:top w:val="single" w:sz="4" w:space="0" w:color="000000"/>
                          <w:left w:val="single" w:sz="4" w:space="0" w:color="000000"/>
                          <w:bottom w:val="nil" w:sz="6" w:space="0" w:color="auto"/>
                          <w:right w:val="single" w:sz="4" w:space="0" w:color="000000"/>
                        </w:tcBorders>
                      </w:tcPr>
                      <w:p>
                        <w:pPr/>
                      </w:p>
                    </w:tc>
                    <w:tc>
                      <w:tcPr>
                        <w:tcW w:w="738" w:type="dxa"/>
                        <w:vMerge w:val="restart"/>
                        <w:tcBorders>
                          <w:top w:val="single" w:sz="4" w:space="0" w:color="000000"/>
                          <w:left w:val="single" w:sz="4" w:space="0" w:color="000000"/>
                          <w:right w:val="single" w:sz="4" w:space="0" w:color="000000"/>
                        </w:tcBorders>
                      </w:tcPr>
                      <w:p>
                        <w:pPr/>
                      </w:p>
                    </w:tc>
                    <w:tc>
                      <w:tcPr>
                        <w:tcW w:w="1229" w:type="dxa"/>
                        <w:vMerge w:val="restart"/>
                        <w:tcBorders>
                          <w:top w:val="single" w:sz="4" w:space="0" w:color="000000"/>
                          <w:left w:val="single" w:sz="4" w:space="0" w:color="000000"/>
                          <w:right w:val="single" w:sz="4" w:space="0" w:color="000000"/>
                        </w:tcBorders>
                      </w:tcPr>
                      <w:p>
                        <w:pPr/>
                      </w:p>
                    </w:tc>
                    <w:tc>
                      <w:tcPr>
                        <w:tcW w:w="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依据</w:t>
                        </w:r>
                      </w:p>
                    </w:tc>
                    <w:tc>
                      <w:tcPr>
                        <w:tcW w:w="434" w:type="dxa"/>
                        <w:tcBorders>
                          <w:top w:val="single" w:sz="4" w:space="0" w:color="000000"/>
                          <w:left w:val="single" w:sz="4" w:space="0" w:color="000000"/>
                          <w:bottom w:val="nil" w:sz="6" w:space="0" w:color="auto"/>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699" w:type="dxa"/>
                        <w:tcBorders>
                          <w:top w:val="single" w:sz="4" w:space="0" w:color="000000"/>
                          <w:left w:val="single" w:sz="4" w:space="0" w:color="000000"/>
                          <w:bottom w:val="nil" w:sz="6" w:space="0" w:color="auto"/>
                          <w:right w:val="single" w:sz="4" w:space="0" w:color="000000"/>
                        </w:tcBorders>
                      </w:tcPr>
                      <w:p>
                        <w:pPr/>
                      </w:p>
                    </w:tc>
                    <w:tc>
                      <w:tcPr>
                        <w:tcW w:w="699"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3531"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45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0"/>
                          <w:jc w:val="left"/>
                          <w:rPr>
                            <w:rFonts w:ascii="宋体" w:hAnsi="宋体" w:cs="宋体" w:eastAsia="宋体" w:hint="default"/>
                            <w:sz w:val="18"/>
                            <w:szCs w:val="18"/>
                          </w:rPr>
                        </w:pPr>
                        <w:r>
                          <w:rPr>
                            <w:rFonts w:ascii="宋体" w:hAnsi="宋体" w:cs="宋体" w:eastAsia="宋体" w:hint="default"/>
                            <w:sz w:val="18"/>
                            <w:szCs w:val="18"/>
                          </w:rPr>
                          <w:t>吕晓 义</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股权</w:t>
                        </w:r>
                      </w:p>
                    </w:tc>
                    <w:tc>
                      <w:tcPr>
                        <w:tcW w:w="6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15,781.31</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-1,733.01</w:t>
                        </w:r>
                      </w:p>
                    </w:tc>
                    <w:tc>
                      <w:tcPr>
                        <w:tcW w:w="738" w:type="dxa"/>
                        <w:vMerge/>
                        <w:tcBorders>
                          <w:left w:val="single" w:sz="4" w:space="0" w:color="000000"/>
                          <w:right w:val="single" w:sz="4" w:space="0" w:color="000000"/>
                        </w:tcBorders>
                      </w:tcPr>
                      <w:p>
                        <w:pPr/>
                      </w:p>
                    </w:tc>
                    <w:tc>
                      <w:tcPr>
                        <w:tcW w:w="1229" w:type="dxa"/>
                        <w:vMerge/>
                        <w:tcBorders>
                          <w:left w:val="single" w:sz="4" w:space="0" w:color="000000"/>
                          <w:right w:val="single" w:sz="4" w:space="0" w:color="000000"/>
                        </w:tcBorders>
                      </w:tcPr>
                      <w:p>
                        <w:pPr/>
                      </w:p>
                    </w:tc>
                    <w:tc>
                      <w:tcPr>
                        <w:tcW w:w="5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6"/>
                          <w:jc w:val="both"/>
                          <w:rPr>
                            <w:rFonts w:ascii="宋体" w:hAnsi="宋体" w:cs="宋体" w:eastAsia="宋体" w:hint="default"/>
                            <w:sz w:val="18"/>
                            <w:szCs w:val="18"/>
                          </w:rPr>
                        </w:pPr>
                        <w:r>
                          <w:rPr>
                            <w:rFonts w:ascii="宋体" w:hAnsi="宋体" w:cs="宋体" w:eastAsia="宋体" w:hint="default"/>
                            <w:sz w:val="18"/>
                            <w:szCs w:val="18"/>
                          </w:rPr>
                          <w:t>审计 和评 估结</w:t>
                        </w:r>
                      </w:p>
                    </w:tc>
                    <w:tc>
                      <w:tcPr>
                        <w:tcW w:w="4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53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65"/>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）上的《关</w:t>
                        </w:r>
                        <w:r>
                          <w:rPr>
                            <w:rFonts w:ascii="宋体" w:hAnsi="宋体" w:cs="宋体" w:eastAsia="宋体" w:hint="default"/>
                            <w:spacing w:val="-82"/>
                            <w:sz w:val="18"/>
                            <w:szCs w:val="18"/>
                          </w:rPr>
                          <w:t> </w:t>
                        </w:r>
                        <w:r>
                          <w:rPr>
                            <w:rFonts w:ascii="宋体" w:hAnsi="宋体" w:cs="宋体" w:eastAsia="宋体" w:hint="default"/>
                            <w:sz w:val="18"/>
                            <w:szCs w:val="18"/>
                          </w:rPr>
                          <w:t>于转让长春高琦聚酰亚胺材料有限公司部分 </w:t>
                        </w:r>
                        <w:r>
                          <w:rPr>
                            <w:rFonts w:ascii="宋体" w:hAnsi="宋体" w:cs="宋体" w:eastAsia="宋体" w:hint="default"/>
                            <w:spacing w:val="-8"/>
                            <w:sz w:val="18"/>
                            <w:szCs w:val="18"/>
                          </w:rPr>
                          <w:t>股权暨关联交易公告》（公告编号：</w:t>
                        </w:r>
                        <w:r>
                          <w:rPr>
                            <w:rFonts w:ascii="Times New Roman" w:hAnsi="Times New Roman" w:cs="Times New Roman" w:eastAsia="Times New Roman" w:hint="default"/>
                            <w:spacing w:val="-8"/>
                            <w:sz w:val="18"/>
                            <w:szCs w:val="18"/>
                          </w:rPr>
                          <w:t>2014-112</w:t>
                        </w:r>
                      </w:p>
                    </w:tc>
                  </w:tr>
                  <w:tr>
                    <w:trPr>
                      <w:trHeight w:val="352" w:hRule="exact"/>
                    </w:trPr>
                    <w:tc>
                      <w:tcPr>
                        <w:tcW w:w="455" w:type="dxa"/>
                        <w:tcBorders>
                          <w:top w:val="nil" w:sz="6" w:space="0" w:color="auto"/>
                          <w:left w:val="single" w:sz="4" w:space="0" w:color="000000"/>
                          <w:bottom w:val="single" w:sz="4" w:space="0" w:color="000000"/>
                          <w:right w:val="single" w:sz="4" w:space="0" w:color="000000"/>
                        </w:tcBorders>
                      </w:tcPr>
                      <w:p>
                        <w:pPr/>
                      </w:p>
                    </w:tc>
                    <w:tc>
                      <w:tcPr>
                        <w:tcW w:w="1088" w:type="dxa"/>
                        <w:tcBorders>
                          <w:top w:val="nil" w:sz="6" w:space="0" w:color="auto"/>
                          <w:left w:val="single" w:sz="4" w:space="0" w:color="000000"/>
                          <w:bottom w:val="single" w:sz="4" w:space="0" w:color="000000"/>
                          <w:right w:val="single" w:sz="4" w:space="0" w:color="000000"/>
                        </w:tcBorders>
                      </w:tcPr>
                      <w:p>
                        <w:pPr/>
                      </w:p>
                    </w:tc>
                    <w:tc>
                      <w:tcPr>
                        <w:tcW w:w="621"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果</w:t>
                        </w:r>
                      </w:p>
                    </w:tc>
                    <w:tc>
                      <w:tcPr>
                        <w:tcW w:w="434" w:type="dxa"/>
                        <w:tcBorders>
                          <w:top w:val="nil" w:sz="6" w:space="0" w:color="auto"/>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699" w:type="dxa"/>
                        <w:tcBorders>
                          <w:top w:val="nil" w:sz="6" w:space="0" w:color="auto"/>
                          <w:left w:val="single" w:sz="4" w:space="0" w:color="000000"/>
                          <w:bottom w:val="single" w:sz="4" w:space="0" w:color="000000"/>
                          <w:right w:val="single" w:sz="4" w:space="0" w:color="000000"/>
                        </w:tcBorders>
                      </w:tcPr>
                      <w:p>
                        <w:pPr/>
                      </w:p>
                    </w:tc>
                    <w:tc>
                      <w:tcPr>
                        <w:tcW w:w="699"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3531"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60"/>
                          <w:jc w:val="left"/>
                          <w:rPr>
                            <w:rFonts w:ascii="宋体" w:hAnsi="宋体" w:cs="宋体" w:eastAsia="宋体" w:hint="default"/>
                            <w:sz w:val="18"/>
                            <w:szCs w:val="18"/>
                          </w:rPr>
                        </w:pPr>
                        <w:r>
                          <w:rPr>
                            <w:rFonts w:ascii="宋体" w:hAnsi="宋体" w:cs="宋体" w:eastAsia="宋体" w:hint="default"/>
                            <w:sz w:val="18"/>
                            <w:szCs w:val="18"/>
                          </w:rPr>
                          <w:t>吕晓 义</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江西先材</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w:t>
                        </w:r>
                        <w:r>
                          <w:rPr>
                            <w:rFonts w:ascii="宋体" w:hAnsi="宋体" w:cs="宋体" w:eastAsia="宋体" w:hint="default"/>
                            <w:sz w:val="18"/>
                            <w:szCs w:val="18"/>
                          </w:rPr>
                          <w:t>股权</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2,328.48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-118.27</w:t>
                        </w:r>
                      </w:p>
                    </w:tc>
                    <w:tc>
                      <w:tcPr>
                        <w:tcW w:w="73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6"/>
                          <w:jc w:val="both"/>
                          <w:rPr>
                            <w:rFonts w:ascii="宋体" w:hAnsi="宋体" w:cs="宋体" w:eastAsia="宋体" w:hint="default"/>
                            <w:sz w:val="18"/>
                            <w:szCs w:val="18"/>
                          </w:rPr>
                        </w:pPr>
                        <w:r>
                          <w:rPr>
                            <w:rFonts w:ascii="宋体" w:hAnsi="宋体" w:cs="宋体" w:eastAsia="宋体" w:hint="default"/>
                            <w:sz w:val="18"/>
                            <w:szCs w:val="18"/>
                          </w:rPr>
                          <w:t>依据 审计 和评 估结 果</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23" w:right="65"/>
                          <w:jc w:val="lef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）上的《关</w:t>
                        </w:r>
                        <w:r>
                          <w:rPr>
                            <w:rFonts w:ascii="宋体" w:hAnsi="宋体" w:cs="宋体" w:eastAsia="宋体" w:hint="default"/>
                            <w:spacing w:val="-82"/>
                            <w:sz w:val="18"/>
                            <w:szCs w:val="18"/>
                          </w:rPr>
                          <w:t> </w:t>
                        </w:r>
                        <w:r>
                          <w:rPr>
                            <w:rFonts w:ascii="宋体" w:hAnsi="宋体" w:cs="宋体" w:eastAsia="宋体" w:hint="default"/>
                            <w:sz w:val="18"/>
                            <w:szCs w:val="18"/>
                          </w:rPr>
                          <w:t>于转让江西先材纳米纤维科技有限公司所持 </w:t>
                        </w:r>
                        <w:r>
                          <w:rPr>
                            <w:rFonts w:ascii="宋体" w:hAnsi="宋体" w:cs="宋体" w:eastAsia="宋体" w:hint="default"/>
                            <w:spacing w:val="-6"/>
                            <w:sz w:val="18"/>
                            <w:szCs w:val="18"/>
                          </w:rPr>
                          <w:t>全部股权暨关联交易公告》（公告编号：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2014-113</w:t>
                        </w:r>
                        <w:r>
                          <w:rPr>
                            <w:rFonts w:ascii="宋体" w:hAnsi="宋体" w:cs="宋体" w:eastAsia="宋体" w:hint="default"/>
                            <w:sz w:val="18"/>
                            <w:szCs w:val="18"/>
                          </w:rPr>
                          <w:t>）</w:t>
                        </w:r>
                      </w:p>
                    </w:tc>
                  </w:tr>
                  <w:tr>
                    <w:trPr>
                      <w:trHeight w:val="1650" w:hRule="exact"/>
                    </w:trPr>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江西先材</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w:t>
                        </w:r>
                        <w:r>
                          <w:rPr>
                            <w:rFonts w:ascii="宋体" w:hAnsi="宋体" w:cs="宋体" w:eastAsia="宋体" w:hint="default"/>
                            <w:sz w:val="18"/>
                            <w:szCs w:val="18"/>
                          </w:rPr>
                          <w:t>股权</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2,328.48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-118.27</w:t>
                        </w:r>
                      </w:p>
                    </w:tc>
                    <w:tc>
                      <w:tcPr>
                        <w:tcW w:w="73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6"/>
                          <w:jc w:val="both"/>
                          <w:rPr>
                            <w:rFonts w:ascii="宋体" w:hAnsi="宋体" w:cs="宋体" w:eastAsia="宋体" w:hint="default"/>
                            <w:sz w:val="18"/>
                            <w:szCs w:val="18"/>
                          </w:rPr>
                        </w:pPr>
                        <w:r>
                          <w:rPr>
                            <w:rFonts w:ascii="宋体" w:hAnsi="宋体" w:cs="宋体" w:eastAsia="宋体" w:hint="default"/>
                            <w:sz w:val="18"/>
                            <w:szCs w:val="18"/>
                          </w:rPr>
                          <w:t>依据 审计 和评 估结 果</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2" w:lineRule="auto"/>
                          <w:ind w:left="23" w:right="65"/>
                          <w:jc w:val="lef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）上的《关</w:t>
                        </w:r>
                        <w:r>
                          <w:rPr>
                            <w:rFonts w:ascii="宋体" w:hAnsi="宋体" w:cs="宋体" w:eastAsia="宋体" w:hint="default"/>
                            <w:spacing w:val="-82"/>
                            <w:sz w:val="18"/>
                            <w:szCs w:val="18"/>
                          </w:rPr>
                          <w:t> </w:t>
                        </w:r>
                        <w:r>
                          <w:rPr>
                            <w:rFonts w:ascii="宋体" w:hAnsi="宋体" w:cs="宋体" w:eastAsia="宋体" w:hint="default"/>
                            <w:sz w:val="18"/>
                            <w:szCs w:val="18"/>
                          </w:rPr>
                          <w:t>于转让江西先材纳米纤维科技有限公司所持 </w:t>
                        </w:r>
                        <w:r>
                          <w:rPr>
                            <w:rFonts w:ascii="宋体" w:hAnsi="宋体" w:cs="宋体" w:eastAsia="宋体" w:hint="default"/>
                            <w:spacing w:val="-6"/>
                            <w:sz w:val="18"/>
                            <w:szCs w:val="18"/>
                          </w:rPr>
                          <w:t>全部股权暨关联交易公告》（公告编号：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2014-113</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76"/>
        <w:ind w:left="7010" w:right="7068"/>
        <w:jc w:val="center"/>
        <w:rPr>
          <w:rFonts w:ascii="Times New Roman" w:hAnsi="Times New Roman" w:cs="Times New Roman" w:eastAsia="Times New Roman" w:hint="default"/>
        </w:rPr>
      </w:pPr>
      <w:r>
        <w:rPr>
          <w:rFonts w:ascii="Times New Roman"/>
        </w:rPr>
        <w:t>34</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420" w:left="1300" w:right="124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4"/>
        <w:ind w:right="86"/>
        <w:jc w:val="left"/>
        <w:rPr>
          <w:b w:val="0"/>
          <w:bCs w:val="0"/>
        </w:rPr>
      </w:pPr>
      <w:r>
        <w:rPr>
          <w:rFonts w:ascii="Times New Roman" w:hAnsi="Times New Roman" w:cs="Times New Roman" w:eastAsia="Times New Roman" w:hint="default"/>
        </w:rPr>
        <w:t>3</w:t>
      </w:r>
      <w:r>
        <w:rPr/>
        <w:t>、</w:t>
      </w:r>
      <w:r>
        <w:rPr>
          <w:spacing w:val="-6"/>
        </w:rPr>
        <w:t> </w:t>
      </w:r>
      <w:r>
        <w:rPr/>
        <w:t>出售资产事项说明</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92" w:firstLine="271"/>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日，公司将长春高琦</w:t>
      </w:r>
      <w:r>
        <w:rPr>
          <w:rFonts w:ascii="Times New Roman" w:hAnsi="Times New Roman" w:cs="Times New Roman" w:eastAsia="Times New Roman" w:hint="default"/>
        </w:rPr>
        <w:t>33%</w:t>
      </w:r>
      <w:r>
        <w:rPr/>
        <w:t>股权和江西先材</w:t>
      </w:r>
      <w:r>
        <w:rPr>
          <w:rFonts w:ascii="Times New Roman" w:hAnsi="Times New Roman" w:cs="Times New Roman" w:eastAsia="Times New Roman" w:hint="default"/>
        </w:rPr>
        <w:t>52.8%</w:t>
      </w:r>
      <w:r>
        <w:rPr/>
        <w:t>股权时转让给股东吕晓义、何平，同时与股权受让方 吕晓义、何平签订了关于长春高琦</w:t>
      </w:r>
      <w:r>
        <w:rPr>
          <w:rFonts w:ascii="Times New Roman" w:hAnsi="Times New Roman" w:cs="Times New Roman" w:eastAsia="Times New Roman" w:hint="default"/>
        </w:rPr>
        <w:t>66.63177%</w:t>
      </w:r>
      <w:r>
        <w:rPr/>
        <w:t>股权和江西先材</w:t>
      </w:r>
      <w:r>
        <w:rPr>
          <w:rFonts w:ascii="Times New Roman" w:hAnsi="Times New Roman" w:cs="Times New Roman" w:eastAsia="Times New Roman" w:hint="default"/>
        </w:rPr>
        <w:t>52.8%</w:t>
      </w:r>
      <w:r>
        <w:rPr/>
        <w:t>股权的《股权托管暨回购协议》，吕晓义、何平将长春 高琦</w:t>
      </w:r>
      <w:r>
        <w:rPr>
          <w:spacing w:val="-50"/>
        </w:rPr>
        <w:t> </w:t>
      </w:r>
      <w:r>
        <w:rPr>
          <w:rFonts w:ascii="Times New Roman" w:hAnsi="Times New Roman" w:cs="Times New Roman" w:eastAsia="Times New Roman" w:hint="default"/>
        </w:rPr>
        <w:t>66.63177%</w:t>
      </w:r>
      <w:r>
        <w:rPr/>
        <w:t>股权、江西先材</w:t>
      </w:r>
      <w:r>
        <w:rPr>
          <w:rFonts w:ascii="Times New Roman" w:hAnsi="Times New Roman" w:cs="Times New Roman" w:eastAsia="Times New Roman" w:hint="default"/>
        </w:rPr>
        <w:t>52.8%</w:t>
      </w:r>
      <w:r>
        <w:rPr/>
        <w:t>股权全部股东权利委托给公司行使，委托期间五年；五年内如长春高琦、江西先材经 </w:t>
      </w:r>
      <w:r>
        <w:rPr>
          <w:spacing w:val="-2"/>
        </w:rPr>
        <w:t>营情况出现好转，公司有权以转让原价（或加期间利息）的价格回购股权，对于是否受让股权、何时受让股权，公司具有决</w:t>
      </w:r>
      <w:r>
        <w:rPr>
          <w:spacing w:val="-66"/>
        </w:rPr>
        <w:t> </w:t>
      </w:r>
      <w:r>
        <w:rPr>
          <w:spacing w:val="-66"/>
        </w:rPr>
      </w:r>
      <w:r>
        <w:rPr/>
        <w:t>定权，吕晓义、何平对是否转让股权、何时转让股权放弃全部权利。</w:t>
      </w:r>
    </w:p>
    <w:p>
      <w:pPr>
        <w:pStyle w:val="BodyText"/>
        <w:spacing w:line="304" w:lineRule="auto" w:before="28"/>
        <w:ind w:right="94" w:firstLine="271"/>
        <w:jc w:val="left"/>
      </w:pPr>
      <w:r>
        <w:rPr/>
        <w:t>本次股权转让，公司将按照会计准则的规定改由权益法重新计量剩余股权并确认投资收益，预计本次股权转让将确认投 资收益约</w:t>
      </w:r>
      <w:r>
        <w:rPr>
          <w:rFonts w:ascii="Times New Roman" w:hAnsi="Times New Roman" w:cs="Times New Roman" w:eastAsia="Times New Roman" w:hint="default"/>
        </w:rPr>
        <w:t>4,000</w:t>
      </w:r>
      <w:r>
        <w:rPr/>
        <w:t>万元左右（投资收益受到股权过户完成日两家公司账面净资产价值的影响具体以审计结果为准）。相关会计 处理和投资收益的确认将以股权过户相关工商变更手续完成为准。由于公司未能在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日之前完成股权过户手续， </w:t>
      </w:r>
      <w:r>
        <w:rPr>
          <w:spacing w:val="-2"/>
        </w:rPr>
        <w:t>公司将继续按转让前的持股比例将长春高琦、江西先材纳入</w:t>
      </w:r>
      <w:r>
        <w:rPr>
          <w:rFonts w:ascii="Times New Roman" w:hAnsi="Times New Roman" w:cs="Times New Roman" w:eastAsia="Times New Roman" w:hint="default"/>
          <w:spacing w:val="-2"/>
        </w:rPr>
        <w:t>2014</w:t>
      </w:r>
      <w:r>
        <w:rPr>
          <w:spacing w:val="-2"/>
        </w:rPr>
        <w:t>年合并财务报表范围，本次股权转让对公司</w:t>
      </w:r>
      <w:r>
        <w:rPr>
          <w:rFonts w:ascii="Times New Roman" w:hAnsi="Times New Roman" w:cs="Times New Roman" w:eastAsia="Times New Roman" w:hint="default"/>
          <w:spacing w:val="-2"/>
        </w:rPr>
        <w:t>2014</w:t>
      </w:r>
      <w:r>
        <w:rPr>
          <w:spacing w:val="-2"/>
        </w:rPr>
        <w:t>年年度损益</w:t>
      </w:r>
      <w:r>
        <w:rPr>
          <w:spacing w:val="-60"/>
        </w:rPr>
        <w:t> </w:t>
      </w:r>
      <w:r>
        <w:rPr/>
        <w:t>没有影响，公司将在完成股权过户的</w:t>
      </w:r>
      <w:r>
        <w:rPr>
          <w:rFonts w:ascii="Times New Roman" w:hAnsi="Times New Roman" w:cs="Times New Roman" w:eastAsia="Times New Roman" w:hint="default"/>
        </w:rPr>
        <w:t>2015</w:t>
      </w:r>
      <w:r>
        <w:rPr/>
        <w:t>年确认投资收益。风险提示：上述股权转让预计确认的投资收益为非经常性损益， 并非主营业务利润，请广大投资者注意投资风险。</w:t>
      </w:r>
    </w:p>
    <w:p>
      <w:pPr>
        <w:pStyle w:val="BodyText"/>
        <w:spacing w:line="300" w:lineRule="auto" w:before="28"/>
        <w:ind w:right="185" w:firstLine="300"/>
        <w:jc w:val="left"/>
      </w:pPr>
      <w:r>
        <w:rPr>
          <w:spacing w:val="-1"/>
        </w:rPr>
        <w:t>（</w:t>
      </w:r>
      <w:r>
        <w:rPr>
          <w:rFonts w:ascii="Times New Roman" w:hAnsi="Times New Roman" w:cs="Times New Roman" w:eastAsia="Times New Roman" w:hint="default"/>
          <w:spacing w:val="-1"/>
        </w:rPr>
        <w:t>2</w:t>
      </w:r>
      <w:r>
        <w:rPr>
          <w:spacing w:val="-1"/>
        </w:rPr>
        <w:t>）截止报告期末，公司已经收到关于江西先材</w:t>
      </w:r>
      <w:r>
        <w:rPr>
          <w:rFonts w:ascii="Times New Roman" w:hAnsi="Times New Roman" w:cs="Times New Roman" w:eastAsia="Times New Roman" w:hint="default"/>
          <w:spacing w:val="-1"/>
        </w:rPr>
        <w:t>52.8%</w:t>
      </w:r>
      <w:r>
        <w:rPr>
          <w:spacing w:val="-1"/>
        </w:rPr>
        <w:t>股权的全部股权转让款，并于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日完成江西先材</w:t>
      </w:r>
      <w:r>
        <w:rPr>
          <w:rFonts w:ascii="Times New Roman" w:hAnsi="Times New Roman" w:cs="Times New Roman" w:eastAsia="Times New Roman" w:hint="default"/>
          <w:spacing w:val="-1"/>
        </w:rPr>
        <w:t>52.8%</w:t>
      </w:r>
      <w:r>
        <w:rPr>
          <w:rFonts w:ascii="Times New Roman" w:hAnsi="Times New Roman" w:cs="Times New Roman" w:eastAsia="Times New Roman" w:hint="default"/>
        </w:rPr>
        <w:t> </w:t>
      </w:r>
      <w:r>
        <w:rPr/>
        <w:t>股权转让的工商变更登记手续。</w:t>
      </w:r>
    </w:p>
    <w:p>
      <w:pPr>
        <w:pStyle w:val="BodyText"/>
        <w:spacing w:line="300" w:lineRule="auto" w:before="31"/>
        <w:ind w:right="258" w:firstLine="316"/>
        <w:jc w:val="left"/>
      </w:pPr>
      <w:r>
        <w:rPr/>
        <w:t>（</w:t>
      </w:r>
      <w:r>
        <w:rPr>
          <w:rFonts w:ascii="Times New Roman" w:hAnsi="Times New Roman" w:cs="Times New Roman" w:eastAsia="Times New Roman" w:hint="default"/>
        </w:rPr>
        <w:t>3</w:t>
      </w:r>
      <w:r>
        <w:rPr/>
        <w:t>）截止报告期末，公司已经收到关于长春高琦</w:t>
      </w:r>
      <w:r>
        <w:rPr>
          <w:rFonts w:ascii="Times New Roman" w:hAnsi="Times New Roman" w:cs="Times New Roman" w:eastAsia="Times New Roman" w:hint="default"/>
        </w:rPr>
        <w:t>33%</w:t>
      </w:r>
      <w:r>
        <w:rPr/>
        <w:t>股权的部分股权转让款，尚有余款未收到，股权转让的工商变更 登记手续尚未启动。</w:t>
      </w:r>
    </w:p>
    <w:p>
      <w:pPr>
        <w:spacing w:line="240" w:lineRule="auto" w:before="7"/>
        <w:rPr>
          <w:rFonts w:ascii="宋体" w:hAnsi="宋体" w:cs="宋体" w:eastAsia="宋体" w:hint="default"/>
          <w:sz w:val="23"/>
          <w:szCs w:val="23"/>
        </w:rPr>
      </w:pPr>
    </w:p>
    <w:p>
      <w:pPr>
        <w:pStyle w:val="Heading5"/>
        <w:spacing w:line="240" w:lineRule="auto"/>
        <w:ind w:right="86"/>
        <w:jc w:val="left"/>
        <w:rPr>
          <w:b w:val="0"/>
          <w:bCs w:val="0"/>
        </w:rPr>
      </w:pPr>
      <w:r>
        <w:rPr>
          <w:rFonts w:ascii="Times New Roman" w:hAnsi="Times New Roman" w:cs="Times New Roman" w:eastAsia="Times New Roman" w:hint="default"/>
        </w:rPr>
        <w:t>4</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公司报告期未发生企业合并情况。</w:t>
      </w:r>
    </w:p>
    <w:p>
      <w:pPr>
        <w:spacing w:line="240" w:lineRule="auto" w:before="4"/>
        <w:rPr>
          <w:rFonts w:ascii="宋体" w:hAnsi="宋体" w:cs="宋体" w:eastAsia="宋体" w:hint="default"/>
          <w:sz w:val="19"/>
          <w:szCs w:val="19"/>
        </w:rPr>
      </w:pPr>
    </w:p>
    <w:p>
      <w:pPr>
        <w:pStyle w:val="Heading4"/>
        <w:spacing w:line="240" w:lineRule="auto"/>
        <w:ind w:right="86"/>
        <w:jc w:val="left"/>
        <w:rPr>
          <w:b w:val="0"/>
          <w:bCs w:val="0"/>
        </w:rPr>
      </w:pP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公司报告期无股权激励计划及其实施情况。</w:t>
      </w:r>
    </w:p>
    <w:p>
      <w:pPr>
        <w:spacing w:line="240" w:lineRule="auto" w:before="6"/>
        <w:rPr>
          <w:rFonts w:ascii="宋体" w:hAnsi="宋体" w:cs="宋体" w:eastAsia="宋体" w:hint="default"/>
          <w:sz w:val="19"/>
          <w:szCs w:val="19"/>
        </w:rPr>
      </w:pPr>
    </w:p>
    <w:p>
      <w:pPr>
        <w:pStyle w:val="Heading4"/>
        <w:spacing w:line="240" w:lineRule="auto"/>
        <w:ind w:right="86"/>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8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公司报告期未发生与日常经营相关的关联交易。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76"/>
        <w:ind w:left="3552" w:right="3628"/>
        <w:jc w:val="center"/>
        <w:rPr>
          <w:rFonts w:ascii="Times New Roman" w:hAnsi="Times New Roman" w:cs="Times New Roman" w:eastAsia="Times New Roman" w:hint="default"/>
        </w:rPr>
      </w:pPr>
      <w:r>
        <w:rPr>
          <w:rFonts w:ascii="Times New Roman"/>
        </w:rPr>
        <w:t>35</w:t>
      </w:r>
    </w:p>
    <w:p>
      <w:pPr>
        <w:spacing w:after="0" w:line="240" w:lineRule="auto"/>
        <w:jc w:val="center"/>
        <w:rPr>
          <w:rFonts w:ascii="Times New Roman" w:hAnsi="Times New Roman" w:cs="Times New Roman" w:eastAsia="Times New Roman" w:hint="default"/>
        </w:rPr>
        <w:sectPr>
          <w:headerReference w:type="default" r:id="rId22"/>
          <w:footerReference w:type="default" r:id="rId23"/>
          <w:pgSz w:w="11910" w:h="16840"/>
          <w:pgMar w:header="878" w:footer="0" w:top="1060" w:bottom="280" w:left="1020" w:right="940"/>
        </w:sectPr>
      </w:pPr>
    </w:p>
    <w:p>
      <w:pPr>
        <w:spacing w:line="240" w:lineRule="auto" w:before="1"/>
        <w:rPr>
          <w:rFonts w:ascii="Times New Roman" w:hAnsi="Times New Roman" w:cs="Times New Roman" w:eastAsia="Times New Roman" w:hint="default"/>
          <w:sz w:val="3"/>
          <w:szCs w:val="3"/>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9"/>
          <w:szCs w:val="19"/>
        </w:rPr>
      </w:pPr>
    </w:p>
    <w:p>
      <w:pPr>
        <w:pStyle w:val="Heading5"/>
        <w:spacing w:line="240" w:lineRule="auto" w:before="34"/>
        <w:ind w:left="140" w:right="132"/>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08"/>
        <w:gridCol w:w="345"/>
        <w:gridCol w:w="744"/>
        <w:gridCol w:w="1507"/>
        <w:gridCol w:w="612"/>
        <w:gridCol w:w="1225"/>
        <w:gridCol w:w="1225"/>
        <w:gridCol w:w="801"/>
        <w:gridCol w:w="998"/>
        <w:gridCol w:w="566"/>
        <w:gridCol w:w="710"/>
        <w:gridCol w:w="721"/>
        <w:gridCol w:w="4252"/>
      </w:tblGrid>
      <w:tr>
        <w:trPr>
          <w:trHeight w:val="1338" w:hRule="exact"/>
        </w:trPr>
        <w:tc>
          <w:tcPr>
            <w:tcW w:w="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57"/>
              <w:jc w:val="both"/>
              <w:rPr>
                <w:rFonts w:ascii="宋体" w:hAnsi="宋体" w:cs="宋体" w:eastAsia="宋体" w:hint="default"/>
                <w:sz w:val="18"/>
                <w:szCs w:val="18"/>
              </w:rPr>
            </w:pPr>
            <w:r>
              <w:rPr>
                <w:rFonts w:ascii="宋体" w:hAnsi="宋体" w:cs="宋体" w:eastAsia="宋体" w:hint="default"/>
                <w:sz w:val="18"/>
                <w:szCs w:val="18"/>
              </w:rPr>
              <w:t>关 联 方</w:t>
            </w:r>
          </w:p>
        </w:tc>
        <w:tc>
          <w:tcPr>
            <w:tcW w:w="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 w:right="75"/>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7" w:right="95"/>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 w:right="3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32" w:firstLine="43"/>
              <w:jc w:val="left"/>
              <w:rPr>
                <w:rFonts w:ascii="宋体" w:hAnsi="宋体" w:cs="宋体" w:eastAsia="宋体" w:hint="default"/>
                <w:sz w:val="18"/>
                <w:szCs w:val="18"/>
              </w:rPr>
            </w:pPr>
            <w:r>
              <w:rPr>
                <w:rFonts w:ascii="宋体" w:hAnsi="宋体" w:cs="宋体" w:eastAsia="宋体" w:hint="default"/>
                <w:sz w:val="18"/>
                <w:szCs w:val="18"/>
              </w:rPr>
              <w:t>转让资产的账 </w:t>
            </w:r>
            <w:r>
              <w:rPr>
                <w:rFonts w:ascii="宋体" w:hAnsi="宋体" w:cs="宋体" w:eastAsia="宋体" w:hint="default"/>
                <w:spacing w:val="-6"/>
                <w:sz w:val="18"/>
                <w:szCs w:val="18"/>
              </w:rPr>
              <w:t>面价值（万元）</w:t>
            </w:r>
            <w:r>
              <w:rPr>
                <w:rFonts w:ascii="宋体" w:hAnsi="宋体" w:cs="宋体" w:eastAsia="宋体" w:hint="default"/>
                <w:sz w:val="18"/>
                <w:szCs w:val="18"/>
              </w:rPr>
            </w:r>
          </w:p>
        </w:tc>
        <w:tc>
          <w:tcPr>
            <w:tcW w:w="1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65" w:firstLine="45"/>
              <w:jc w:val="left"/>
              <w:rPr>
                <w:rFonts w:ascii="宋体" w:hAnsi="宋体" w:cs="宋体" w:eastAsia="宋体" w:hint="default"/>
                <w:sz w:val="18"/>
                <w:szCs w:val="18"/>
              </w:rPr>
            </w:pPr>
            <w:r>
              <w:rPr>
                <w:rFonts w:ascii="宋体" w:hAnsi="宋体" w:cs="宋体" w:eastAsia="宋体" w:hint="default"/>
                <w:sz w:val="18"/>
                <w:szCs w:val="18"/>
              </w:rPr>
              <w:t>转让资产的评 估价值（万元</w:t>
            </w:r>
          </w:p>
        </w:tc>
        <w:tc>
          <w:tcPr>
            <w:tcW w:w="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0" w:lineRule="atLeast" w:before="131"/>
              <w:ind w:left="35" w:right="33"/>
              <w:jc w:val="center"/>
              <w:rPr>
                <w:rFonts w:ascii="宋体" w:hAnsi="宋体" w:cs="宋体" w:eastAsia="宋体" w:hint="default"/>
                <w:sz w:val="18"/>
                <w:szCs w:val="18"/>
              </w:rPr>
            </w:pPr>
            <w:r>
              <w:rPr>
                <w:rFonts w:ascii="宋体" w:hAnsi="宋体" w:cs="宋体" w:eastAsia="宋体" w:hint="default"/>
                <w:sz w:val="18"/>
                <w:szCs w:val="18"/>
              </w:rPr>
              <w:t>市场公允 价值（万</w:t>
            </w:r>
          </w:p>
          <w:p>
            <w:pPr>
              <w:pStyle w:val="TableParagraph"/>
              <w:spacing w:line="11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4"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8" w:right="95"/>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0" w:right="78"/>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5" w:right="8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4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3"/>
              <w:jc w:val="both"/>
              <w:rPr>
                <w:rFonts w:ascii="宋体" w:hAnsi="宋体" w:cs="宋体" w:eastAsia="宋体" w:hint="default"/>
                <w:sz w:val="18"/>
                <w:szCs w:val="18"/>
              </w:rPr>
            </w:pPr>
            <w:r>
              <w:rPr>
                <w:rFonts w:ascii="宋体" w:hAnsi="宋体" w:cs="宋体" w:eastAsia="宋体" w:hint="default"/>
                <w:sz w:val="18"/>
                <w:szCs w:val="18"/>
              </w:rPr>
              <w:t>吕 晓 义</w:t>
            </w:r>
          </w:p>
        </w:tc>
        <w:tc>
          <w:tcPr>
            <w:tcW w:w="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股 东</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69"/>
              <w:jc w:val="both"/>
              <w:rPr>
                <w:rFonts w:ascii="宋体" w:hAnsi="宋体" w:cs="宋体" w:eastAsia="宋体" w:hint="default"/>
                <w:sz w:val="18"/>
                <w:szCs w:val="18"/>
              </w:rPr>
            </w:pPr>
            <w:r>
              <w:rPr>
                <w:rFonts w:ascii="宋体" w:hAnsi="宋体" w:cs="宋体" w:eastAsia="宋体" w:hint="default"/>
                <w:sz w:val="18"/>
                <w:szCs w:val="18"/>
              </w:rPr>
              <w:t>向关联 人销售 商品以 外的其 他资产</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将子公司长春高琦</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33.63177%</w:t>
            </w:r>
            <w:r>
              <w:rPr>
                <w:rFonts w:ascii="宋体" w:hAnsi="宋体" w:cs="宋体" w:eastAsia="宋体" w:hint="default"/>
                <w:sz w:val="18"/>
                <w:szCs w:val="18"/>
              </w:rPr>
              <w:t>的股权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转让给吕晓义</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37"/>
              <w:jc w:val="both"/>
              <w:rPr>
                <w:rFonts w:ascii="宋体" w:hAnsi="宋体" w:cs="宋体" w:eastAsia="宋体" w:hint="default"/>
                <w:sz w:val="18"/>
                <w:szCs w:val="18"/>
              </w:rPr>
            </w:pPr>
            <w:r>
              <w:rPr>
                <w:rFonts w:ascii="宋体" w:hAnsi="宋体" w:cs="宋体" w:eastAsia="宋体" w:hint="default"/>
                <w:sz w:val="18"/>
                <w:szCs w:val="18"/>
              </w:rPr>
              <w:t>依据审 计和评 估结果</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14,803.9</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16,083.44</w:t>
            </w:r>
          </w:p>
        </w:tc>
        <w:tc>
          <w:tcPr>
            <w:tcW w:w="8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16,083.44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1" w:right="66"/>
              <w:jc w:val="lef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）上的《关联交易公</w:t>
            </w:r>
            <w:r>
              <w:rPr>
                <w:rFonts w:ascii="宋体" w:hAnsi="宋体" w:cs="宋体" w:eastAsia="宋体" w:hint="default"/>
                <w:spacing w:val="-78"/>
                <w:sz w:val="18"/>
                <w:szCs w:val="18"/>
              </w:rPr>
              <w:t>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2014-058</w:t>
            </w:r>
            <w:r>
              <w:rPr>
                <w:rFonts w:ascii="宋体" w:hAnsi="宋体" w:cs="宋体" w:eastAsia="宋体" w:hint="default"/>
                <w:spacing w:val="-6"/>
                <w:sz w:val="18"/>
                <w:szCs w:val="18"/>
              </w:rPr>
              <w:t>）</w:t>
            </w:r>
          </w:p>
        </w:tc>
      </w:tr>
      <w:tr>
        <w:trPr>
          <w:trHeight w:val="1650" w:hRule="exact"/>
        </w:trPr>
        <w:tc>
          <w:tcPr>
            <w:tcW w:w="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3"/>
              <w:jc w:val="both"/>
              <w:rPr>
                <w:rFonts w:ascii="宋体" w:hAnsi="宋体" w:cs="宋体" w:eastAsia="宋体" w:hint="default"/>
                <w:sz w:val="18"/>
                <w:szCs w:val="18"/>
              </w:rPr>
            </w:pPr>
            <w:r>
              <w:rPr>
                <w:rFonts w:ascii="宋体" w:hAnsi="宋体" w:cs="宋体" w:eastAsia="宋体" w:hint="default"/>
                <w:sz w:val="18"/>
                <w:szCs w:val="18"/>
              </w:rPr>
              <w:t>吕 晓 义</w:t>
            </w:r>
          </w:p>
        </w:tc>
        <w:tc>
          <w:tcPr>
            <w:tcW w:w="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股 东</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69"/>
              <w:jc w:val="both"/>
              <w:rPr>
                <w:rFonts w:ascii="宋体" w:hAnsi="宋体" w:cs="宋体" w:eastAsia="宋体" w:hint="default"/>
                <w:sz w:val="18"/>
                <w:szCs w:val="18"/>
              </w:rPr>
            </w:pPr>
            <w:r>
              <w:rPr>
                <w:rFonts w:ascii="宋体" w:hAnsi="宋体" w:cs="宋体" w:eastAsia="宋体" w:hint="default"/>
                <w:sz w:val="18"/>
                <w:szCs w:val="18"/>
              </w:rPr>
              <w:t>向关联 人销售 商品以 外的其 他资产</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6"/>
              <w:ind w:left="23" w:right="32"/>
              <w:jc w:val="both"/>
              <w:rPr>
                <w:rFonts w:ascii="宋体" w:hAnsi="宋体" w:cs="宋体" w:eastAsia="宋体" w:hint="default"/>
                <w:sz w:val="18"/>
                <w:szCs w:val="18"/>
              </w:rPr>
            </w:pPr>
            <w:r>
              <w:rPr>
                <w:rFonts w:ascii="宋体" w:hAnsi="宋体" w:cs="宋体" w:eastAsia="宋体" w:hint="default"/>
                <w:sz w:val="18"/>
                <w:szCs w:val="18"/>
              </w:rPr>
              <w:t>将子公司长春高琦 </w:t>
            </w:r>
            <w:r>
              <w:rPr>
                <w:rFonts w:ascii="Times New Roman" w:hAnsi="Times New Roman" w:cs="Times New Roman" w:eastAsia="Times New Roman" w:hint="default"/>
                <w:sz w:val="18"/>
                <w:szCs w:val="18"/>
              </w:rPr>
              <w:t>33%</w:t>
            </w:r>
            <w:r>
              <w:rPr>
                <w:rFonts w:ascii="宋体" w:hAnsi="宋体" w:cs="宋体" w:eastAsia="宋体" w:hint="default"/>
                <w:sz w:val="18"/>
                <w:szCs w:val="18"/>
              </w:rPr>
              <w:t>的股权转让给 吕晓义</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37"/>
              <w:jc w:val="both"/>
              <w:rPr>
                <w:rFonts w:ascii="宋体" w:hAnsi="宋体" w:cs="宋体" w:eastAsia="宋体" w:hint="default"/>
                <w:sz w:val="18"/>
                <w:szCs w:val="18"/>
              </w:rPr>
            </w:pPr>
            <w:r>
              <w:rPr>
                <w:rFonts w:ascii="宋体" w:hAnsi="宋体" w:cs="宋体" w:eastAsia="宋体" w:hint="default"/>
                <w:sz w:val="18"/>
                <w:szCs w:val="18"/>
              </w:rPr>
              <w:t>依据审 计和评 估结果</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12,929.87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15,781.31</w:t>
            </w:r>
          </w:p>
        </w:tc>
        <w:tc>
          <w:tcPr>
            <w:tcW w:w="8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15,781.31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6"/>
              <w:ind w:left="21" w:right="66"/>
              <w:jc w:val="both"/>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）上的《关于转让长</w:t>
            </w:r>
            <w:r>
              <w:rPr>
                <w:rFonts w:ascii="宋体" w:hAnsi="宋体" w:cs="宋体" w:eastAsia="宋体" w:hint="default"/>
                <w:spacing w:val="-78"/>
                <w:sz w:val="18"/>
                <w:szCs w:val="18"/>
              </w:rPr>
              <w:t> </w:t>
            </w:r>
            <w:r>
              <w:rPr>
                <w:rFonts w:ascii="宋体" w:hAnsi="宋体" w:cs="宋体" w:eastAsia="宋体" w:hint="default"/>
                <w:sz w:val="18"/>
                <w:szCs w:val="18"/>
              </w:rPr>
              <w:t>春高琦聚酰亚胺材料有限公司部分股权暨关联交易公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2014-112</w:t>
            </w:r>
            <w:r>
              <w:rPr>
                <w:rFonts w:ascii="宋体" w:hAnsi="宋体" w:cs="宋体" w:eastAsia="宋体" w:hint="default"/>
                <w:spacing w:val="-6"/>
                <w:sz w:val="18"/>
                <w:szCs w:val="18"/>
              </w:rPr>
              <w:t>）</w:t>
            </w:r>
          </w:p>
        </w:tc>
      </w:tr>
      <w:tr>
        <w:trPr>
          <w:trHeight w:val="1650" w:hRule="exact"/>
        </w:trPr>
        <w:tc>
          <w:tcPr>
            <w:tcW w:w="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3"/>
              <w:jc w:val="both"/>
              <w:rPr>
                <w:rFonts w:ascii="宋体" w:hAnsi="宋体" w:cs="宋体" w:eastAsia="宋体" w:hint="default"/>
                <w:sz w:val="18"/>
                <w:szCs w:val="18"/>
              </w:rPr>
            </w:pPr>
            <w:r>
              <w:rPr>
                <w:rFonts w:ascii="宋体" w:hAnsi="宋体" w:cs="宋体" w:eastAsia="宋体" w:hint="default"/>
                <w:sz w:val="18"/>
                <w:szCs w:val="18"/>
              </w:rPr>
              <w:t>吕 晓 义</w:t>
            </w:r>
          </w:p>
        </w:tc>
        <w:tc>
          <w:tcPr>
            <w:tcW w:w="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股 东</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9"/>
              <w:jc w:val="both"/>
              <w:rPr>
                <w:rFonts w:ascii="宋体" w:hAnsi="宋体" w:cs="宋体" w:eastAsia="宋体" w:hint="default"/>
                <w:sz w:val="18"/>
                <w:szCs w:val="18"/>
              </w:rPr>
            </w:pPr>
            <w:r>
              <w:rPr>
                <w:rFonts w:ascii="宋体" w:hAnsi="宋体" w:cs="宋体" w:eastAsia="宋体" w:hint="default"/>
                <w:sz w:val="18"/>
                <w:szCs w:val="18"/>
              </w:rPr>
              <w:t>向关联 人销售 商品以 外的其 他资产</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3" w:right="32"/>
              <w:jc w:val="left"/>
              <w:rPr>
                <w:rFonts w:ascii="宋体" w:hAnsi="宋体" w:cs="宋体" w:eastAsia="宋体" w:hint="default"/>
                <w:sz w:val="18"/>
                <w:szCs w:val="18"/>
              </w:rPr>
            </w:pPr>
            <w:r>
              <w:rPr>
                <w:rFonts w:ascii="宋体" w:hAnsi="宋体" w:cs="宋体" w:eastAsia="宋体" w:hint="default"/>
                <w:sz w:val="18"/>
                <w:szCs w:val="18"/>
              </w:rPr>
              <w:t>将子公司江西先材 </w:t>
            </w:r>
            <w:r>
              <w:rPr>
                <w:rFonts w:ascii="Times New Roman" w:hAnsi="Times New Roman" w:cs="Times New Roman" w:eastAsia="Times New Roman" w:hint="default"/>
                <w:sz w:val="18"/>
                <w:szCs w:val="18"/>
              </w:rPr>
              <w:t>26.4%</w:t>
            </w:r>
            <w:r>
              <w:rPr>
                <w:rFonts w:ascii="宋体" w:hAnsi="宋体" w:cs="宋体" w:eastAsia="宋体" w:hint="default"/>
                <w:sz w:val="18"/>
                <w:szCs w:val="18"/>
              </w:rPr>
              <w:t>的股权转让 给吕晓义</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37"/>
              <w:jc w:val="both"/>
              <w:rPr>
                <w:rFonts w:ascii="宋体" w:hAnsi="宋体" w:cs="宋体" w:eastAsia="宋体" w:hint="default"/>
                <w:sz w:val="18"/>
                <w:szCs w:val="18"/>
              </w:rPr>
            </w:pPr>
            <w:r>
              <w:rPr>
                <w:rFonts w:ascii="宋体" w:hAnsi="宋体" w:cs="宋体" w:eastAsia="宋体" w:hint="default"/>
                <w:sz w:val="18"/>
                <w:szCs w:val="18"/>
              </w:rPr>
              <w:t>依据审 计和评 估结果</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2,039.42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2,328.48</w:t>
            </w:r>
          </w:p>
        </w:tc>
        <w:tc>
          <w:tcPr>
            <w:tcW w:w="8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2,328.48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1" w:right="66"/>
              <w:jc w:val="both"/>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）上的《关于转让江</w:t>
            </w:r>
            <w:r>
              <w:rPr>
                <w:rFonts w:ascii="宋体" w:hAnsi="宋体" w:cs="宋体" w:eastAsia="宋体" w:hint="default"/>
                <w:spacing w:val="-78"/>
                <w:sz w:val="18"/>
                <w:szCs w:val="18"/>
              </w:rPr>
              <w:t> </w:t>
            </w:r>
            <w:r>
              <w:rPr>
                <w:rFonts w:ascii="宋体" w:hAnsi="宋体" w:cs="宋体" w:eastAsia="宋体" w:hint="default"/>
                <w:sz w:val="18"/>
                <w:szCs w:val="18"/>
              </w:rPr>
              <w:t>西先材纳米纤维科技有限公司所持全部股权暨关联交 </w:t>
            </w:r>
            <w:r>
              <w:rPr>
                <w:rFonts w:ascii="宋体" w:hAnsi="宋体" w:cs="宋体" w:eastAsia="宋体" w:hint="default"/>
                <w:spacing w:val="-6"/>
                <w:sz w:val="18"/>
                <w:szCs w:val="18"/>
              </w:rPr>
              <w:t>易公告》（公告编号：</w:t>
            </w:r>
            <w:r>
              <w:rPr>
                <w:rFonts w:ascii="Times New Roman" w:hAnsi="Times New Roman" w:cs="Times New Roman" w:eastAsia="Times New Roman" w:hint="default"/>
                <w:spacing w:val="-6"/>
                <w:sz w:val="18"/>
                <w:szCs w:val="18"/>
              </w:rPr>
              <w:t>2014-113</w:t>
            </w:r>
            <w:r>
              <w:rPr>
                <w:rFonts w:ascii="宋体" w:hAnsi="宋体" w:cs="宋体" w:eastAsia="宋体" w:hint="default"/>
                <w:spacing w:val="-6"/>
                <w:sz w:val="18"/>
                <w:szCs w:val="18"/>
              </w:rPr>
              <w:t>）</w:t>
            </w:r>
          </w:p>
        </w:tc>
      </w:tr>
      <w:tr>
        <w:trPr>
          <w:trHeight w:val="1648" w:hRule="exact"/>
        </w:trPr>
        <w:tc>
          <w:tcPr>
            <w:tcW w:w="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何 平</w:t>
            </w:r>
          </w:p>
        </w:tc>
        <w:tc>
          <w:tcPr>
            <w:tcW w:w="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股 东</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69"/>
              <w:jc w:val="both"/>
              <w:rPr>
                <w:rFonts w:ascii="宋体" w:hAnsi="宋体" w:cs="宋体" w:eastAsia="宋体" w:hint="default"/>
                <w:sz w:val="18"/>
                <w:szCs w:val="18"/>
              </w:rPr>
            </w:pPr>
            <w:r>
              <w:rPr>
                <w:rFonts w:ascii="宋体" w:hAnsi="宋体" w:cs="宋体" w:eastAsia="宋体" w:hint="default"/>
                <w:sz w:val="18"/>
                <w:szCs w:val="18"/>
              </w:rPr>
              <w:t>向关联 人销售 商品以 外的其 他资产</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6"/>
              <w:ind w:left="23" w:right="32"/>
              <w:jc w:val="left"/>
              <w:rPr>
                <w:rFonts w:ascii="宋体" w:hAnsi="宋体" w:cs="宋体" w:eastAsia="宋体" w:hint="default"/>
                <w:sz w:val="18"/>
                <w:szCs w:val="18"/>
              </w:rPr>
            </w:pPr>
            <w:r>
              <w:rPr>
                <w:rFonts w:ascii="宋体" w:hAnsi="宋体" w:cs="宋体" w:eastAsia="宋体" w:hint="default"/>
                <w:sz w:val="18"/>
                <w:szCs w:val="18"/>
              </w:rPr>
              <w:t>将子公司江西先材 </w:t>
            </w:r>
            <w:r>
              <w:rPr>
                <w:rFonts w:ascii="Times New Roman" w:hAnsi="Times New Roman" w:cs="Times New Roman" w:eastAsia="Times New Roman" w:hint="default"/>
                <w:sz w:val="18"/>
                <w:szCs w:val="18"/>
              </w:rPr>
              <w:t>26.4%</w:t>
            </w:r>
            <w:r>
              <w:rPr>
                <w:rFonts w:ascii="宋体" w:hAnsi="宋体" w:cs="宋体" w:eastAsia="宋体" w:hint="default"/>
                <w:sz w:val="18"/>
                <w:szCs w:val="18"/>
              </w:rPr>
              <w:t>的股权转让 给吕晓义</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37"/>
              <w:jc w:val="both"/>
              <w:rPr>
                <w:rFonts w:ascii="宋体" w:hAnsi="宋体" w:cs="宋体" w:eastAsia="宋体" w:hint="default"/>
                <w:sz w:val="18"/>
                <w:szCs w:val="18"/>
              </w:rPr>
            </w:pPr>
            <w:r>
              <w:rPr>
                <w:rFonts w:ascii="宋体" w:hAnsi="宋体" w:cs="宋体" w:eastAsia="宋体" w:hint="default"/>
                <w:sz w:val="18"/>
                <w:szCs w:val="18"/>
              </w:rPr>
              <w:t>依据审 计和评 估结果</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2,039.42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2,328.48</w:t>
            </w:r>
          </w:p>
        </w:tc>
        <w:tc>
          <w:tcPr>
            <w:tcW w:w="8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2,328.48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6"/>
              <w:ind w:left="21" w:right="66"/>
              <w:jc w:val="both"/>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）上的《关于转让江</w:t>
            </w:r>
            <w:r>
              <w:rPr>
                <w:rFonts w:ascii="宋体" w:hAnsi="宋体" w:cs="宋体" w:eastAsia="宋体" w:hint="default"/>
                <w:spacing w:val="-78"/>
                <w:sz w:val="18"/>
                <w:szCs w:val="18"/>
              </w:rPr>
              <w:t> </w:t>
            </w:r>
            <w:r>
              <w:rPr>
                <w:rFonts w:ascii="宋体" w:hAnsi="宋体" w:cs="宋体" w:eastAsia="宋体" w:hint="default"/>
                <w:sz w:val="18"/>
                <w:szCs w:val="18"/>
              </w:rPr>
              <w:t>西先材纳米纤维科技有限公司所持全部股权暨关联交 </w:t>
            </w:r>
            <w:r>
              <w:rPr>
                <w:rFonts w:ascii="宋体" w:hAnsi="宋体" w:cs="宋体" w:eastAsia="宋体" w:hint="default"/>
                <w:spacing w:val="-6"/>
                <w:sz w:val="18"/>
                <w:szCs w:val="18"/>
              </w:rPr>
              <w:t>易公告》（公告编号：</w:t>
            </w:r>
            <w:r>
              <w:rPr>
                <w:rFonts w:ascii="Times New Roman" w:hAnsi="Times New Roman" w:cs="Times New Roman" w:eastAsia="Times New Roman" w:hint="default"/>
                <w:spacing w:val="-6"/>
                <w:sz w:val="18"/>
                <w:szCs w:val="18"/>
              </w:rPr>
              <w:t>2014-113</w:t>
            </w:r>
            <w:r>
              <w:rPr>
                <w:rFonts w:ascii="宋体" w:hAnsi="宋体" w:cs="宋体" w:eastAsia="宋体" w:hint="default"/>
                <w:spacing w:val="-6"/>
                <w:sz w:val="18"/>
                <w:szCs w:val="18"/>
              </w:rPr>
              <w:t>）</w:t>
            </w:r>
          </w:p>
        </w:tc>
      </w:tr>
    </w:tbl>
    <w:p>
      <w:pPr>
        <w:spacing w:after="0" w:line="309" w:lineRule="auto"/>
        <w:jc w:val="both"/>
        <w:rPr>
          <w:rFonts w:ascii="宋体" w:hAnsi="宋体" w:cs="宋体" w:eastAsia="宋体" w:hint="default"/>
          <w:sz w:val="18"/>
          <w:szCs w:val="18"/>
        </w:rPr>
        <w:sectPr>
          <w:headerReference w:type="default" r:id="rId24"/>
          <w:footerReference w:type="default" r:id="rId25"/>
          <w:pgSz w:w="16840" w:h="11910" w:orient="landscape"/>
          <w:pgMar w:header="868" w:footer="1225" w:top="1060" w:bottom="1420" w:left="1300" w:right="1300"/>
          <w:pgNumType w:start="36"/>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04"/>
        <w:gridCol w:w="11110"/>
      </w:tblGrid>
      <w:tr>
        <w:trPr>
          <w:trHeight w:val="377" w:hRule="exact"/>
        </w:trPr>
        <w:tc>
          <w:tcPr>
            <w:tcW w:w="2904" w:type="dxa"/>
            <w:tcBorders>
              <w:top w:val="single" w:sz="16" w:space="0" w:color="000000"/>
              <w:left w:val="single" w:sz="4" w:space="0" w:color="000000"/>
              <w:bottom w:val="nil" w:sz="6" w:space="0" w:color="auto"/>
              <w:right w:val="single" w:sz="4" w:space="0" w:color="000000"/>
            </w:tcBorders>
            <w:shd w:val="clear" w:color="auto" w:fill="D3D3D3"/>
          </w:tcPr>
          <w:p>
            <w:pPr/>
          </w:p>
        </w:tc>
        <w:tc>
          <w:tcPr>
            <w:tcW w:w="11110"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日转让长春高琦、江西先材股权相关公告发布后，公司会同年审会计师事务所对相关会计处理问题进行慎重研究，我们一致</w:t>
            </w:r>
          </w:p>
        </w:tc>
      </w:tr>
      <w:tr>
        <w:trPr>
          <w:trHeight w:val="312" w:hRule="exact"/>
        </w:trPr>
        <w:tc>
          <w:tcPr>
            <w:tcW w:w="2904" w:type="dxa"/>
            <w:tcBorders>
              <w:top w:val="nil" w:sz="6" w:space="0" w:color="auto"/>
              <w:left w:val="single" w:sz="4" w:space="0" w:color="000000"/>
              <w:bottom w:val="nil" w:sz="6" w:space="0" w:color="auto"/>
              <w:right w:val="single" w:sz="4" w:space="0" w:color="000000"/>
            </w:tcBorders>
            <w:shd w:val="clear" w:color="auto" w:fill="D3D3D3"/>
          </w:tcPr>
          <w:p>
            <w:pPr/>
          </w:p>
        </w:tc>
        <w:tc>
          <w:tcPr>
            <w:tcW w:w="1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认为，虽然仍然通过股权托管协议对两家公司实施重大影响，但是股权转让后公司持有长春高琦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的股权、不再直接持有江西先材股权，</w:t>
            </w:r>
          </w:p>
        </w:tc>
      </w:tr>
      <w:tr>
        <w:trPr>
          <w:trHeight w:val="307" w:hRule="exact"/>
        </w:trPr>
        <w:tc>
          <w:tcPr>
            <w:tcW w:w="2904" w:type="dxa"/>
            <w:tcBorders>
              <w:top w:val="nil" w:sz="6" w:space="0" w:color="auto"/>
              <w:left w:val="single" w:sz="4" w:space="0" w:color="000000"/>
              <w:bottom w:val="nil" w:sz="6" w:space="0" w:color="auto"/>
              <w:right w:val="single" w:sz="4" w:space="0" w:color="000000"/>
            </w:tcBorders>
            <w:shd w:val="clear" w:color="auto" w:fill="D3D3D3"/>
          </w:tcPr>
          <w:p>
            <w:pPr/>
          </w:p>
        </w:tc>
        <w:tc>
          <w:tcPr>
            <w:tcW w:w="1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可变回报较低且具有较大的不确定性，公司并不能通过可变回报成为长春高琦和江西先材的主要责任人，公司决定不再将长春高琦和江西先</w:t>
            </w:r>
          </w:p>
        </w:tc>
      </w:tr>
      <w:tr>
        <w:trPr>
          <w:trHeight w:val="317" w:hRule="exact"/>
        </w:trPr>
        <w:tc>
          <w:tcPr>
            <w:tcW w:w="2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w:t>
            </w:r>
          </w:p>
        </w:tc>
        <w:tc>
          <w:tcPr>
            <w:tcW w:w="1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材两家公司纳入合并财务报表范围，改由权益法核算。根据《企业会计准则第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合并财务报表》规定，预计本次股权转让将确认投资</w:t>
            </w:r>
          </w:p>
        </w:tc>
      </w:tr>
      <w:tr>
        <w:trPr>
          <w:trHeight w:val="312" w:hRule="exact"/>
        </w:trPr>
        <w:tc>
          <w:tcPr>
            <w:tcW w:w="2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1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收益约</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万元左右（投资收益受到股权过户完成日两家公司账面净资产价值的影响具体以审计结果为准</w:t>
            </w:r>
            <w:r>
              <w:rPr>
                <w:rFonts w:ascii="宋体" w:hAnsi="宋体" w:cs="宋体" w:eastAsia="宋体" w:hint="default"/>
                <w:spacing w:val="-89"/>
                <w:sz w:val="18"/>
                <w:szCs w:val="18"/>
              </w:rPr>
              <w:t>）</w:t>
            </w:r>
            <w:r>
              <w:rPr>
                <w:rFonts w:ascii="宋体" w:hAnsi="宋体" w:cs="宋体" w:eastAsia="宋体" w:hint="default"/>
                <w:sz w:val="18"/>
                <w:szCs w:val="18"/>
              </w:rPr>
              <w:t>。相关会计处理和投资收益的确</w:t>
            </w:r>
          </w:p>
        </w:tc>
      </w:tr>
      <w:tr>
        <w:trPr>
          <w:trHeight w:val="312" w:hRule="exact"/>
        </w:trPr>
        <w:tc>
          <w:tcPr>
            <w:tcW w:w="2904" w:type="dxa"/>
            <w:tcBorders>
              <w:top w:val="nil" w:sz="6" w:space="0" w:color="auto"/>
              <w:left w:val="single" w:sz="4" w:space="0" w:color="000000"/>
              <w:bottom w:val="nil" w:sz="6" w:space="0" w:color="auto"/>
              <w:right w:val="single" w:sz="4" w:space="0" w:color="000000"/>
            </w:tcBorders>
            <w:shd w:val="clear" w:color="auto" w:fill="D3D3D3"/>
          </w:tcPr>
          <w:p>
            <w:pPr/>
          </w:p>
        </w:tc>
        <w:tc>
          <w:tcPr>
            <w:tcW w:w="1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认将以股权过户相关工商变更手续完成为准。由于公司未能在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日之前完成股权过户手续，公司将继续按转让前的持股比例将</w:t>
            </w:r>
          </w:p>
        </w:tc>
      </w:tr>
      <w:tr>
        <w:trPr>
          <w:trHeight w:val="312" w:hRule="exact"/>
        </w:trPr>
        <w:tc>
          <w:tcPr>
            <w:tcW w:w="2904" w:type="dxa"/>
            <w:tcBorders>
              <w:top w:val="nil" w:sz="6" w:space="0" w:color="auto"/>
              <w:left w:val="single" w:sz="4" w:space="0" w:color="000000"/>
              <w:bottom w:val="nil" w:sz="6" w:space="0" w:color="auto"/>
              <w:right w:val="single" w:sz="4" w:space="0" w:color="000000"/>
            </w:tcBorders>
            <w:shd w:val="clear" w:color="auto" w:fill="D3D3D3"/>
          </w:tcPr>
          <w:p>
            <w:pPr/>
          </w:p>
        </w:tc>
        <w:tc>
          <w:tcPr>
            <w:tcW w:w="1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长春高琦、江西先材纳入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年合并财务报表范围，本次股权转让对公司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年年度损益没有影响，公司将在完成股权过户的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年确认</w:t>
            </w:r>
          </w:p>
        </w:tc>
      </w:tr>
      <w:tr>
        <w:trPr>
          <w:trHeight w:val="352" w:hRule="exact"/>
        </w:trPr>
        <w:tc>
          <w:tcPr>
            <w:tcW w:w="29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投资收益。风险提示：上述股权转让预计确认的投资收益为非经常性损益，并非主营业务利润，请广大投资者注意投资风险。</w:t>
            </w:r>
          </w:p>
        </w:tc>
      </w:tr>
    </w:tbl>
    <w:p>
      <w:pPr>
        <w:spacing w:line="240" w:lineRule="auto" w:before="3"/>
        <w:rPr>
          <w:rFonts w:ascii="宋体" w:hAnsi="宋体" w:cs="宋体" w:eastAsia="宋体" w:hint="default"/>
          <w:sz w:val="19"/>
          <w:szCs w:val="19"/>
        </w:rPr>
      </w:pPr>
    </w:p>
    <w:p>
      <w:pPr>
        <w:pStyle w:val="Heading5"/>
        <w:spacing w:line="240" w:lineRule="auto" w:before="34"/>
        <w:ind w:left="140" w:right="13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40" w:right="104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5"/>
        <w:spacing w:line="240" w:lineRule="auto"/>
        <w:ind w:left="140" w:right="13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40" w:right="110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5"/>
        <w:spacing w:line="240" w:lineRule="auto"/>
        <w:ind w:left="140" w:right="132"/>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7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公司报告期无其他关联交易。</w:t>
      </w:r>
    </w:p>
    <w:p>
      <w:pPr>
        <w:spacing w:after="0" w:line="340" w:lineRule="auto"/>
        <w:jc w:val="left"/>
        <w:sectPr>
          <w:pgSz w:w="16840" w:h="11910" w:orient="landscape"/>
          <w:pgMar w:header="868" w:footer="1225" w:top="1060" w:bottom="1420" w:left="130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4"/>
        <w:spacing w:line="240" w:lineRule="auto" w:before="26"/>
        <w:ind w:right="0"/>
        <w:jc w:val="left"/>
        <w:rPr>
          <w:b w:val="0"/>
          <w:bCs w:val="0"/>
        </w:rPr>
      </w:pP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租赁情况说明</w:t>
      </w:r>
    </w:p>
    <w:p>
      <w:pPr>
        <w:pStyle w:val="BodyText"/>
        <w:spacing w:line="340" w:lineRule="auto" w:before="43"/>
        <w:ind w:right="1229"/>
        <w:jc w:val="left"/>
      </w:pPr>
      <w:r>
        <w:rPr/>
        <w:t>报告期本公司将自有房产出租给关联方深圳微纳先材有限公司，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日，公司收到租金</w:t>
      </w:r>
      <w:r>
        <w:rPr>
          <w:rFonts w:ascii="Times New Roman" w:hAnsi="Times New Roman" w:cs="Times New Roman" w:eastAsia="Times New Roman" w:hint="default"/>
        </w:rPr>
        <w:t>237,630</w:t>
      </w:r>
      <w:r>
        <w:rPr/>
        <w:t>元。 为公司带来的损益达到公司报告期利润总额</w:t>
      </w:r>
      <w:r>
        <w:rPr>
          <w:spacing w:val="-48"/>
        </w:rPr>
        <w:t> </w:t>
      </w:r>
      <w:r>
        <w:rPr>
          <w:rFonts w:ascii="Times New Roman" w:hAnsi="Times New Roman" w:cs="Times New Roman" w:eastAsia="Times New Roman" w:hint="default"/>
        </w:rPr>
        <w:t>10%</w:t>
      </w:r>
      <w:r>
        <w:rPr/>
        <w:t>以上的项目</w:t>
      </w:r>
    </w:p>
    <w:p>
      <w:pPr>
        <w:pStyle w:val="BodyText"/>
        <w:spacing w:line="240" w:lineRule="auto" w:before="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0"/>
        <w:jc w:val="left"/>
      </w:pPr>
      <w:r>
        <w:rPr/>
        <w:t>公司报告期不存在为公司带来的损益达到公司报告期利润总额</w:t>
      </w:r>
      <w:r>
        <w:rPr>
          <w:spacing w:val="-48"/>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3"/>
        <w:gridCol w:w="1516"/>
        <w:gridCol w:w="567"/>
        <w:gridCol w:w="1559"/>
        <w:gridCol w:w="621"/>
        <w:gridCol w:w="1505"/>
        <w:gridCol w:w="709"/>
        <w:gridCol w:w="142"/>
        <w:gridCol w:w="559"/>
        <w:gridCol w:w="787"/>
      </w:tblGrid>
      <w:tr>
        <w:trPr>
          <w:trHeight w:val="402"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7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92" w:right="31"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8" w:right="97"/>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3" w:right="53" w:hanging="269"/>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6" w:right="33"/>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3" w:right="7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92" w:right="31"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3" w:right="53" w:hanging="269"/>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 w:right="33"/>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86"/>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5" w:right="92"/>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长春高琦聚酰亚胺 材料有限公司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1"/>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吉林高琦聚酰亚胺 材料有限公司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91"/>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长春高琦聚酰亚胺 材料有限公司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1"/>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26"/>
          <w:footerReference w:type="default" r:id="rId27"/>
          <w:pgSz w:w="11910" w:h="16840"/>
          <w:pgMar w:header="878" w:footer="1225" w:top="1100" w:bottom="1420" w:left="1020" w:right="1020"/>
          <w:pgNumType w:start="38"/>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545"/>
        <w:gridCol w:w="574"/>
        <w:gridCol w:w="1571"/>
        <w:gridCol w:w="555"/>
        <w:gridCol w:w="1714"/>
        <w:gridCol w:w="412"/>
        <w:gridCol w:w="2197"/>
      </w:tblGrid>
      <w:tr>
        <w:trPr>
          <w:trHeight w:val="714" w:hRule="exact"/>
        </w:trPr>
        <w:tc>
          <w:tcPr>
            <w:tcW w:w="31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4" w:right="11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w:t>
            </w:r>
          </w:p>
        </w:tc>
      </w:tr>
      <w:tr>
        <w:trPr>
          <w:trHeight w:val="714" w:hRule="exact"/>
        </w:trPr>
        <w:tc>
          <w:tcPr>
            <w:tcW w:w="31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w:t>
            </w:r>
          </w:p>
        </w:tc>
      </w:tr>
      <w:tr>
        <w:trPr>
          <w:trHeight w:val="714" w:hRule="exact"/>
        </w:trPr>
        <w:tc>
          <w:tcPr>
            <w:tcW w:w="25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46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46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日公司第四届董事会第十七次会议、</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日公司股东大会同意为长春高琦提供的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万元担 </w:t>
            </w:r>
            <w:r>
              <w:rPr>
                <w:rFonts w:ascii="宋体" w:hAnsi="宋体" w:cs="宋体" w:eastAsia="宋体" w:hint="default"/>
                <w:spacing w:val="-9"/>
                <w:sz w:val="18"/>
                <w:szCs w:val="18"/>
              </w:rPr>
              <w:t>保额度，实际发生额为</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2,000</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万元，该笔担保贷款最迟将于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日到期，由于长春高琦目前存在较大幅度亏损，资金 周转非常困难，如果长春高琦无力偿还即将到期的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贷款，公司可能会因此承担担保责任。</w:t>
            </w:r>
          </w:p>
        </w:tc>
      </w:tr>
    </w:tbl>
    <w:p>
      <w:pPr>
        <w:spacing w:line="240" w:lineRule="auto" w:before="3"/>
        <w:rPr>
          <w:rFonts w:ascii="宋体" w:hAnsi="宋体" w:cs="宋体" w:eastAsia="宋体" w:hint="default"/>
          <w:sz w:val="19"/>
          <w:szCs w:val="19"/>
        </w:rPr>
      </w:pPr>
    </w:p>
    <w:p>
      <w:pPr>
        <w:pStyle w:val="Heading5"/>
        <w:spacing w:line="240" w:lineRule="auto" w:before="34"/>
        <w:ind w:right="0"/>
        <w:jc w:val="both"/>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1"/>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w:t>
      </w:r>
      <w:r>
        <w:rPr>
          <w:spacing w:val="-6"/>
        </w:rPr>
        <w:t> </w:t>
      </w:r>
      <w:r>
        <w:rPr/>
        <w:t>担保情况期后事项说明</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12"/>
        <w:jc w:val="both"/>
      </w:pPr>
      <w:r>
        <w:rPr>
          <w:spacing w:val="-2"/>
        </w:rPr>
        <w:t>报告期内经</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日公司第四届董事会第二十四次会议、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w:t>
      </w:r>
      <w:r>
        <w:rPr>
          <w:rFonts w:ascii="Times New Roman" w:hAnsi="Times New Roman" w:cs="Times New Roman" w:eastAsia="Times New Roman" w:hint="default"/>
          <w:spacing w:val="-2"/>
        </w:rPr>
        <w:t>2014</w:t>
      </w:r>
      <w:r>
        <w:rPr>
          <w:spacing w:val="-2"/>
        </w:rPr>
        <w:t>年第四次临时股东大会审议批准，公</w:t>
      </w:r>
      <w:r>
        <w:rPr>
          <w:spacing w:val="-55"/>
        </w:rPr>
        <w:t> </w:t>
      </w:r>
      <w:r>
        <w:rPr>
          <w:spacing w:val="-55"/>
        </w:rPr>
      </w:r>
      <w:r>
        <w:rPr/>
        <w:t>司为间接控股公司吉林高琦提供担保额度</w:t>
      </w:r>
      <w:r>
        <w:rPr>
          <w:rFonts w:ascii="Times New Roman" w:hAnsi="Times New Roman" w:cs="Times New Roman" w:eastAsia="Times New Roman" w:hint="default"/>
        </w:rPr>
        <w:t>2,500</w:t>
      </w:r>
      <w:r>
        <w:rPr/>
        <w:t>万元，担保期限两年，担保方式为连带责任保证方式。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日公司第 五届董事会第五次会议、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2015</w:t>
      </w:r>
      <w:r>
        <w:rPr/>
        <w:t>年第一次临时股东大会审议通过了《关于变更为间接控股公司吉林高琦聚 </w:t>
      </w:r>
      <w:r>
        <w:rPr>
          <w:spacing w:val="-2"/>
        </w:rPr>
        <w:t>酰亚胺材料有限公司提供担保方式的议案》，同意将前述为吉林高琦提供担保的担保方式由连带责任保证变更为存单质押担</w:t>
      </w:r>
      <w:r>
        <w:rPr>
          <w:spacing w:val="-64"/>
        </w:rPr>
        <w:t> </w:t>
      </w:r>
      <w:r>
        <w:rPr>
          <w:spacing w:val="-64"/>
        </w:rPr>
      </w:r>
      <w:r>
        <w:rPr/>
        <w:t>保，关于本次担保的其他事项不变。截止本报告披露日，该笔担保贷款已实际发生，实际发生的担保额度为</w:t>
      </w:r>
      <w:r>
        <w:rPr>
          <w:rFonts w:ascii="Times New Roman" w:hAnsi="Times New Roman" w:cs="Times New Roman" w:eastAsia="Times New Roman" w:hint="default"/>
        </w:rPr>
        <w:t>2,500</w:t>
      </w:r>
      <w:r>
        <w:rPr/>
        <w:t>万元，担 保期限一年。</w:t>
      </w:r>
    </w:p>
    <w:p>
      <w:pPr>
        <w:spacing w:line="240" w:lineRule="auto" w:before="4"/>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after="0" w:line="338" w:lineRule="auto"/>
        <w:jc w:val="left"/>
        <w:sectPr>
          <w:pgSz w:w="11910" w:h="16840"/>
          <w:pgMar w:header="878"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公司报告期不存在其他重大交易。</w:t>
      </w:r>
    </w:p>
    <w:p>
      <w:pPr>
        <w:spacing w:after="0" w:line="340" w:lineRule="auto"/>
        <w:jc w:val="left"/>
        <w:sectPr>
          <w:footerReference w:type="default" r:id="rId28"/>
          <w:pgSz w:w="11910" w:h="16840"/>
          <w:pgMar w:footer="1225" w:header="878" w:top="1100" w:bottom="1420" w:left="1020" w:right="1020"/>
          <w:pgNumType w:start="40"/>
        </w:sectPr>
      </w:pPr>
    </w:p>
    <w:p>
      <w:pPr>
        <w:spacing w:line="240" w:lineRule="auto" w:before="10"/>
        <w:rPr>
          <w:rFonts w:ascii="宋体" w:hAnsi="宋体" w:cs="宋体" w:eastAsia="宋体" w:hint="default"/>
          <w:sz w:val="2"/>
          <w:szCs w:val="2"/>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5"/>
          <w:szCs w:val="15"/>
        </w:rPr>
      </w:pPr>
    </w:p>
    <w:p>
      <w:pPr>
        <w:pStyle w:val="Heading4"/>
        <w:spacing w:line="240" w:lineRule="auto" w:before="26"/>
        <w:ind w:left="540" w:right="4308"/>
        <w:jc w:val="left"/>
        <w:rPr>
          <w:b w:val="0"/>
          <w:bCs w:val="0"/>
        </w:rPr>
      </w:pPr>
      <w:r>
        <w:rPr/>
        <w:t>九、承诺事项履行情况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40" w:right="4308"/>
        <w:jc w:val="left"/>
        <w:rPr>
          <w:b w:val="0"/>
          <w:bCs w:val="0"/>
        </w:rPr>
      </w:pPr>
      <w:r>
        <w:rPr>
          <w:rFonts w:ascii="Times New Roman" w:hAnsi="Times New Roman" w:cs="Times New Roman" w:eastAsia="Times New Roman" w:hint="default"/>
        </w:rPr>
        <w:t>1</w:t>
      </w:r>
      <w:r>
        <w:rPr/>
        <w:t>、公司或持股</w:t>
      </w:r>
      <w:r>
        <w:rPr>
          <w:spacing w:val="-68"/>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40" w:right="43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59"/>
        <w:gridCol w:w="710"/>
        <w:gridCol w:w="8075"/>
        <w:gridCol w:w="1560"/>
        <w:gridCol w:w="1697"/>
        <w:gridCol w:w="1002"/>
      </w:tblGrid>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80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9"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8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吕晓义先生承诺连续六个月内通过证券交易系统出售的股份低于公司股份总数的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14" w:hRule="exact"/>
        </w:trPr>
        <w:tc>
          <w:tcPr>
            <w:tcW w:w="1559" w:type="dxa"/>
            <w:tcBorders>
              <w:top w:val="nil" w:sz="6" w:space="0" w:color="auto"/>
              <w:left w:val="single" w:sz="4" w:space="0" w:color="000000"/>
              <w:bottom w:val="nil" w:sz="6" w:space="0" w:color="auto"/>
              <w:right w:val="single" w:sz="4" w:space="0" w:color="000000"/>
            </w:tcBorders>
            <w:shd w:val="clear" w:color="auto" w:fill="D3D3D3"/>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任金生</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何平</w:t>
            </w:r>
          </w:p>
        </w:tc>
        <w:tc>
          <w:tcPr>
            <w:tcW w:w="8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任金生及其一致行动人何平女士承诺连续六个月内减持股份不超过公司股份总数的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617" w:hRule="exact"/>
        </w:trPr>
        <w:tc>
          <w:tcPr>
            <w:tcW w:w="1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收购报告书或权益</w:t>
            </w:r>
          </w:p>
        </w:tc>
        <w:tc>
          <w:tcPr>
            <w:tcW w:w="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8075" w:type="dxa"/>
            <w:tcBorders>
              <w:top w:val="single" w:sz="4" w:space="0" w:color="000000"/>
              <w:left w:val="single" w:sz="4" w:space="0" w:color="000000"/>
              <w:bottom w:val="nil" w:sz="6" w:space="0" w:color="auto"/>
              <w:right w:val="single" w:sz="4" w:space="0" w:color="000000"/>
            </w:tcBorders>
          </w:tcPr>
          <w:p>
            <w:pPr>
              <w:pStyle w:val="TableParagraph"/>
              <w:spacing w:line="312" w:lineRule="exact" w:before="11"/>
              <w:ind w:left="24" w:right="119"/>
              <w:jc w:val="left"/>
              <w:rPr>
                <w:rFonts w:ascii="宋体" w:hAnsi="宋体" w:cs="宋体" w:eastAsia="宋体" w:hint="default"/>
                <w:sz w:val="18"/>
                <w:szCs w:val="18"/>
              </w:rPr>
            </w:pPr>
            <w:r>
              <w:rPr>
                <w:rFonts w:ascii="宋体" w:hAnsi="宋体" w:cs="宋体" w:eastAsia="宋体" w:hint="default"/>
                <w:sz w:val="18"/>
                <w:szCs w:val="18"/>
              </w:rPr>
              <w:t>何平女士及其一致行动人任金生先生承诺连续六个月内通过证券交易系统减持股份不超过公司总股本 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97" w:hRule="exact"/>
        </w:trPr>
        <w:tc>
          <w:tcPr>
            <w:tcW w:w="1559" w:type="dxa"/>
            <w:vMerge w:val="restart"/>
            <w:tcBorders>
              <w:top w:val="nil" w:sz="6" w:space="0" w:color="auto"/>
              <w:left w:val="single" w:sz="4" w:space="0" w:color="000000"/>
              <w:right w:val="single" w:sz="4" w:space="0" w:color="000000"/>
            </w:tcBorders>
            <w:shd w:val="clear" w:color="auto" w:fill="D3D3D3"/>
          </w:tcPr>
          <w:p>
            <w:pPr>
              <w:pStyle w:val="TableParagraph"/>
              <w:spacing w:line="187" w:lineRule="exact"/>
              <w:ind w:left="22" w:right="0"/>
              <w:jc w:val="left"/>
              <w:rPr>
                <w:rFonts w:ascii="宋体" w:hAnsi="宋体" w:cs="宋体" w:eastAsia="宋体" w:hint="default"/>
                <w:sz w:val="18"/>
                <w:szCs w:val="18"/>
              </w:rPr>
            </w:pPr>
            <w:r>
              <w:rPr>
                <w:rFonts w:ascii="宋体" w:hAnsi="宋体" w:cs="宋体" w:eastAsia="宋体" w:hint="default"/>
                <w:sz w:val="18"/>
                <w:szCs w:val="18"/>
              </w:rPr>
              <w:t>变动报告书中所作</w:t>
            </w:r>
          </w:p>
        </w:tc>
        <w:tc>
          <w:tcPr>
            <w:tcW w:w="710" w:type="dxa"/>
            <w:tcBorders>
              <w:top w:val="nil" w:sz="6" w:space="0" w:color="auto"/>
              <w:left w:val="single" w:sz="4" w:space="0" w:color="000000"/>
              <w:bottom w:val="single" w:sz="4" w:space="0" w:color="000000"/>
              <w:right w:val="single" w:sz="4" w:space="0" w:color="000000"/>
            </w:tcBorders>
          </w:tcPr>
          <w:p>
            <w:pPr/>
          </w:p>
        </w:tc>
        <w:tc>
          <w:tcPr>
            <w:tcW w:w="8075"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697"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r>
      <w:tr>
        <w:trPr>
          <w:trHeight w:val="157" w:hRule="exact"/>
        </w:trPr>
        <w:tc>
          <w:tcPr>
            <w:tcW w:w="1559" w:type="dxa"/>
            <w:vMerge/>
            <w:tcBorders>
              <w:left w:val="single" w:sz="4" w:space="0" w:color="000000"/>
              <w:bottom w:val="nil" w:sz="6" w:space="0" w:color="auto"/>
              <w:right w:val="single" w:sz="4" w:space="0" w:color="000000"/>
            </w:tcBorders>
            <w:shd w:val="clear" w:color="auto" w:fill="D3D3D3"/>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80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吕晓义先生承诺连续六个月内通过证券交易系统出售的股份低于公司股份总数的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57" w:hRule="exact"/>
        </w:trPr>
        <w:tc>
          <w:tcPr>
            <w:tcW w:w="1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710" w:type="dxa"/>
            <w:vMerge/>
            <w:tcBorders>
              <w:left w:val="single" w:sz="4" w:space="0" w:color="000000"/>
              <w:bottom w:val="single" w:sz="4" w:space="0" w:color="000000"/>
              <w:right w:val="single" w:sz="4" w:space="0" w:color="000000"/>
            </w:tcBorders>
          </w:tcPr>
          <w:p>
            <w:pPr/>
          </w:p>
        </w:tc>
        <w:tc>
          <w:tcPr>
            <w:tcW w:w="807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59" w:type="dxa"/>
            <w:tcBorders>
              <w:top w:val="nil" w:sz="6" w:space="0" w:color="auto"/>
              <w:left w:val="single" w:sz="4" w:space="0" w:color="000000"/>
              <w:bottom w:val="nil" w:sz="6" w:space="0" w:color="auto"/>
              <w:right w:val="single" w:sz="4" w:space="0" w:color="000000"/>
            </w:tcBorders>
            <w:shd w:val="clear" w:color="auto" w:fill="D3D3D3"/>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8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吕晓义先生承诺连续六个月内通过证券交易系统出售的股份低于公司股份总数的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14" w:hRule="exact"/>
        </w:trPr>
        <w:tc>
          <w:tcPr>
            <w:tcW w:w="1559" w:type="dxa"/>
            <w:tcBorders>
              <w:top w:val="nil" w:sz="6" w:space="0" w:color="auto"/>
              <w:left w:val="single" w:sz="4" w:space="0" w:color="000000"/>
              <w:bottom w:val="single" w:sz="4" w:space="0" w:color="000000"/>
              <w:right w:val="single" w:sz="4" w:space="0" w:color="000000"/>
            </w:tcBorders>
            <w:shd w:val="clear" w:color="auto" w:fill="D3D3D3"/>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80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何平女士及其一致行动人任金生先生在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日发布的《简式权益变动报告书》中承诺连续六</w:t>
            </w:r>
            <w:r>
              <w:rPr>
                <w:rFonts w:ascii="宋体" w:hAnsi="宋体" w:cs="宋体" w:eastAsia="宋体" w:hint="default"/>
                <w:sz w:val="18"/>
                <w:szCs w:val="18"/>
              </w:rPr>
              <w:t> 个月内通过证券交易系统出售的股份低于深圳惠程股份总数的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80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559"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何平</w:t>
            </w:r>
            <w:r>
              <w:rPr>
                <w:rFonts w:ascii="Times New Roman" w:hAnsi="Times New Roman" w:cs="Times New Roman" w:eastAsia="Times New Roman" w:hint="default"/>
                <w:sz w:val="18"/>
                <w:szCs w:val="18"/>
              </w:rPr>
              <w:t>;</w:t>
            </w:r>
            <w:r>
              <w:rPr>
                <w:rFonts w:ascii="宋体" w:hAnsi="宋体" w:cs="宋体" w:eastAsia="宋体" w:hint="default"/>
                <w:sz w:val="18"/>
                <w:szCs w:val="18"/>
              </w:rPr>
              <w:t>匡</w:t>
            </w:r>
          </w:p>
        </w:tc>
        <w:tc>
          <w:tcPr>
            <w:tcW w:w="80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、不在公司之外直接或间接从事或经营与公司主营业务、主导产品构成竞争的业务活动；在今后的经</w:t>
            </w:r>
          </w:p>
        </w:tc>
        <w:tc>
          <w:tcPr>
            <w:tcW w:w="1560" w:type="dxa"/>
            <w:tcBorders>
              <w:top w:val="single" w:sz="4" w:space="0" w:color="000000"/>
              <w:left w:val="single" w:sz="4" w:space="0" w:color="000000"/>
              <w:bottom w:val="nil" w:sz="6" w:space="0" w:color="auto"/>
              <w:right w:val="single" w:sz="4" w:space="0" w:color="000000"/>
            </w:tcBorders>
          </w:tcPr>
          <w:p>
            <w:pPr/>
          </w:p>
        </w:tc>
        <w:tc>
          <w:tcPr>
            <w:tcW w:w="1697"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
        </w:tc>
      </w:tr>
      <w:tr>
        <w:trPr>
          <w:trHeight w:val="644" w:hRule="exact"/>
        </w:trPr>
        <w:tc>
          <w:tcPr>
            <w:tcW w:w="1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22" w:right="84"/>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84"/>
              <w:jc w:val="left"/>
              <w:rPr>
                <w:rFonts w:ascii="宋体" w:hAnsi="宋体" w:cs="宋体" w:eastAsia="宋体" w:hint="default"/>
                <w:sz w:val="18"/>
                <w:szCs w:val="18"/>
              </w:rPr>
            </w:pPr>
            <w:r>
              <w:rPr>
                <w:rFonts w:ascii="宋体" w:hAnsi="宋体" w:cs="宋体" w:eastAsia="宋体" w:hint="default"/>
                <w:sz w:val="18"/>
                <w:szCs w:val="18"/>
              </w:rPr>
              <w:t>晓明</w:t>
            </w:r>
            <w:r>
              <w:rPr>
                <w:rFonts w:ascii="Times New Roman" w:hAnsi="Times New Roman" w:cs="Times New Roman" w:eastAsia="Times New Roman" w:hint="default"/>
                <w:sz w:val="18"/>
                <w:szCs w:val="18"/>
              </w:rPr>
              <w:t>;</w:t>
            </w:r>
            <w:r>
              <w:rPr>
                <w:rFonts w:ascii="宋体" w:hAnsi="宋体" w:cs="宋体" w:eastAsia="宋体" w:hint="default"/>
                <w:sz w:val="18"/>
                <w:szCs w:val="18"/>
              </w:rPr>
              <w:t>吕 晓义</w:t>
            </w:r>
            <w:r>
              <w:rPr>
                <w:rFonts w:ascii="Times New Roman" w:hAnsi="Times New Roman" w:cs="Times New Roman" w:eastAsia="Times New Roman" w:hint="default"/>
                <w:sz w:val="18"/>
                <w:szCs w:val="18"/>
              </w:rPr>
              <w:t>;</w:t>
            </w:r>
            <w:r>
              <w:rPr>
                <w:rFonts w:ascii="宋体" w:hAnsi="宋体" w:cs="宋体" w:eastAsia="宋体" w:hint="default"/>
                <w:sz w:val="18"/>
                <w:szCs w:val="18"/>
              </w:rPr>
              <w:t>任</w:t>
            </w:r>
          </w:p>
        </w:tc>
        <w:tc>
          <w:tcPr>
            <w:tcW w:w="80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营或投资项目安排上，避免同种类业务或同类产品的同类竞争行为的发生。</w:t>
            </w:r>
          </w:p>
          <w:p>
            <w:pPr>
              <w:pStyle w:val="TableParagraph"/>
              <w:spacing w:line="240" w:lineRule="auto" w:before="11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、尽管公司主要股东、高管人员和核心技术人员曾就职于长春热缩材料股份有限公司，但公司所拥有</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5"/>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31" w:hRule="exact"/>
        </w:trPr>
        <w:tc>
          <w:tcPr>
            <w:tcW w:w="1559" w:type="dxa"/>
            <w:tcBorders>
              <w:top w:val="nil" w:sz="6" w:space="0" w:color="auto"/>
              <w:left w:val="single" w:sz="4" w:space="0" w:color="000000"/>
              <w:bottom w:val="single" w:sz="4" w:space="0" w:color="000000"/>
              <w:right w:val="single" w:sz="4" w:space="0" w:color="000000"/>
            </w:tcBorders>
            <w:shd w:val="clear" w:color="auto" w:fill="D3D3D3"/>
          </w:tcPr>
          <w:p>
            <w:pP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金生</w:t>
            </w:r>
          </w:p>
        </w:tc>
        <w:tc>
          <w:tcPr>
            <w:tcW w:w="80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的核心技术及知识产权均由公司成立后组织相关技术人员独立开发完成</w:t>
            </w:r>
            <w:r>
              <w:rPr>
                <w:rFonts w:ascii="宋体" w:hAnsi="宋体" w:cs="宋体" w:eastAsia="宋体" w:hint="default"/>
                <w:spacing w:val="-82"/>
                <w:sz w:val="18"/>
                <w:szCs w:val="18"/>
              </w:rPr>
              <w:t>，</w:t>
            </w:r>
            <w:r>
              <w:rPr>
                <w:rFonts w:ascii="宋体" w:hAnsi="宋体" w:cs="宋体" w:eastAsia="宋体" w:hint="default"/>
                <w:sz w:val="18"/>
                <w:szCs w:val="18"/>
              </w:rPr>
              <w:t>并非来源于长春热缩材料股份</w:t>
            </w:r>
          </w:p>
        </w:tc>
        <w:tc>
          <w:tcPr>
            <w:tcW w:w="1560" w:type="dxa"/>
            <w:tcBorders>
              <w:top w:val="nil" w:sz="6" w:space="0" w:color="auto"/>
              <w:left w:val="single" w:sz="4" w:space="0" w:color="000000"/>
              <w:bottom w:val="single" w:sz="4" w:space="0" w:color="000000"/>
              <w:right w:val="single" w:sz="4" w:space="0" w:color="000000"/>
            </w:tcBorders>
          </w:tcPr>
          <w:p>
            <w:pPr/>
          </w:p>
        </w:tc>
        <w:tc>
          <w:tcPr>
            <w:tcW w:w="1697"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9"/>
          <w:footerReference w:type="default" r:id="rId30"/>
          <w:pgSz w:w="16840" w:h="11910" w:orient="landscape"/>
          <w:pgMar w:header="868" w:footer="1225" w:top="1060" w:bottom="1420" w:left="900" w:right="1100"/>
          <w:pgNumType w:start="41"/>
        </w:sectPr>
      </w:pPr>
    </w:p>
    <w:p>
      <w:pPr>
        <w:pStyle w:val="BodyText"/>
        <w:spacing w:line="316" w:lineRule="auto" w:before="86"/>
        <w:ind w:left="2412" w:right="4308"/>
        <w:jc w:val="left"/>
      </w:pPr>
      <w:r>
        <w:rPr>
          <w:spacing w:val="-2"/>
        </w:rPr>
        <w:t>有限公司或中科院长春应用化学研究所，不存在侵犯长春热缩材料股份有限公司与中科院长春应用化学</w:t>
      </w:r>
      <w:r>
        <w:rPr>
          <w:spacing w:val="-82"/>
        </w:rPr>
        <w:t> </w:t>
      </w:r>
      <w:r>
        <w:rPr>
          <w:spacing w:val="-82"/>
        </w:rPr>
      </w:r>
      <w:r>
        <w:rPr/>
        <w:t>研究所知识产权或商业秘密的情形，也不存在纠纷或潜在纠纷的情况。</w:t>
      </w:r>
    </w:p>
    <w:p>
      <w:pPr>
        <w:pStyle w:val="BodyText"/>
        <w:spacing w:line="300" w:lineRule="auto" w:before="59"/>
        <w:ind w:left="2412" w:right="4308"/>
        <w:jc w:val="left"/>
      </w:pPr>
      <w:r>
        <w:rPr>
          <w:rFonts w:ascii="Times New Roman" w:hAnsi="Times New Roman" w:cs="Times New Roman" w:eastAsia="Times New Roman" w:hint="default"/>
          <w:spacing w:val="-2"/>
        </w:rPr>
        <w:t>3</w:t>
      </w:r>
      <w:r>
        <w:rPr>
          <w:spacing w:val="-2"/>
        </w:rPr>
        <w:t>、本人现拥有深圳市惠程电气股份有限公司股权，本人为所持有股份的终极持有人，无任何委托持股、</w:t>
      </w:r>
      <w:r>
        <w:rPr>
          <w:spacing w:val="-83"/>
        </w:rPr>
        <w:t> </w:t>
      </w:r>
      <w:r>
        <w:rPr>
          <w:spacing w:val="-83"/>
        </w:rPr>
      </w:r>
      <w:r>
        <w:rPr/>
        <w:t>信托或其它类似的安排。</w:t>
      </w:r>
    </w:p>
    <w:p>
      <w:pPr>
        <w:spacing w:after="0" w:line="300" w:lineRule="auto"/>
        <w:jc w:val="left"/>
        <w:sectPr>
          <w:pgSz w:w="16840" w:h="11910" w:orient="landscape"/>
          <w:pgMar w:header="868" w:footer="1225" w:top="1060" w:bottom="1420" w:left="900" w:right="110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right"/>
      </w:pPr>
      <w:r>
        <w:rPr/>
        <w:t>吉林高</w:t>
      </w:r>
    </w:p>
    <w:p>
      <w:pPr>
        <w:pStyle w:val="BodyText"/>
        <w:spacing w:line="316" w:lineRule="auto" w:before="120"/>
        <w:ind w:left="130" w:right="0"/>
        <w:jc w:val="both"/>
      </w:pPr>
      <w:r>
        <w:rPr>
          <w:spacing w:val="-2"/>
        </w:rPr>
        <w:br w:type="column"/>
      </w:r>
      <w:r>
        <w:rPr>
          <w:spacing w:val="-2"/>
        </w:rPr>
        <w:t>《关于间接控股公司继续使用部分闲置募集资金暂时补充流动资金的公告》中，吉林高琦承诺：本次使</w:t>
      </w:r>
      <w:r>
        <w:rPr>
          <w:spacing w:val="-83"/>
        </w:rPr>
        <w:t> </w:t>
      </w:r>
      <w:r>
        <w:rPr>
          <w:spacing w:val="-83"/>
        </w:rPr>
      </w:r>
      <w:r>
        <w:rPr>
          <w:spacing w:val="-2"/>
        </w:rPr>
        <w:t>用部分闲置募集资金暂时补充流动资金不会变相改变募集资金用途；当募集资金项目需要时，将及时用</w:t>
      </w:r>
      <w:r>
        <w:rPr>
          <w:spacing w:val="-83"/>
        </w:rPr>
        <w:t> </w:t>
      </w:r>
      <w:r>
        <w:rPr>
          <w:spacing w:val="-83"/>
        </w:rPr>
      </w:r>
      <w:r>
        <w:rPr>
          <w:spacing w:val="-2"/>
        </w:rPr>
        <w:t>自有资金或银行贷款归还到募集资金专用账户，不会影响募集资金投资计划的正常进行；并保证单次补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12" w:lineRule="exact"/>
        <w:ind w:left="15" w:right="-15"/>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05</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34"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日至</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12" w:lineRule="exact"/>
        <w:ind w:left="82" w:right="0"/>
        <w:jc w:val="left"/>
      </w:pPr>
      <w:r>
        <w:rPr/>
        <w:t>已履行完毕</w:t>
      </w:r>
    </w:p>
    <w:p>
      <w:pPr>
        <w:spacing w:after="0" w:line="212" w:lineRule="exact"/>
        <w:jc w:val="left"/>
        <w:sectPr>
          <w:type w:val="continuous"/>
          <w:pgSz w:w="16840" w:h="11910" w:orient="landscape"/>
          <w:pgMar w:top="1060" w:bottom="1420" w:left="900" w:right="1100"/>
          <w:cols w:num="5" w:equalWidth="0">
            <w:col w:w="2242" w:space="40"/>
            <w:col w:w="8149" w:space="40"/>
            <w:col w:w="1501" w:space="40"/>
            <w:col w:w="1609" w:space="40"/>
            <w:col w:w="1179"/>
          </w:cols>
        </w:sectPr>
      </w:pPr>
    </w:p>
    <w:p>
      <w:pPr>
        <w:pStyle w:val="BodyText"/>
        <w:tabs>
          <w:tab w:pos="2411" w:val="left" w:leader="none"/>
        </w:tabs>
        <w:spacing w:line="180" w:lineRule="exact"/>
        <w:ind w:left="1701" w:right="-18"/>
        <w:jc w:val="left"/>
      </w:pPr>
      <w:r>
        <w:rPr/>
        <w:t>琦</w:t>
        <w:tab/>
        <w:t>充流动资金时间不超过十二个月</w:t>
      </w:r>
      <w:r>
        <w:rPr>
          <w:spacing w:val="-87"/>
        </w:rPr>
        <w:t>，</w:t>
      </w:r>
      <w:r>
        <w:rPr/>
        <w:t>暂时用于补充流动资金的款项到期后</w:t>
      </w:r>
      <w:r>
        <w:rPr>
          <w:spacing w:val="-87"/>
        </w:rPr>
        <w:t>，</w:t>
      </w:r>
      <w:r>
        <w:rPr/>
        <w:t>及时归还到募集资金专用账户。</w:t>
      </w:r>
    </w:p>
    <w:p>
      <w:pPr>
        <w:pStyle w:val="BodyText"/>
        <w:spacing w:line="316" w:lineRule="auto" w:before="76"/>
        <w:ind w:left="2412" w:right="77"/>
        <w:jc w:val="left"/>
      </w:pPr>
      <w:r>
        <w:rPr>
          <w:spacing w:val="-2"/>
        </w:rPr>
        <w:t>公司过去十二个月内未进行证券投资等风险投资，吉林高琦承诺在使用闲置募集资金暂时补充流动资金</w:t>
      </w:r>
      <w:r>
        <w:rPr>
          <w:spacing w:val="-82"/>
        </w:rPr>
        <w:t> </w:t>
      </w:r>
      <w:r>
        <w:rPr>
          <w:spacing w:val="-82"/>
        </w:rPr>
      </w:r>
      <w:r>
        <w:rPr/>
        <w:t>期间，不进行证券投资等风险投资。</w:t>
      </w:r>
    </w:p>
    <w:p>
      <w:pPr>
        <w:pStyle w:val="BodyText"/>
        <w:spacing w:line="194" w:lineRule="exact"/>
        <w:ind w:left="1468" w:right="1468"/>
        <w:jc w:val="center"/>
      </w:pPr>
      <w:r>
        <w:rPr/>
        <w:br w:type="column"/>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p>
    <w:p>
      <w:pPr>
        <w:spacing w:after="0" w:line="194" w:lineRule="exact"/>
        <w:jc w:val="center"/>
        <w:sectPr>
          <w:type w:val="continuous"/>
          <w:pgSz w:w="16840" w:h="11910" w:orient="landscape"/>
          <w:pgMar w:top="1060" w:bottom="1420" w:left="900" w:right="1100"/>
          <w:cols w:num="2" w:equalWidth="0">
            <w:col w:w="10520" w:space="40"/>
            <w:col w:w="4280"/>
          </w:cols>
        </w:sectPr>
      </w:pPr>
    </w:p>
    <w:p>
      <w:pPr>
        <w:pStyle w:val="BodyText"/>
        <w:spacing w:line="310" w:lineRule="atLeast" w:before="49"/>
        <w:ind w:left="2412" w:right="-12"/>
        <w:jc w:val="left"/>
      </w:pPr>
      <w:r>
        <w:rPr/>
        <w:t>（</w:t>
      </w:r>
      <w:r>
        <w:rPr>
          <w:rFonts w:ascii="Times New Roman" w:hAnsi="Times New Roman" w:cs="Times New Roman" w:eastAsia="Times New Roman" w:hint="default"/>
        </w:rPr>
        <w:t>1</w:t>
      </w:r>
      <w:r>
        <w:rPr/>
        <w:t>）公司可以采取现金、股票以及现金与股票相结合的方式分配股利，利润分配不得超过累计可分配 </w:t>
      </w:r>
      <w:r>
        <w:rPr>
          <w:spacing w:val="-4"/>
        </w:rPr>
        <w:t>利润的范围，不得损害公司持续经营能力。公司可以进行中期分红。（</w:t>
      </w:r>
      <w:r>
        <w:rPr>
          <w:rFonts w:ascii="Times New Roman" w:hAnsi="Times New Roman" w:cs="Times New Roman" w:eastAsia="Times New Roman" w:hint="default"/>
          <w:spacing w:val="-4"/>
        </w:rPr>
        <w:t>2</w:t>
      </w:r>
      <w:r>
        <w:rPr>
          <w:spacing w:val="-4"/>
        </w:rPr>
        <w:t>）在满足公司正常生产经营的资</w:t>
      </w:r>
      <w:r>
        <w:rPr>
          <w:spacing w:val="-80"/>
        </w:rPr>
        <w:t> </w:t>
      </w:r>
      <w:r>
        <w:rPr>
          <w:spacing w:val="-80"/>
        </w:rPr>
      </w:r>
      <w:r>
        <w:rPr/>
        <w:t>金需求情况下，每年以现金方式分配的利润应不低于当年实现的可分配利润的</w:t>
      </w:r>
      <w:r>
        <w:rPr>
          <w:spacing w:val="-48"/>
        </w:rPr>
        <w:t> </w:t>
      </w:r>
      <w:r>
        <w:rPr>
          <w:rFonts w:ascii="Times New Roman" w:hAnsi="Times New Roman" w:cs="Times New Roman" w:eastAsia="Times New Roman" w:hint="default"/>
        </w:rPr>
        <w:t>10%</w:t>
      </w:r>
      <w:r>
        <w:rPr/>
        <w:t>，且任何三个连续 年度内，公司以现金方式累计分配的利润不少于该三年实现的年均可分配利润的</w:t>
      </w:r>
      <w:r>
        <w:rPr>
          <w:spacing w:val="-50"/>
        </w:rPr>
        <w:t> </w:t>
      </w:r>
      <w:r>
        <w:rPr>
          <w:rFonts w:ascii="Times New Roman" w:hAnsi="Times New Roman" w:cs="Times New Roman" w:eastAsia="Times New Roman" w:hint="default"/>
        </w:rPr>
        <w:t>30%</w:t>
      </w:r>
      <w:r>
        <w:rPr/>
        <w:t>。公司以现金方</w:t>
      </w:r>
    </w:p>
    <w:p>
      <w:pPr>
        <w:pStyle w:val="BodyText"/>
        <w:spacing w:line="118" w:lineRule="exact"/>
        <w:ind w:left="1701" w:right="-12"/>
        <w:jc w:val="left"/>
      </w:pPr>
      <w:r>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212" w:lineRule="exact"/>
        <w:ind w:left="15" w:right="-15"/>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08</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BodyText"/>
        <w:spacing w:line="240" w:lineRule="auto"/>
        <w:ind w:left="34" w:right="-16"/>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日至</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212" w:lineRule="exact"/>
        <w:ind w:left="171" w:right="0"/>
        <w:jc w:val="left"/>
      </w:pPr>
      <w:r>
        <w:rPr/>
        <w:t>已履行完毕</w:t>
      </w:r>
    </w:p>
    <w:p>
      <w:pPr>
        <w:spacing w:after="0" w:line="212" w:lineRule="exact"/>
        <w:jc w:val="left"/>
        <w:sectPr>
          <w:type w:val="continuous"/>
          <w:pgSz w:w="16840" w:h="11910" w:orient="landscape"/>
          <w:pgMar w:top="1060" w:bottom="1420" w:left="900" w:right="1100"/>
          <w:cols w:num="4" w:equalWidth="0">
            <w:col w:w="10431" w:space="40"/>
            <w:col w:w="1501" w:space="40"/>
            <w:col w:w="1520" w:space="40"/>
            <w:col w:w="1268"/>
          </w:cols>
        </w:sectPr>
      </w:pPr>
    </w:p>
    <w:p>
      <w:pPr>
        <w:pStyle w:val="BodyText"/>
        <w:spacing w:line="316" w:lineRule="auto" w:before="146"/>
        <w:ind w:left="141" w:right="-20"/>
        <w:jc w:val="left"/>
      </w:pPr>
      <w:r>
        <w:rPr/>
        <w:t>其他对公司中小股 东所作承诺</w:t>
      </w:r>
    </w:p>
    <w:p>
      <w:pPr>
        <w:pStyle w:val="BodyText"/>
        <w:spacing w:line="194" w:lineRule="exact"/>
        <w:ind w:left="141" w:right="0"/>
        <w:jc w:val="both"/>
      </w:pPr>
      <w:r>
        <w:rPr/>
        <w:br w:type="column"/>
      </w:r>
      <w:r>
        <w:rPr/>
        <w:t>式分配股利</w:t>
      </w:r>
      <w:r>
        <w:rPr>
          <w:spacing w:val="-44"/>
        </w:rPr>
        <w:t>。</w:t>
      </w:r>
      <w:r>
        <w:rPr/>
        <w:t>公司在实施上述现金分配股利的同时</w:t>
      </w:r>
      <w:r>
        <w:rPr>
          <w:spacing w:val="-44"/>
        </w:rPr>
        <w:t>，</w:t>
      </w:r>
      <w:r>
        <w:rPr/>
        <w:t>可以派发红股</w:t>
      </w:r>
      <w:r>
        <w:rPr>
          <w:spacing w:val="-132"/>
        </w:rPr>
        <w:t>。</w:t>
      </w:r>
      <w:r>
        <w:rPr>
          <w:spacing w:val="-3"/>
        </w:rPr>
        <w:t>（</w:t>
      </w:r>
      <w:r>
        <w:rPr>
          <w:rFonts w:ascii="Times New Roman" w:hAnsi="Times New Roman" w:cs="Times New Roman" w:eastAsia="Times New Roman" w:hint="default"/>
          <w:spacing w:val="1"/>
        </w:rPr>
        <w:t>3</w:t>
      </w:r>
      <w:r>
        <w:rPr>
          <w:spacing w:val="-44"/>
        </w:rPr>
        <w:t>）</w:t>
      </w:r>
      <w:r>
        <w:rPr/>
        <w:t>公司董事会结合具体经营数据，</w:t>
      </w:r>
    </w:p>
    <w:p>
      <w:pPr>
        <w:pStyle w:val="BodyText"/>
        <w:spacing w:line="309" w:lineRule="auto" w:before="63"/>
        <w:ind w:left="141" w:right="67"/>
        <w:jc w:val="both"/>
      </w:pPr>
      <w:r>
        <w:rPr>
          <w:spacing w:val="-1"/>
        </w:rPr>
        <w:t>充分考虑公司盈利规模、现金流量状况、发展阶段及当期资金需求，并结合股东</w:t>
      </w:r>
      <w:r>
        <w:rPr>
          <w:rFonts w:ascii="Times New Roman" w:hAnsi="Times New Roman" w:cs="Times New Roman" w:eastAsia="Times New Roman" w:hint="default"/>
          <w:spacing w:val="-1"/>
        </w:rPr>
        <w:t>(</w:t>
      </w:r>
      <w:r>
        <w:rPr>
          <w:spacing w:val="-1"/>
        </w:rPr>
        <w:t>特别是公众投资者</w:t>
      </w:r>
      <w:r>
        <w:rPr>
          <w:rFonts w:ascii="Times New Roman" w:hAnsi="Times New Roman" w:cs="Times New Roman" w:eastAsia="Times New Roman" w:hint="default"/>
          <w:spacing w:val="-1"/>
        </w:rPr>
        <w:t>)</w:t>
      </w:r>
      <w:r>
        <w:rPr>
          <w:spacing w:val="-1"/>
        </w:rPr>
        <w:t>、</w:t>
      </w:r>
      <w:r>
        <w:rPr>
          <w:spacing w:val="-47"/>
        </w:rPr>
        <w:t> </w:t>
      </w:r>
      <w:r>
        <w:rPr>
          <w:spacing w:val="-2"/>
        </w:rPr>
        <w:t>独立董事和监事的意见，制定年度或中期分红方案，并经公司股东大会表决通过后实施。公司接受所有</w:t>
      </w:r>
      <w:r>
        <w:rPr>
          <w:spacing w:val="-83"/>
        </w:rPr>
        <w:t> </w:t>
      </w:r>
      <w:r>
        <w:rPr>
          <w:spacing w:val="-83"/>
        </w:rPr>
      </w:r>
      <w:r>
        <w:rPr/>
        <w:t>股东、独立董事和监事对公司分红的建议和监督。</w:t>
      </w:r>
    </w:p>
    <w:p>
      <w:pPr>
        <w:pStyle w:val="BodyText"/>
        <w:spacing w:line="194" w:lineRule="exact"/>
        <w:ind w:left="141" w:right="0"/>
        <w:jc w:val="left"/>
      </w:pPr>
      <w:r>
        <w:rPr/>
        <w:br w:type="column"/>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194" w:lineRule="exact"/>
        <w:jc w:val="left"/>
        <w:sectPr>
          <w:type w:val="continuous"/>
          <w:pgSz w:w="16840" w:h="11910" w:orient="landscape"/>
          <w:pgMar w:top="1060" w:bottom="1420" w:left="900" w:right="1100"/>
          <w:cols w:num="3" w:equalWidth="0">
            <w:col w:w="1582" w:space="688"/>
            <w:col w:w="8249" w:space="1384"/>
            <w:col w:w="2937"/>
          </w:cols>
        </w:sectPr>
      </w:pPr>
    </w:p>
    <w:p>
      <w:pPr>
        <w:pStyle w:val="BodyText"/>
        <w:spacing w:line="316" w:lineRule="auto" w:before="113"/>
        <w:ind w:left="2412" w:right="1529"/>
        <w:jc w:val="left"/>
      </w:pPr>
      <w:r>
        <w:rPr>
          <w:spacing w:val="-2"/>
        </w:rPr>
        <w:t>《关于公司及间接控股公司继续使用部分闲置募集资金暂时补充流动资金的公告》中，公司及吉林高琦</w:t>
      </w:r>
      <w:r>
        <w:rPr>
          <w:spacing w:val="-83"/>
        </w:rPr>
        <w:t> </w:t>
      </w:r>
      <w:r>
        <w:rPr>
          <w:spacing w:val="-83"/>
        </w:rPr>
      </w:r>
      <w:r>
        <w:rPr>
          <w:spacing w:val="-2"/>
        </w:rPr>
        <w:t>承诺：本次使用部分闲置募集资金暂时补充流动资金不会变相改变募集资金用途；当募集资金项目需要</w:t>
      </w:r>
    </w:p>
    <w:p>
      <w:pPr>
        <w:pStyle w:val="BodyText"/>
        <w:spacing w:line="196" w:lineRule="exact" w:before="19"/>
        <w:ind w:left="1701" w:right="0"/>
        <w:jc w:val="left"/>
      </w:pPr>
      <w:r>
        <w:rPr>
          <w:spacing w:val="-17"/>
        </w:rPr>
        <w:t>公司、吉</w:t>
      </w:r>
      <w:r>
        <w:rPr>
          <w:spacing w:val="-33"/>
        </w:rPr>
        <w:t> </w:t>
      </w:r>
      <w:r>
        <w:rPr/>
        <w:t>时，将及时用自有资金或银行贷款归还到募集资金专用账户，不会影响募集资金投资计划的正常进行；</w:t>
      </w:r>
    </w:p>
    <w:p>
      <w:pPr>
        <w:pStyle w:val="BodyText"/>
        <w:spacing w:line="172" w:lineRule="exact"/>
        <w:ind w:left="0" w:right="0"/>
        <w:jc w:val="righ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05</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BodyText"/>
        <w:spacing w:line="240" w:lineRule="auto"/>
        <w:ind w:left="34" w:right="-16"/>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日至</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12" w:lineRule="exact"/>
        <w:ind w:left="82" w:right="0"/>
        <w:jc w:val="left"/>
      </w:pPr>
      <w:r>
        <w:rPr/>
        <w:t>已履行完毕</w:t>
      </w:r>
    </w:p>
    <w:p>
      <w:pPr>
        <w:spacing w:after="0" w:line="212" w:lineRule="exact"/>
        <w:jc w:val="left"/>
        <w:sectPr>
          <w:type w:val="continuous"/>
          <w:pgSz w:w="16840" w:h="11910" w:orient="landscape"/>
          <w:pgMar w:top="1060" w:bottom="1420" w:left="900" w:right="1100"/>
          <w:cols w:num="3" w:equalWidth="0">
            <w:col w:w="11972" w:space="40"/>
            <w:col w:w="1609" w:space="40"/>
            <w:col w:w="1179"/>
          </w:cols>
        </w:sectPr>
      </w:pPr>
    </w:p>
    <w:p>
      <w:pPr>
        <w:pStyle w:val="BodyText"/>
        <w:spacing w:line="180" w:lineRule="exact"/>
        <w:ind w:left="0" w:right="0"/>
        <w:jc w:val="right"/>
      </w:pPr>
      <w:r>
        <w:rPr/>
        <w:t>林高琦</w:t>
      </w:r>
    </w:p>
    <w:p>
      <w:pPr>
        <w:pStyle w:val="BodyText"/>
        <w:spacing w:line="180" w:lineRule="exact"/>
        <w:ind w:left="130" w:right="-12"/>
        <w:jc w:val="left"/>
      </w:pPr>
      <w:r>
        <w:rPr>
          <w:spacing w:val="-2"/>
        </w:rPr>
        <w:br w:type="column"/>
      </w:r>
      <w:r>
        <w:rPr>
          <w:spacing w:val="-2"/>
        </w:rPr>
        <w:t>并保证单次补充流动资金时间不超过十二个月，暂时用于补充流动资金的款项到期后，及时归还到募集</w:t>
      </w:r>
    </w:p>
    <w:p>
      <w:pPr>
        <w:pStyle w:val="BodyText"/>
        <w:spacing w:line="316" w:lineRule="auto" w:before="76"/>
        <w:ind w:left="130" w:right="-12"/>
        <w:jc w:val="left"/>
      </w:pPr>
      <w:r>
        <w:rPr>
          <w:spacing w:val="-2"/>
        </w:rPr>
        <w:t>资金专用账户。公司过去十二个月内未进行证券投资等风险投资，公司及吉林高琦并承诺在使用闲置募</w:t>
      </w:r>
      <w:r>
        <w:rPr>
          <w:spacing w:val="-83"/>
        </w:rPr>
        <w:t> </w:t>
      </w:r>
      <w:r>
        <w:rPr>
          <w:spacing w:val="-83"/>
        </w:rPr>
      </w:r>
      <w:r>
        <w:rPr/>
        <w:t>集资金暂时补充流动资金期间，不进行证券投资等风险投资。</w:t>
      </w:r>
    </w:p>
    <w:p>
      <w:pPr>
        <w:pStyle w:val="BodyText"/>
        <w:spacing w:line="194" w:lineRule="exact"/>
        <w:ind w:left="1575" w:right="0"/>
        <w:jc w:val="left"/>
      </w:pPr>
      <w:r>
        <w:rPr/>
        <w:br w:type="column"/>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w:t>
      </w:r>
    </w:p>
    <w:p>
      <w:pPr>
        <w:spacing w:after="0" w:line="194" w:lineRule="exact"/>
        <w:jc w:val="left"/>
        <w:sectPr>
          <w:type w:val="continuous"/>
          <w:pgSz w:w="16840" w:h="11910" w:orient="landscape"/>
          <w:pgMar w:top="1060" w:bottom="1420" w:left="900" w:right="1100"/>
          <w:cols w:num="3" w:equalWidth="0">
            <w:col w:w="2242" w:space="40"/>
            <w:col w:w="8149" w:space="40"/>
            <w:col w:w="4369"/>
          </w:cols>
        </w:sectPr>
      </w:pPr>
    </w:p>
    <w:p>
      <w:pPr>
        <w:pStyle w:val="BodyText"/>
        <w:spacing w:line="240" w:lineRule="auto" w:before="110"/>
        <w:ind w:left="2412" w:right="0"/>
        <w:jc w:val="left"/>
      </w:pPr>
      <w:r>
        <w:rPr/>
        <w:t>《关于使用剩余募集资金永久性补充流动资金的公告》中，公司承诺：本次事项的实施不存在变相改变</w:t>
      </w:r>
    </w:p>
    <w:p>
      <w:pPr>
        <w:pStyle w:val="BodyText"/>
        <w:tabs>
          <w:tab w:pos="2411" w:val="left" w:leader="none"/>
        </w:tabs>
        <w:spacing w:line="300" w:lineRule="auto" w:before="76"/>
        <w:ind w:left="2412" w:right="0" w:hanging="711"/>
        <w:jc w:val="left"/>
      </w:pPr>
      <w:r>
        <w:rPr/>
        <w:t>公司</w:t>
        <w:tab/>
        <w:t>募集资金用途的情况，不会影响其他募集资金项目的实施，在最近十二个月内未进行证券投资等高风险</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t>月</w:t>
      </w:r>
      <w:r>
        <w:rPr>
          <w:spacing w:val="-60"/>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日 投资，并承诺在剩余募集资金全部永久补充公司流动资金后十二个月内不从事证券投资等高风险投资。</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240" w:lineRule="auto"/>
        <w:ind w:left="41" w:right="-14"/>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日至</w:t>
      </w:r>
    </w:p>
    <w:p>
      <w:pPr>
        <w:pStyle w:val="BodyText"/>
        <w:spacing w:line="240" w:lineRule="auto" w:before="63"/>
        <w:ind w:left="41" w:right="-1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240" w:lineRule="auto"/>
        <w:ind w:left="15" w:right="0"/>
        <w:jc w:val="left"/>
      </w:pPr>
      <w:r>
        <w:rPr/>
        <w:t>已履行完毕</w:t>
      </w:r>
    </w:p>
    <w:p>
      <w:pPr>
        <w:spacing w:after="0" w:line="240" w:lineRule="auto"/>
        <w:jc w:val="left"/>
        <w:sectPr>
          <w:type w:val="continuous"/>
          <w:pgSz w:w="16840" w:h="11910" w:orient="landscape"/>
          <w:pgMar w:top="1060" w:bottom="1420" w:left="900" w:right="1100"/>
          <w:cols w:num="3" w:equalWidth="0">
            <w:col w:w="11965" w:space="40"/>
            <w:col w:w="1684" w:space="40"/>
            <w:col w:w="1111"/>
          </w:cols>
        </w:sectPr>
      </w:pPr>
    </w:p>
    <w:p>
      <w:pPr>
        <w:pStyle w:val="BodyText"/>
        <w:spacing w:line="240" w:lineRule="auto" w:before="120"/>
        <w:ind w:left="141" w:right="4308"/>
        <w:jc w:val="left"/>
      </w:pPr>
      <w:r>
        <w:rPr/>
        <w:pict>
          <v:group style="position:absolute;margin-left:50.220001pt;margin-top:55.199989pt;width:731.15pt;height:466.05pt;mso-position-horizontal-relative:page;mso-position-vertical-relative:page;z-index:-1009936" coordorigin="1004,1104" coordsize="14623,9321">
            <v:group style="position:absolute;left:1440;top:1111;width:13958;height:2" coordorigin="1440,1111" coordsize="13958,2">
              <v:shape style="position:absolute;left:1440;top:1111;width:13958;height:2" coordorigin="1440,1111" coordsize="13958,0" path="m1440,1111l15398,1111e" filled="false" stroked="true" strokeweight=".719971pt" strokecolor="#000000">
                <v:path arrowok="t"/>
              </v:shape>
            </v:group>
            <v:group style="position:absolute;left:1017;top:1142;width:1554;height:1333" coordorigin="1017,1142" coordsize="1554,1333">
              <v:shape style="position:absolute;left:1017;top:1142;width:1554;height:1333" coordorigin="1017,1142" coordsize="1554,1333" path="m1017,1142l2571,1142,2571,2475,1017,2475,1017,1142xe" filled="true" fillcolor="#d3d3d3" stroked="false">
                <v:path arrowok="t"/>
                <v:fill type="solid"/>
              </v:shape>
            </v:group>
            <v:group style="position:absolute;left:11361;top:1142;width:1555;height:1333" coordorigin="11361,1142" coordsize="1555,1333">
              <v:shape style="position:absolute;left:11361;top:1142;width:1555;height:1333" coordorigin="11361,1142" coordsize="1555,1333" path="m11361,1142l12916,1142,12916,2475,11361,2475,11361,1142xe" filled="true" fillcolor="#ffffff" stroked="false">
                <v:path arrowok="t"/>
                <v:fill type="solid"/>
              </v:shape>
            </v:group>
            <v:group style="position:absolute;left:1017;top:2480;width:1554;height:7531" coordorigin="1017,2480" coordsize="1554,7531">
              <v:shape style="position:absolute;left:1017;top:2480;width:1554;height:7531" coordorigin="1017,2480" coordsize="1554,7531" path="m1017,2480l2571,2480,2571,10011,1017,10011,1017,2480xe" filled="true" fillcolor="#d3d3d3" stroked="false">
                <v:path arrowok="t"/>
                <v:fill type="solid"/>
              </v:shape>
            </v:group>
            <v:group style="position:absolute;left:11361;top:2480;width:1555;height:1957" coordorigin="11361,2480" coordsize="1555,1957">
              <v:shape style="position:absolute;left:11361;top:2480;width:1555;height:1957" coordorigin="11361,2480" coordsize="1555,1957" path="m11361,2480l12916,2480,12916,4437,11361,4437,11361,2480xe" filled="true" fillcolor="#ffffff" stroked="false">
                <v:path arrowok="t"/>
                <v:fill type="solid"/>
              </v:shape>
            </v:group>
            <v:group style="position:absolute;left:11361;top:4442;width:1555;height:2577" coordorigin="11361,4442" coordsize="1555,2577">
              <v:shape style="position:absolute;left:11361;top:4442;width:1555;height:2577" coordorigin="11361,4442" coordsize="1555,2577" path="m11361,4442l12916,4442,12916,7019,11361,7019,11361,4442xe" filled="true" fillcolor="#ffffff" stroked="false">
                <v:path arrowok="t"/>
                <v:fill type="solid"/>
              </v:shape>
            </v:group>
            <v:group style="position:absolute;left:11361;top:7028;width:1555;height:1957" coordorigin="11361,7028" coordsize="1555,1957">
              <v:shape style="position:absolute;left:11361;top:7028;width:1555;height:1957" coordorigin="11361,7028" coordsize="1555,1957" path="m11361,7028l12916,7028,12916,8985,11361,8985,11361,7028xe" filled="true" fillcolor="#ffffff" stroked="false">
                <v:path arrowok="t"/>
                <v:fill type="solid"/>
              </v:shape>
            </v:group>
            <v:group style="position:absolute;left:11361;top:8990;width:1555;height:1021" coordorigin="11361,8990" coordsize="1555,1021">
              <v:shape style="position:absolute;left:11361;top:8990;width:1555;height:1021" coordorigin="11361,8990" coordsize="1555,1021" path="m11361,8990l12916,8990,12916,10011,11361,10011,11361,8990xe" filled="true" fillcolor="#ffffff" stroked="false">
                <v:path arrowok="t"/>
                <v:fill type="solid"/>
              </v:shape>
            </v:group>
            <v:group style="position:absolute;left:1017;top:10016;width:1554;height:397" coordorigin="1017,10016" coordsize="1554,397">
              <v:shape style="position:absolute;left:1017;top:10016;width:1554;height:397" coordorigin="1017,10016" coordsize="1554,397" path="m1017,10016l2571,10016,2571,10413,1017,10413,1017,10016xe" filled="true" fillcolor="#d3d3d3" stroked="false">
                <v:path arrowok="t"/>
                <v:fill type="solid"/>
              </v:shape>
            </v:group>
            <v:group style="position:absolute;left:1009;top:1139;width:14613;height:2" coordorigin="1009,1139" coordsize="14613,2">
              <v:shape style="position:absolute;left:1009;top:1139;width:14613;height:2" coordorigin="1009,1139" coordsize="14613,0" path="m1009,1139l15622,1139e" filled="false" stroked="true" strokeweight=".48pt" strokecolor="#000000">
                <v:path arrowok="t"/>
              </v:shape>
            </v:group>
            <v:group style="position:absolute;left:1009;top:2477;width:14613;height:2" coordorigin="1009,2477" coordsize="14613,2">
              <v:shape style="position:absolute;left:1009;top:2477;width:14613;height:2" coordorigin="1009,2477" coordsize="14613,0" path="m1009,2477l15622,2477e" filled="false" stroked="true" strokeweight=".48pt" strokecolor="#000000">
                <v:path arrowok="t"/>
              </v:shape>
            </v:group>
            <v:group style="position:absolute;left:2568;top:4439;width:13054;height:2" coordorigin="2568,4439" coordsize="13054,2">
              <v:shape style="position:absolute;left:2568;top:4439;width:13054;height:2" coordorigin="2568,4439" coordsize="13054,0" path="m2568,4439l15622,4439e" filled="false" stroked="true" strokeweight=".48pt" strokecolor="#000000">
                <v:path arrowok="t"/>
              </v:shape>
            </v:group>
            <v:group style="position:absolute;left:2568;top:7025;width:13054;height:2" coordorigin="2568,7025" coordsize="13054,2">
              <v:shape style="position:absolute;left:2568;top:7025;width:13054;height:2" coordorigin="2568,7025" coordsize="13054,0" path="m2568,7025l15622,7025e" filled="false" stroked="true" strokeweight=".48pt" strokecolor="#000000">
                <v:path arrowok="t"/>
              </v:shape>
            </v:group>
            <v:group style="position:absolute;left:2568;top:8987;width:13054;height:2" coordorigin="2568,8987" coordsize="13054,2">
              <v:shape style="position:absolute;left:2568;top:8987;width:13054;height:2" coordorigin="2568,8987" coordsize="13054,0" path="m2568,8987l15622,8987e" filled="false" stroked="true" strokeweight=".48pt" strokecolor="#000000">
                <v:path arrowok="t"/>
              </v:shape>
            </v:group>
            <v:group style="position:absolute;left:1009;top:10013;width:14613;height:2" coordorigin="1009,10013" coordsize="14613,2">
              <v:shape style="position:absolute;left:1009;top:10013;width:14613;height:2" coordorigin="1009,10013" coordsize="14613,0" path="m1009,10013l15622,10013e" filled="false" stroked="true" strokeweight=".48pt" strokecolor="#000000">
                <v:path arrowok="t"/>
              </v:shape>
            </v:group>
            <v:group style="position:absolute;left:1009;top:10415;width:14613;height:2" coordorigin="1009,10415" coordsize="14613,2">
              <v:shape style="position:absolute;left:1009;top:10415;width:14613;height:2" coordorigin="1009,10415" coordsize="14613,0" path="m1009,10415l15622,10415e" filled="false" stroked="true" strokeweight=".48pt" strokecolor="#000000">
                <v:path arrowok="t"/>
              </v:shape>
            </v:group>
            <v:group style="position:absolute;left:1014;top:1134;width:2;height:9286" coordorigin="1014,1134" coordsize="2,9286">
              <v:shape style="position:absolute;left:1014;top:1134;width:2;height:9286" coordorigin="1014,1134" coordsize="0,9286" path="m1014,1134l1014,10420e" filled="false" stroked="true" strokeweight=".48pt" strokecolor="#000000">
                <v:path arrowok="t"/>
              </v:shape>
            </v:group>
            <v:group style="position:absolute;left:2573;top:1134;width:2;height:9276" coordorigin="2573,1134" coordsize="2,9276">
              <v:shape style="position:absolute;left:2573;top:1134;width:2;height:9276" coordorigin="2573,1134" coordsize="0,9276" path="m2573,1134l2573,10410e" filled="false" stroked="true" strokeweight=".48pt" strokecolor="#000000">
                <v:path arrowok="t"/>
              </v:shape>
            </v:group>
            <v:group style="position:absolute;left:3283;top:1134;width:2;height:8874" coordorigin="3283,1134" coordsize="2,8874">
              <v:shape style="position:absolute;left:3283;top:1134;width:2;height:8874" coordorigin="3283,1134" coordsize="0,8874" path="m3283,1134l3283,10008e" filled="false" stroked="true" strokeweight=".48pt" strokecolor="#000000">
                <v:path arrowok="t"/>
              </v:shape>
            </v:group>
            <v:group style="position:absolute;left:11358;top:1134;width:2;height:8874" coordorigin="11358,1134" coordsize="2,8874">
              <v:shape style="position:absolute;left:11358;top:1134;width:2;height:8874" coordorigin="11358,1134" coordsize="0,8874" path="m11358,1134l11358,10008e" filled="false" stroked="true" strokeweight=".48pt" strokecolor="#000000">
                <v:path arrowok="t"/>
              </v:shape>
            </v:group>
            <v:group style="position:absolute;left:12918;top:1134;width:2;height:8874" coordorigin="12918,1134" coordsize="2,8874">
              <v:shape style="position:absolute;left:12918;top:1134;width:2;height:8874" coordorigin="12918,1134" coordsize="0,8874" path="m12918,1134l12918,10008e" filled="false" stroked="true" strokeweight=".48pt" strokecolor="#000000">
                <v:path arrowok="t"/>
              </v:shape>
            </v:group>
            <v:group style="position:absolute;left:14615;top:1134;width:2;height:8874" coordorigin="14615,1134" coordsize="2,8874">
              <v:shape style="position:absolute;left:14615;top:1134;width:2;height:8874" coordorigin="14615,1134" coordsize="0,8874" path="m14615,1134l14615,10008e" filled="false" stroked="true" strokeweight=".48pt" strokecolor="#000000">
                <v:path arrowok="t"/>
              </v:shape>
            </v:group>
            <v:group style="position:absolute;left:15617;top:1144;width:2;height:9276" coordorigin="15617,1144" coordsize="2,9276">
              <v:shape style="position:absolute;left:15617;top:1144;width:2;height:9276" coordorigin="15617,1144" coordsize="0,9276" path="m15617,1144l15617,10420e" filled="false" stroked="true" strokeweight=".48pt" strokecolor="#000000">
                <v:path arrowok="t"/>
              </v:shape>
            </v:group>
            <w10:wrap type="none"/>
          </v:group>
        </w:pict>
      </w:r>
      <w:r>
        <w:rPr/>
        <w:t>承诺是否及时履行</w:t>
      </w:r>
      <w:r>
        <w:rPr>
          <w:spacing w:val="30"/>
        </w:rPr>
        <w:t> </w:t>
      </w:r>
      <w:r>
        <w:rPr/>
        <w:t>是</w:t>
      </w:r>
    </w:p>
    <w:p>
      <w:pPr>
        <w:spacing w:after="0" w:line="240" w:lineRule="auto"/>
        <w:jc w:val="left"/>
        <w:sectPr>
          <w:type w:val="continuous"/>
          <w:pgSz w:w="16840" w:h="11910" w:orient="landscape"/>
          <w:pgMar w:top="1060" w:bottom="1420" w:left="900" w:right="1100"/>
        </w:sectPr>
      </w:pPr>
    </w:p>
    <w:p>
      <w:pPr>
        <w:spacing w:line="240" w:lineRule="auto" w:before="12"/>
        <w:rPr>
          <w:rFonts w:ascii="宋体" w:hAnsi="宋体" w:cs="宋体" w:eastAsia="宋体" w:hint="default"/>
          <w:sz w:val="20"/>
          <w:szCs w:val="20"/>
        </w:rPr>
      </w:pPr>
    </w:p>
    <w:p>
      <w:pPr>
        <w:pStyle w:val="Heading5"/>
        <w:spacing w:line="259" w:lineRule="auto" w:before="34"/>
        <w:ind w:right="138"/>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38"/>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8"/>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5"/>
        <w:gridCol w:w="5683"/>
      </w:tblGrid>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年</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邹军梅、康跃华</w:t>
            </w:r>
          </w:p>
        </w:tc>
      </w:tr>
    </w:tbl>
    <w:p>
      <w:pPr>
        <w:pStyle w:val="BodyText"/>
        <w:spacing w:line="240" w:lineRule="auto" w:before="49"/>
        <w:ind w:right="138"/>
        <w:jc w:val="left"/>
      </w:pPr>
      <w:r>
        <w:rPr/>
        <w:t>当期是否改聘会计师事务所</w:t>
      </w:r>
    </w:p>
    <w:p>
      <w:pPr>
        <w:pStyle w:val="BodyText"/>
        <w:spacing w:line="340" w:lineRule="auto" w:before="117"/>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240" w:lineRule="auto" w:before="39"/>
        <w:ind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38"/>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38"/>
        <w:jc w:val="left"/>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4"/>
        <w:spacing w:line="240" w:lineRule="auto"/>
        <w:ind w:right="138"/>
        <w:jc w:val="left"/>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headerReference w:type="default" r:id="rId31"/>
          <w:footerReference w:type="default" r:id="rId32"/>
          <w:pgSz w:w="11910" w:h="16840"/>
          <w:pgMar w:header="878" w:footer="1225" w:top="1100" w:bottom="1420" w:left="1020" w:right="980"/>
          <w:pgNumType w:start="43"/>
        </w:sectPr>
      </w:pPr>
    </w:p>
    <w:p>
      <w:pPr>
        <w:spacing w:line="240" w:lineRule="auto" w:before="10"/>
        <w:rPr>
          <w:rFonts w:ascii="宋体" w:hAnsi="宋体" w:cs="宋体" w:eastAsia="宋体" w:hint="default"/>
          <w:sz w:val="19"/>
          <w:szCs w:val="19"/>
        </w:rPr>
      </w:pPr>
    </w:p>
    <w:p>
      <w:pPr>
        <w:pStyle w:val="Heading4"/>
        <w:spacing w:line="240" w:lineRule="auto" w:before="26"/>
        <w:ind w:right="0"/>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851"/>
        <w:gridCol w:w="5386"/>
        <w:gridCol w:w="993"/>
        <w:gridCol w:w="2418"/>
      </w:tblGrid>
      <w:tr>
        <w:trPr>
          <w:trHeight w:val="427" w:hRule="exact"/>
        </w:trPr>
        <w:tc>
          <w:tcPr>
            <w:tcW w:w="851"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5386"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公告名称</w:t>
            </w:r>
          </w:p>
        </w:tc>
        <w:tc>
          <w:tcPr>
            <w:tcW w:w="993"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z w:val="18"/>
                <w:szCs w:val="18"/>
              </w:rPr>
              <w:t>登载日期</w:t>
            </w:r>
          </w:p>
        </w:tc>
        <w:tc>
          <w:tcPr>
            <w:tcW w:w="241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登载的互联网网站及检索路径</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left"/>
              <w:rPr>
                <w:rFonts w:ascii="Times New Roman" w:hAnsi="Times New Roman" w:cs="Times New Roman" w:eastAsia="Times New Roman" w:hint="default"/>
                <w:sz w:val="18"/>
                <w:szCs w:val="18"/>
              </w:rPr>
            </w:pPr>
            <w:r>
              <w:rPr>
                <w:rFonts w:ascii="Times New Roman"/>
                <w:sz w:val="18"/>
              </w:rPr>
              <w:t>2014-006</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关于非公开发行股票限售股份上市流通的提示性公告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left"/>
              <w:rPr>
                <w:rFonts w:ascii="Times New Roman" w:hAnsi="Times New Roman" w:cs="Times New Roman" w:eastAsia="Times New Roman" w:hint="default"/>
                <w:sz w:val="18"/>
                <w:szCs w:val="18"/>
              </w:rPr>
            </w:pPr>
            <w:r>
              <w:rPr>
                <w:rFonts w:ascii="Times New Roman"/>
                <w:sz w:val="18"/>
              </w:rPr>
              <w:t>2014-01-10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73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2014-009</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2"/>
              <w:jc w:val="left"/>
              <w:rPr>
                <w:rFonts w:ascii="宋体" w:hAnsi="宋体" w:cs="宋体" w:eastAsia="宋体" w:hint="default"/>
                <w:sz w:val="18"/>
                <w:szCs w:val="18"/>
              </w:rPr>
            </w:pPr>
            <w:r>
              <w:rPr>
                <w:rFonts w:ascii="宋体" w:hAnsi="宋体" w:cs="宋体" w:eastAsia="宋体" w:hint="default"/>
                <w:spacing w:val="-1"/>
                <w:sz w:val="18"/>
                <w:szCs w:val="18"/>
              </w:rPr>
              <w:t>关于控股子公司江西先材纳米纤维科技有限公司聚酰亚胺（</w:t>
            </w:r>
            <w:r>
              <w:rPr>
                <w:rFonts w:ascii="Times New Roman" w:hAnsi="Times New Roman" w:cs="Times New Roman" w:eastAsia="Times New Roman" w:hint="default"/>
                <w:spacing w:val="-1"/>
                <w:sz w:val="18"/>
                <w:szCs w:val="18"/>
              </w:rPr>
              <w:t>PI</w:t>
            </w:r>
            <w:r>
              <w:rPr>
                <w:rFonts w:ascii="宋体" w:hAnsi="宋体" w:cs="宋体" w:eastAsia="宋体" w:hint="default"/>
                <w:spacing w:val="-1"/>
                <w:sz w:val="18"/>
                <w:szCs w:val="18"/>
              </w:rPr>
              <w:t>）纳米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纤维电池隔膜产品项目进展公告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2014-01-10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2014-038</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关于项目中标的公告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2014-03-11</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2014-075</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关于收到财政补助的公告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2014-07-08</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2014-090</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pacing w:val="-1"/>
                <w:sz w:val="18"/>
                <w:szCs w:val="18"/>
              </w:rPr>
              <w:t>关于控股子公司聚酰亚胺（</w:t>
            </w:r>
            <w:r>
              <w:rPr>
                <w:rFonts w:ascii="Times New Roman" w:hAnsi="Times New Roman" w:cs="Times New Roman" w:eastAsia="Times New Roman" w:hint="default"/>
                <w:spacing w:val="-1"/>
                <w:sz w:val="18"/>
                <w:szCs w:val="18"/>
              </w:rPr>
              <w:t>PI</w:t>
            </w:r>
            <w:r>
              <w:rPr>
                <w:rFonts w:ascii="宋体" w:hAnsi="宋体" w:cs="宋体" w:eastAsia="宋体" w:hint="default"/>
                <w:spacing w:val="-1"/>
                <w:sz w:val="18"/>
                <w:szCs w:val="18"/>
              </w:rPr>
              <w:t>）纳米纤维电池隔膜产品项目进展公告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2014-09-25</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2014-091</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年非公开发行募投项目聚酰亚胺纤维产业化项目进展公告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2014-09-30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left"/>
              <w:rPr>
                <w:rFonts w:ascii="Times New Roman" w:hAnsi="Times New Roman" w:cs="Times New Roman" w:eastAsia="Times New Roman" w:hint="default"/>
                <w:sz w:val="18"/>
                <w:szCs w:val="18"/>
              </w:rPr>
            </w:pPr>
            <w:r>
              <w:rPr>
                <w:rFonts w:ascii="Times New Roman"/>
                <w:sz w:val="18"/>
              </w:rPr>
              <w:t>2014-124</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关于筹划重大资产重组的停牌公告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left"/>
              <w:rPr>
                <w:rFonts w:ascii="Times New Roman" w:hAnsi="Times New Roman" w:cs="Times New Roman" w:eastAsia="Times New Roman" w:hint="default"/>
                <w:sz w:val="18"/>
                <w:szCs w:val="18"/>
              </w:rPr>
            </w:pPr>
            <w:r>
              <w:rPr>
                <w:rFonts w:ascii="Times New Roman"/>
                <w:sz w:val="18"/>
              </w:rPr>
              <w:t>2014-12-17</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left"/>
              <w:rPr>
                <w:rFonts w:ascii="Times New Roman" w:hAnsi="Times New Roman" w:cs="Times New Roman" w:eastAsia="Times New Roman" w:hint="default"/>
                <w:sz w:val="18"/>
                <w:szCs w:val="18"/>
              </w:rPr>
            </w:pPr>
            <w:r>
              <w:rPr>
                <w:rFonts w:ascii="Times New Roman"/>
                <w:sz w:val="18"/>
              </w:rPr>
              <w:t>2014-127</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关于关联交易的补充公告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left"/>
              <w:rPr>
                <w:rFonts w:ascii="Times New Roman" w:hAnsi="Times New Roman" w:cs="Times New Roman" w:eastAsia="Times New Roman" w:hint="default"/>
                <w:sz w:val="18"/>
                <w:szCs w:val="18"/>
              </w:rPr>
            </w:pPr>
            <w:r>
              <w:rPr>
                <w:rFonts w:ascii="Times New Roman"/>
                <w:sz w:val="18"/>
              </w:rPr>
              <w:t>2014-12-31</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left"/>
              <w:rPr>
                <w:rFonts w:ascii="Times New Roman" w:hAnsi="Times New Roman" w:cs="Times New Roman" w:eastAsia="Times New Roman" w:hint="default"/>
                <w:sz w:val="18"/>
                <w:szCs w:val="18"/>
              </w:rPr>
            </w:pPr>
            <w:r>
              <w:rPr>
                <w:rFonts w:ascii="Times New Roman"/>
                <w:sz w:val="18"/>
              </w:rPr>
              <w:t>2014-128</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关于对</w:t>
            </w:r>
            <w:r>
              <w:rPr>
                <w:rFonts w:ascii="Times New Roman" w:hAnsi="Times New Roman" w:cs="Times New Roman" w:eastAsia="Times New Roman" w:hint="default"/>
                <w:sz w:val="18"/>
                <w:szCs w:val="18"/>
              </w:rPr>
              <w:t>“</w:t>
            </w:r>
            <w:r>
              <w:rPr>
                <w:rFonts w:ascii="宋体" w:hAnsi="宋体" w:cs="宋体" w:eastAsia="宋体" w:hint="default"/>
                <w:sz w:val="18"/>
                <w:szCs w:val="18"/>
              </w:rPr>
              <w:t>深圳证券交易所关注函</w:t>
            </w:r>
            <w:r>
              <w:rPr>
                <w:rFonts w:ascii="Times New Roman" w:hAnsi="Times New Roman" w:cs="Times New Roman" w:eastAsia="Times New Roman" w:hint="default"/>
                <w:sz w:val="18"/>
                <w:szCs w:val="18"/>
              </w:rPr>
              <w:t>”</w:t>
            </w:r>
            <w:r>
              <w:rPr>
                <w:rFonts w:ascii="宋体" w:hAnsi="宋体" w:cs="宋体" w:eastAsia="宋体" w:hint="default"/>
                <w:sz w:val="18"/>
                <w:szCs w:val="18"/>
              </w:rPr>
              <w:t>的回复公告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left"/>
              <w:rPr>
                <w:rFonts w:ascii="Times New Roman" w:hAnsi="Times New Roman" w:cs="Times New Roman" w:eastAsia="Times New Roman" w:hint="default"/>
                <w:sz w:val="18"/>
                <w:szCs w:val="18"/>
              </w:rPr>
            </w:pPr>
            <w:r>
              <w:rPr>
                <w:rFonts w:ascii="Times New Roman"/>
                <w:sz w:val="18"/>
              </w:rPr>
              <w:t>2014-12-31</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1225" w:top="1100" w:bottom="142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6"/>
        <w:gridCol w:w="956"/>
        <w:gridCol w:w="701"/>
        <w:gridCol w:w="776"/>
        <w:gridCol w:w="416"/>
        <w:gridCol w:w="956"/>
        <w:gridCol w:w="1016"/>
        <w:gridCol w:w="1016"/>
        <w:gridCol w:w="956"/>
        <w:gridCol w:w="701"/>
      </w:tblGrid>
      <w:tr>
        <w:trPr>
          <w:trHeight w:val="402" w:hRule="exact"/>
        </w:trPr>
        <w:tc>
          <w:tcPr>
            <w:tcW w:w="1856" w:type="dxa"/>
            <w:vMerge w:val="restart"/>
            <w:tcBorders>
              <w:top w:val="single" w:sz="4" w:space="0" w:color="000000"/>
              <w:left w:val="single" w:sz="4" w:space="0" w:color="000000"/>
              <w:right w:val="single" w:sz="4" w:space="0" w:color="000000"/>
            </w:tcBorders>
            <w:shd w:val="clear" w:color="auto" w:fill="D3D3D3"/>
          </w:tcPr>
          <w:p>
            <w:pPr/>
          </w:p>
        </w:tc>
        <w:tc>
          <w:tcPr>
            <w:tcW w:w="16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9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1856" w:type="dxa"/>
            <w:vMerge/>
            <w:tcBorders>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z w:val="18"/>
                <w:szCs w:val="18"/>
              </w:rPr>
              <w:t>送股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187,652,314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-173,384,098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-173,384,098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14,268,216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187,652,314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-173,384,098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-173,384,098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14,268,216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187,652,314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-173,384,098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-173,384,098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14,268,216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569,452,454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173,384,098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173,384,098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742,836,552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98.12%</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569,452,454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75.21%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173,384,098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173,384,098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742,836,552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98.12%</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757,104,768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757,104,768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0"/>
        <w:ind w:right="0"/>
        <w:jc w:val="left"/>
      </w:pPr>
      <w:r>
        <w:rPr/>
        <w:t>股份变动的原因</w:t>
      </w:r>
    </w:p>
    <w:p>
      <w:pPr>
        <w:pStyle w:val="BodyText"/>
        <w:spacing w:line="338" w:lineRule="auto" w:before="117"/>
        <w:ind w:right="8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股份变动的批准情况</w:t>
      </w:r>
    </w:p>
    <w:p>
      <w:pPr>
        <w:pStyle w:val="BodyText"/>
        <w:spacing w:line="340" w:lineRule="auto" w:before="43"/>
        <w:ind w:right="8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股份变动的过户情况</w:t>
      </w:r>
    </w:p>
    <w:p>
      <w:pPr>
        <w:pStyle w:val="BodyText"/>
        <w:spacing w:line="340" w:lineRule="auto" w:before="39"/>
        <w:ind w:right="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股份变动对最近一年和最近一期基本每股收益和稀释每股收益、归属于公司普通股股东的每股净资产等财务指标的影响</w:t>
      </w:r>
    </w:p>
    <w:p>
      <w:pPr>
        <w:pStyle w:val="BodyText"/>
        <w:spacing w:line="338" w:lineRule="auto" w:before="41"/>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1225" w:top="1100" w:bottom="1420" w:left="1020" w:right="1020"/>
        </w:sectPr>
      </w:pPr>
    </w:p>
    <w:p>
      <w:pPr>
        <w:spacing w:line="240" w:lineRule="auto" w:before="10"/>
        <w:rPr>
          <w:rFonts w:ascii="宋体" w:hAnsi="宋体" w:cs="宋体" w:eastAsia="宋体" w:hint="default"/>
          <w:sz w:val="19"/>
          <w:szCs w:val="19"/>
        </w:rPr>
      </w:pPr>
    </w:p>
    <w:p>
      <w:pPr>
        <w:pStyle w:val="Heading4"/>
        <w:spacing w:line="240" w:lineRule="auto" w:before="26"/>
        <w:ind w:left="132" w:right="184"/>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32" w:right="18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单位：股</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50"/>
        <w:gridCol w:w="205"/>
        <w:gridCol w:w="1120"/>
        <w:gridCol w:w="437"/>
        <w:gridCol w:w="377"/>
        <w:gridCol w:w="866"/>
        <w:gridCol w:w="459"/>
        <w:gridCol w:w="467"/>
        <w:gridCol w:w="866"/>
        <w:gridCol w:w="402"/>
        <w:gridCol w:w="464"/>
        <w:gridCol w:w="1122"/>
        <w:gridCol w:w="205"/>
        <w:gridCol w:w="1354"/>
      </w:tblGrid>
      <w:tr>
        <w:trPr>
          <w:trHeight w:val="1338" w:hRule="exact"/>
        </w:trPr>
        <w:tc>
          <w:tcPr>
            <w:tcW w:w="15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81"/>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0" w:right="0"/>
              <w:jc w:val="left"/>
              <w:rPr>
                <w:rFonts w:ascii="Times New Roman" w:hAnsi="Times New Roman" w:cs="Times New Roman" w:eastAsia="Times New Roman" w:hint="default"/>
                <w:sz w:val="18"/>
                <w:szCs w:val="18"/>
              </w:rPr>
            </w:pPr>
            <w:r>
              <w:rPr>
                <w:rFonts w:ascii="Times New Roman"/>
                <w:sz w:val="18"/>
              </w:rPr>
              <w:t>52,487</w:t>
            </w:r>
          </w:p>
        </w:tc>
        <w:tc>
          <w:tcPr>
            <w:tcW w:w="17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9" w:lineRule="auto"/>
              <w:ind w:left="22" w:right="47"/>
              <w:jc w:val="both"/>
              <w:rPr>
                <w:rFonts w:ascii="宋体" w:hAnsi="宋体" w:cs="宋体" w:eastAsia="宋体" w:hint="default"/>
                <w:sz w:val="18"/>
                <w:szCs w:val="18"/>
              </w:rPr>
            </w:pPr>
            <w:r>
              <w:rPr>
                <w:rFonts w:ascii="宋体" w:hAnsi="宋体" w:cs="宋体" w:eastAsia="宋体" w:hint="default"/>
                <w:sz w:val="18"/>
                <w:szCs w:val="18"/>
              </w:rPr>
              <w:t>年度报告披露日前第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个交易日末普通股 股东总数</w:t>
            </w:r>
          </w:p>
        </w:tc>
        <w:tc>
          <w:tcPr>
            <w:tcW w:w="1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69,021</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94"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3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8" w:right="6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97" w:right="9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68" w:right="65"/>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67" w:right="6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8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0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50" w:type="dxa"/>
            <w:vMerge/>
            <w:tcBorders>
              <w:left w:val="single" w:sz="4" w:space="0" w:color="000000"/>
              <w:bottom w:val="single" w:sz="4" w:space="0" w:color="000000"/>
              <w:right w:val="single" w:sz="4" w:space="0" w:color="000000"/>
            </w:tcBorders>
            <w:shd w:val="clear" w:color="auto" w:fill="D3D3D3"/>
          </w:tcPr>
          <w:p>
            <w:pPr/>
          </w:p>
        </w:tc>
        <w:tc>
          <w:tcPr>
            <w:tcW w:w="1325" w:type="dxa"/>
            <w:gridSpan w:val="2"/>
            <w:vMerge/>
            <w:tcBorders>
              <w:left w:val="single" w:sz="4" w:space="0" w:color="000000"/>
              <w:bottom w:val="single" w:sz="4" w:space="0" w:color="000000"/>
              <w:right w:val="single" w:sz="4" w:space="0" w:color="000000"/>
            </w:tcBorders>
            <w:shd w:val="clear" w:color="auto" w:fill="D3D3D3"/>
          </w:tcPr>
          <w:p>
            <w:pPr/>
          </w:p>
        </w:tc>
        <w:tc>
          <w:tcPr>
            <w:tcW w:w="814" w:type="dxa"/>
            <w:gridSpan w:val="2"/>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926" w:type="dxa"/>
            <w:gridSpan w:val="2"/>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866" w:type="dxa"/>
            <w:gridSpan w:val="2"/>
            <w:vMerge/>
            <w:tcBorders>
              <w:left w:val="single" w:sz="4" w:space="0" w:color="000000"/>
              <w:bottom w:val="single" w:sz="4" w:space="0" w:color="000000"/>
              <w:right w:val="single" w:sz="4" w:space="0" w:color="000000"/>
            </w:tcBorders>
            <w:shd w:val="clear" w:color="auto" w:fill="D3D3D3"/>
          </w:tcPr>
          <w:p>
            <w:pPr/>
          </w:p>
        </w:tc>
        <w:tc>
          <w:tcPr>
            <w:tcW w:w="13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9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49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12.34%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93,450,931</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93,450,931</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72,640,000</w:t>
            </w:r>
          </w:p>
        </w:tc>
      </w:tr>
      <w:tr>
        <w:trPr>
          <w:trHeight w:val="402"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8" w:right="0"/>
              <w:jc w:val="left"/>
              <w:rPr>
                <w:rFonts w:ascii="Times New Roman" w:hAnsi="Times New Roman" w:cs="Times New Roman" w:eastAsia="Times New Roman" w:hint="default"/>
                <w:sz w:val="18"/>
                <w:szCs w:val="18"/>
              </w:rPr>
            </w:pPr>
            <w:r>
              <w:rPr>
                <w:rFonts w:ascii="Times New Roman"/>
                <w:sz w:val="18"/>
              </w:rPr>
              <w:t>9.18%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69,536,555</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-44,479,726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69,536,555</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1" w:right="0"/>
              <w:jc w:val="left"/>
              <w:rPr>
                <w:rFonts w:ascii="Times New Roman" w:hAnsi="Times New Roman" w:cs="Times New Roman" w:eastAsia="Times New Roman" w:hint="default"/>
                <w:sz w:val="18"/>
                <w:szCs w:val="18"/>
              </w:rPr>
            </w:pPr>
            <w:r>
              <w:rPr>
                <w:rFonts w:ascii="Times New Roman"/>
                <w:sz w:val="18"/>
              </w:rPr>
              <w:t>58,000,000</w:t>
            </w:r>
          </w:p>
        </w:tc>
      </w:tr>
      <w:tr>
        <w:trPr>
          <w:trHeight w:val="402"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8" w:right="0"/>
              <w:jc w:val="left"/>
              <w:rPr>
                <w:rFonts w:ascii="Times New Roman" w:hAnsi="Times New Roman" w:cs="Times New Roman" w:eastAsia="Times New Roman" w:hint="default"/>
                <w:sz w:val="18"/>
                <w:szCs w:val="18"/>
              </w:rPr>
            </w:pPr>
            <w:r>
              <w:rPr>
                <w:rFonts w:ascii="Times New Roman"/>
                <w:sz w:val="18"/>
              </w:rPr>
              <w:t>2.98%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22,568,662</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-5,930,000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14,249,331</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8,319,331</w:t>
            </w:r>
          </w:p>
        </w:tc>
        <w:tc>
          <w:tcPr>
            <w:tcW w:w="1327" w:type="dxa"/>
            <w:gridSpan w:val="2"/>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6"/>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夏盛世精选股票 型证券投资基金</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0.90%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6,817,211</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6,817,211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6,817,211</w:t>
            </w:r>
          </w:p>
        </w:tc>
        <w:tc>
          <w:tcPr>
            <w:tcW w:w="1327" w:type="dxa"/>
            <w:gridSpan w:val="2"/>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赵桂玲</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8" w:right="0"/>
              <w:jc w:val="left"/>
              <w:rPr>
                <w:rFonts w:ascii="Times New Roman" w:hAnsi="Times New Roman" w:cs="Times New Roman" w:eastAsia="Times New Roman" w:hint="default"/>
                <w:sz w:val="18"/>
                <w:szCs w:val="18"/>
              </w:rPr>
            </w:pPr>
            <w:r>
              <w:rPr>
                <w:rFonts w:ascii="Times New Roman"/>
                <w:sz w:val="18"/>
              </w:rPr>
              <w:t>0.73%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5,498,248</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5,498,248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5,498,248</w:t>
            </w:r>
          </w:p>
        </w:tc>
        <w:tc>
          <w:tcPr>
            <w:tcW w:w="1327" w:type="dxa"/>
            <w:gridSpan w:val="2"/>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华润深国投信托 有限公司－智慧 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 金信托计划</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0.57%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4,313,100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4,313,100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4,313,100</w:t>
            </w:r>
          </w:p>
        </w:tc>
        <w:tc>
          <w:tcPr>
            <w:tcW w:w="1327" w:type="dxa"/>
            <w:gridSpan w:val="2"/>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6"/>
              <w:jc w:val="both"/>
              <w:rPr>
                <w:rFonts w:ascii="宋体" w:hAnsi="宋体" w:cs="宋体" w:eastAsia="宋体" w:hint="default"/>
                <w:sz w:val="18"/>
                <w:szCs w:val="18"/>
              </w:rPr>
            </w:pPr>
            <w:r>
              <w:rPr>
                <w:rFonts w:ascii="宋体" w:hAnsi="宋体" w:cs="宋体" w:eastAsia="宋体" w:hint="default"/>
                <w:sz w:val="18"/>
                <w:szCs w:val="18"/>
              </w:rPr>
              <w:t>广发证券股份有 限公司约定购回 专用账户</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0.47%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3,592,600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1,979,549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3,592,600</w:t>
            </w:r>
          </w:p>
        </w:tc>
        <w:tc>
          <w:tcPr>
            <w:tcW w:w="1327" w:type="dxa"/>
            <w:gridSpan w:val="2"/>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6"/>
              <w:jc w:val="both"/>
              <w:rPr>
                <w:rFonts w:ascii="宋体" w:hAnsi="宋体" w:cs="宋体" w:eastAsia="宋体" w:hint="default"/>
                <w:sz w:val="18"/>
                <w:szCs w:val="18"/>
              </w:rPr>
            </w:pPr>
            <w:r>
              <w:rPr>
                <w:rFonts w:ascii="宋体" w:hAnsi="宋体" w:cs="宋体" w:eastAsia="宋体" w:hint="default"/>
                <w:sz w:val="18"/>
                <w:szCs w:val="18"/>
              </w:rPr>
              <w:t>中国工商银行－ 诺安股票证券投 资基金</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0.44%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3,299,909</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3,299,909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3,299,909</w:t>
            </w:r>
          </w:p>
        </w:tc>
        <w:tc>
          <w:tcPr>
            <w:tcW w:w="1327" w:type="dxa"/>
            <w:gridSpan w:val="2"/>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8" w:right="0"/>
              <w:jc w:val="left"/>
              <w:rPr>
                <w:rFonts w:ascii="Times New Roman" w:hAnsi="Times New Roman" w:cs="Times New Roman" w:eastAsia="Times New Roman" w:hint="default"/>
                <w:sz w:val="18"/>
                <w:szCs w:val="18"/>
              </w:rPr>
            </w:pPr>
            <w:r>
              <w:rPr>
                <w:rFonts w:ascii="Times New Roman"/>
                <w:sz w:val="18"/>
              </w:rPr>
              <w:t>0.40%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3,003,150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1,579,732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3,003,150</w:t>
            </w:r>
          </w:p>
        </w:tc>
        <w:tc>
          <w:tcPr>
            <w:tcW w:w="1327" w:type="dxa"/>
            <w:gridSpan w:val="2"/>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56"/>
              <w:jc w:val="both"/>
              <w:rPr>
                <w:rFonts w:ascii="宋体" w:hAnsi="宋体" w:cs="宋体" w:eastAsia="宋体" w:hint="default"/>
                <w:sz w:val="18"/>
                <w:szCs w:val="18"/>
              </w:rPr>
            </w:pPr>
            <w:r>
              <w:rPr>
                <w:rFonts w:ascii="宋体" w:hAnsi="宋体" w:cs="宋体" w:eastAsia="宋体" w:hint="default"/>
                <w:sz w:val="18"/>
                <w:szCs w:val="18"/>
              </w:rPr>
              <w:t>长安基金－广发 银行－长安丰利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号分级资产管 理计划</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0.37%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2,819,500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2,819,500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2,819,500</w:t>
            </w:r>
          </w:p>
        </w:tc>
        <w:tc>
          <w:tcPr>
            <w:tcW w:w="1327" w:type="dxa"/>
            <w:gridSpan w:val="2"/>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1416" w:hRule="exact"/>
        </w:trPr>
        <w:tc>
          <w:tcPr>
            <w:tcW w:w="26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01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2"/>
                <w:sz w:val="18"/>
                <w:szCs w:val="18"/>
              </w:rPr>
              <w:t>公司第二大股东何平女士与第三大股东任金生先生是夫妻关系，两者合计持有公司股份占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公司股本总额的比例为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12.16</w:t>
            </w:r>
            <w:r>
              <w:rPr>
                <w:rFonts w:ascii="宋体" w:hAnsi="宋体" w:cs="宋体" w:eastAsia="宋体" w:hint="default"/>
                <w:sz w:val="18"/>
                <w:szCs w:val="18"/>
              </w:rPr>
              <w:t>％，其他无限售条件股东之间关系不详。</w:t>
            </w:r>
          </w:p>
        </w:tc>
      </w:tr>
    </w:tbl>
    <w:p>
      <w:pPr>
        <w:spacing w:after="0" w:line="316" w:lineRule="auto"/>
        <w:jc w:val="left"/>
        <w:rPr>
          <w:rFonts w:ascii="宋体" w:hAnsi="宋体" w:cs="宋体" w:eastAsia="宋体" w:hint="default"/>
          <w:sz w:val="18"/>
          <w:szCs w:val="18"/>
        </w:rPr>
        <w:sectPr>
          <w:pgSz w:w="11910" w:h="16840"/>
          <w:pgMar w:header="878" w:footer="1225" w:top="1100" w:bottom="1420" w:left="1000" w:right="98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675"/>
        <w:gridCol w:w="4338"/>
        <w:gridCol w:w="1327"/>
        <w:gridCol w:w="1354"/>
      </w:tblGrid>
      <w:tr>
        <w:trPr>
          <w:trHeight w:val="402"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6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1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675" w:type="dxa"/>
            <w:vMerge/>
            <w:tcBorders>
              <w:left w:val="single" w:sz="4" w:space="0" w:color="000000"/>
              <w:bottom w:val="single" w:sz="4" w:space="0" w:color="000000"/>
              <w:right w:val="single" w:sz="4" w:space="0" w:color="000000"/>
            </w:tcBorders>
            <w:shd w:val="clear" w:color="auto" w:fill="D3D3D3"/>
          </w:tcPr>
          <w:p>
            <w:pPr/>
          </w:p>
        </w:tc>
        <w:tc>
          <w:tcPr>
            <w:tcW w:w="433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93,450,931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93,450,931</w:t>
            </w:r>
          </w:p>
        </w:tc>
      </w:tr>
      <w:tr>
        <w:trPr>
          <w:trHeight w:val="40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69,536,555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69,536,555</w:t>
            </w:r>
          </w:p>
        </w:tc>
      </w:tr>
      <w:tr>
        <w:trPr>
          <w:trHeight w:val="40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8,319,331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8,319,331</w:t>
            </w:r>
          </w:p>
        </w:tc>
      </w:tr>
      <w:tr>
        <w:trPr>
          <w:trHeight w:val="71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中国建设银行股份有限公司－华 夏盛世精选股票型证券投资基金</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6,817,211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6,817,211</w:t>
            </w:r>
          </w:p>
        </w:tc>
      </w:tr>
      <w:tr>
        <w:trPr>
          <w:trHeight w:val="40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赵桂玲</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5,498,248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5,498,248</w:t>
            </w:r>
          </w:p>
        </w:tc>
      </w:tr>
      <w:tr>
        <w:trPr>
          <w:trHeight w:val="71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华润深国投信托有限公司－智慧 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4,313,100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4,313,100</w:t>
            </w:r>
          </w:p>
        </w:tc>
      </w:tr>
      <w:tr>
        <w:trPr>
          <w:trHeight w:val="71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广发证券股份有限公司约定购回 专用账户</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3,592,600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3,592,600</w:t>
            </w:r>
          </w:p>
        </w:tc>
      </w:tr>
      <w:tr>
        <w:trPr>
          <w:trHeight w:val="71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中国工商银行－诺安股票证券投 资基金</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3,299,909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3,299,909</w:t>
            </w:r>
          </w:p>
        </w:tc>
      </w:tr>
      <w:tr>
        <w:trPr>
          <w:trHeight w:val="40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3,003,150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3,003,150</w:t>
            </w:r>
          </w:p>
        </w:tc>
      </w:tr>
      <w:tr>
        <w:trPr>
          <w:trHeight w:val="71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长安基金－广发银行－长安丰利</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号分级资产管理计划</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2,819,500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2,819,500</w:t>
            </w:r>
          </w:p>
        </w:tc>
      </w:tr>
      <w:tr>
        <w:trPr>
          <w:trHeight w:val="1338" w:hRule="exact"/>
        </w:trPr>
        <w:tc>
          <w:tcPr>
            <w:tcW w:w="26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 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7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22"/>
              <w:jc w:val="left"/>
              <w:rPr>
                <w:rFonts w:ascii="宋体" w:hAnsi="宋体" w:cs="宋体" w:eastAsia="宋体" w:hint="default"/>
                <w:sz w:val="18"/>
                <w:szCs w:val="18"/>
              </w:rPr>
            </w:pPr>
            <w:r>
              <w:rPr>
                <w:rFonts w:ascii="宋体" w:hAnsi="宋体" w:cs="宋体" w:eastAsia="宋体" w:hint="default"/>
                <w:spacing w:val="-2"/>
                <w:sz w:val="18"/>
                <w:szCs w:val="18"/>
              </w:rPr>
              <w:t>公司第二大股东何平女士与第三大股东任金生先生是夫妻关系，两者合计持有公司股份占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公司股本总额的比例为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12.16</w:t>
            </w:r>
            <w:r>
              <w:rPr>
                <w:rFonts w:ascii="宋体" w:hAnsi="宋体" w:cs="宋体" w:eastAsia="宋体" w:hint="default"/>
                <w:sz w:val="18"/>
                <w:szCs w:val="18"/>
              </w:rPr>
              <w:t>％，其他无限售条件股东之间关系不详。</w:t>
            </w:r>
          </w:p>
        </w:tc>
      </w:tr>
    </w:tbl>
    <w:p>
      <w:pPr>
        <w:pStyle w:val="BodyText"/>
        <w:spacing w:line="240" w:lineRule="auto" w:before="50"/>
        <w:ind w:left="132" w:right="184"/>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340" w:lineRule="auto" w:before="103"/>
        <w:ind w:left="132" w:right="6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广发证券股份有限公司约定购回专用账户，报告期内购回交易所涉股份数量为</w:t>
      </w:r>
      <w:r>
        <w:rPr>
          <w:rFonts w:ascii="Times New Roman" w:hAnsi="Times New Roman" w:cs="Times New Roman" w:eastAsia="Times New Roman" w:hint="default"/>
        </w:rPr>
        <w:t>3,592,600</w:t>
      </w:r>
      <w:r>
        <w:rPr/>
        <w:t>股，占公司总股本的</w:t>
      </w:r>
      <w:r>
        <w:rPr>
          <w:rFonts w:ascii="Times New Roman" w:hAnsi="Times New Roman" w:cs="Times New Roman" w:eastAsia="Times New Roman" w:hint="default"/>
        </w:rPr>
        <w:t>0.47%</w:t>
      </w:r>
      <w:r>
        <w:rPr/>
        <w:t>。</w:t>
      </w:r>
    </w:p>
    <w:p>
      <w:pPr>
        <w:spacing w:line="240" w:lineRule="auto" w:before="5"/>
        <w:rPr>
          <w:rFonts w:ascii="宋体" w:hAnsi="宋体" w:cs="宋体" w:eastAsia="宋体" w:hint="default"/>
          <w:sz w:val="19"/>
          <w:szCs w:val="19"/>
        </w:rPr>
      </w:pPr>
    </w:p>
    <w:p>
      <w:pPr>
        <w:pStyle w:val="Heading5"/>
        <w:spacing w:line="240" w:lineRule="auto"/>
        <w:ind w:left="132" w:right="18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7254"/>
        <w:jc w:val="left"/>
      </w:pPr>
      <w:r>
        <w:rPr/>
        <w:t>不存在 公司不存在控股股东情况的说明</w:t>
      </w:r>
    </w:p>
    <w:p>
      <w:pPr>
        <w:pStyle w:val="BodyText"/>
        <w:spacing w:line="300" w:lineRule="auto" w:before="27"/>
        <w:ind w:left="132" w:right="184"/>
        <w:jc w:val="left"/>
        <w:rPr>
          <w:rFonts w:ascii="Times New Roman" w:hAnsi="Times New Roman" w:cs="Times New Roman" w:eastAsia="Times New Roman" w:hint="default"/>
        </w:rPr>
      </w:pPr>
      <w:r>
        <w:rPr/>
        <w:t>公司无持有公司股本 </w:t>
      </w:r>
      <w:r>
        <w:rPr>
          <w:rFonts w:ascii="Times New Roman" w:hAnsi="Times New Roman" w:cs="Times New Roman" w:eastAsia="Times New Roman" w:hint="default"/>
        </w:rPr>
        <w:t>50 %</w:t>
      </w:r>
      <w:r>
        <w:rPr/>
        <w:t>以上的股东。公司前三大股东吕晓义、何平和任金生分别持有公司</w:t>
      </w:r>
      <w:r>
        <w:rPr>
          <w:spacing w:val="-10"/>
        </w:rPr>
        <w:t> </w:t>
      </w:r>
      <w:r>
        <w:rPr>
          <w:rFonts w:ascii="Times New Roman" w:hAnsi="Times New Roman" w:cs="Times New Roman" w:eastAsia="Times New Roman" w:hint="default"/>
        </w:rPr>
        <w:t>12.34%</w:t>
      </w:r>
      <w:r>
        <w:rPr/>
        <w:t>，</w:t>
      </w:r>
      <w:r>
        <w:rPr>
          <w:rFonts w:ascii="Times New Roman" w:hAnsi="Times New Roman" w:cs="Times New Roman" w:eastAsia="Times New Roman" w:hint="default"/>
        </w:rPr>
        <w:t>9.18%</w:t>
      </w:r>
      <w:r>
        <w:rPr/>
        <w:t>和</w:t>
      </w:r>
      <w:r>
        <w:rPr>
          <w:rFonts w:ascii="Times New Roman" w:hAnsi="Times New Roman" w:cs="Times New Roman" w:eastAsia="Times New Roman" w:hint="default"/>
        </w:rPr>
        <w:t>2.98%</w:t>
      </w:r>
      <w:r>
        <w:rPr/>
        <w:t>的股 权，均小于</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，均为相对控股</w:t>
      </w:r>
      <w:r>
        <w:rPr>
          <w:rFonts w:ascii="Times New Roman" w:hAnsi="Times New Roman" w:cs="Times New Roman" w:eastAsia="Times New Roman" w:hint="default"/>
        </w:rPr>
        <w:t>.</w:t>
      </w:r>
    </w:p>
    <w:p>
      <w:pPr>
        <w:pStyle w:val="BodyText"/>
        <w:spacing w:line="240" w:lineRule="auto" w:before="51"/>
        <w:ind w:left="132" w:right="184"/>
        <w:jc w:val="left"/>
      </w:pPr>
      <w:r>
        <w:rPr/>
        <w:t>控股股东报告期内变更</w:t>
      </w:r>
    </w:p>
    <w:p>
      <w:pPr>
        <w:pStyle w:val="BodyText"/>
        <w:spacing w:line="340" w:lineRule="auto" w:before="117"/>
        <w:ind w:left="132"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1"/>
        <w:rPr>
          <w:rFonts w:ascii="宋体" w:hAnsi="宋体" w:cs="宋体" w:eastAsia="宋体" w:hint="default"/>
          <w:sz w:val="21"/>
          <w:szCs w:val="21"/>
        </w:rPr>
      </w:pPr>
    </w:p>
    <w:p>
      <w:pPr>
        <w:pStyle w:val="Heading5"/>
        <w:spacing w:line="240" w:lineRule="auto"/>
        <w:ind w:left="132" w:right="184"/>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after="0" w:line="240" w:lineRule="auto"/>
        <w:jc w:val="left"/>
        <w:sectPr>
          <w:pgSz w:w="11910" w:h="16840"/>
          <w:pgMar w:header="878" w:footer="1225" w:top="1100" w:bottom="1420" w:left="1000" w:right="980"/>
        </w:sectPr>
      </w:pPr>
    </w:p>
    <w:p>
      <w:pPr>
        <w:spacing w:line="240" w:lineRule="auto" w:before="1"/>
        <w:rPr>
          <w:rFonts w:ascii="宋体" w:hAnsi="宋体" w:cs="宋体" w:eastAsia="宋体" w:hint="default"/>
          <w:b/>
          <w:bCs/>
          <w:sz w:val="22"/>
          <w:szCs w:val="22"/>
        </w:rPr>
      </w:pPr>
    </w:p>
    <w:p>
      <w:pPr>
        <w:pStyle w:val="BodyText"/>
        <w:spacing w:line="240" w:lineRule="auto" w:before="44"/>
        <w:ind w:right="0"/>
        <w:jc w:val="left"/>
      </w:pPr>
      <w:r>
        <w:rPr/>
        <w:t>自然人</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1"/>
                <w:sz w:val="18"/>
                <w:szCs w:val="18"/>
              </w:rPr>
              <w:t>吕晓义先生最近五年曾任公司董事长，何平女士最近五年曾任公司董事、总经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理，任金生先生最近五年曾任公司董事、董事长。</w:t>
            </w:r>
          </w:p>
        </w:tc>
      </w:tr>
    </w:tbl>
    <w:p>
      <w:pPr>
        <w:pStyle w:val="BodyText"/>
        <w:spacing w:line="240" w:lineRule="auto" w:before="52"/>
        <w:ind w:right="0"/>
        <w:jc w:val="left"/>
      </w:pPr>
      <w:r>
        <w:rPr/>
        <w:t>实际控制人报告期内变更</w:t>
      </w:r>
    </w:p>
    <w:p>
      <w:pPr>
        <w:pStyle w:val="BodyText"/>
        <w:spacing w:line="350" w:lineRule="auto" w:before="115"/>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22"/>
          <w:szCs w:val="22"/>
        </w:rPr>
      </w:pPr>
    </w:p>
    <w:p>
      <w:pPr>
        <w:spacing w:line="5398" w:lineRule="exact"/>
        <w:ind w:left="1570" w:right="0" w:firstLine="0"/>
        <w:rPr>
          <w:rFonts w:ascii="宋体" w:hAnsi="宋体" w:cs="宋体" w:eastAsia="宋体" w:hint="default"/>
          <w:sz w:val="20"/>
          <w:szCs w:val="20"/>
        </w:rPr>
      </w:pPr>
      <w:r>
        <w:rPr>
          <w:rFonts w:ascii="宋体" w:hAnsi="宋体" w:cs="宋体" w:eastAsia="宋体" w:hint="default"/>
          <w:position w:val="-107"/>
          <w:sz w:val="20"/>
          <w:szCs w:val="20"/>
        </w:rPr>
        <w:drawing>
          <wp:inline distT="0" distB="0" distL="0" distR="0">
            <wp:extent cx="4269307" cy="342814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3" cstate="print"/>
                    <a:stretch>
                      <a:fillRect/>
                    </a:stretch>
                  </pic:blipFill>
                  <pic:spPr>
                    <a:xfrm>
                      <a:off x="0" y="0"/>
                      <a:ext cx="4269307" cy="3428142"/>
                    </a:xfrm>
                    <a:prstGeom prst="rect">
                      <a:avLst/>
                    </a:prstGeom>
                  </pic:spPr>
                </pic:pic>
              </a:graphicData>
            </a:graphic>
          </wp:inline>
        </w:drawing>
      </w:r>
      <w:r>
        <w:rPr>
          <w:rFonts w:ascii="宋体" w:hAnsi="宋体" w:cs="宋体" w:eastAsia="宋体" w:hint="default"/>
          <w:position w:val="-107"/>
          <w:sz w:val="20"/>
          <w:szCs w:val="20"/>
        </w:rPr>
      </w:r>
    </w:p>
    <w:p>
      <w:pPr>
        <w:spacing w:line="240" w:lineRule="auto" w:before="6"/>
        <w:rPr>
          <w:rFonts w:ascii="宋体" w:hAnsi="宋体" w:cs="宋体" w:eastAsia="宋体" w:hint="default"/>
          <w:sz w:val="24"/>
          <w:szCs w:val="24"/>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2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在公司所知的范围内，没有公司股东及其一致行动人在报告期提出或实施股份增持计划。</w:t>
      </w:r>
    </w:p>
    <w:p>
      <w:pPr>
        <w:spacing w:after="0" w:line="340" w:lineRule="auto"/>
        <w:jc w:val="left"/>
        <w:sectPr>
          <w:pgSz w:w="11910" w:h="16840"/>
          <w:pgMar w:header="878" w:footer="1225" w:top="110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7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40" w:lineRule="auto"/>
        <w:jc w:val="left"/>
        <w:sectPr>
          <w:pgSz w:w="11910" w:h="16840"/>
          <w:pgMar w:header="878" w:footer="1225" w:top="1100" w:bottom="1420" w:left="1020" w:right="1020"/>
        </w:sectPr>
      </w:pPr>
    </w:p>
    <w:p>
      <w:pPr>
        <w:spacing w:line="240" w:lineRule="auto" w:before="0"/>
        <w:rPr>
          <w:rFonts w:ascii="宋体" w:hAnsi="宋体" w:cs="宋体" w:eastAsia="宋体" w:hint="default"/>
          <w:sz w:val="20"/>
          <w:szCs w:val="20"/>
        </w:rPr>
      </w:pPr>
      <w:r>
        <w:rPr/>
        <w:pict>
          <v:group style="position:absolute;margin-left:143.5pt;margin-top:607.400024pt;width:26.5pt;height:35.450pt;mso-position-horizontal-relative:page;mso-position-vertical-relative:page;z-index:-1009912" coordorigin="2870,12148" coordsize="530,709">
            <v:shape style="position:absolute;left:2870;top:12148;width:530;height:709" coordorigin="2870,12148" coordsize="530,709" path="m2870,12148l3400,12148,3400,12857,2870,12857,2870,12148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1664" w:right="184"/>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left="132" w:right="184"/>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596"/>
        <w:gridCol w:w="1165"/>
        <w:gridCol w:w="535"/>
        <w:gridCol w:w="425"/>
        <w:gridCol w:w="425"/>
        <w:gridCol w:w="1559"/>
        <w:gridCol w:w="1559"/>
        <w:gridCol w:w="993"/>
        <w:gridCol w:w="675"/>
        <w:gridCol w:w="882"/>
        <w:gridCol w:w="880"/>
      </w:tblGrid>
      <w:tr>
        <w:trPr>
          <w:trHeight w:val="1338" w:hRule="exact"/>
        </w:trPr>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82"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1" w:right="62"/>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1"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7" w:right="7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75" w:right="7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9"/>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马静玉</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郑武</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许为宁</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9"/>
              <w:jc w:val="left"/>
              <w:rPr>
                <w:rFonts w:ascii="宋体" w:hAnsi="宋体" w:cs="宋体" w:eastAsia="宋体" w:hint="default"/>
                <w:sz w:val="18"/>
                <w:szCs w:val="18"/>
              </w:rPr>
            </w:pPr>
            <w:r>
              <w:rPr>
                <w:rFonts w:ascii="宋体" w:hAnsi="宋体" w:cs="宋体" w:eastAsia="宋体" w:hint="default"/>
                <w:sz w:val="18"/>
                <w:szCs w:val="18"/>
              </w:rPr>
              <w:t>董事会秘书、 副总裁</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谢战军</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9"/>
              <w:jc w:val="left"/>
              <w:rPr>
                <w:rFonts w:ascii="宋体" w:hAnsi="宋体" w:cs="宋体" w:eastAsia="宋体" w:hint="default"/>
                <w:sz w:val="18"/>
                <w:szCs w:val="18"/>
              </w:rPr>
            </w:pPr>
            <w:r>
              <w:rPr>
                <w:rFonts w:ascii="宋体" w:hAnsi="宋体" w:cs="宋体" w:eastAsia="宋体" w:hint="default"/>
                <w:sz w:val="18"/>
                <w:szCs w:val="18"/>
              </w:rPr>
              <w:t>监事、证券事 务代表</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28,498,662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22,568,662</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吕凤华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桑玉贵</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2"/>
              <w:jc w:val="left"/>
              <w:rPr>
                <w:rFonts w:ascii="宋体" w:hAnsi="宋体" w:cs="宋体" w:eastAsia="宋体" w:hint="default"/>
                <w:sz w:val="18"/>
                <w:szCs w:val="18"/>
              </w:rPr>
            </w:pPr>
            <w:r>
              <w:rPr>
                <w:rFonts w:ascii="宋体" w:hAnsi="宋体" w:cs="宋体" w:eastAsia="宋体" w:hint="default"/>
                <w:spacing w:val="-11"/>
                <w:sz w:val="18"/>
                <w:szCs w:val="18"/>
              </w:rPr>
              <w:t>董事、总经理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0"/>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杨耀宇</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w:t>
            </w:r>
          </w:p>
        </w:tc>
      </w:tr>
      <w:tr>
        <w:trPr>
          <w:trHeight w:val="400"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10,800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5,400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5,400</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1225" w:header="878" w:top="1100" w:bottom="1420" w:left="1000" w:right="980"/>
          <w:pgNumType w:start="50"/>
        </w:sectPr>
      </w:pPr>
    </w:p>
    <w:p>
      <w:pPr>
        <w:spacing w:line="240" w:lineRule="auto" w:before="8"/>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596"/>
        <w:gridCol w:w="1165"/>
        <w:gridCol w:w="535"/>
        <w:gridCol w:w="425"/>
        <w:gridCol w:w="425"/>
        <w:gridCol w:w="1559"/>
        <w:gridCol w:w="1559"/>
        <w:gridCol w:w="993"/>
        <w:gridCol w:w="675"/>
        <w:gridCol w:w="882"/>
        <w:gridCol w:w="880"/>
      </w:tblGrid>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0"/>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18,226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9,113</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9,113</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0"/>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0"/>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吕敬民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0"/>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陈明春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0"/>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9"/>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冯海元</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0"/>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赵勇敏</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0"/>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45"/>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28,535,398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5,948,031</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22,587,367</w:t>
            </w:r>
          </w:p>
        </w:tc>
      </w:tr>
    </w:tbl>
    <w:p>
      <w:pPr>
        <w:spacing w:line="240" w:lineRule="auto" w:before="0"/>
        <w:rPr>
          <w:rFonts w:ascii="宋体" w:hAnsi="宋体" w:cs="宋体" w:eastAsia="宋体" w:hint="default"/>
          <w:b/>
          <w:bCs/>
          <w:sz w:val="18"/>
          <w:szCs w:val="18"/>
        </w:rPr>
      </w:pPr>
    </w:p>
    <w:p>
      <w:pPr>
        <w:pStyle w:val="Heading4"/>
        <w:spacing w:line="240" w:lineRule="auto" w:before="26"/>
        <w:ind w:left="132" w:right="184"/>
        <w:jc w:val="left"/>
        <w:rPr>
          <w:b w:val="0"/>
          <w:bCs w:val="0"/>
        </w:rPr>
      </w:pP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132" w:right="184"/>
        <w:jc w:val="left"/>
      </w:pPr>
      <w:r>
        <w:rPr/>
        <w:t>公司现任董事、监事、高级管理人员最近</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rFonts w:ascii="Times New Roman" w:hAnsi="Times New Roman" w:cs="Times New Roman" w:eastAsia="Times New Roman" w:hint="default"/>
        </w:rPr>
        <w:t>1</w:t>
      </w:r>
      <w:r>
        <w:rPr/>
        <w:t>、纪晓文先生：中国籍，汉族，</w:t>
      </w:r>
      <w:r>
        <w:rPr>
          <w:rFonts w:ascii="Times New Roman" w:hAnsi="Times New Roman" w:cs="Times New Roman" w:eastAsia="Times New Roman" w:hint="default"/>
        </w:rPr>
        <w:t>1972</w:t>
      </w:r>
      <w:r>
        <w:rPr/>
        <w:t>年出生，天津大学经济法专业、工业工程管理专业毕业，山东大学</w:t>
      </w:r>
      <w:r>
        <w:rPr>
          <w:rFonts w:ascii="Times New Roman" w:hAnsi="Times New Roman" w:cs="Times New Roman" w:eastAsia="Times New Roman" w:hint="default"/>
        </w:rPr>
        <w:t>EMBA</w:t>
      </w:r>
      <w:r>
        <w:rPr/>
        <w:t>，获得国家 </w:t>
      </w:r>
      <w:r>
        <w:rPr>
          <w:spacing w:val="-2"/>
        </w:rPr>
        <w:t>律师资格、证券从业资格、独立董事任职资格、董事会秘书任职资格。先后担任中国银行山东省分行法律事务处主管、中国</w:t>
      </w:r>
      <w:r>
        <w:rPr>
          <w:spacing w:val="-65"/>
        </w:rPr>
        <w:t> </w:t>
      </w:r>
      <w:r>
        <w:rPr>
          <w:spacing w:val="-65"/>
        </w:rPr>
      </w:r>
      <w:r>
        <w:rPr>
          <w:spacing w:val="-2"/>
        </w:rPr>
        <w:t>东方资产管理公司青岛办事处投资部经理、中银信投资有限公司副总经理、山东东大化学工业有限公司公司董事、济南正昊</w:t>
      </w:r>
      <w:r>
        <w:rPr>
          <w:spacing w:val="-65"/>
        </w:rPr>
        <w:t> </w:t>
      </w:r>
      <w:r>
        <w:rPr>
          <w:spacing w:val="-65"/>
        </w:rPr>
      </w:r>
      <w:r>
        <w:rPr>
          <w:spacing w:val="-2"/>
        </w:rPr>
        <w:t>化纤新材料有限公司董事、山东万泰纺织有限公司董事、山东九发食用菌股份有限公司董事长兼总经理、瑞茂通供应链管理</w:t>
      </w:r>
      <w:r>
        <w:rPr>
          <w:spacing w:val="-65"/>
        </w:rPr>
        <w:t> </w:t>
      </w:r>
      <w:r>
        <w:rPr>
          <w:spacing w:val="-65"/>
        </w:rPr>
      </w:r>
      <w:r>
        <w:rPr>
          <w:spacing w:val="-5"/>
        </w:rPr>
        <w:t>股份有限公司董事。</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20</w:t>
      </w:r>
      <w:r>
        <w:rPr>
          <w:spacing w:val="-5"/>
        </w:rPr>
        <w:t>日起担任本公司第四届董事会董事，</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21</w:t>
      </w:r>
      <w:r>
        <w:rPr>
          <w:spacing w:val="-5"/>
        </w:rPr>
        <w:t>日起担任本公司第四届董事会董事长，</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日起担任本公司第五届董事会董事长。 </w:t>
      </w:r>
      <w:r>
        <w:rPr>
          <w:rFonts w:ascii="Times New Roman" w:hAnsi="Times New Roman" w:cs="Times New Roman" w:eastAsia="Times New Roman" w:hint="default"/>
        </w:rPr>
        <w:t>2</w:t>
      </w:r>
      <w:r>
        <w:rPr/>
        <w:t>、杨富年先生：中国籍，汉族，</w:t>
      </w:r>
      <w:r>
        <w:rPr>
          <w:rFonts w:ascii="Times New Roman" w:hAnsi="Times New Roman" w:cs="Times New Roman" w:eastAsia="Times New Roman" w:hint="default"/>
        </w:rPr>
        <w:t>1962</w:t>
      </w:r>
      <w:r>
        <w:rPr/>
        <w:t>年生，法律专业、工商管理专业研究生、博士，曾经接受麦肯锡等国际著名咨询公司</w:t>
      </w:r>
    </w:p>
    <w:p>
      <w:pPr>
        <w:pStyle w:val="BodyText"/>
        <w:spacing w:line="300" w:lineRule="auto"/>
        <w:ind w:left="132" w:right="101"/>
        <w:jc w:val="both"/>
      </w:pPr>
      <w:r>
        <w:rPr>
          <w:spacing w:val="-2"/>
        </w:rPr>
        <w:t>培训。</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2010</w:t>
      </w:r>
      <w:r>
        <w:rPr>
          <w:spacing w:val="-2"/>
        </w:rPr>
        <w:t>年先后任广州富立（中日合资）电业有限公司执行总裁、北京中原科工业应用技术研究所所长、美国欧</w:t>
      </w:r>
      <w:r>
        <w:rPr>
          <w:spacing w:val="-61"/>
        </w:rPr>
        <w:t> </w:t>
      </w:r>
      <w:r>
        <w:rPr>
          <w:spacing w:val="-61"/>
        </w:rPr>
      </w:r>
      <w:r>
        <w:rPr/>
        <w:t>芬环境投资有限公司总裁、中奥环保高科技公司董事长兼总经理、美国</w:t>
      </w:r>
      <w:r>
        <w:rPr>
          <w:rFonts w:ascii="Times New Roman" w:hAnsi="Times New Roman" w:cs="Times New Roman" w:eastAsia="Times New Roman" w:hint="default"/>
        </w:rPr>
        <w:t>LPC</w:t>
      </w:r>
      <w:r>
        <w:rPr/>
        <w:t>投资（中国）有限公司合伙人投融资顾问、北京 市邦盛律师事务所高级顾问，</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2013</w:t>
      </w:r>
      <w:r>
        <w:rPr/>
        <w:t>年任湖北博盈投资股份有限公司董事长兼总经理。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日起担任本公司 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日起担任本公司第四届董事会董事，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日起担任本公司第五届董事会董事。</w:t>
      </w:r>
    </w:p>
    <w:p>
      <w:pPr>
        <w:pStyle w:val="BodyText"/>
        <w:spacing w:line="307" w:lineRule="auto" w:before="53"/>
        <w:ind w:left="132" w:right="94"/>
        <w:jc w:val="left"/>
      </w:pPr>
      <w:r>
        <w:rPr>
          <w:rFonts w:ascii="Times New Roman" w:hAnsi="Times New Roman" w:cs="Times New Roman" w:eastAsia="Times New Roman" w:hint="default"/>
          <w:spacing w:val="-2"/>
        </w:rPr>
        <w:t>3</w:t>
      </w:r>
      <w:r>
        <w:rPr>
          <w:spacing w:val="-2"/>
        </w:rPr>
        <w:t>、田青先生：中国籍，汉族，</w:t>
      </w:r>
      <w:r>
        <w:rPr>
          <w:rFonts w:ascii="Times New Roman" w:hAnsi="Times New Roman" w:cs="Times New Roman" w:eastAsia="Times New Roman" w:hint="default"/>
          <w:spacing w:val="-2"/>
        </w:rPr>
        <w:t>1979</w:t>
      </w:r>
      <w:r>
        <w:rPr>
          <w:spacing w:val="-2"/>
        </w:rPr>
        <w:t>年出生，香港中文大学工商管理硕士，先后获得中国注册会计师、国际注册审计师资格。</w:t>
      </w:r>
      <w:r>
        <w:rPr>
          <w:spacing w:val="-59"/>
        </w:rPr>
        <w:t> </w:t>
      </w:r>
      <w:r>
        <w:rPr>
          <w:spacing w:val="-59"/>
        </w:rPr>
      </w:r>
      <w:r>
        <w:rPr>
          <w:spacing w:val="-2"/>
        </w:rPr>
        <w:t>历任普华永道会计师事务所审计经理，华为赛门铁克科技有限公司财务经理兼审计总监，华为技术有限公司中国区企业业务</w:t>
      </w:r>
      <w:r>
        <w:rPr>
          <w:spacing w:val="-64"/>
        </w:rPr>
        <w:t> </w:t>
      </w:r>
      <w:r>
        <w:rPr>
          <w:spacing w:val="-64"/>
        </w:rPr>
      </w:r>
      <w:r>
        <w:rPr/>
        <w:t>稽查部部长。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日起担任本公司第四届董事会董事，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日起担任本公司财务总监，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 任本公司第五届董事会董事。</w:t>
      </w:r>
    </w:p>
    <w:p>
      <w:pPr>
        <w:pStyle w:val="BodyText"/>
        <w:spacing w:line="300" w:lineRule="auto" w:before="64"/>
        <w:ind w:left="132" w:right="192"/>
        <w:jc w:val="both"/>
      </w:pPr>
      <w:r>
        <w:rPr>
          <w:rFonts w:ascii="Times New Roman" w:hAnsi="Times New Roman" w:cs="Times New Roman" w:eastAsia="Times New Roman" w:hint="default"/>
        </w:rPr>
        <w:t>4</w:t>
      </w:r>
      <w:r>
        <w:rPr/>
        <w:t>、王东先生：中国籍，汉族，</w:t>
      </w:r>
      <w:r>
        <w:rPr>
          <w:rFonts w:ascii="Times New Roman" w:hAnsi="Times New Roman" w:cs="Times New Roman" w:eastAsia="Times New Roman" w:hint="default"/>
        </w:rPr>
        <w:t>1965</w:t>
      </w:r>
      <w:r>
        <w:rPr/>
        <w:t>年出生，武汉大学工学硕士、华南理工大学</w:t>
      </w:r>
      <w:r>
        <w:rPr>
          <w:rFonts w:ascii="Times New Roman" w:hAnsi="Times New Roman" w:cs="Times New Roman" w:eastAsia="Times New Roman" w:hint="default"/>
        </w:rPr>
        <w:t>EMBA</w:t>
      </w:r>
      <w:r>
        <w:rPr/>
        <w:t>，高级经济师，具有律师资格，曾经 </w:t>
      </w:r>
      <w:r>
        <w:rPr>
          <w:spacing w:val="-2"/>
        </w:rPr>
        <w:t>担任中国贸易仲裁委员会仲裁员。从</w:t>
      </w:r>
      <w:r>
        <w:rPr>
          <w:rFonts w:ascii="Times New Roman" w:hAnsi="Times New Roman" w:cs="Times New Roman" w:eastAsia="Times New Roman" w:hint="default"/>
          <w:spacing w:val="-2"/>
        </w:rPr>
        <w:t>1987</w:t>
      </w:r>
      <w:r>
        <w:rPr>
          <w:spacing w:val="-2"/>
        </w:rPr>
        <w:t>年起先后在中国工商银行省行、总行从事人力资源、信贷业务、资产保全、风险管</w:t>
      </w:r>
      <w:r>
        <w:rPr>
          <w:spacing w:val="-63"/>
        </w:rPr>
        <w:t> </w:t>
      </w:r>
      <w:r>
        <w:rPr>
          <w:spacing w:val="-63"/>
        </w:rPr>
      </w:r>
      <w:r>
        <w:rPr/>
        <w:t>理、法律事务工作。</w:t>
      </w:r>
      <w:r>
        <w:rPr>
          <w:rFonts w:ascii="Times New Roman" w:hAnsi="Times New Roman" w:cs="Times New Roman" w:eastAsia="Times New Roman" w:hint="default"/>
        </w:rPr>
        <w:t>2012</w:t>
      </w:r>
      <w:r>
        <w:rPr/>
        <w:t>年起在广东南粤银行负责法律合规部工作，担任广东银行业公会法律委员会常委。</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 起担任本公司第四届董事会董事，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日起担任本公司副总裁，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日起担任本公司第五届董事会董事。</w:t>
      </w:r>
    </w:p>
    <w:p>
      <w:pPr>
        <w:pStyle w:val="BodyText"/>
        <w:spacing w:line="319" w:lineRule="auto" w:before="53"/>
        <w:ind w:left="132" w:right="94"/>
        <w:jc w:val="left"/>
      </w:pPr>
      <w:r>
        <w:rPr>
          <w:rFonts w:ascii="Times New Roman" w:hAnsi="Times New Roman" w:cs="Times New Roman" w:eastAsia="Times New Roman" w:hint="default"/>
        </w:rPr>
        <w:t>5</w:t>
      </w:r>
      <w:r>
        <w:rPr/>
        <w:t>、马静玉女士：中国籍，回族，</w:t>
      </w:r>
      <w:r>
        <w:rPr>
          <w:rFonts w:ascii="Times New Roman" w:hAnsi="Times New Roman" w:cs="Times New Roman" w:eastAsia="Times New Roman" w:hint="default"/>
        </w:rPr>
        <w:t>1963</w:t>
      </w:r>
      <w:r>
        <w:rPr/>
        <w:t>年出生，首都经济贸易大学会计学硕士，先后获得注册会计师、注册税务师、注册资 </w:t>
      </w:r>
      <w:r>
        <w:rPr>
          <w:spacing w:val="-2"/>
        </w:rPr>
        <w:t>产评估师、注册造价工程师、高级会计师等资格。曾任中经会计师事务所项目经理、北京正大会计师事务所项目经理。现任</w:t>
      </w:r>
      <w:r>
        <w:rPr>
          <w:spacing w:val="-65"/>
        </w:rPr>
        <w:t> </w:t>
      </w:r>
      <w:r>
        <w:rPr>
          <w:spacing w:val="-65"/>
        </w:rPr>
      </w:r>
      <w:r>
        <w:rPr/>
        <w:t>北京筑标会计师事务所有限公司合伙人，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日起担任本公司第五届董事会独立董事。 </w:t>
      </w:r>
      <w:r>
        <w:rPr>
          <w:rFonts w:ascii="Times New Roman" w:hAnsi="Times New Roman" w:cs="Times New Roman" w:eastAsia="Times New Roman" w:hint="default"/>
        </w:rPr>
        <w:t>6</w:t>
      </w:r>
      <w:r>
        <w:rPr/>
        <w:t>、邢伟先生：中国籍，汉族，</w:t>
      </w:r>
      <w:r>
        <w:rPr>
          <w:rFonts w:ascii="Times New Roman" w:hAnsi="Times New Roman" w:cs="Times New Roman" w:eastAsia="Times New Roman" w:hint="default"/>
        </w:rPr>
        <w:t>1971</w:t>
      </w:r>
      <w:r>
        <w:rPr/>
        <w:t>年出生，西南农业大学经济学学士，先后获得审计师、注册会计师、律师等资格。曾任</w:t>
      </w:r>
    </w:p>
    <w:p>
      <w:pPr>
        <w:pStyle w:val="BodyText"/>
        <w:spacing w:line="324" w:lineRule="auto"/>
        <w:ind w:left="132" w:right="94"/>
        <w:jc w:val="left"/>
      </w:pPr>
      <w:r>
        <w:rPr/>
        <w:t>山东华鲁审计事务所项目经理、山东天恒信有限责任会计师事务所济南分所项目经理、山东德衡律师事务所济南分所律师、 </w:t>
      </w:r>
      <w:r>
        <w:rPr>
          <w:spacing w:val="-2"/>
        </w:rPr>
        <w:t>山东华兴会计师事务所有限公司项目经理、山东新永信会计师事务所有限公司部门经理。现任山东大华会计师事务所有限公</w:t>
      </w:r>
      <w:r>
        <w:rPr>
          <w:spacing w:val="-64"/>
        </w:rPr>
        <w:t> </w:t>
      </w:r>
      <w:r>
        <w:rPr>
          <w:spacing w:val="-64"/>
        </w:rPr>
      </w:r>
      <w:r>
        <w:rPr/>
        <w:t>司副董事长，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日起担任本公司第五届董事会独立董事。 </w:t>
      </w:r>
      <w:r>
        <w:rPr>
          <w:rFonts w:ascii="Times New Roman" w:hAnsi="Times New Roman" w:cs="Times New Roman" w:eastAsia="Times New Roman" w:hint="default"/>
        </w:rPr>
        <w:t>7</w:t>
      </w:r>
      <w:r>
        <w:rPr/>
        <w:t>、郑武先生：中国籍，汉族，</w:t>
      </w:r>
      <w:r>
        <w:rPr>
          <w:rFonts w:ascii="Times New Roman" w:hAnsi="Times New Roman" w:cs="Times New Roman" w:eastAsia="Times New Roman" w:hint="default"/>
        </w:rPr>
        <w:t>1968</w:t>
      </w:r>
      <w:r>
        <w:rPr/>
        <w:t>年出生，中共党员，安徽师范大学文学学士，中国人民大学管理学学士。曾任中国东方</w:t>
      </w:r>
    </w:p>
    <w:p>
      <w:pPr>
        <w:spacing w:after="0" w:line="324" w:lineRule="auto"/>
        <w:jc w:val="left"/>
        <w:sectPr>
          <w:pgSz w:w="11910" w:h="16840"/>
          <w:pgMar w:header="878" w:footer="1225" w:top="1100" w:bottom="1420" w:left="1000" w:right="940"/>
        </w:sectPr>
      </w:pPr>
    </w:p>
    <w:p>
      <w:pPr>
        <w:spacing w:line="240" w:lineRule="auto" w:before="1"/>
        <w:rPr>
          <w:rFonts w:ascii="宋体" w:hAnsi="宋体" w:cs="宋体" w:eastAsia="宋体" w:hint="default"/>
          <w:sz w:val="22"/>
          <w:szCs w:val="22"/>
        </w:rPr>
      </w:pPr>
    </w:p>
    <w:p>
      <w:pPr>
        <w:pStyle w:val="BodyText"/>
        <w:spacing w:line="309" w:lineRule="auto" w:before="44"/>
        <w:ind w:right="191"/>
        <w:jc w:val="both"/>
      </w:pPr>
      <w:r>
        <w:rPr>
          <w:spacing w:val="-2"/>
        </w:rPr>
        <w:t>信托上海上南路营业部财务经理、中国银河证券上海沪南路营业部财务经理、中国银河证券上海总部财务经理、亚洲证券有</w:t>
      </w:r>
      <w:r>
        <w:rPr>
          <w:spacing w:val="-65"/>
        </w:rPr>
        <w:t> </w:t>
      </w:r>
      <w:r>
        <w:rPr>
          <w:spacing w:val="-65"/>
        </w:rPr>
      </w:r>
      <w:r>
        <w:rPr/>
        <w:t>限责任公司稽核总部副总经理。现任国金证券股份有限公司审计稽核部副总经理，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日起担任本公司第五届董事 会独立董事。</w:t>
      </w:r>
    </w:p>
    <w:p>
      <w:pPr>
        <w:pStyle w:val="BodyText"/>
        <w:spacing w:line="319" w:lineRule="auto" w:before="62"/>
        <w:ind w:right="184"/>
        <w:jc w:val="left"/>
      </w:pPr>
      <w:r>
        <w:rPr>
          <w:rFonts w:ascii="Times New Roman" w:hAnsi="Times New Roman" w:cs="Times New Roman" w:eastAsia="Times New Roman" w:hint="default"/>
          <w:spacing w:val="-3"/>
        </w:rPr>
        <w:t>8</w:t>
      </w:r>
      <w:r>
        <w:rPr>
          <w:spacing w:val="-3"/>
        </w:rPr>
        <w:t>、许为宁先生：加拿大国籍，</w:t>
      </w:r>
      <w:r>
        <w:rPr>
          <w:rFonts w:ascii="Times New Roman" w:hAnsi="Times New Roman" w:cs="Times New Roman" w:eastAsia="Times New Roman" w:hint="default"/>
          <w:spacing w:val="-3"/>
        </w:rPr>
        <w:t>1963</w:t>
      </w:r>
      <w:r>
        <w:rPr>
          <w:spacing w:val="-3"/>
        </w:rPr>
        <w:t>年出生，本科专业电气工程自动化，加拿大多伦多皇家学院工商管理硕士。</w:t>
      </w:r>
      <w:r>
        <w:rPr>
          <w:rFonts w:ascii="Times New Roman" w:hAnsi="Times New Roman" w:cs="Times New Roman" w:eastAsia="Times New Roman" w:hint="default"/>
          <w:spacing w:val="-3"/>
        </w:rPr>
        <w:t>1988</w:t>
      </w:r>
      <w:r>
        <w:rPr>
          <w:spacing w:val="-3"/>
        </w:rPr>
        <w:t>年至</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2"/>
        </w:rPr>
        <w:t>年先后担任温哥华通用汽车公司销售经理、香港招商局中国基金投资管理有限公司副总经理、上海欧特环境高科技有限公司</w:t>
      </w:r>
      <w:r>
        <w:rPr>
          <w:spacing w:val="-64"/>
        </w:rPr>
        <w:t> </w:t>
      </w:r>
      <w:r>
        <w:rPr>
          <w:spacing w:val="-64"/>
        </w:rPr>
      </w:r>
      <w:r>
        <w:rPr>
          <w:spacing w:val="-2"/>
        </w:rPr>
        <w:t>副总经理、吉利控股集团上海吉利美嘉峰国际贸易有限公司国际部销售副总经理、上海汽车集团股份有限公司乘用车公司海</w:t>
      </w:r>
      <w:r>
        <w:rPr>
          <w:spacing w:val="-64"/>
        </w:rPr>
        <w:t> </w:t>
      </w:r>
      <w:r>
        <w:rPr>
          <w:spacing w:val="-64"/>
        </w:rPr>
      </w:r>
      <w:r>
        <w:rPr/>
        <w:t>外市场部执行总监。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月起担任本公司副总裁。 </w:t>
      </w:r>
      <w:r>
        <w:rPr>
          <w:rFonts w:ascii="Times New Roman" w:hAnsi="Times New Roman" w:cs="Times New Roman" w:eastAsia="Times New Roman" w:hint="default"/>
        </w:rPr>
        <w:t>9</w:t>
      </w:r>
      <w:r>
        <w:rPr/>
        <w:t>、朱丽梅女士：中国籍，汉族，</w:t>
      </w:r>
      <w:r>
        <w:rPr>
          <w:rFonts w:ascii="Times New Roman" w:hAnsi="Times New Roman" w:cs="Times New Roman" w:eastAsia="Times New Roman" w:hint="default"/>
        </w:rPr>
        <w:t>1974</w:t>
      </w:r>
      <w:r>
        <w:rPr/>
        <w:t>年出生，中国社会科学院经济管理专业毕业，硕士研究生，获得证券从业资格、独立</w:t>
      </w:r>
    </w:p>
    <w:p>
      <w:pPr>
        <w:pStyle w:val="BodyText"/>
        <w:spacing w:line="319" w:lineRule="auto"/>
        <w:ind w:right="86"/>
        <w:jc w:val="left"/>
      </w:pPr>
      <w:r>
        <w:rPr>
          <w:spacing w:val="-2"/>
        </w:rPr>
        <w:t>董事任职资格。曾先后任职于深圳市福田保税区管理局经济发展处副主任科员、北京瀛海威信息技术有限公司市场管理部经</w:t>
      </w:r>
      <w:r>
        <w:rPr>
          <w:spacing w:val="-64"/>
        </w:rPr>
        <w:t> </w:t>
      </w:r>
      <w:r>
        <w:rPr>
          <w:spacing w:val="-64"/>
        </w:rPr>
      </w:r>
      <w:r>
        <w:rPr/>
        <w:t>理、中关村证券股份有限公司清理组综合组组长，最近五年担任太平洋证券股份有限公司研究院综合管理部总经理。</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w:t>
      </w:r>
      <w:r>
        <w:rPr/>
        <w:t>月起担任本公司副总裁。 </w:t>
      </w:r>
      <w:r>
        <w:rPr>
          <w:rFonts w:ascii="Times New Roman" w:hAnsi="Times New Roman" w:cs="Times New Roman" w:eastAsia="Times New Roman" w:hint="default"/>
          <w:spacing w:val="-2"/>
        </w:rPr>
        <w:t>10</w:t>
      </w:r>
      <w:r>
        <w:rPr>
          <w:spacing w:val="-2"/>
        </w:rPr>
        <w:t>、方莉女士：中国籍，汉族，</w:t>
      </w:r>
      <w:r>
        <w:rPr>
          <w:rFonts w:ascii="Times New Roman" w:hAnsi="Times New Roman" w:cs="Times New Roman" w:eastAsia="Times New Roman" w:hint="default"/>
          <w:spacing w:val="-2"/>
        </w:rPr>
        <w:t>1978</w:t>
      </w:r>
      <w:r>
        <w:rPr>
          <w:spacing w:val="-2"/>
        </w:rPr>
        <w:t>年出生，毕业于武汉大学法学专业，厦门大学</w:t>
      </w:r>
      <w:r>
        <w:rPr>
          <w:rFonts w:ascii="Times New Roman" w:hAnsi="Times New Roman" w:cs="Times New Roman" w:eastAsia="Times New Roman" w:hint="default"/>
          <w:spacing w:val="-2"/>
        </w:rPr>
        <w:t>EMBA</w:t>
      </w:r>
      <w:r>
        <w:rPr>
          <w:spacing w:val="-2"/>
        </w:rPr>
        <w:t>，已取得董事会秘书资格证。曾任</w:t>
      </w:r>
    </w:p>
    <w:p>
      <w:pPr>
        <w:pStyle w:val="BodyText"/>
        <w:spacing w:line="314" w:lineRule="auto"/>
        <w:ind w:right="184"/>
        <w:jc w:val="left"/>
      </w:pPr>
      <w:r>
        <w:rPr>
          <w:spacing w:val="-2"/>
        </w:rPr>
        <w:t>上海证券报华中总部编辑，东方金钰股份有限公司证券事务代表；最近五年担任东方金钰股份有限公司总裁助理、证券事务</w:t>
      </w:r>
      <w:r>
        <w:rPr>
          <w:spacing w:val="-65"/>
        </w:rPr>
        <w:t> </w:t>
      </w:r>
      <w:r>
        <w:rPr>
          <w:spacing w:val="-65"/>
        </w:rPr>
      </w:r>
      <w:r>
        <w:rPr/>
        <w:t>代表、董事会秘书。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月起担任本公司董事会秘书、副总裁。 </w:t>
      </w:r>
      <w:r>
        <w:rPr>
          <w:rFonts w:ascii="Times New Roman" w:hAnsi="Times New Roman" w:cs="Times New Roman" w:eastAsia="Times New Roman" w:hint="default"/>
          <w:spacing w:val="-2"/>
        </w:rPr>
        <w:t>11</w:t>
      </w:r>
      <w:r>
        <w:rPr>
          <w:spacing w:val="-2"/>
        </w:rPr>
        <w:t>、谢战军先生：中国籍，汉族，</w:t>
      </w:r>
      <w:r>
        <w:rPr>
          <w:rFonts w:ascii="Times New Roman" w:hAnsi="Times New Roman" w:cs="Times New Roman" w:eastAsia="Times New Roman" w:hint="default"/>
          <w:spacing w:val="-2"/>
        </w:rPr>
        <w:t>1978</w:t>
      </w:r>
      <w:r>
        <w:rPr>
          <w:spacing w:val="-2"/>
        </w:rPr>
        <w:t>年出生，黄河科技学院英语专业本科毕业，同济大学车辆工程专业研究生在读。历任</w:t>
      </w:r>
      <w:r>
        <w:rPr>
          <w:spacing w:val="-61"/>
        </w:rPr>
        <w:t> </w:t>
      </w:r>
      <w:r>
        <w:rPr>
          <w:spacing w:val="-61"/>
        </w:rPr>
      </w:r>
      <w:r>
        <w:rPr>
          <w:spacing w:val="-2"/>
        </w:rPr>
        <w:t>河南省南光实业有限公司副总经理；上海吉利美嘉峰国际贸易有限公司经理；上海汽车集团股份有限公司乘用车分公司战略</w:t>
      </w:r>
      <w:r>
        <w:rPr>
          <w:spacing w:val="-64"/>
        </w:rPr>
        <w:t> </w:t>
      </w:r>
      <w:r>
        <w:rPr>
          <w:spacing w:val="-64"/>
        </w:rPr>
      </w:r>
      <w:r>
        <w:rPr/>
        <w:t>规划经理。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月起任本公司执行总裁助理，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月起任本公司第四届监事会监事，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日起担任本公司第 五届董事会监事、监事会主席。</w:t>
      </w:r>
    </w:p>
    <w:p>
      <w:pPr>
        <w:pStyle w:val="BodyText"/>
        <w:spacing w:line="319" w:lineRule="auto" w:before="61"/>
        <w:ind w:right="94"/>
        <w:jc w:val="left"/>
      </w:pPr>
      <w:r>
        <w:rPr>
          <w:rFonts w:ascii="Times New Roman" w:hAnsi="Times New Roman" w:cs="Times New Roman" w:eastAsia="Times New Roman" w:hint="default"/>
          <w:spacing w:val="-2"/>
        </w:rPr>
        <w:t>12</w:t>
      </w:r>
      <w:r>
        <w:rPr>
          <w:spacing w:val="-2"/>
        </w:rPr>
        <w:t>、安鹏啸先生：中国籍，汉族，</w:t>
      </w:r>
      <w:r>
        <w:rPr>
          <w:rFonts w:ascii="Times New Roman" w:hAnsi="Times New Roman" w:cs="Times New Roman" w:eastAsia="Times New Roman" w:hint="default"/>
          <w:spacing w:val="-2"/>
        </w:rPr>
        <w:t>1976</w:t>
      </w:r>
      <w:r>
        <w:rPr>
          <w:spacing w:val="-2"/>
        </w:rPr>
        <w:t>年出生，西安交通大学法学专业本科毕业。历任山东中创软件股份有限公司职员、山</w:t>
      </w:r>
      <w:r>
        <w:rPr>
          <w:spacing w:val="-61"/>
        </w:rPr>
        <w:t> </w:t>
      </w:r>
      <w:r>
        <w:rPr>
          <w:spacing w:val="-61"/>
        </w:rPr>
      </w:r>
      <w:r>
        <w:rPr/>
        <w:t>东建邦集团部门总经理。现任蓝色经济区产业投资基金副总经理，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日起担任本公司第五届董事会监事。 </w:t>
      </w:r>
      <w:r>
        <w:rPr>
          <w:rFonts w:ascii="Times New Roman" w:hAnsi="Times New Roman" w:cs="Times New Roman" w:eastAsia="Times New Roman" w:hint="default"/>
        </w:rPr>
        <w:t>13</w:t>
      </w:r>
      <w:r>
        <w:rPr/>
        <w:t>、温秋萍女士：中国籍，汉族，</w:t>
      </w:r>
      <w:r>
        <w:rPr>
          <w:rFonts w:ascii="Times New Roman" w:hAnsi="Times New Roman" w:cs="Times New Roman" w:eastAsia="Times New Roman" w:hint="default"/>
        </w:rPr>
        <w:t>1990</w:t>
      </w:r>
      <w:r>
        <w:rPr/>
        <w:t>年出生，华南农业大学法学专业本科毕业，获法律职业资格证、董事会秘书资格证。</w:t>
      </w:r>
    </w:p>
    <w:p>
      <w:pPr>
        <w:pStyle w:val="BodyText"/>
        <w:spacing w:line="300" w:lineRule="auto"/>
        <w:ind w:right="198"/>
        <w:jc w:val="both"/>
      </w:pPr>
      <w:r>
        <w:rPr/>
        <w:t>曾任广州市尚之诚置业有限公司法务专员、广州阳晨置业有限公司法务专员。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月起任本公司证券部合规专员，</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5</w:t>
      </w:r>
      <w:r>
        <w:rPr/>
        <w:t>月起任本公司第四届监事会监事，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月起任本公司证券事务代表，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日起担任本公司第五届董事会职工 代表监事。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line="319" w:lineRule="auto" w:before="0"/>
        <w:ind w:left="112" w:right="86" w:firstLine="0"/>
        <w:jc w:val="left"/>
        <w:rPr>
          <w:rFonts w:ascii="宋体" w:hAnsi="宋体" w:cs="宋体" w:eastAsia="宋体" w:hint="default"/>
          <w:sz w:val="18"/>
          <w:szCs w:val="18"/>
        </w:rPr>
      </w:pPr>
      <w:r>
        <w:rPr>
          <w:rFonts w:ascii="宋体" w:hAnsi="宋体" w:cs="宋体" w:eastAsia="宋体" w:hint="default"/>
          <w:b/>
          <w:bCs/>
          <w:sz w:val="18"/>
          <w:szCs w:val="18"/>
        </w:rPr>
        <w:t>报告期内离职的董事、监事、高级管理人员最近</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年的主要工作经历：</w:t>
      </w:r>
      <w:r>
        <w:rPr>
          <w:rFonts w:ascii="宋体" w:hAnsi="宋体" w:cs="宋体" w:eastAsia="宋体" w:hint="default"/>
          <w:b/>
          <w:bCs/>
          <w:w w:val="99"/>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、任金生先生：中国籍，汉族，</w:t>
      </w:r>
      <w:r>
        <w:rPr>
          <w:rFonts w:ascii="Times New Roman" w:hAnsi="Times New Roman" w:cs="Times New Roman" w:eastAsia="Times New Roman" w:hint="default"/>
          <w:spacing w:val="-2"/>
          <w:sz w:val="18"/>
          <w:szCs w:val="18"/>
        </w:rPr>
        <w:t>1962</w:t>
      </w:r>
      <w:r>
        <w:rPr>
          <w:rFonts w:ascii="宋体" w:hAnsi="宋体" w:cs="宋体" w:eastAsia="宋体" w:hint="default"/>
          <w:spacing w:val="-2"/>
          <w:sz w:val="18"/>
          <w:szCs w:val="18"/>
        </w:rPr>
        <w:t>年出生，大学学历，助理研究员，曾任中国科学院长春应用化学研究所第十一研究室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助理研究员、中国科学院稀土材料开放实验室固定研究人员、长春热缩材料股份有限公司销售经理；曾任本公司第一届、第</w:t>
      </w:r>
    </w:p>
    <w:p>
      <w:pPr>
        <w:pStyle w:val="BodyText"/>
        <w:spacing w:line="319" w:lineRule="auto" w:before="17"/>
        <w:ind w:right="184"/>
        <w:jc w:val="left"/>
      </w:pPr>
      <w:r>
        <w:rPr/>
        <w:t>二届董事会董事、副总经理，第三届董事会董事，第四届董事会董事、董事长；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日起在本公司不再担任任何职 务。任金生先生与何平女士（持有本公司</w:t>
      </w:r>
      <w:r>
        <w:rPr>
          <w:rFonts w:ascii="Times New Roman" w:hAnsi="Times New Roman" w:cs="Times New Roman" w:eastAsia="Times New Roman" w:hint="default"/>
        </w:rPr>
        <w:t>5%</w:t>
      </w:r>
      <w:r>
        <w:rPr/>
        <w:t>以上股份的股东）为夫妻关系。 </w:t>
      </w:r>
      <w:r>
        <w:rPr>
          <w:rFonts w:ascii="Times New Roman" w:hAnsi="Times New Roman" w:cs="Times New Roman" w:eastAsia="Times New Roman" w:hint="default"/>
        </w:rPr>
        <w:t>2</w:t>
      </w:r>
      <w:r>
        <w:rPr/>
        <w:t>、吕凤华先生：中国籍，汉族，</w:t>
      </w:r>
      <w:r>
        <w:rPr>
          <w:rFonts w:ascii="Times New Roman" w:hAnsi="Times New Roman" w:cs="Times New Roman" w:eastAsia="Times New Roman" w:hint="default"/>
        </w:rPr>
        <w:t>1946</w:t>
      </w:r>
      <w:r>
        <w:rPr/>
        <w:t>年出生，大学学历，中共党员。</w:t>
      </w:r>
      <w:r>
        <w:rPr>
          <w:rFonts w:ascii="Times New Roman" w:hAnsi="Times New Roman" w:cs="Times New Roman" w:eastAsia="Times New Roman" w:hint="default"/>
        </w:rPr>
        <w:t>2001</w:t>
      </w:r>
      <w:r>
        <w:rPr/>
        <w:t>年起在公司工作，历任公司副总工程师、总工程</w:t>
      </w:r>
    </w:p>
    <w:p>
      <w:pPr>
        <w:pStyle w:val="BodyText"/>
        <w:spacing w:line="319" w:lineRule="auto"/>
        <w:ind w:right="182"/>
        <w:jc w:val="left"/>
      </w:pPr>
      <w:r>
        <w:rPr/>
        <w:t>师，曾任本公司第四届董事会董事。吕凤华先生与吕晓义先生（持有本公司</w:t>
      </w:r>
      <w:r>
        <w:rPr>
          <w:rFonts w:ascii="Times New Roman" w:hAnsi="Times New Roman" w:cs="Times New Roman" w:eastAsia="Times New Roman" w:hint="default"/>
        </w:rPr>
        <w:t>5%</w:t>
      </w:r>
      <w:r>
        <w:rPr/>
        <w:t>以上股份的股东）为兄弟关系。 </w:t>
      </w:r>
      <w:r>
        <w:rPr>
          <w:rFonts w:ascii="Times New Roman" w:hAnsi="Times New Roman" w:cs="Times New Roman" w:eastAsia="Times New Roman" w:hint="default"/>
        </w:rPr>
        <w:t>3</w:t>
      </w:r>
      <w:r>
        <w:rPr/>
        <w:t>、何芳女士：中国籍，汉族，</w:t>
      </w:r>
      <w:r>
        <w:rPr>
          <w:rFonts w:ascii="Times New Roman" w:hAnsi="Times New Roman" w:cs="Times New Roman" w:eastAsia="Times New Roman" w:hint="default"/>
        </w:rPr>
        <w:t>1971</w:t>
      </w:r>
      <w:r>
        <w:rPr/>
        <w:t>年出生，大学学历。最近五年在本公司任职，曾任本公司地区销售经理、市场部经理、 </w:t>
      </w:r>
      <w:r>
        <w:rPr>
          <w:spacing w:val="-1"/>
        </w:rPr>
        <w:t>总经理助理，副总经理，</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19</w:t>
      </w:r>
      <w:r>
        <w:rPr>
          <w:spacing w:val="-1"/>
        </w:rPr>
        <w:t>日起在本公司不再担任任何职务。何芳女士与何平女士为姐妹关系（持有本公司</w:t>
      </w:r>
      <w:r>
        <w:rPr>
          <w:rFonts w:ascii="Times New Roman" w:hAnsi="Times New Roman" w:cs="Times New Roman" w:eastAsia="Times New Roman" w:hint="default"/>
          <w:spacing w:val="-1"/>
        </w:rPr>
        <w:t>5%</w:t>
      </w:r>
      <w:r>
        <w:rPr>
          <w:spacing w:val="-1"/>
        </w:rPr>
        <w:t>以</w:t>
      </w:r>
    </w:p>
    <w:p>
      <w:pPr>
        <w:pStyle w:val="BodyText"/>
        <w:spacing w:line="233" w:lineRule="exact"/>
        <w:ind w:right="86"/>
        <w:jc w:val="left"/>
      </w:pPr>
      <w:r>
        <w:rPr/>
        <w:t>上股份的股东，公司第三大股东任金生先生与何平女士为夫妻关系），与副总经理吕敬民先生为夫妻关系。</w:t>
      </w:r>
    </w:p>
    <w:p>
      <w:pPr>
        <w:pStyle w:val="BodyText"/>
        <w:spacing w:line="319" w:lineRule="auto" w:before="117"/>
        <w:ind w:right="181"/>
        <w:jc w:val="left"/>
        <w:rPr>
          <w:rFonts w:ascii="Times New Roman" w:hAnsi="Times New Roman" w:cs="Times New Roman" w:eastAsia="Times New Roman" w:hint="default"/>
        </w:rPr>
      </w:pPr>
      <w:r>
        <w:rPr>
          <w:rFonts w:ascii="Times New Roman" w:hAnsi="Times New Roman" w:cs="Times New Roman" w:eastAsia="Times New Roman" w:hint="default"/>
          <w:spacing w:val="-1"/>
        </w:rPr>
        <w:t>4</w:t>
      </w:r>
      <w:r>
        <w:rPr>
          <w:spacing w:val="-1"/>
        </w:rPr>
        <w:t>、桑玉贵先生：中国籍，汉族，</w:t>
      </w:r>
      <w:r>
        <w:rPr>
          <w:rFonts w:ascii="Times New Roman" w:hAnsi="Times New Roman" w:cs="Times New Roman" w:eastAsia="Times New Roman" w:hint="default"/>
          <w:spacing w:val="-1"/>
        </w:rPr>
        <w:t>1973</w:t>
      </w:r>
      <w:r>
        <w:rPr>
          <w:spacing w:val="-1"/>
        </w:rPr>
        <w:t>年出生，</w:t>
      </w:r>
      <w:r>
        <w:rPr>
          <w:rFonts w:ascii="Times New Roman" w:hAnsi="Times New Roman" w:cs="Times New Roman" w:eastAsia="Times New Roman" w:hint="default"/>
          <w:spacing w:val="-1"/>
        </w:rPr>
        <w:t>MBA</w:t>
      </w:r>
      <w:r>
        <w:rPr>
          <w:spacing w:val="-1"/>
        </w:rPr>
        <w:t>毕业。最近五年在公司任职，历任长春高琦总经理，现任本公司第四届</w:t>
      </w:r>
      <w:r>
        <w:rPr>
          <w:spacing w:val="-82"/>
        </w:rPr>
        <w:t> </w:t>
      </w:r>
      <w:r>
        <w:rPr>
          <w:spacing w:val="-82"/>
        </w:rPr>
      </w:r>
      <w:r>
        <w:rPr/>
        <w:t>董事会董事、副总经理，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日起在本公司不再担任任何职务。 </w:t>
      </w:r>
      <w:r>
        <w:rPr>
          <w:rFonts w:ascii="Times New Roman" w:hAnsi="Times New Roman" w:cs="Times New Roman" w:eastAsia="Times New Roman" w:hint="default"/>
          <w:spacing w:val="-3"/>
        </w:rPr>
        <w:t>5</w:t>
      </w:r>
      <w:r>
        <w:rPr>
          <w:spacing w:val="-3"/>
        </w:rPr>
        <w:t>、朱天培先生：中国籍，汉族，</w:t>
      </w:r>
      <w:r>
        <w:rPr>
          <w:rFonts w:ascii="Times New Roman" w:hAnsi="Times New Roman" w:cs="Times New Roman" w:eastAsia="Times New Roman" w:hint="default"/>
          <w:spacing w:val="-3"/>
        </w:rPr>
        <w:t>1937</w:t>
      </w:r>
      <w:r>
        <w:rPr>
          <w:spacing w:val="-3"/>
        </w:rPr>
        <w:t>年出生，拥有美国居留权。最近五年曾任本公司第三届、第四届董事会独立董事，</w:t>
      </w:r>
      <w:r>
        <w:rPr>
          <w:rFonts w:ascii="Times New Roman" w:hAnsi="Times New Roman" w:cs="Times New Roman" w:eastAsia="Times New Roman" w:hint="default"/>
          <w:spacing w:val="-3"/>
        </w:rPr>
        <w:t>2014</w:t>
      </w:r>
    </w:p>
    <w:p>
      <w:pPr>
        <w:pStyle w:val="BodyText"/>
        <w:spacing w:line="319" w:lineRule="auto"/>
        <w:ind w:right="184"/>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日起在本公司不再担任任何职务。 </w:t>
      </w:r>
      <w:r>
        <w:rPr>
          <w:rFonts w:ascii="Times New Roman" w:hAnsi="Times New Roman" w:cs="Times New Roman" w:eastAsia="Times New Roman" w:hint="default"/>
        </w:rPr>
        <w:t>6</w:t>
      </w:r>
      <w:r>
        <w:rPr/>
        <w:t>、潘成东先生：中国籍，汉族，</w:t>
      </w:r>
      <w:r>
        <w:rPr>
          <w:rFonts w:ascii="Times New Roman" w:hAnsi="Times New Roman" w:cs="Times New Roman" w:eastAsia="Times New Roman" w:hint="default"/>
        </w:rPr>
        <w:t>1967</w:t>
      </w:r>
      <w:r>
        <w:rPr/>
        <w:t>年出生，曾用名潘承东，本科学历，律师，最近五年曾任本公司第四届董事会独立董 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日起在本公司不再担任任何职务。</w:t>
      </w:r>
    </w:p>
    <w:p>
      <w:pPr>
        <w:pStyle w:val="BodyText"/>
        <w:spacing w:line="240" w:lineRule="auto" w:before="38"/>
        <w:ind w:right="86"/>
        <w:jc w:val="left"/>
      </w:pPr>
      <w:r>
        <w:rPr>
          <w:rFonts w:ascii="Times New Roman" w:hAnsi="Times New Roman" w:cs="Times New Roman" w:eastAsia="Times New Roman" w:hint="default"/>
        </w:rPr>
        <w:t>7</w:t>
      </w:r>
      <w:r>
        <w:rPr/>
        <w:t>、詹伟哉先生：中国籍，汉族，</w:t>
      </w:r>
      <w:r>
        <w:rPr>
          <w:rFonts w:ascii="Times New Roman" w:hAnsi="Times New Roman" w:cs="Times New Roman" w:eastAsia="Times New Roman" w:hint="default"/>
        </w:rPr>
        <w:t>1964</w:t>
      </w:r>
      <w:r>
        <w:rPr/>
        <w:t>年出生，中共党员，博士学历，高级会计师，最近五年曾任本公司第一届、第四届董</w:t>
      </w:r>
    </w:p>
    <w:p>
      <w:pPr>
        <w:spacing w:after="0" w:line="240" w:lineRule="auto"/>
        <w:jc w:val="left"/>
        <w:sectPr>
          <w:footerReference w:type="default" r:id="rId35"/>
          <w:pgSz w:w="11910" w:h="16840"/>
          <w:pgMar w:footer="1225" w:header="878" w:top="1100" w:bottom="1420" w:left="1020" w:right="940"/>
          <w:pgNumType w:start="52"/>
        </w:sectPr>
      </w:pPr>
    </w:p>
    <w:p>
      <w:pPr>
        <w:spacing w:line="240" w:lineRule="auto" w:before="1"/>
        <w:rPr>
          <w:rFonts w:ascii="宋体" w:hAnsi="宋体" w:cs="宋体" w:eastAsia="宋体" w:hint="default"/>
          <w:sz w:val="22"/>
          <w:szCs w:val="22"/>
        </w:rPr>
      </w:pPr>
    </w:p>
    <w:p>
      <w:pPr>
        <w:pStyle w:val="BodyText"/>
        <w:spacing w:line="319" w:lineRule="auto" w:before="44"/>
        <w:ind w:right="184"/>
        <w:jc w:val="left"/>
      </w:pPr>
      <w:r>
        <w:rPr/>
        <w:t>事会独立董事，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日起在本公司不再担任任何职务。 </w:t>
      </w:r>
      <w:r>
        <w:rPr>
          <w:rFonts w:ascii="Times New Roman" w:hAnsi="Times New Roman" w:cs="Times New Roman" w:eastAsia="Times New Roman" w:hint="default"/>
        </w:rPr>
        <w:t>8</w:t>
      </w:r>
      <w:r>
        <w:rPr/>
        <w:t>、姜宏华先生：中国籍，汉族，</w:t>
      </w:r>
      <w:r>
        <w:rPr>
          <w:rFonts w:ascii="Times New Roman" w:hAnsi="Times New Roman" w:cs="Times New Roman" w:eastAsia="Times New Roman" w:hint="default"/>
        </w:rPr>
        <w:t>1972</w:t>
      </w:r>
      <w:r>
        <w:rPr/>
        <w:t>年出生，大学学历，最近五年在本公司任职，历任行政部副部长、信息部副部长、本 公司第四届监事会职工代表监事和监事会主席，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日起不再担任本公司监事职务。</w:t>
      </w:r>
    </w:p>
    <w:p>
      <w:pPr>
        <w:pStyle w:val="BodyText"/>
        <w:spacing w:line="319" w:lineRule="auto" w:before="38"/>
        <w:ind w:right="184"/>
        <w:jc w:val="left"/>
      </w:pPr>
      <w:r>
        <w:rPr>
          <w:rFonts w:ascii="Times New Roman" w:hAnsi="Times New Roman" w:cs="Times New Roman" w:eastAsia="Times New Roman" w:hint="default"/>
        </w:rPr>
        <w:t>9</w:t>
      </w:r>
      <w:r>
        <w:rPr/>
        <w:t>、杨耀宇先生：中国籍，汉族，</w:t>
      </w:r>
      <w:r>
        <w:rPr>
          <w:rFonts w:ascii="Times New Roman" w:hAnsi="Times New Roman" w:cs="Times New Roman" w:eastAsia="Times New Roman" w:hint="default"/>
        </w:rPr>
        <w:t>1970</w:t>
      </w:r>
      <w:r>
        <w:rPr/>
        <w:t>年出生，大专学历，工程师。最近五年在本公司任职，曾任采购部部长、本公司第四 届监事会监事，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日起在本公司不再担任任何职务。 </w:t>
      </w:r>
      <w:r>
        <w:rPr>
          <w:rFonts w:ascii="Times New Roman" w:hAnsi="Times New Roman" w:cs="Times New Roman" w:eastAsia="Times New Roman" w:hint="default"/>
          <w:spacing w:val="-2"/>
        </w:rPr>
        <w:t>10</w:t>
      </w:r>
      <w:r>
        <w:rPr>
          <w:spacing w:val="-2"/>
        </w:rPr>
        <w:t>、赵玉梅女士：中国籍，汉族，</w:t>
      </w:r>
      <w:r>
        <w:rPr>
          <w:rFonts w:ascii="Times New Roman" w:hAnsi="Times New Roman" w:cs="Times New Roman" w:eastAsia="Times New Roman" w:hint="default"/>
          <w:spacing w:val="-2"/>
        </w:rPr>
        <w:t>1978</w:t>
      </w:r>
      <w:r>
        <w:rPr>
          <w:spacing w:val="-2"/>
        </w:rPr>
        <w:t>年出生，大专学历，最近五年在本公司任职，曾任地区销售经理、本公司第四届监事</w:t>
      </w:r>
    </w:p>
    <w:p>
      <w:pPr>
        <w:pStyle w:val="BodyText"/>
        <w:spacing w:line="319" w:lineRule="auto"/>
        <w:ind w:right="86"/>
        <w:jc w:val="left"/>
        <w:rPr>
          <w:rFonts w:ascii="Times New Roman" w:hAnsi="Times New Roman" w:cs="Times New Roman" w:eastAsia="Times New Roman" w:hint="default"/>
        </w:rPr>
      </w:pPr>
      <w:r>
        <w:rPr/>
        <w:t>会监事，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日起不再担任本公司监事职务。 </w:t>
      </w:r>
      <w:r>
        <w:rPr>
          <w:rFonts w:ascii="Times New Roman" w:hAnsi="Times New Roman" w:cs="Times New Roman" w:eastAsia="Times New Roman" w:hint="default"/>
          <w:spacing w:val="-2"/>
        </w:rPr>
        <w:t>11</w:t>
      </w:r>
      <w:r>
        <w:rPr>
          <w:spacing w:val="-2"/>
        </w:rPr>
        <w:t>、何峰先生：中国籍，汉族，</w:t>
      </w:r>
      <w:r>
        <w:rPr>
          <w:rFonts w:ascii="Times New Roman" w:hAnsi="Times New Roman" w:cs="Times New Roman" w:eastAsia="Times New Roman" w:hint="default"/>
          <w:spacing w:val="-2"/>
        </w:rPr>
        <w:t>1964</w:t>
      </w:r>
      <w:r>
        <w:rPr>
          <w:spacing w:val="-2"/>
        </w:rPr>
        <w:t>年出生，大专学历。最近五年在本公司任职，曾任地区销售经理、大区销售经理、总经</w:t>
      </w:r>
      <w:r>
        <w:rPr>
          <w:spacing w:val="-65"/>
        </w:rPr>
        <w:t> </w:t>
      </w:r>
      <w:r>
        <w:rPr>
          <w:spacing w:val="-65"/>
        </w:rPr>
      </w:r>
      <w:r>
        <w:rPr/>
        <w:t>理助理、副总经理、北京高航总经理，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日起在本公司不再担任任何职务。何峰先生与何平女士（持有本公司</w:t>
      </w:r>
      <w:r>
        <w:rPr>
          <w:rFonts w:ascii="Times New Roman" w:hAnsi="Times New Roman" w:cs="Times New Roman" w:eastAsia="Times New Roman" w:hint="default"/>
        </w:rPr>
        <w:t>5%</w:t>
      </w:r>
    </w:p>
    <w:p>
      <w:pPr>
        <w:pStyle w:val="BodyText"/>
        <w:spacing w:line="233" w:lineRule="exact"/>
        <w:ind w:right="86"/>
        <w:jc w:val="left"/>
      </w:pPr>
      <w:r>
        <w:rPr/>
        <w:t>以上股份的股东，公司第三大股东任金生先生与何平女士为夫妻关系）为姐弟关系。</w:t>
      </w:r>
    </w:p>
    <w:p>
      <w:pPr>
        <w:pStyle w:val="BodyText"/>
        <w:spacing w:line="319" w:lineRule="auto" w:before="117"/>
        <w:ind w:right="184"/>
        <w:jc w:val="left"/>
      </w:pPr>
      <w:r>
        <w:rPr>
          <w:rFonts w:ascii="Times New Roman" w:hAnsi="Times New Roman" w:cs="Times New Roman" w:eastAsia="Times New Roman" w:hint="default"/>
        </w:rPr>
        <w:t>12</w:t>
      </w:r>
      <w:r>
        <w:rPr/>
        <w:t>、祁锦波女士：中国籍，汉族，</w:t>
      </w:r>
      <w:r>
        <w:rPr>
          <w:rFonts w:ascii="Times New Roman" w:hAnsi="Times New Roman" w:cs="Times New Roman" w:eastAsia="Times New Roman" w:hint="default"/>
        </w:rPr>
        <w:t>1976</w:t>
      </w:r>
      <w:r>
        <w:rPr/>
        <w:t>年出生，大学学历。最近五年在本公司任职，曾任总经理助理，副总经理，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w:t>
      </w:r>
      <w:r>
        <w:rPr/>
        <w:t>日起不再担任本公司副总经理职务。 </w:t>
      </w:r>
      <w:r>
        <w:rPr>
          <w:rFonts w:ascii="Times New Roman" w:hAnsi="Times New Roman" w:cs="Times New Roman" w:eastAsia="Times New Roman" w:hint="default"/>
          <w:spacing w:val="-2"/>
        </w:rPr>
        <w:t>13</w:t>
      </w:r>
      <w:r>
        <w:rPr>
          <w:spacing w:val="-2"/>
        </w:rPr>
        <w:t>、安国华女士：中国籍，朝鲜族，</w:t>
      </w:r>
      <w:r>
        <w:rPr>
          <w:rFonts w:ascii="Times New Roman" w:hAnsi="Times New Roman" w:cs="Times New Roman" w:eastAsia="Times New Roman" w:hint="default"/>
          <w:spacing w:val="-2"/>
        </w:rPr>
        <w:t>1971</w:t>
      </w:r>
      <w:r>
        <w:rPr>
          <w:spacing w:val="-2"/>
        </w:rPr>
        <w:t>年出生，大学学历。最近五年在本公司任职，曾任市场部经理、总经理助理，副总</w:t>
      </w:r>
    </w:p>
    <w:p>
      <w:pPr>
        <w:pStyle w:val="BodyText"/>
        <w:spacing w:line="319" w:lineRule="auto"/>
        <w:ind w:right="94"/>
        <w:jc w:val="left"/>
      </w:pPr>
      <w:r>
        <w:rPr/>
        <w:t>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日起不再担任本公司副总经理职务。安国华女士与公司监事姜宏华先生为夫妻关系。 </w:t>
      </w:r>
      <w:r>
        <w:rPr>
          <w:rFonts w:ascii="Times New Roman" w:hAnsi="Times New Roman" w:cs="Times New Roman" w:eastAsia="Times New Roman" w:hint="default"/>
        </w:rPr>
        <w:t>14</w:t>
      </w:r>
      <w:r>
        <w:rPr/>
        <w:t>、吕敬民先生：中国籍，汉族，</w:t>
      </w:r>
      <w:r>
        <w:rPr>
          <w:rFonts w:ascii="Times New Roman" w:hAnsi="Times New Roman" w:cs="Times New Roman" w:eastAsia="Times New Roman" w:hint="default"/>
        </w:rPr>
        <w:t>1971</w:t>
      </w:r>
      <w:r>
        <w:rPr/>
        <w:t>年出生，大学学历。最近五年在本公司任职，曾任本公司技术部部长、国际部部长、 </w:t>
      </w:r>
      <w:r>
        <w:rPr>
          <w:spacing w:val="-2"/>
        </w:rPr>
        <w:t>总经理助理、副总经理，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日起在本公司不再担任任何职务。吕敬民先生与副总经理何芳女士为夫妻关系（何芳女</w:t>
      </w:r>
    </w:p>
    <w:p>
      <w:pPr>
        <w:pStyle w:val="BodyText"/>
        <w:spacing w:line="319" w:lineRule="auto"/>
        <w:ind w:right="86"/>
        <w:jc w:val="left"/>
      </w:pPr>
      <w:r>
        <w:rPr/>
        <w:t>士与公司持股</w:t>
      </w:r>
      <w:r>
        <w:rPr>
          <w:rFonts w:ascii="Times New Roman" w:hAnsi="Times New Roman" w:cs="Times New Roman" w:eastAsia="Times New Roman" w:hint="default"/>
        </w:rPr>
        <w:t>5%</w:t>
      </w:r>
      <w:r>
        <w:rPr/>
        <w:t>以上的股东何平女士为姐妹关系，公司董事长任金生先生与何平女士为夫妻关系）。 </w:t>
      </w:r>
      <w:r>
        <w:rPr>
          <w:rFonts w:ascii="Times New Roman" w:hAnsi="Times New Roman" w:cs="Times New Roman" w:eastAsia="Times New Roman" w:hint="default"/>
          <w:spacing w:val="-5"/>
        </w:rPr>
        <w:t>15</w:t>
      </w:r>
      <w:r>
        <w:rPr>
          <w:spacing w:val="-5"/>
        </w:rPr>
        <w:t>、陈明春先生：中国籍，汉族，</w:t>
      </w:r>
      <w:r>
        <w:rPr>
          <w:rFonts w:ascii="Times New Roman" w:hAnsi="Times New Roman" w:cs="Times New Roman" w:eastAsia="Times New Roman" w:hint="default"/>
          <w:spacing w:val="-5"/>
        </w:rPr>
        <w:t>1962</w:t>
      </w:r>
      <w:r>
        <w:rPr>
          <w:spacing w:val="-5"/>
        </w:rPr>
        <w:t>年出生，大学学历，高级工程师。最近五年在本公司任职，曾任本公司副总经理，</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日起在本公司不再担任任何职务。</w:t>
      </w:r>
    </w:p>
    <w:p>
      <w:pPr>
        <w:pStyle w:val="BodyText"/>
        <w:spacing w:line="319" w:lineRule="auto" w:before="38"/>
        <w:ind w:right="86"/>
        <w:jc w:val="left"/>
      </w:pPr>
      <w:r>
        <w:rPr>
          <w:rFonts w:ascii="Times New Roman" w:hAnsi="Times New Roman" w:cs="Times New Roman" w:eastAsia="Times New Roman" w:hint="default"/>
          <w:spacing w:val="-2"/>
        </w:rPr>
        <w:t>16</w:t>
      </w:r>
      <w:r>
        <w:rPr>
          <w:spacing w:val="-2"/>
        </w:rPr>
        <w:t>、赵勋先生：中国籍，汉族，</w:t>
      </w:r>
      <w:r>
        <w:rPr>
          <w:rFonts w:ascii="Times New Roman" w:hAnsi="Times New Roman" w:cs="Times New Roman" w:eastAsia="Times New Roman" w:hint="default"/>
          <w:spacing w:val="-2"/>
        </w:rPr>
        <w:t>1973</w:t>
      </w:r>
      <w:r>
        <w:rPr>
          <w:spacing w:val="-2"/>
        </w:rPr>
        <w:t>年出生，大学学历。最近五年在本公司任职，曾任信息部部长、国际部部长、总经理助</w:t>
      </w:r>
      <w:r>
        <w:rPr>
          <w:spacing w:val="-65"/>
        </w:rPr>
        <w:t> </w:t>
      </w:r>
      <w:r>
        <w:rPr>
          <w:spacing w:val="-65"/>
        </w:rPr>
      </w:r>
      <w:r>
        <w:rPr/>
        <w:t>理、副总经理、董事会秘书，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日不再担任本公司副总经理、董事会秘书职务。 </w:t>
      </w:r>
      <w:r>
        <w:rPr>
          <w:rFonts w:ascii="Times New Roman" w:hAnsi="Times New Roman" w:cs="Times New Roman" w:eastAsia="Times New Roman" w:hint="default"/>
          <w:spacing w:val="-4"/>
        </w:rPr>
        <w:t>17</w:t>
      </w:r>
      <w:r>
        <w:rPr>
          <w:spacing w:val="-4"/>
        </w:rPr>
        <w:t>、冯海元女士：中国籍，汉族，</w:t>
      </w:r>
      <w:r>
        <w:rPr>
          <w:rFonts w:ascii="Times New Roman" w:hAnsi="Times New Roman" w:cs="Times New Roman" w:eastAsia="Times New Roman" w:hint="default"/>
          <w:spacing w:val="-4"/>
        </w:rPr>
        <w:t>1969</w:t>
      </w:r>
      <w:r>
        <w:rPr>
          <w:spacing w:val="-4"/>
        </w:rPr>
        <w:t>年出生，大学学历。最近五年在本公司任职，曾任本公司济南办事处经理、副总经理，</w:t>
      </w:r>
    </w:p>
    <w:p>
      <w:pPr>
        <w:pStyle w:val="BodyText"/>
        <w:spacing w:line="246" w:lineRule="exact"/>
        <w:ind w:right="8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日起不再担任本公司副总经理职务。</w:t>
      </w:r>
    </w:p>
    <w:p>
      <w:pPr>
        <w:pStyle w:val="BodyText"/>
        <w:spacing w:line="300" w:lineRule="auto" w:before="103"/>
        <w:ind w:right="86"/>
        <w:jc w:val="left"/>
      </w:pPr>
      <w:r>
        <w:rPr>
          <w:rFonts w:ascii="Times New Roman" w:hAnsi="Times New Roman" w:cs="Times New Roman" w:eastAsia="Times New Roman" w:hint="default"/>
          <w:spacing w:val="-2"/>
        </w:rPr>
        <w:t>18</w:t>
      </w:r>
      <w:r>
        <w:rPr>
          <w:spacing w:val="-2"/>
        </w:rPr>
        <w:t>、赵勇敏先生：中国籍，汉族，</w:t>
      </w:r>
      <w:r>
        <w:rPr>
          <w:rFonts w:ascii="Times New Roman" w:hAnsi="Times New Roman" w:cs="Times New Roman" w:eastAsia="Times New Roman" w:hint="default"/>
          <w:spacing w:val="-2"/>
        </w:rPr>
        <w:t>1960</w:t>
      </w:r>
      <w:r>
        <w:rPr>
          <w:spacing w:val="-2"/>
        </w:rPr>
        <w:t>年出生，中共党员，大专学历，高级会计师职称。最近五年在本公司任职，曾任财务</w:t>
      </w:r>
      <w:r>
        <w:rPr>
          <w:spacing w:val="-65"/>
        </w:rPr>
        <w:t> </w:t>
      </w:r>
      <w:r>
        <w:rPr>
          <w:spacing w:val="-65"/>
        </w:rPr>
      </w:r>
      <w:r>
        <w:rPr/>
        <w:t>部部长、财务负责人，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日起不再担任本公司财务负责人职务。</w:t>
      </w:r>
    </w:p>
    <w:p>
      <w:pPr>
        <w:pStyle w:val="BodyText"/>
        <w:spacing w:line="240" w:lineRule="auto" w:before="53"/>
        <w:ind w:right="86"/>
        <w:jc w:val="left"/>
      </w:pPr>
      <w:r>
        <w:rPr/>
        <w:t>在股东单位任职情况</w:t>
      </w:r>
    </w:p>
    <w:p>
      <w:pPr>
        <w:pStyle w:val="BodyText"/>
        <w:spacing w:line="240" w:lineRule="auto" w:before="115"/>
        <w:ind w:right="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1225" w:top="1100" w:bottom="1420" w:left="1020" w:right="940"/>
        </w:sectPr>
      </w:pPr>
    </w:p>
    <w:p>
      <w:pPr>
        <w:spacing w:line="240" w:lineRule="auto" w:before="1"/>
        <w:rPr>
          <w:rFonts w:ascii="宋体" w:hAnsi="宋体" w:cs="宋体" w:eastAsia="宋体" w:hint="default"/>
          <w:sz w:val="22"/>
          <w:szCs w:val="22"/>
        </w:rPr>
      </w:pPr>
    </w:p>
    <w:p>
      <w:pPr>
        <w:pStyle w:val="BodyText"/>
        <w:spacing w:line="240" w:lineRule="auto" w:before="44"/>
        <w:ind w:left="132" w:right="184"/>
        <w:jc w:val="left"/>
      </w:pPr>
      <w:r>
        <w:rPr/>
        <w:t>在其他单位任职情况</w:t>
      </w:r>
    </w:p>
    <w:p>
      <w:pPr>
        <w:pStyle w:val="BodyText"/>
        <w:spacing w:line="240" w:lineRule="auto" w:before="115"/>
        <w:ind w:left="13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1021" w:lineRule="exact"/>
        <w:ind w:left="4956"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2.7pt;height:51.05pt;mso-position-horizontal-relative:char;mso-position-vertical-relative:line" coordorigin="0,0" coordsize="854,1021">
            <v:group style="position:absolute;left:0;top:0;width:854;height:1021" coordorigin="0,0" coordsize="854,1021">
              <v:shape style="position:absolute;left:0;top:0;width:854;height:1021" coordorigin="0,0" coordsize="854,1021" path="m0,0l854,0,854,1021,0,1021,0,0xe" filled="true" fillcolor="#ffffff" stroked="false">
                <v:path arrowok="t"/>
                <v:fill type="solid"/>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01"/>
        <w:jc w:val="right"/>
      </w:pPr>
      <w:r>
        <w:rPr/>
        <w:pict>
          <v:shape style="position:absolute;margin-left:55.060001pt;margin-top:-404.657776pt;width:485.45pt;height:488.8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3"/>
                    <w:gridCol w:w="4104"/>
                    <w:gridCol w:w="859"/>
                    <w:gridCol w:w="1553"/>
                    <w:gridCol w:w="1563"/>
                    <w:gridCol w:w="872"/>
                  </w:tblGrid>
                  <w:tr>
                    <w:trPr>
                      <w:trHeight w:val="1338" w:hRule="exact"/>
                    </w:trPr>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6" w:right="95"/>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4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3" w:right="63"/>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71"/>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357" w:hRule="exact"/>
                    </w:trPr>
                    <w:tc>
                      <w:tcPr>
                        <w:tcW w:w="743" w:type="dxa"/>
                        <w:tcBorders>
                          <w:top w:val="single" w:sz="4" w:space="0" w:color="000000"/>
                          <w:left w:val="single" w:sz="4" w:space="0" w:color="000000"/>
                          <w:bottom w:val="nil" w:sz="6" w:space="0" w:color="auto"/>
                          <w:right w:val="single" w:sz="4" w:space="0" w:color="000000"/>
                        </w:tcBorders>
                      </w:tcPr>
                      <w:p>
                        <w:pPr/>
                      </w:p>
                    </w:tc>
                    <w:tc>
                      <w:tcPr>
                        <w:tcW w:w="4104"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3" w:type="dxa"/>
                        <w:tcBorders>
                          <w:top w:val="single" w:sz="4" w:space="0" w:color="000000"/>
                          <w:left w:val="single" w:sz="4" w:space="0" w:color="000000"/>
                          <w:bottom w:val="nil" w:sz="6" w:space="0" w:color="auto"/>
                          <w:right w:val="single" w:sz="4" w:space="0" w:color="000000"/>
                        </w:tcBorders>
                      </w:tcPr>
                      <w:p>
                        <w:pPr/>
                      </w:p>
                    </w:tc>
                    <w:tc>
                      <w:tcPr>
                        <w:tcW w:w="1563"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41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9"/>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长春高琦聚酰亚胺材料有限公司、江西先材纳米纤 维科技有限公司、吉林高琦聚酰亚胺材料有限公司</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4"/>
                          <w:jc w:val="left"/>
                          <w:rPr>
                            <w:rFonts w:ascii="宋体" w:hAnsi="宋体" w:cs="宋体" w:eastAsia="宋体" w:hint="default"/>
                            <w:sz w:val="18"/>
                            <w:szCs w:val="18"/>
                          </w:rPr>
                        </w:pPr>
                        <w:r>
                          <w:rPr>
                            <w:rFonts w:ascii="宋体" w:hAnsi="宋体" w:cs="宋体" w:eastAsia="宋体" w:hint="default"/>
                            <w:sz w:val="18"/>
                            <w:szCs w:val="18"/>
                          </w:rPr>
                          <w:t>法定代表 人、总经</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743" w:type="dxa"/>
                        <w:tcBorders>
                          <w:top w:val="nil" w:sz="6" w:space="0" w:color="auto"/>
                          <w:left w:val="single" w:sz="4" w:space="0" w:color="000000"/>
                          <w:bottom w:val="single" w:sz="4" w:space="0" w:color="000000"/>
                          <w:right w:val="single" w:sz="4" w:space="0" w:color="000000"/>
                        </w:tcBorders>
                      </w:tcPr>
                      <w:p>
                        <w:pPr/>
                      </w:p>
                    </w:tc>
                    <w:tc>
                      <w:tcPr>
                        <w:tcW w:w="4104"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553" w:type="dxa"/>
                        <w:tcBorders>
                          <w:top w:val="nil" w:sz="6" w:space="0" w:color="auto"/>
                          <w:left w:val="single" w:sz="4" w:space="0" w:color="000000"/>
                          <w:bottom w:val="single" w:sz="4" w:space="0" w:color="000000"/>
                          <w:right w:val="single" w:sz="4" w:space="0" w:color="000000"/>
                        </w:tcBorders>
                      </w:tcPr>
                      <w:p>
                        <w:pPr/>
                      </w:p>
                    </w:tc>
                    <w:tc>
                      <w:tcPr>
                        <w:tcW w:w="1563"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743" w:type="dxa"/>
                        <w:tcBorders>
                          <w:top w:val="single" w:sz="4" w:space="0" w:color="000000"/>
                          <w:left w:val="single" w:sz="4" w:space="0" w:color="000000"/>
                          <w:bottom w:val="nil" w:sz="6" w:space="0" w:color="auto"/>
                          <w:right w:val="single" w:sz="4" w:space="0" w:color="000000"/>
                        </w:tcBorders>
                      </w:tcPr>
                      <w:p>
                        <w:pPr/>
                      </w:p>
                    </w:tc>
                    <w:tc>
                      <w:tcPr>
                        <w:tcW w:w="4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长春高琦聚酰亚胺材料有限公司、江西先材纳米纤</w:t>
                        </w:r>
                      </w:p>
                    </w:tc>
                    <w:tc>
                      <w:tcPr>
                        <w:tcW w:w="859"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c>
                      <w:tcPr>
                        <w:tcW w:w="1563"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4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3"/>
                          <w:jc w:val="left"/>
                          <w:rPr>
                            <w:rFonts w:ascii="宋体" w:hAnsi="宋体" w:cs="宋体" w:eastAsia="宋体" w:hint="default"/>
                            <w:sz w:val="18"/>
                            <w:szCs w:val="18"/>
                          </w:rPr>
                        </w:pPr>
                        <w:r>
                          <w:rPr>
                            <w:rFonts w:ascii="宋体" w:hAnsi="宋体" w:cs="宋体" w:eastAsia="宋体" w:hint="default"/>
                            <w:spacing w:val="-2"/>
                            <w:sz w:val="18"/>
                            <w:szCs w:val="18"/>
                          </w:rPr>
                          <w:t>维科技有限公司、吉林高琦聚酰亚胺材料有限公司、</w:t>
                        </w:r>
                        <w:r>
                          <w:rPr>
                            <w:rFonts w:ascii="宋体" w:hAnsi="宋体" w:cs="宋体" w:eastAsia="宋体" w:hint="default"/>
                            <w:sz w:val="18"/>
                            <w:szCs w:val="18"/>
                          </w:rPr>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743" w:type="dxa"/>
                        <w:tcBorders>
                          <w:top w:val="nil" w:sz="6" w:space="0" w:color="auto"/>
                          <w:left w:val="single" w:sz="4" w:space="0" w:color="000000"/>
                          <w:bottom w:val="single" w:sz="4" w:space="0" w:color="000000"/>
                          <w:right w:val="single" w:sz="4" w:space="0" w:color="000000"/>
                        </w:tcBorders>
                      </w:tcPr>
                      <w:p>
                        <w:pPr/>
                      </w:p>
                    </w:tc>
                    <w:tc>
                      <w:tcPr>
                        <w:tcW w:w="4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香港惠程有限公司</w:t>
                        </w:r>
                      </w:p>
                    </w:tc>
                    <w:tc>
                      <w:tcPr>
                        <w:tcW w:w="859"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c>
                      <w:tcPr>
                        <w:tcW w:w="1563"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9"/>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长春高琦聚酰亚胺材料有限公司、江西先材纳米纤 维科技有限公司、吉林高琦聚酰亚胺材料有限公司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马静玉</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北京筑标会计师事务所有限公司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山东大华会计师事务所有限公司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743" w:type="dxa"/>
                        <w:tcBorders>
                          <w:top w:val="single" w:sz="4" w:space="0" w:color="000000"/>
                          <w:left w:val="single" w:sz="4" w:space="0" w:color="000000"/>
                          <w:bottom w:val="nil" w:sz="6" w:space="0" w:color="auto"/>
                          <w:right w:val="single" w:sz="4" w:space="0" w:color="000000"/>
                        </w:tcBorders>
                      </w:tcPr>
                      <w:p>
                        <w:pPr/>
                      </w:p>
                    </w:tc>
                    <w:tc>
                      <w:tcPr>
                        <w:tcW w:w="4104"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审计稽核</w:t>
                        </w:r>
                      </w:p>
                    </w:tc>
                    <w:tc>
                      <w:tcPr>
                        <w:tcW w:w="1553" w:type="dxa"/>
                        <w:vMerge w:val="restart"/>
                        <w:tcBorders>
                          <w:top w:val="single" w:sz="4" w:space="0" w:color="000000"/>
                          <w:left w:val="single" w:sz="4" w:space="0" w:color="000000"/>
                          <w:right w:val="single" w:sz="4" w:space="0" w:color="000000"/>
                        </w:tcBorders>
                      </w:tcPr>
                      <w:p>
                        <w:pPr/>
                      </w:p>
                    </w:tc>
                    <w:tc>
                      <w:tcPr>
                        <w:tcW w:w="1563" w:type="dxa"/>
                        <w:vMerge w:val="restart"/>
                        <w:tcBorders>
                          <w:top w:val="single" w:sz="4" w:space="0" w:color="000000"/>
                          <w:left w:val="single" w:sz="4" w:space="0" w:color="000000"/>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郑武</w:t>
                        </w:r>
                      </w:p>
                    </w:tc>
                    <w:tc>
                      <w:tcPr>
                        <w:tcW w:w="4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部副总经</w:t>
                        </w:r>
                      </w:p>
                    </w:tc>
                    <w:tc>
                      <w:tcPr>
                        <w:tcW w:w="1553"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743" w:type="dxa"/>
                        <w:tcBorders>
                          <w:top w:val="nil" w:sz="6" w:space="0" w:color="auto"/>
                          <w:left w:val="single" w:sz="4" w:space="0" w:color="000000"/>
                          <w:bottom w:val="single" w:sz="4" w:space="0" w:color="000000"/>
                          <w:right w:val="single" w:sz="4" w:space="0" w:color="000000"/>
                        </w:tcBorders>
                      </w:tcPr>
                      <w:p>
                        <w:pPr/>
                      </w:p>
                    </w:tc>
                    <w:tc>
                      <w:tcPr>
                        <w:tcW w:w="4104"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553"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蓝色经济区产业投资基金</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许为宁</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9"/>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长春高琦聚酰亚胺材料有限公司、香港惠程有限公 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74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1"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7"/>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公司第四届董事会第十八次会议审议通过</w:t>
                        </w:r>
                        <w:r>
                          <w:rPr>
                            <w:rFonts w:ascii="宋体" w:hAnsi="宋体" w:cs="宋体" w:eastAsia="宋体" w:hint="default"/>
                            <w:spacing w:val="-15"/>
                            <w:sz w:val="18"/>
                            <w:szCs w:val="18"/>
                          </w:rPr>
                          <w:t>了</w:t>
                        </w:r>
                        <w:r>
                          <w:rPr>
                            <w:rFonts w:ascii="宋体" w:hAnsi="宋体" w:cs="宋体" w:eastAsia="宋体" w:hint="default"/>
                            <w:sz w:val="18"/>
                            <w:szCs w:val="18"/>
                          </w:rPr>
                          <w:t>《关于三家子公司委派董事变更的议案</w:t>
                        </w:r>
                        <w:r>
                          <w:rPr>
                            <w:rFonts w:ascii="宋体" w:hAnsi="宋体" w:cs="宋体" w:eastAsia="宋体" w:hint="default"/>
                            <w:spacing w:val="-89"/>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将吉</w:t>
                        </w:r>
                      </w:p>
                    </w:tc>
                  </w:tr>
                  <w:tr>
                    <w:trPr>
                      <w:trHeight w:val="318" w:hRule="exact"/>
                    </w:trPr>
                    <w:tc>
                      <w:tcPr>
                        <w:tcW w:w="7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在其他</w:t>
                        </w:r>
                      </w:p>
                    </w:tc>
                    <w:tc>
                      <w:tcPr>
                        <w:tcW w:w="8951"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林高琦、江西先材的委派董事更换为纪晓文、田青、王东，将长春高琦的委派董事更换为纪晓文、杨富年、田青</w:t>
                        </w:r>
                      </w:p>
                    </w:tc>
                  </w:tr>
                  <w:tr>
                    <w:trPr>
                      <w:trHeight w:val="322" w:hRule="exact"/>
                    </w:trPr>
                    <w:tc>
                      <w:tcPr>
                        <w:tcW w:w="7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单位任</w:t>
                        </w:r>
                      </w:p>
                    </w:tc>
                    <w:tc>
                      <w:tcPr>
                        <w:tcW w:w="8951"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王东、许为宁。</w:t>
                        </w:r>
                      </w:p>
                    </w:tc>
                  </w:tr>
                  <w:tr>
                    <w:trPr>
                      <w:trHeight w:val="327" w:hRule="exact"/>
                    </w:trPr>
                    <w:tc>
                      <w:tcPr>
                        <w:tcW w:w="7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职情况</w:t>
                        </w:r>
                      </w:p>
                    </w:tc>
                    <w:tc>
                      <w:tcPr>
                        <w:tcW w:w="8951"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年第六次临时股东大会审议通过了《关于选举第五届董事会成员的议案</w:t>
                        </w:r>
                        <w:r>
                          <w:rPr>
                            <w:rFonts w:ascii="宋体" w:hAnsi="宋体" w:cs="宋体" w:eastAsia="宋体" w:hint="default"/>
                            <w:spacing w:val="-89"/>
                            <w:sz w:val="18"/>
                            <w:szCs w:val="18"/>
                          </w:rPr>
                          <w:t>》</w:t>
                        </w:r>
                        <w:r>
                          <w:rPr>
                            <w:rFonts w:ascii="宋体" w:hAnsi="宋体" w:cs="宋体" w:eastAsia="宋体" w:hint="default"/>
                            <w:sz w:val="18"/>
                            <w:szCs w:val="18"/>
                          </w:rPr>
                          <w:t>，马静</w:t>
                        </w:r>
                      </w:p>
                    </w:tc>
                  </w:tr>
                  <w:tr>
                    <w:trPr>
                      <w:trHeight w:val="317" w:hRule="exact"/>
                    </w:trPr>
                    <w:tc>
                      <w:tcPr>
                        <w:tcW w:w="7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的说明</w:t>
                        </w:r>
                      </w:p>
                    </w:tc>
                    <w:tc>
                      <w:tcPr>
                        <w:tcW w:w="8951"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玉、邢伟、郑武当选为公司第五届董事会独立董事，安鹏啸当选为公司第五届董事会监事，马静玉、邢伟、郑武</w:t>
                        </w:r>
                      </w:p>
                    </w:tc>
                  </w:tr>
                  <w:tr>
                    <w:trPr>
                      <w:trHeight w:val="358" w:hRule="exact"/>
                    </w:trPr>
                    <w:tc>
                      <w:tcPr>
                        <w:tcW w:w="74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1"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安鹏啸在公司未有具体行政职务。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01"/>
        <w:jc w:val="right"/>
      </w:pPr>
      <w:r>
        <w:rPr/>
        <w:t>、</w:t>
      </w:r>
    </w:p>
    <w:p>
      <w:pPr>
        <w:spacing w:after="0" w:line="240" w:lineRule="auto"/>
        <w:jc w:val="right"/>
        <w:sectPr>
          <w:pgSz w:w="11910" w:h="16840"/>
          <w:pgMar w:header="878" w:footer="1225" w:top="1100" w:bottom="1420" w:left="1000" w:right="940"/>
        </w:sectPr>
      </w:pPr>
    </w:p>
    <w:p>
      <w:pPr>
        <w:spacing w:line="240" w:lineRule="auto" w:before="10"/>
        <w:rPr>
          <w:rFonts w:ascii="宋体" w:hAnsi="宋体" w:cs="宋体" w:eastAsia="宋体" w:hint="default"/>
          <w:sz w:val="19"/>
          <w:szCs w:val="19"/>
        </w:rPr>
      </w:pPr>
    </w:p>
    <w:p>
      <w:pPr>
        <w:pStyle w:val="Heading4"/>
        <w:spacing w:line="240" w:lineRule="auto" w:before="26"/>
        <w:ind w:right="0"/>
        <w:jc w:val="both"/>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董事、监事、高级管理人员报酬的决策程序、确定依据、实际支付情况</w:t>
      </w:r>
    </w:p>
    <w:p>
      <w:pPr>
        <w:pStyle w:val="BodyText"/>
        <w:spacing w:line="300" w:lineRule="auto" w:before="117"/>
        <w:ind w:right="192"/>
        <w:jc w:val="both"/>
      </w:pPr>
      <w:r>
        <w:rPr>
          <w:rFonts w:ascii="Times New Roman" w:hAnsi="Times New Roman" w:cs="Times New Roman" w:eastAsia="Times New Roman" w:hint="default"/>
        </w:rPr>
        <w:t>1</w:t>
      </w:r>
      <w:r>
        <w:rPr/>
        <w:t>、决策程序：董事会薪酬与考核委员会拟订公司董事、监事薪酬方案及独立董事津贴方案，经公司第四届董事会第二十九 </w:t>
      </w:r>
      <w:r>
        <w:rPr>
          <w:spacing w:val="-2"/>
        </w:rPr>
        <w:t>次会议和</w:t>
      </w:r>
      <w:r>
        <w:rPr>
          <w:rFonts w:ascii="Times New Roman" w:hAnsi="Times New Roman" w:cs="Times New Roman" w:eastAsia="Times New Roman" w:hint="default"/>
          <w:spacing w:val="-2"/>
        </w:rPr>
        <w:t>2014</w:t>
      </w:r>
      <w:r>
        <w:rPr>
          <w:spacing w:val="-2"/>
        </w:rPr>
        <w:t>年第六次临时股东大会审议批准后实施。公司高级管理人员、高级技术人员薪酬由董事会薪酬与考核委员会审</w:t>
      </w:r>
      <w:r>
        <w:rPr>
          <w:spacing w:val="-62"/>
        </w:rPr>
        <w:t> </w:t>
      </w:r>
      <w:r>
        <w:rPr>
          <w:spacing w:val="-62"/>
        </w:rPr>
      </w:r>
      <w:r>
        <w:rPr/>
        <w:t>核及提议，并经公司第四届董事会第二十一次会议审议通过，公司独立董事对该薪酬方案发表了独立意见。</w:t>
      </w:r>
    </w:p>
    <w:p>
      <w:pPr>
        <w:pStyle w:val="BodyText"/>
        <w:spacing w:line="240" w:lineRule="auto" w:before="70"/>
        <w:ind w:right="0"/>
        <w:jc w:val="both"/>
      </w:pPr>
      <w:r>
        <w:rPr>
          <w:rFonts w:ascii="Times New Roman" w:hAnsi="Times New Roman" w:cs="Times New Roman" w:eastAsia="Times New Roman" w:hint="default"/>
        </w:rPr>
        <w:t>2</w:t>
      </w:r>
      <w:r>
        <w:rPr/>
        <w:t>、确定依据：《公司章程》（</w:t>
      </w:r>
      <w:r>
        <w:rPr>
          <w:rFonts w:ascii="Times New Roman" w:hAnsi="Times New Roman" w:cs="Times New Roman" w:eastAsia="Times New Roman" w:hint="default"/>
        </w:rPr>
        <w:t>2014</w:t>
      </w:r>
      <w:r>
        <w:rPr/>
        <w:t>年修订）、《董事、监事、高级管理人员薪酬制度》（</w:t>
      </w:r>
      <w:r>
        <w:rPr>
          <w:rFonts w:ascii="Times New Roman" w:hAnsi="Times New Roman" w:cs="Times New Roman" w:eastAsia="Times New Roman" w:hint="default"/>
        </w:rPr>
        <w:t>2014</w:t>
      </w:r>
      <w:r>
        <w:rPr/>
        <w:t>年修订）。</w:t>
      </w:r>
    </w:p>
    <w:p>
      <w:pPr>
        <w:pStyle w:val="BodyText"/>
        <w:spacing w:line="240" w:lineRule="auto" w:before="103"/>
        <w:ind w:right="0"/>
        <w:jc w:val="both"/>
      </w:pPr>
      <w:r>
        <w:rPr>
          <w:rFonts w:ascii="Times New Roman" w:hAnsi="Times New Roman" w:cs="Times New Roman" w:eastAsia="Times New Roman" w:hint="default"/>
        </w:rPr>
        <w:t>3</w:t>
      </w:r>
      <w:r>
        <w:rPr/>
        <w:t>、实际支付情况：</w:t>
      </w:r>
    </w:p>
    <w:p>
      <w:pPr>
        <w:pStyle w:val="BodyText"/>
        <w:spacing w:line="314" w:lineRule="auto" w:before="103"/>
        <w:ind w:right="192"/>
        <w:jc w:val="both"/>
      </w:pPr>
      <w:r>
        <w:rPr>
          <w:spacing w:val="-1"/>
        </w:rPr>
        <w:t>（</w:t>
      </w:r>
      <w:r>
        <w:rPr>
          <w:rFonts w:ascii="Times New Roman" w:hAnsi="Times New Roman" w:cs="Times New Roman" w:eastAsia="Times New Roman" w:hint="default"/>
          <w:spacing w:val="-1"/>
        </w:rPr>
        <w:t>1</w:t>
      </w:r>
      <w:r>
        <w:rPr>
          <w:spacing w:val="-1"/>
        </w:rPr>
        <w:t>）董事、监事薪酬安排如下：董事长薪酬参照总裁（</w:t>
      </w:r>
      <w:r>
        <w:rPr>
          <w:rFonts w:ascii="Times New Roman" w:hAnsi="Times New Roman" w:cs="Times New Roman" w:eastAsia="Times New Roman" w:hint="default"/>
          <w:spacing w:val="-1"/>
        </w:rPr>
        <w:t>CEO</w:t>
      </w:r>
      <w:r>
        <w:rPr>
          <w:spacing w:val="-1"/>
        </w:rPr>
        <w:t>）薪酬标准执行。独立董事津贴为</w:t>
      </w:r>
      <w:r>
        <w:rPr>
          <w:rFonts w:ascii="Times New Roman" w:hAnsi="Times New Roman" w:cs="Times New Roman" w:eastAsia="Times New Roman" w:hint="default"/>
          <w:spacing w:val="-1"/>
        </w:rPr>
        <w:t>5000</w:t>
      </w:r>
      <w:r>
        <w:rPr>
          <w:spacing w:val="-1"/>
        </w:rPr>
        <w:t>元</w:t>
      </w:r>
      <w:r>
        <w:rPr>
          <w:rFonts w:ascii="Times New Roman" w:hAnsi="Times New Roman" w:cs="Times New Roman" w:eastAsia="Times New Roman" w:hint="default"/>
          <w:spacing w:val="-1"/>
        </w:rPr>
        <w:t>/</w:t>
      </w:r>
      <w:r>
        <w:rPr>
          <w:spacing w:val="-1"/>
        </w:rPr>
        <w:t>月（税前），独立董</w:t>
      </w:r>
      <w:r>
        <w:rPr>
          <w:spacing w:val="-80"/>
        </w:rPr>
        <w:t> </w:t>
      </w:r>
      <w:r>
        <w:rPr>
          <w:spacing w:val="-80"/>
        </w:rPr>
      </w:r>
      <w:r>
        <w:rPr>
          <w:spacing w:val="-2"/>
        </w:rPr>
        <w:t>事参加董事会、股东大会及按《公司法》、《公司章程》等有关规定行使其职权时发生的必要费用由公司另行支付。担任公</w:t>
      </w:r>
      <w:r>
        <w:rPr>
          <w:spacing w:val="-65"/>
        </w:rPr>
        <w:t> </w:t>
      </w:r>
      <w:r>
        <w:rPr>
          <w:spacing w:val="-65"/>
        </w:rPr>
      </w:r>
      <w:r>
        <w:rPr>
          <w:spacing w:val="-2"/>
        </w:rPr>
        <w:t>司高级管理人员的董事领取高管职务薪酬，不再领取董事职务薪酬；担任公司非高级管理人员岗位的董事领取行政管理职务</w:t>
      </w:r>
      <w:r>
        <w:rPr>
          <w:spacing w:val="-64"/>
        </w:rPr>
        <w:t> </w:t>
      </w:r>
      <w:r>
        <w:rPr>
          <w:spacing w:val="-64"/>
        </w:rPr>
      </w:r>
      <w:r>
        <w:rPr>
          <w:spacing w:val="-2"/>
        </w:rPr>
        <w:t>薪酬，不再领取董事职务薪酬；其他未在公司担任具体管理职务的董事，不在公司领取任何董事职务薪酬。在公司担任具体</w:t>
      </w:r>
      <w:r>
        <w:rPr>
          <w:spacing w:val="-66"/>
        </w:rPr>
        <w:t> </w:t>
      </w:r>
      <w:r>
        <w:rPr>
          <w:spacing w:val="-66"/>
        </w:rPr>
      </w:r>
      <w:r>
        <w:rPr/>
        <w:t>管理职务的监事领取行政管理职务薪酬，不再领取监事职务薪酬。</w:t>
      </w:r>
    </w:p>
    <w:p>
      <w:pPr>
        <w:pStyle w:val="BodyText"/>
        <w:spacing w:line="300" w:lineRule="auto" w:before="59"/>
        <w:ind w:right="86"/>
        <w:jc w:val="left"/>
      </w:pPr>
      <w:r>
        <w:rPr>
          <w:spacing w:val="-2"/>
        </w:rPr>
        <w:t>（</w:t>
      </w:r>
      <w:r>
        <w:rPr>
          <w:rFonts w:ascii="Times New Roman" w:hAnsi="Times New Roman" w:cs="Times New Roman" w:eastAsia="Times New Roman" w:hint="default"/>
          <w:spacing w:val="-2"/>
        </w:rPr>
        <w:t>2</w:t>
      </w:r>
      <w:r>
        <w:rPr>
          <w:spacing w:val="-2"/>
        </w:rPr>
        <w:t>）公司高级管理人员、高级技术人员的薪酬安排如下：薪酬分为基本工资和绩效奖金两部分，基本工资为月度税前数额，</w:t>
      </w:r>
      <w:r>
        <w:rPr>
          <w:spacing w:val="-63"/>
        </w:rPr>
        <w:t> </w:t>
      </w:r>
      <w:r>
        <w:rPr>
          <w:spacing w:val="-63"/>
        </w:rPr>
      </w:r>
      <w:r>
        <w:rPr/>
        <w:t>绩效奖金依据绩效考核方案执行，薪酬自任职月份起算。高级管理人员基本工资的标准：总裁（</w:t>
      </w:r>
      <w:r>
        <w:rPr>
          <w:rFonts w:ascii="Times New Roman" w:hAnsi="Times New Roman" w:cs="Times New Roman" w:eastAsia="Times New Roman" w:hint="default"/>
        </w:rPr>
        <w:t>CEO</w:t>
      </w:r>
      <w:r>
        <w:rPr/>
        <w:t>）</w:t>
      </w:r>
      <w:r>
        <w:rPr>
          <w:rFonts w:ascii="Times New Roman" w:hAnsi="Times New Roman" w:cs="Times New Roman" w:eastAsia="Times New Roman" w:hint="default"/>
        </w:rPr>
        <w:t>4</w:t>
      </w:r>
      <w:r>
        <w:rPr/>
        <w:t>万元，负责战略管 理部的副总裁（</w:t>
      </w:r>
      <w:r>
        <w:rPr>
          <w:rFonts w:ascii="Times New Roman" w:hAnsi="Times New Roman" w:cs="Times New Roman" w:eastAsia="Times New Roman" w:hint="default"/>
        </w:rPr>
        <w:t>CSO</w:t>
      </w:r>
      <w:r>
        <w:rPr/>
        <w:t>）</w:t>
      </w:r>
      <w:r>
        <w:rPr>
          <w:rFonts w:ascii="Times New Roman" w:hAnsi="Times New Roman" w:cs="Times New Roman" w:eastAsia="Times New Roman" w:hint="default"/>
        </w:rPr>
        <w:t>4</w:t>
      </w:r>
      <w:r>
        <w:rPr/>
        <w:t>万元，负责财务管理部的财务总监（</w:t>
      </w:r>
      <w:r>
        <w:rPr>
          <w:rFonts w:ascii="Times New Roman" w:hAnsi="Times New Roman" w:cs="Times New Roman" w:eastAsia="Times New Roman" w:hint="default"/>
        </w:rPr>
        <w:t>CFO</w:t>
      </w:r>
      <w:r>
        <w:rPr/>
        <w:t>）</w:t>
      </w:r>
      <w:r>
        <w:rPr>
          <w:rFonts w:ascii="Times New Roman" w:hAnsi="Times New Roman" w:cs="Times New Roman" w:eastAsia="Times New Roman" w:hint="default"/>
        </w:rPr>
        <w:t>4</w:t>
      </w:r>
      <w:r>
        <w:rPr/>
        <w:t>万元，负责风险控制部的副总裁（</w:t>
      </w:r>
      <w:r>
        <w:rPr>
          <w:rFonts w:ascii="Times New Roman" w:hAnsi="Times New Roman" w:cs="Times New Roman" w:eastAsia="Times New Roman" w:hint="default"/>
        </w:rPr>
        <w:t>CRO</w:t>
      </w:r>
      <w:r>
        <w:rPr/>
        <w:t>）</w:t>
      </w:r>
      <w:r>
        <w:rPr>
          <w:rFonts w:ascii="Times New Roman" w:hAnsi="Times New Roman" w:cs="Times New Roman" w:eastAsia="Times New Roman" w:hint="default"/>
        </w:rPr>
        <w:t>4</w:t>
      </w:r>
      <w:r>
        <w:rPr/>
        <w:t>万元，负责 人力资源部的副总裁（</w:t>
      </w:r>
      <w:r>
        <w:rPr>
          <w:rFonts w:ascii="Times New Roman" w:hAnsi="Times New Roman" w:cs="Times New Roman" w:eastAsia="Times New Roman" w:hint="default"/>
        </w:rPr>
        <w:t>CHO</w:t>
      </w:r>
      <w:r>
        <w:rPr/>
        <w:t>）</w:t>
      </w:r>
      <w:r>
        <w:rPr>
          <w:rFonts w:ascii="Times New Roman" w:hAnsi="Times New Roman" w:cs="Times New Roman" w:eastAsia="Times New Roman" w:hint="default"/>
        </w:rPr>
        <w:t>4</w:t>
      </w:r>
      <w:r>
        <w:rPr/>
        <w:t>万元，负责营销总部的副总裁（</w:t>
      </w:r>
      <w:r>
        <w:rPr>
          <w:rFonts w:ascii="Times New Roman" w:hAnsi="Times New Roman" w:cs="Times New Roman" w:eastAsia="Times New Roman" w:hint="default"/>
        </w:rPr>
        <w:t>CMO</w:t>
      </w:r>
      <w:r>
        <w:rPr/>
        <w:t>）</w:t>
      </w:r>
      <w:r>
        <w:rPr>
          <w:rFonts w:ascii="Times New Roman" w:hAnsi="Times New Roman" w:cs="Times New Roman" w:eastAsia="Times New Roman" w:hint="default"/>
        </w:rPr>
        <w:t>4</w:t>
      </w:r>
      <w:r>
        <w:rPr/>
        <w:t>万元，负责总裁办公室的副总裁（</w:t>
      </w:r>
      <w:r>
        <w:rPr>
          <w:rFonts w:ascii="Times New Roman" w:hAnsi="Times New Roman" w:cs="Times New Roman" w:eastAsia="Times New Roman" w:hint="default"/>
        </w:rPr>
        <w:t>CPO</w:t>
      </w:r>
      <w:r>
        <w:rPr/>
        <w:t>）</w:t>
      </w:r>
      <w:r>
        <w:rPr>
          <w:rFonts w:ascii="Times New Roman" w:hAnsi="Times New Roman" w:cs="Times New Roman" w:eastAsia="Times New Roman" w:hint="default"/>
        </w:rPr>
        <w:t>3</w:t>
      </w:r>
      <w:r>
        <w:rPr/>
        <w:t>万元。高 级技术人员基本工资的标准：高分子材料研究院院长、副院长</w:t>
      </w:r>
      <w:r>
        <w:rPr>
          <w:rFonts w:ascii="Times New Roman" w:hAnsi="Times New Roman" w:cs="Times New Roman" w:eastAsia="Times New Roman" w:hint="default"/>
        </w:rPr>
        <w:t>4</w:t>
      </w:r>
      <w:r>
        <w:rPr/>
        <w:t>万元，总工程师</w:t>
      </w:r>
      <w:r>
        <w:rPr>
          <w:rFonts w:ascii="Times New Roman" w:hAnsi="Times New Roman" w:cs="Times New Roman" w:eastAsia="Times New Roman" w:hint="default"/>
        </w:rPr>
        <w:t>3</w:t>
      </w:r>
      <w:r>
        <w:rPr/>
        <w:t>万元。</w:t>
      </w:r>
    </w:p>
    <w:p>
      <w:pPr>
        <w:spacing w:after="0" w:line="300" w:lineRule="auto"/>
        <w:jc w:val="left"/>
        <w:sectPr>
          <w:pgSz w:w="11910" w:h="16840"/>
          <w:pgMar w:header="878" w:footer="1225" w:top="1100" w:bottom="1420" w:left="1020" w:right="940"/>
        </w:sectPr>
      </w:pPr>
    </w:p>
    <w:p>
      <w:pPr>
        <w:spacing w:line="240" w:lineRule="auto" w:before="1"/>
        <w:rPr>
          <w:rFonts w:ascii="宋体" w:hAnsi="宋体" w:cs="宋体" w:eastAsia="宋体" w:hint="default"/>
          <w:sz w:val="22"/>
          <w:szCs w:val="22"/>
        </w:rPr>
      </w:pP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09"/>
        <w:gridCol w:w="1985"/>
        <w:gridCol w:w="567"/>
        <w:gridCol w:w="425"/>
        <w:gridCol w:w="992"/>
        <w:gridCol w:w="1843"/>
        <w:gridCol w:w="1851"/>
        <w:gridCol w:w="1196"/>
      </w:tblGrid>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6" w:right="105" w:hanging="720"/>
              <w:jc w:val="left"/>
              <w:rPr>
                <w:rFonts w:ascii="宋体" w:hAnsi="宋体" w:cs="宋体" w:eastAsia="宋体" w:hint="default"/>
                <w:sz w:val="18"/>
                <w:szCs w:val="18"/>
              </w:rPr>
            </w:pPr>
            <w:r>
              <w:rPr>
                <w:rFonts w:ascii="宋体" w:hAnsi="宋体" w:cs="宋体" w:eastAsia="宋体" w:hint="default"/>
                <w:sz w:val="18"/>
                <w:szCs w:val="18"/>
              </w:rPr>
              <w:t>从公司获得的报酬总 额</w:t>
            </w:r>
          </w:p>
        </w:tc>
        <w:tc>
          <w:tcPr>
            <w:tcW w:w="1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8" w:right="110" w:hanging="540"/>
              <w:jc w:val="left"/>
              <w:rPr>
                <w:rFonts w:ascii="宋体" w:hAnsi="宋体" w:cs="宋体" w:eastAsia="宋体" w:hint="default"/>
                <w:sz w:val="18"/>
                <w:szCs w:val="18"/>
              </w:rPr>
            </w:pPr>
            <w:r>
              <w:rPr>
                <w:rFonts w:ascii="宋体" w:hAnsi="宋体" w:cs="宋体" w:eastAsia="宋体" w:hint="default"/>
                <w:sz w:val="18"/>
                <w:szCs w:val="18"/>
              </w:rPr>
              <w:t>从股东单位获得的报 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马静玉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许为宁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董事会秘书、副总裁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谢战军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监事、证券事务代表</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吕凤华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桑玉贵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5"/>
                <w:sz w:val="18"/>
                <w:szCs w:val="18"/>
              </w:rPr>
              <w:t>董事、总经理、副总经理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杨耀宇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7.36</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36.77</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吕敬民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24.75</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冯海元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w:t>
            </w:r>
          </w:p>
        </w:tc>
      </w:tr>
      <w:tr>
        <w:trPr>
          <w:trHeight w:val="40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赵勇敏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709"/>
        <w:gridCol w:w="1985"/>
        <w:gridCol w:w="567"/>
        <w:gridCol w:w="425"/>
        <w:gridCol w:w="992"/>
        <w:gridCol w:w="1843"/>
        <w:gridCol w:w="1851"/>
        <w:gridCol w:w="1196"/>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540.13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7" w:right="0"/>
              <w:jc w:val="left"/>
              <w:rPr>
                <w:rFonts w:ascii="Times New Roman" w:hAnsi="Times New Roman" w:cs="Times New Roman" w:eastAsia="Times New Roman" w:hint="default"/>
                <w:sz w:val="18"/>
                <w:szCs w:val="18"/>
              </w:rPr>
            </w:pPr>
            <w:r>
              <w:rPr>
                <w:rFonts w:ascii="Times New Roman"/>
                <w:sz w:val="18"/>
              </w:rPr>
              <w:t>540.13</w:t>
            </w:r>
          </w:p>
        </w:tc>
      </w:tr>
    </w:tbl>
    <w:p>
      <w:pPr>
        <w:pStyle w:val="BodyText"/>
        <w:spacing w:line="240" w:lineRule="auto" w:before="51"/>
        <w:ind w:left="132" w:right="184"/>
        <w:jc w:val="left"/>
      </w:pPr>
      <w:r>
        <w:rPr/>
        <w:t>公司董事、监事、高级管理人员报告期内被授予的股权激励情况</w:t>
      </w:r>
    </w:p>
    <w:p>
      <w:pPr>
        <w:pStyle w:val="BodyText"/>
        <w:spacing w:line="240" w:lineRule="auto" w:before="117"/>
        <w:ind w:left="13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left="132" w:right="184"/>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737"/>
        <w:gridCol w:w="2126"/>
        <w:gridCol w:w="993"/>
        <w:gridCol w:w="1842"/>
        <w:gridCol w:w="3996"/>
      </w:tblGrid>
      <w:tr>
        <w:trPr>
          <w:trHeight w:val="402" w:hRule="exact"/>
        </w:trPr>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2"/>
              <w:jc w:val="left"/>
              <w:rPr>
                <w:rFonts w:ascii="宋体" w:hAnsi="宋体" w:cs="宋体" w:eastAsia="宋体" w:hint="default"/>
                <w:sz w:val="18"/>
                <w:szCs w:val="18"/>
              </w:rPr>
            </w:pPr>
            <w:r>
              <w:rPr>
                <w:rFonts w:ascii="宋体" w:hAnsi="宋体" w:cs="宋体" w:eastAsia="宋体" w:hint="default"/>
                <w:spacing w:val="-1"/>
                <w:sz w:val="18"/>
                <w:szCs w:val="18"/>
              </w:rPr>
              <w:t>配合公司实施职业经理人制度、促成公司所有权与</w:t>
            </w:r>
            <w:r>
              <w:rPr>
                <w:rFonts w:ascii="宋体" w:hAnsi="宋体" w:cs="宋体" w:eastAsia="宋体" w:hint="default"/>
                <w:sz w:val="18"/>
                <w:szCs w:val="18"/>
              </w:rPr>
              <w:t> 经营权的分离</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吕凤华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配合公司实施职业经理人制度、促成公司所有权与</w:t>
            </w:r>
            <w:r>
              <w:rPr>
                <w:rFonts w:ascii="宋体" w:hAnsi="宋体" w:cs="宋体" w:eastAsia="宋体" w:hint="default"/>
                <w:sz w:val="18"/>
                <w:szCs w:val="18"/>
              </w:rPr>
              <w:t> 经营权的分离</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2"/>
              <w:jc w:val="left"/>
              <w:rPr>
                <w:rFonts w:ascii="宋体" w:hAnsi="宋体" w:cs="宋体" w:eastAsia="宋体" w:hint="default"/>
                <w:sz w:val="18"/>
                <w:szCs w:val="18"/>
              </w:rPr>
            </w:pPr>
            <w:r>
              <w:rPr>
                <w:rFonts w:ascii="宋体" w:hAnsi="宋体" w:cs="宋体" w:eastAsia="宋体" w:hint="default"/>
                <w:spacing w:val="-1"/>
                <w:sz w:val="18"/>
                <w:szCs w:val="18"/>
              </w:rPr>
              <w:t>配合公司实施职业经理人制度、促成公司所有权与</w:t>
            </w:r>
            <w:r>
              <w:rPr>
                <w:rFonts w:ascii="宋体" w:hAnsi="宋体" w:cs="宋体" w:eastAsia="宋体" w:hint="default"/>
                <w:sz w:val="18"/>
                <w:szCs w:val="18"/>
              </w:rPr>
              <w:t> 经营权的分离及个人原因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桑玉贵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杨耀宇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吕敬民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陈明春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冯海元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赵勇敏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工作变动原因</w:t>
            </w:r>
          </w:p>
        </w:tc>
      </w:tr>
      <w:tr>
        <w:trPr>
          <w:trHeight w:val="40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4"/>
        <w:spacing w:line="240" w:lineRule="auto" w:before="26"/>
        <w:ind w:left="132" w:right="184"/>
        <w:jc w:val="left"/>
        <w:rPr>
          <w:b w:val="0"/>
          <w:bCs w:val="0"/>
        </w:rPr>
      </w:pPr>
      <w:r>
        <w:rPr/>
        <w:t>五、报告期核心技术团队或关键技术人员变动情况（非董事、监事、高级管理人员）</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132" w:right="152" w:firstLine="540"/>
        <w:jc w:val="both"/>
      </w:pPr>
      <w:r>
        <w:rPr>
          <w:spacing w:val="-2"/>
        </w:rPr>
        <w:t>报告期内长春高琦首席专家、总工程师丁孟贤先生逝世。对公司经营的影响：未对公司主营业务产生影响，主要影响</w:t>
      </w:r>
      <w:r>
        <w:rPr/>
        <w:t> </w:t>
      </w:r>
      <w:r>
        <w:rPr>
          <w:spacing w:val="-2"/>
        </w:rPr>
        <w:t>了控股子公司长春高琦的技术团队建设。公司采取的应对措施：公司将积极协助长春高琦完善技术团队建设，将本次技术人</w:t>
      </w:r>
      <w:r>
        <w:rPr>
          <w:spacing w:val="-65"/>
        </w:rPr>
        <w:t> </w:t>
      </w:r>
      <w:r>
        <w:rPr>
          <w:spacing w:val="-65"/>
        </w:rPr>
      </w:r>
      <w:r>
        <w:rPr/>
        <w:t>员变动的影响尽可能减小。</w:t>
      </w:r>
    </w:p>
    <w:p>
      <w:pPr>
        <w:spacing w:after="0" w:line="316" w:lineRule="auto"/>
        <w:jc w:val="both"/>
        <w:sectPr>
          <w:pgSz w:w="11910" w:h="16840"/>
          <w:pgMar w:header="878" w:footer="1225" w:top="1100" w:bottom="1420" w:left="1000" w:right="980"/>
        </w:sectPr>
      </w:pPr>
    </w:p>
    <w:p>
      <w:pPr>
        <w:spacing w:line="240" w:lineRule="auto" w:before="10"/>
        <w:rPr>
          <w:rFonts w:ascii="宋体" w:hAnsi="宋体" w:cs="宋体" w:eastAsia="宋体" w:hint="default"/>
          <w:sz w:val="19"/>
          <w:szCs w:val="19"/>
        </w:rPr>
      </w:pPr>
    </w:p>
    <w:p>
      <w:pPr>
        <w:pStyle w:val="Heading4"/>
        <w:spacing w:line="240" w:lineRule="auto" w:before="26"/>
        <w:ind w:right="86"/>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6"/>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日，公司（包括主要子公司）共有在职员工人数为</w:t>
      </w:r>
      <w:r>
        <w:rPr>
          <w:rFonts w:ascii="Times New Roman" w:hAnsi="Times New Roman" w:cs="Times New Roman" w:eastAsia="Times New Roman" w:hint="default"/>
        </w:rPr>
        <w:t>790</w:t>
      </w:r>
      <w:r>
        <w:rPr/>
        <w:t>人。</w:t>
      </w:r>
    </w:p>
    <w:p>
      <w:pPr>
        <w:pStyle w:val="BodyText"/>
        <w:spacing w:line="240" w:lineRule="auto" w:before="63"/>
        <w:ind w:right="86"/>
        <w:jc w:val="left"/>
      </w:pPr>
      <w:r>
        <w:rPr>
          <w:rFonts w:ascii="Times New Roman" w:hAnsi="Times New Roman" w:cs="Times New Roman" w:eastAsia="Times New Roman" w:hint="default"/>
        </w:rPr>
        <w:t>2</w:t>
      </w:r>
      <w:r>
        <w:rPr/>
        <w:t>、公司（包括主要子公司）在职员工专业构成</w:t>
      </w:r>
    </w:p>
    <w:p>
      <w:pPr>
        <w:tabs>
          <w:tab w:pos="4530" w:val="left" w:leader="none"/>
        </w:tabs>
        <w:spacing w:line="3402" w:lineRule="exact"/>
        <w:ind w:left="106" w:right="0" w:firstLine="0"/>
        <w:rPr>
          <w:rFonts w:ascii="宋体" w:hAnsi="宋体" w:cs="宋体" w:eastAsia="宋体" w:hint="default"/>
          <w:sz w:val="20"/>
          <w:szCs w:val="20"/>
        </w:rPr>
      </w:pPr>
      <w:r>
        <w:rPr>
          <w:rFonts w:ascii="宋体"/>
          <w:position w:val="-67"/>
          <w:sz w:val="20"/>
        </w:rPr>
        <w:pict>
          <v:shape style="width:209.1pt;height:167.5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560"/>
                    <w:gridCol w:w="850"/>
                    <w:gridCol w:w="1750"/>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高级管理人员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30</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3.80%</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350</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44.30%</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30</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3.80%</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255</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32.28%</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27</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3.42%</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98</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12.40%</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790</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v:shape>
        </w:pict>
      </w:r>
      <w:r>
        <w:rPr>
          <w:rFonts w:ascii="宋体"/>
          <w:position w:val="-67"/>
          <w:sz w:val="20"/>
        </w:rPr>
      </w:r>
      <w:r>
        <w:rPr>
          <w:rFonts w:ascii="宋体"/>
          <w:position w:val="-67"/>
          <w:sz w:val="20"/>
        </w:rPr>
        <w:tab/>
      </w:r>
      <w:r>
        <w:rPr>
          <w:rFonts w:ascii="宋体"/>
          <w:position w:val="-61"/>
          <w:sz w:val="20"/>
        </w:rPr>
        <w:drawing>
          <wp:inline distT="0" distB="0" distL="0" distR="0">
            <wp:extent cx="3324225" cy="21240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6" cstate="print"/>
                    <a:stretch>
                      <a:fillRect/>
                    </a:stretch>
                  </pic:blipFill>
                  <pic:spPr>
                    <a:xfrm>
                      <a:off x="0" y="0"/>
                      <a:ext cx="3324225" cy="2124075"/>
                    </a:xfrm>
                    <a:prstGeom prst="rect">
                      <a:avLst/>
                    </a:prstGeom>
                  </pic:spPr>
                </pic:pic>
              </a:graphicData>
            </a:graphic>
          </wp:inline>
        </w:drawing>
      </w:r>
      <w:r>
        <w:rPr>
          <w:rFonts w:ascii="宋体"/>
          <w:position w:val="-61"/>
          <w:sz w:val="20"/>
        </w:rPr>
      </w:r>
    </w:p>
    <w:p>
      <w:pPr>
        <w:spacing w:line="240" w:lineRule="auto" w:before="9"/>
        <w:rPr>
          <w:rFonts w:ascii="宋体" w:hAnsi="宋体" w:cs="宋体" w:eastAsia="宋体" w:hint="default"/>
          <w:sz w:val="24"/>
          <w:szCs w:val="24"/>
        </w:rPr>
      </w:pPr>
    </w:p>
    <w:p>
      <w:pPr>
        <w:pStyle w:val="BodyText"/>
        <w:spacing w:line="240" w:lineRule="auto"/>
        <w:ind w:right="86"/>
        <w:jc w:val="left"/>
      </w:pPr>
      <w:r>
        <w:rPr/>
        <w:pict>
          <v:shape style="position:absolute;margin-left:277.5pt;margin-top:-8.498266pt;width:261.75pt;height:169.5pt;mso-position-horizontal-relative:page;mso-position-vertical-relative:paragraph;z-index:-1009840" type="#_x0000_t75" stroked="false">
            <v:imagedata r:id="rId37" o:title=""/>
          </v:shape>
        </w:pict>
      </w:r>
      <w:r>
        <w:rPr>
          <w:rFonts w:ascii="Times New Roman" w:hAnsi="Times New Roman" w:cs="Times New Roman" w:eastAsia="Times New Roman" w:hint="default"/>
        </w:rPr>
        <w:t>3</w:t>
      </w:r>
      <w:r>
        <w:rPr/>
        <w:t>、公司（包括主要子公司）在职员工教育程度</w:t>
      </w:r>
    </w:p>
    <w:p>
      <w:pPr>
        <w:spacing w:line="240" w:lineRule="auto" w:before="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570"/>
        <w:gridCol w:w="850"/>
        <w:gridCol w:w="1701"/>
      </w:tblGrid>
      <w:tr>
        <w:trPr>
          <w:trHeight w:val="34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42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硕士以上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0.13%</w:t>
            </w:r>
          </w:p>
        </w:tc>
      </w:tr>
      <w:tr>
        <w:trPr>
          <w:trHeight w:val="42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3.54%</w:t>
            </w:r>
          </w:p>
        </w:tc>
      </w:tr>
      <w:tr>
        <w:trPr>
          <w:trHeight w:val="42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18.48%</w:t>
            </w:r>
          </w:p>
        </w:tc>
      </w:tr>
      <w:tr>
        <w:trPr>
          <w:trHeight w:val="42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20.63%</w:t>
            </w:r>
          </w:p>
        </w:tc>
      </w:tr>
      <w:tr>
        <w:trPr>
          <w:trHeight w:val="42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452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57.22%</w:t>
            </w:r>
          </w:p>
        </w:tc>
      </w:tr>
      <w:tr>
        <w:trPr>
          <w:trHeight w:val="42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790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1"/>
        <w:ind w:left="564" w:right="182" w:hanging="452"/>
        <w:jc w:val="left"/>
      </w:pPr>
      <w:r>
        <w:rPr>
          <w:rFonts w:ascii="Times New Roman" w:hAnsi="Times New Roman" w:cs="Times New Roman" w:eastAsia="Times New Roman" w:hint="default"/>
        </w:rPr>
        <w:t>4</w:t>
      </w:r>
      <w:r>
        <w:rPr/>
        <w:t>、公司（包括主要子公司）在职员工薪酬政策 公司的薪酬结构包括基本薪金及津贴、绩效工资，坚持公司与员工共同发展的原则，为员工提供公平的及有竞争力的</w:t>
      </w:r>
    </w:p>
    <w:p>
      <w:pPr>
        <w:pStyle w:val="BodyText"/>
        <w:spacing w:line="316" w:lineRule="auto" w:before="31"/>
        <w:ind w:right="86"/>
        <w:jc w:val="left"/>
      </w:pPr>
      <w:r>
        <w:rPr>
          <w:spacing w:val="-4"/>
        </w:rPr>
        <w:t>福利待遇，实行对全体员工劳动合同制，严格遵照劳动法及劳动合同法规定，根据国家规定缴纳各类社会保险及住房公积金，</w:t>
      </w:r>
      <w:r>
        <w:rPr>
          <w:spacing w:val="-40"/>
        </w:rPr>
        <w:t> </w:t>
      </w:r>
      <w:r>
        <w:rPr>
          <w:spacing w:val="-40"/>
        </w:rPr>
      </w:r>
      <w:r>
        <w:rPr/>
        <w:t>还针对部分特殊岗位，购买意外险。</w:t>
      </w:r>
    </w:p>
    <w:p>
      <w:pPr>
        <w:pStyle w:val="BodyText"/>
        <w:spacing w:line="316" w:lineRule="auto" w:before="19"/>
        <w:ind w:right="86" w:firstLine="391"/>
        <w:jc w:val="left"/>
      </w:pPr>
      <w:r>
        <w:rPr/>
        <w:t>对于各类休息、休假也严格按照劳动法及相关法律法规规定执行。公司定期会根据员工上年度绩效考核、工作表现、 工作态度等对员工重新进行定薪定级。</w:t>
      </w:r>
    </w:p>
    <w:p>
      <w:pPr>
        <w:pStyle w:val="BodyText"/>
        <w:spacing w:line="240" w:lineRule="auto" w:before="19"/>
        <w:ind w:left="504" w:right="86"/>
        <w:jc w:val="left"/>
      </w:pPr>
      <w:r>
        <w:rPr/>
        <w:t>公司对工资的核算及发放也制定了严格的审批流程，确保员工工资发放的合理性及及时性。</w:t>
      </w:r>
    </w:p>
    <w:p>
      <w:pPr>
        <w:pStyle w:val="BodyText"/>
        <w:spacing w:line="240" w:lineRule="auto" w:before="76"/>
        <w:ind w:right="86"/>
        <w:jc w:val="left"/>
      </w:pPr>
      <w:r>
        <w:rPr>
          <w:rFonts w:ascii="Times New Roman" w:hAnsi="Times New Roman" w:cs="Times New Roman" w:eastAsia="Times New Roman" w:hint="default"/>
        </w:rPr>
        <w:t>5</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日，公司没有需要承担费用的离退休职工。</w:t>
      </w:r>
    </w:p>
    <w:p>
      <w:pPr>
        <w:spacing w:after="0" w:line="240" w:lineRule="auto"/>
        <w:jc w:val="left"/>
        <w:sectPr>
          <w:pgSz w:w="11910" w:h="16840"/>
          <w:pgMar w:header="878" w:footer="1225" w:top="1100" w:bottom="142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3552" w:right="3629"/>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86" w:firstLine="360"/>
        <w:jc w:val="left"/>
      </w:pPr>
      <w:r>
        <w:rPr>
          <w:spacing w:val="-4"/>
        </w:rPr>
        <w:t>公司严格按照《公司法》、《证券法》、《上市公司治理准则》、《深圳证券交易所中小企业板上市公司规范运作指引》</w:t>
      </w:r>
      <w:r>
        <w:rPr/>
        <w:t> </w:t>
      </w:r>
      <w:r>
        <w:rPr>
          <w:spacing w:val="-4"/>
        </w:rPr>
        <w:t>和中国证监会有关法律法规等的要求，不断完善公司法人治理结构，建立健全内部控制制度，进一步加强公司信息披露工作，</w:t>
      </w:r>
      <w:r>
        <w:rPr>
          <w:spacing w:val="-42"/>
        </w:rPr>
        <w:t> </w:t>
      </w:r>
      <w:r>
        <w:rPr>
          <w:spacing w:val="-42"/>
        </w:rPr>
      </w:r>
      <w:r>
        <w:rPr>
          <w:spacing w:val="-2"/>
        </w:rPr>
        <w:t>积极开展投资者关系管理，维护公司及股东的利益，确保公司规范、健康发展。报告期内，公司未收到证券监管部门采取行</w:t>
      </w:r>
      <w:r>
        <w:rPr>
          <w:spacing w:val="-65"/>
        </w:rPr>
        <w:t> </w:t>
      </w:r>
      <w:r>
        <w:rPr>
          <w:spacing w:val="-65"/>
        </w:rPr>
      </w:r>
      <w:r>
        <w:rPr/>
        <w:t>政监管措施的相关文件。</w:t>
      </w:r>
    </w:p>
    <w:p>
      <w:pPr>
        <w:pStyle w:val="BodyText"/>
        <w:spacing w:line="316" w:lineRule="auto" w:before="19"/>
        <w:ind w:right="86" w:firstLine="360"/>
        <w:jc w:val="left"/>
      </w:pPr>
      <w:r>
        <w:rPr>
          <w:spacing w:val="-2"/>
        </w:rPr>
        <w:t>报告期内，公司修订了《公司章程》、《总经理工作细则》、《董事、监事、高级管理人员薪酬制度》，制订了《投资</w:t>
      </w:r>
      <w:r>
        <w:rPr/>
        <w:t> 理财管理制度》，进一步完善了公司制度体系，防范风险，保护投资者的权益和公司利益。</w:t>
      </w:r>
    </w:p>
    <w:p>
      <w:pPr>
        <w:pStyle w:val="BodyText"/>
        <w:spacing w:line="316" w:lineRule="auto" w:before="19"/>
        <w:ind w:right="86" w:firstLine="360"/>
        <w:jc w:val="left"/>
      </w:pPr>
      <w:r>
        <w:rPr>
          <w:spacing w:val="-4"/>
        </w:rPr>
        <w:t>截至报告期末，公司治理的实际状况符合《上市公司治理准则》、《深圳证券交易所中小企业板上市公司规范运作指引》</w:t>
      </w:r>
      <w:r>
        <w:rPr/>
        <w:t> 等相关法律法规的要求，具体情况如下：</w:t>
      </w:r>
    </w:p>
    <w:p>
      <w:pPr>
        <w:pStyle w:val="BodyText"/>
        <w:spacing w:line="240" w:lineRule="auto" w:before="19"/>
        <w:ind w:left="472" w:right="86"/>
        <w:jc w:val="left"/>
      </w:pPr>
      <w:r>
        <w:rPr/>
        <w:t>（一）公司治理结构</w:t>
      </w:r>
    </w:p>
    <w:p>
      <w:pPr>
        <w:pStyle w:val="BodyText"/>
        <w:spacing w:line="300" w:lineRule="auto" w:before="76"/>
        <w:ind w:left="472" w:right="86"/>
        <w:jc w:val="left"/>
      </w:pPr>
      <w:r>
        <w:rPr/>
        <w:t>（</w:t>
      </w:r>
      <w:r>
        <w:rPr>
          <w:rFonts w:ascii="Times New Roman" w:hAnsi="Times New Roman" w:cs="Times New Roman" w:eastAsia="Times New Roman" w:hint="default"/>
        </w:rPr>
        <w:t>1</w:t>
      </w:r>
      <w:r>
        <w:rPr/>
        <w:t>）股东与股东大会 </w:t>
      </w:r>
      <w:r>
        <w:rPr>
          <w:spacing w:val="-2"/>
        </w:rPr>
        <w:t>公司依据《公司法》、《公司章程》、《上市公司治理准则》等文件制定了《股东大会议事规则》、《控股股东实际控</w:t>
      </w:r>
    </w:p>
    <w:p>
      <w:pPr>
        <w:pStyle w:val="BodyText"/>
        <w:spacing w:line="316" w:lineRule="auto" w:before="31"/>
        <w:ind w:right="192"/>
        <w:jc w:val="both"/>
      </w:pPr>
      <w:r>
        <w:rPr>
          <w:spacing w:val="-2"/>
        </w:rPr>
        <w:t>制人行为规范》，对股东大会的权力、召开程序、提案、表决和控股股东及实际控制人行为进行了规范，通过规章对中小股</w:t>
      </w:r>
      <w:r>
        <w:rPr>
          <w:spacing w:val="-66"/>
        </w:rPr>
        <w:t> </w:t>
      </w:r>
      <w:r>
        <w:rPr>
          <w:spacing w:val="-66"/>
        </w:rPr>
      </w:r>
      <w:r>
        <w:rPr/>
        <w:t>东权益提供制度保障。</w:t>
      </w:r>
    </w:p>
    <w:p>
      <w:pPr>
        <w:pStyle w:val="BodyText"/>
        <w:spacing w:line="316" w:lineRule="auto" w:before="19"/>
        <w:ind w:right="86" w:firstLine="360"/>
        <w:jc w:val="left"/>
      </w:pPr>
      <w:r>
        <w:rPr>
          <w:spacing w:val="-2"/>
        </w:rPr>
        <w:t>公司股东严格根据《上市公司治理准则》、《深圳证券交易所股票上市规则》、《公司章程》规范股东行为，通过股东</w:t>
      </w:r>
      <w:r>
        <w:rPr/>
        <w:t> 大会行使股东权利，未发生超越股东大会及董事会而直接干预公司经营与决策的行为。</w:t>
      </w:r>
    </w:p>
    <w:p>
      <w:pPr>
        <w:pStyle w:val="BodyText"/>
        <w:spacing w:line="300" w:lineRule="auto" w:before="19"/>
        <w:ind w:right="184" w:firstLine="360"/>
        <w:jc w:val="left"/>
      </w:pPr>
      <w:r>
        <w:rPr/>
        <w:t>公司依据《上市公司股东大会规则（</w:t>
      </w:r>
      <w:r>
        <w:rPr>
          <w:rFonts w:ascii="Times New Roman" w:hAnsi="Times New Roman" w:cs="Times New Roman" w:eastAsia="Times New Roman" w:hint="default"/>
        </w:rPr>
        <w:t>2014</w:t>
      </w:r>
      <w:r>
        <w:rPr/>
        <w:t>年修订》的要求，从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月开始召开股东大会均采取现场及网络投票相结 合的表决方式，方便中小投资者通过股东大会行使股东权利，提高中小投资者对公司决策的参与度。</w:t>
      </w:r>
    </w:p>
    <w:p>
      <w:pPr>
        <w:pStyle w:val="BodyText"/>
        <w:spacing w:line="300" w:lineRule="auto" w:before="31"/>
        <w:ind w:right="184" w:firstLine="360"/>
        <w:jc w:val="left"/>
      </w:pPr>
      <w:r>
        <w:rPr/>
        <w:t>报告期内，公司共召开</w:t>
      </w:r>
      <w:r>
        <w:rPr>
          <w:rFonts w:ascii="Times New Roman" w:hAnsi="Times New Roman" w:cs="Times New Roman" w:eastAsia="Times New Roman" w:hint="default"/>
        </w:rPr>
        <w:t>8</w:t>
      </w:r>
      <w:r>
        <w:rPr/>
        <w:t>次股东大会，会议的召集与召开程序、出席会议人员的资格、会议表决程序、表决结果和决议 内容均符合法律法规和《公司章程》的规定。</w:t>
      </w:r>
    </w:p>
    <w:p>
      <w:pPr>
        <w:pStyle w:val="BodyText"/>
        <w:spacing w:line="300" w:lineRule="auto" w:before="31"/>
        <w:ind w:left="472" w:right="86"/>
        <w:jc w:val="left"/>
      </w:pPr>
      <w:r>
        <w:rPr/>
        <w:t>（</w:t>
      </w:r>
      <w:r>
        <w:rPr>
          <w:rFonts w:ascii="Times New Roman" w:hAnsi="Times New Roman" w:cs="Times New Roman" w:eastAsia="Times New Roman" w:hint="default"/>
        </w:rPr>
        <w:t>2</w:t>
      </w:r>
      <w:r>
        <w:rPr/>
        <w:t>）公司与实际控制人 </w:t>
      </w:r>
      <w:r>
        <w:rPr>
          <w:spacing w:val="-2"/>
        </w:rPr>
        <w:t>公司实际控制人按照《上市公司治理准则》、《深圳证券交易所中小企业板上市公司规范运作指引》、《公司章程》等</w:t>
      </w:r>
    </w:p>
    <w:p>
      <w:pPr>
        <w:pStyle w:val="BodyText"/>
        <w:spacing w:line="316" w:lineRule="auto" w:before="31"/>
        <w:ind w:right="192"/>
        <w:jc w:val="both"/>
      </w:pPr>
      <w:r>
        <w:rPr>
          <w:spacing w:val="-2"/>
        </w:rPr>
        <w:t>的规定和要求规范自己的行为，没有超越股东权限直接或间接干预公司的决策及生产经营活动，没有损害公司及其他股东的</w:t>
      </w:r>
      <w:r>
        <w:rPr>
          <w:spacing w:val="-64"/>
        </w:rPr>
        <w:t> </w:t>
      </w:r>
      <w:r>
        <w:rPr>
          <w:spacing w:val="-64"/>
        </w:rPr>
      </w:r>
      <w:r>
        <w:rPr>
          <w:spacing w:val="-2"/>
        </w:rPr>
        <w:t>利益。公司与实际控制人在人员、资产、财务、机构、业务上均保持独立，拥有独立完整的自主经营能力；公司董事会、监</w:t>
      </w:r>
      <w:r>
        <w:rPr>
          <w:spacing w:val="-66"/>
        </w:rPr>
        <w:t> </w:t>
      </w:r>
      <w:r>
        <w:rPr>
          <w:spacing w:val="-66"/>
        </w:rPr>
      </w:r>
      <w:r>
        <w:rPr/>
        <w:t>事会及其他内部机构均独立运作。</w:t>
      </w:r>
    </w:p>
    <w:p>
      <w:pPr>
        <w:pStyle w:val="BodyText"/>
        <w:spacing w:line="300" w:lineRule="auto" w:before="19"/>
        <w:ind w:left="472" w:right="86"/>
        <w:jc w:val="left"/>
      </w:pPr>
      <w:r>
        <w:rPr/>
        <w:t>（</w:t>
      </w:r>
      <w:r>
        <w:rPr>
          <w:rFonts w:ascii="Times New Roman" w:hAnsi="Times New Roman" w:cs="Times New Roman" w:eastAsia="Times New Roman" w:hint="default"/>
        </w:rPr>
        <w:t>3</w:t>
      </w:r>
      <w:r>
        <w:rPr/>
        <w:t>）董事与董事会 </w:t>
      </w:r>
      <w:r>
        <w:rPr>
          <w:spacing w:val="-2"/>
        </w:rPr>
        <w:t>公司依据《公司法》、《公司章程》、《上市公司治理准则》等文件制定了《董事会议事规则》、《独立董事年报工作</w:t>
      </w:r>
    </w:p>
    <w:p>
      <w:pPr>
        <w:pStyle w:val="BodyText"/>
        <w:spacing w:line="300" w:lineRule="auto" w:before="31"/>
        <w:ind w:right="111"/>
        <w:jc w:val="both"/>
      </w:pPr>
      <w:r>
        <w:rPr>
          <w:spacing w:val="-2"/>
        </w:rPr>
        <w:t>制度》、《总经理工作细则》，公司董事会设董事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名，公司董事选举程序、董事会人数及人员构成符合</w:t>
      </w:r>
      <w:r>
        <w:rPr>
          <w:spacing w:val="-65"/>
        </w:rPr>
        <w:t> </w:t>
      </w:r>
      <w:r>
        <w:rPr>
          <w:spacing w:val="-65"/>
        </w:rPr>
      </w:r>
      <w:r>
        <w:rPr/>
        <w:t>法律、法规的要求，公司董事勤勉尽责履行职责，维护公司和全体股东的合法权益。独立董事能够严格按照《公司章程》、</w:t>
      </w:r>
    </w:p>
    <w:p>
      <w:pPr>
        <w:pStyle w:val="BodyText"/>
        <w:spacing w:line="316" w:lineRule="auto" w:before="31"/>
        <w:ind w:right="192"/>
        <w:jc w:val="both"/>
      </w:pPr>
      <w:r>
        <w:rPr>
          <w:spacing w:val="-2"/>
        </w:rPr>
        <w:t>《独立董事制度》，不受影响独立履行职责，对公司生产经营、关联交易、人事任免等事项发表独立意见，保证公司的规范</w:t>
      </w:r>
      <w:r>
        <w:rPr>
          <w:spacing w:val="-66"/>
        </w:rPr>
        <w:t> </w:t>
      </w:r>
      <w:r>
        <w:rPr>
          <w:spacing w:val="-66"/>
        </w:rPr>
      </w:r>
      <w:r>
        <w:rPr/>
        <w:t>运作。</w:t>
      </w:r>
    </w:p>
    <w:p>
      <w:pPr>
        <w:pStyle w:val="BodyText"/>
        <w:spacing w:line="300" w:lineRule="auto" w:before="19"/>
        <w:ind w:right="86" w:firstLine="360"/>
        <w:jc w:val="left"/>
      </w:pPr>
      <w:r>
        <w:rPr>
          <w:spacing w:val="-2"/>
        </w:rPr>
        <w:t>报告期内，公司共召开</w:t>
      </w:r>
      <w:r>
        <w:rPr>
          <w:rFonts w:ascii="Times New Roman" w:hAnsi="Times New Roman" w:cs="Times New Roman" w:eastAsia="Times New Roman" w:hint="default"/>
          <w:spacing w:val="-2"/>
        </w:rPr>
        <w:t>17</w:t>
      </w:r>
      <w:r>
        <w:rPr>
          <w:spacing w:val="-2"/>
        </w:rPr>
        <w:t>次董事会会议，会议的召集与召开程序、出席会议人员的资格、会议表决程序、表决结果和决</w:t>
      </w:r>
      <w:r>
        <w:rPr/>
        <w:t> 议内容均符合法律法规和《公司章程》的规定。</w:t>
      </w:r>
    </w:p>
    <w:p>
      <w:pPr>
        <w:pStyle w:val="BodyText"/>
        <w:spacing w:line="309" w:lineRule="auto" w:before="31"/>
        <w:ind w:right="192" w:firstLine="360"/>
        <w:jc w:val="both"/>
      </w:pPr>
      <w:r>
        <w:rPr>
          <w:spacing w:val="-2"/>
        </w:rPr>
        <w:t>公司董事会设立了审计、薪酬与考核、提名、战略四个专业委员会，建立并完善了议事规则，各委员会分工明确，报告</w:t>
      </w:r>
      <w:r>
        <w:rPr/>
        <w:t> 期内，公司共召开</w:t>
      </w:r>
      <w:r>
        <w:rPr>
          <w:rFonts w:ascii="Times New Roman" w:hAnsi="Times New Roman" w:cs="Times New Roman" w:eastAsia="Times New Roman" w:hint="default"/>
        </w:rPr>
        <w:t>5</w:t>
      </w:r>
      <w:r>
        <w:rPr/>
        <w:t>次审计委员会会议、</w:t>
      </w:r>
      <w:r>
        <w:rPr>
          <w:rFonts w:ascii="Times New Roman" w:hAnsi="Times New Roman" w:cs="Times New Roman" w:eastAsia="Times New Roman" w:hint="default"/>
        </w:rPr>
        <w:t>4</w:t>
      </w:r>
      <w:r>
        <w:rPr/>
        <w:t>次提名委员会会议、</w:t>
      </w:r>
      <w:r>
        <w:rPr>
          <w:rFonts w:ascii="Times New Roman" w:hAnsi="Times New Roman" w:cs="Times New Roman" w:eastAsia="Times New Roman" w:hint="default"/>
        </w:rPr>
        <w:t>2</w:t>
      </w:r>
      <w:r>
        <w:rPr/>
        <w:t>次薪酬与考核委员会会议，为董事会的决策提供科学和专业 的意见，确保董事会对经营层的有效监督。</w:t>
      </w:r>
    </w:p>
    <w:p>
      <w:pPr>
        <w:pStyle w:val="BodyText"/>
        <w:spacing w:line="300" w:lineRule="auto" w:before="24"/>
        <w:ind w:left="472" w:right="184"/>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）监事与监事会 公司依据《公司法》、《公司章程》、《上市公司治理准则》等文件制定了《监事会议事规则》，公司监事会设监事</w:t>
      </w:r>
      <w:r>
        <w:rPr>
          <w:rFonts w:ascii="Times New Roman" w:hAnsi="Times New Roman" w:cs="Times New Roman" w:eastAsia="Times New Roman" w:hint="default"/>
        </w:rPr>
        <w:t>3</w:t>
      </w:r>
    </w:p>
    <w:p>
      <w:pPr>
        <w:pStyle w:val="BodyText"/>
        <w:spacing w:line="240" w:lineRule="auto" w:before="13"/>
        <w:ind w:right="0"/>
        <w:jc w:val="both"/>
      </w:pPr>
      <w:r>
        <w:rPr/>
        <w:t>名，其中职工代表监事</w:t>
      </w:r>
      <w:r>
        <w:rPr>
          <w:rFonts w:ascii="Times New Roman" w:hAnsi="Times New Roman" w:cs="Times New Roman" w:eastAsia="Times New Roman" w:hint="default"/>
        </w:rPr>
        <w:t>1</w:t>
      </w:r>
      <w:r>
        <w:rPr/>
        <w:t>名，监事会的人数、构成及选聘程序均符合相关法律法规的规定。公司监事按规定出席监事会，认</w:t>
      </w:r>
    </w:p>
    <w:p>
      <w:pPr>
        <w:spacing w:after="0" w:line="240" w:lineRule="auto"/>
        <w:jc w:val="both"/>
        <w:sectPr>
          <w:pgSz w:w="11910" w:h="16840"/>
          <w:pgMar w:header="878" w:footer="1225" w:top="1100" w:bottom="1420" w:left="1020" w:right="940"/>
        </w:sectPr>
      </w:pPr>
    </w:p>
    <w:p>
      <w:pPr>
        <w:spacing w:line="240" w:lineRule="auto" w:before="1"/>
        <w:rPr>
          <w:rFonts w:ascii="宋体" w:hAnsi="宋体" w:cs="宋体" w:eastAsia="宋体" w:hint="default"/>
          <w:sz w:val="22"/>
          <w:szCs w:val="22"/>
        </w:rPr>
      </w:pPr>
    </w:p>
    <w:p>
      <w:pPr>
        <w:pStyle w:val="BodyText"/>
        <w:spacing w:line="316" w:lineRule="auto" w:before="44"/>
        <w:ind w:left="472" w:right="184" w:hanging="360"/>
        <w:jc w:val="left"/>
      </w:pPr>
      <w:r>
        <w:rPr/>
        <w:t>真履行职责，对公司重大事项、关联交易、财务状况等进行监督并发表意见，维护公司及股东的合法权益。 报告期内，公司共召开</w:t>
      </w:r>
      <w:r>
        <w:rPr>
          <w:rFonts w:ascii="Times New Roman" w:hAnsi="Times New Roman" w:cs="Times New Roman" w:eastAsia="Times New Roman" w:hint="default"/>
        </w:rPr>
        <w:t>8</w:t>
      </w:r>
      <w:r>
        <w:rPr/>
        <w:t>次监事会会议，会议的召集与召开程序、出席会议人员的资格、会议表决程序、表决结果和决</w:t>
      </w:r>
    </w:p>
    <w:p>
      <w:pPr>
        <w:pStyle w:val="BodyText"/>
        <w:spacing w:line="235" w:lineRule="exact"/>
        <w:ind w:right="0"/>
        <w:jc w:val="both"/>
      </w:pPr>
      <w:r>
        <w:rPr/>
        <w:t>议内容均符合法律法规和《公司章程》的规定。</w:t>
      </w:r>
    </w:p>
    <w:p>
      <w:pPr>
        <w:pStyle w:val="BodyText"/>
        <w:spacing w:line="300" w:lineRule="auto" w:before="76"/>
        <w:ind w:left="472" w:right="86"/>
        <w:jc w:val="left"/>
      </w:pPr>
      <w:r>
        <w:rPr/>
        <w:t>（</w:t>
      </w:r>
      <w:r>
        <w:rPr>
          <w:rFonts w:ascii="Times New Roman" w:hAnsi="Times New Roman" w:cs="Times New Roman" w:eastAsia="Times New Roman" w:hint="default"/>
        </w:rPr>
        <w:t>5</w:t>
      </w:r>
      <w:r>
        <w:rPr/>
        <w:t>）信息披露 </w:t>
      </w:r>
      <w:r>
        <w:rPr>
          <w:spacing w:val="-2"/>
        </w:rPr>
        <w:t>公司上市前就根据相关文件制度制定了《信息披露制度》和《投资者关系管理制度》，公司上市后按照中国证监会、深</w:t>
      </w:r>
    </w:p>
    <w:p>
      <w:pPr>
        <w:pStyle w:val="BodyText"/>
        <w:spacing w:line="240" w:lineRule="auto" w:before="31"/>
        <w:ind w:right="0"/>
        <w:jc w:val="both"/>
      </w:pPr>
      <w:r>
        <w:rPr/>
        <w:t>圳证券交易所发布的相关法规修订了《信息披露制度》、《年报信息披露重大差错责任追究制度》、《推广和接待制度》、</w:t>
      </w:r>
    </w:p>
    <w:p>
      <w:pPr>
        <w:pStyle w:val="BodyText"/>
        <w:spacing w:line="240" w:lineRule="auto" w:before="76"/>
        <w:ind w:right="0"/>
        <w:jc w:val="both"/>
      </w:pPr>
      <w:r>
        <w:rPr/>
        <w:t>《重大信息内部报告制度》、《董事会审计委员会年报工作规程》、《独立董事年报工作制度》、《内部信息保密制度》、</w:t>
      </w:r>
    </w:p>
    <w:p>
      <w:pPr>
        <w:pStyle w:val="BodyText"/>
        <w:spacing w:line="316" w:lineRule="auto" w:before="76"/>
        <w:ind w:right="192"/>
        <w:jc w:val="both"/>
      </w:pPr>
      <w:r>
        <w:rPr>
          <w:spacing w:val="-2"/>
        </w:rPr>
        <w:t>《内幕信息知情人登记和报备制度》，指定公司董事会秘书负责信息披露工作，规范公司内部重大信息传递的程序，对年报</w:t>
      </w:r>
      <w:r>
        <w:rPr>
          <w:spacing w:val="-66"/>
        </w:rPr>
        <w:t> </w:t>
      </w:r>
      <w:r>
        <w:rPr>
          <w:spacing w:val="-66"/>
        </w:rPr>
      </w:r>
      <w:r>
        <w:rPr>
          <w:spacing w:val="-2"/>
        </w:rPr>
        <w:t>信息披露重大差错责任追究作出明确规定，切实履行信息披露义务。公司指定《中国证券报》、《证券时报》和巨潮资讯网</w:t>
      </w:r>
      <w:r>
        <w:rPr>
          <w:spacing w:val="-65"/>
        </w:rPr>
        <w:t> </w:t>
      </w:r>
      <w:r>
        <w:rPr>
          <w:spacing w:val="-65"/>
        </w:rPr>
      </w:r>
      <w:r>
        <w:rPr/>
        <w:t>站为公司信息披露的报纸和网站，真实、准确、及时地披露公司信息，确保公司所有股东公平的获得公司相关信息。</w:t>
      </w:r>
    </w:p>
    <w:p>
      <w:pPr>
        <w:pStyle w:val="BodyText"/>
        <w:spacing w:line="300" w:lineRule="auto" w:before="19"/>
        <w:ind w:left="472" w:right="86"/>
        <w:jc w:val="left"/>
      </w:pPr>
      <w:r>
        <w:rPr/>
        <w:t>（</w:t>
      </w:r>
      <w:r>
        <w:rPr>
          <w:rFonts w:ascii="Times New Roman" w:hAnsi="Times New Roman" w:cs="Times New Roman" w:eastAsia="Times New Roman" w:hint="default"/>
        </w:rPr>
        <w:t>6</w:t>
      </w:r>
      <w:r>
        <w:rPr/>
        <w:t>）投资者关系管理 </w:t>
      </w:r>
      <w:r>
        <w:rPr>
          <w:spacing w:val="-2"/>
        </w:rPr>
        <w:t>公司重视投资者关系管理工作，指定董事会秘书为投资者关系管理负责人，公司证券部作为投资者关系管理的具体实施</w:t>
      </w:r>
    </w:p>
    <w:p>
      <w:pPr>
        <w:pStyle w:val="BodyText"/>
        <w:spacing w:line="316" w:lineRule="auto" w:before="31"/>
        <w:ind w:right="192"/>
        <w:jc w:val="both"/>
      </w:pPr>
      <w:r>
        <w:rPr>
          <w:spacing w:val="-2"/>
        </w:rPr>
        <w:t>机构，协助实施投资者关系的日常管理工作，包括投资者来访接待工作、股东大会的安排组织工作、投资者关系互动平台答</w:t>
      </w:r>
      <w:r>
        <w:rPr>
          <w:spacing w:val="-66"/>
        </w:rPr>
        <w:t> </w:t>
      </w:r>
      <w:r>
        <w:rPr>
          <w:spacing w:val="-66"/>
        </w:rPr>
      </w:r>
      <w:r>
        <w:rPr/>
        <w:t>疑工作等。</w:t>
      </w:r>
    </w:p>
    <w:p>
      <w:pPr>
        <w:pStyle w:val="BodyText"/>
        <w:spacing w:line="300" w:lineRule="auto" w:before="19"/>
        <w:ind w:left="472" w:right="86"/>
        <w:jc w:val="left"/>
      </w:pPr>
      <w:r>
        <w:rPr/>
        <w:t>（</w:t>
      </w:r>
      <w:r>
        <w:rPr>
          <w:rFonts w:ascii="Times New Roman" w:hAnsi="Times New Roman" w:cs="Times New Roman" w:eastAsia="Times New Roman" w:hint="default"/>
        </w:rPr>
        <w:t>7</w:t>
      </w:r>
      <w:r>
        <w:rPr/>
        <w:t>）关于利益相关者 </w:t>
      </w:r>
      <w:r>
        <w:rPr>
          <w:spacing w:val="-4"/>
        </w:rPr>
        <w:t>公司充分尊重和维护利益相关者（债权人、员工、关联方等）的合法权益，重视公司的社会责任，努力实现股东、员工、</w:t>
      </w:r>
    </w:p>
    <w:p>
      <w:pPr>
        <w:pStyle w:val="BodyText"/>
        <w:spacing w:line="240" w:lineRule="auto" w:before="31"/>
        <w:ind w:right="0"/>
        <w:jc w:val="both"/>
      </w:pPr>
      <w:r>
        <w:rPr/>
        <w:t>社会等各方利益的协调平衡，积极合作，共同推动公司持续、健康的发展。</w:t>
      </w:r>
    </w:p>
    <w:p>
      <w:pPr>
        <w:pStyle w:val="BodyText"/>
        <w:spacing w:line="316" w:lineRule="auto" w:before="76"/>
        <w:ind w:left="564" w:right="182" w:hanging="92"/>
        <w:jc w:val="left"/>
      </w:pPr>
      <w:r>
        <w:rPr/>
        <w:t>（二）公司董事长、董事履行职责情况 报告期内，公司董事长能够积极推动公司内部各项制度的制定和完善，加强董事会建设，确保董事会会议依法正常召</w:t>
      </w:r>
    </w:p>
    <w:p>
      <w:pPr>
        <w:pStyle w:val="BodyText"/>
        <w:spacing w:line="316" w:lineRule="auto" w:before="19"/>
        <w:ind w:right="192"/>
        <w:jc w:val="both"/>
      </w:pPr>
      <w:r>
        <w:rPr>
          <w:spacing w:val="-2"/>
        </w:rPr>
        <w:t>集和召开。董事长未有从事超越其职权范围的行为，能够积极督促董事会决议的执行，及时将有关情况告知其他董事，能够</w:t>
      </w:r>
      <w:r>
        <w:rPr>
          <w:spacing w:val="-66"/>
        </w:rPr>
        <w:t> </w:t>
      </w:r>
      <w:r>
        <w:rPr>
          <w:spacing w:val="-66"/>
        </w:rPr>
      </w:r>
      <w:r>
        <w:rPr/>
        <w:t>保证独立董事和董事会秘书的知情权，为其行使职能和发挥作用提供了平台和保障。</w:t>
      </w:r>
    </w:p>
    <w:p>
      <w:pPr>
        <w:pStyle w:val="BodyText"/>
        <w:spacing w:line="316" w:lineRule="auto" w:before="19"/>
        <w:ind w:right="192" w:firstLine="360"/>
        <w:jc w:val="both"/>
      </w:pPr>
      <w:r>
        <w:rPr>
          <w:spacing w:val="-2"/>
        </w:rPr>
        <w:t>报告期内，公司董事能够恪尽职守、廉洁自律、忠实勤勉、勤免尽责的履行职责，尽力保护公司及股东特别是中小投资</w:t>
      </w:r>
      <w:r>
        <w:rPr/>
        <w:t> 者的权益并致力于保护公司和股东利益。</w:t>
      </w:r>
    </w:p>
    <w:p>
      <w:pPr>
        <w:pStyle w:val="BodyText"/>
        <w:spacing w:line="316" w:lineRule="auto" w:before="19"/>
        <w:ind w:right="192" w:firstLine="360"/>
        <w:jc w:val="both"/>
      </w:pPr>
      <w:r>
        <w:rPr>
          <w:spacing w:val="-2"/>
        </w:rPr>
        <w:t>报告期内，公司全体董事能够依照《公司法》、《公司章程》的规定出席公司召开的董事会会议并独立、客观的发表意</w:t>
      </w:r>
      <w:r>
        <w:rPr/>
        <w:t> 见，未出现违反国家法律法规、《公司章程》等不能担任公司董事职责规定的行为。</w:t>
      </w:r>
    </w:p>
    <w:p>
      <w:pPr>
        <w:pStyle w:val="BodyText"/>
        <w:spacing w:line="316" w:lineRule="auto" w:before="19"/>
        <w:ind w:right="192" w:firstLine="360"/>
        <w:jc w:val="both"/>
      </w:pPr>
      <w:r>
        <w:rPr>
          <w:spacing w:val="-2"/>
        </w:rPr>
        <w:t>报告期内，公司独立董事能够定期了解公司经营情况，对公司的重大决策提供了专业性意见，对公司重大生产经营活动</w:t>
      </w:r>
      <w:r>
        <w:rPr/>
        <w:t> </w:t>
      </w:r>
      <w:r>
        <w:rPr>
          <w:spacing w:val="-2"/>
        </w:rPr>
        <w:t>进行有效监督，保证了公司决策的科学性。对续聘会计师事务所、公司关联交易、公司董事会换届等重大事项进行审核并发</w:t>
      </w:r>
      <w:r>
        <w:rPr>
          <w:spacing w:val="-66"/>
        </w:rPr>
        <w:t> </w:t>
      </w:r>
      <w:r>
        <w:rPr>
          <w:spacing w:val="-66"/>
        </w:rPr>
      </w:r>
      <w:r>
        <w:rPr>
          <w:spacing w:val="-2"/>
        </w:rPr>
        <w:t>表了独立意见，为完善公司监督机制、维护公司和全体股东的合法权益发挥了应有的作用。报告期内，独立董事没有对公司</w:t>
      </w:r>
      <w:r>
        <w:rPr>
          <w:spacing w:val="-66"/>
        </w:rPr>
        <w:t> </w:t>
      </w:r>
      <w:r>
        <w:rPr>
          <w:spacing w:val="-66"/>
        </w:rPr>
      </w:r>
      <w:r>
        <w:rPr/>
        <w:t>有关事项提出异议。</w:t>
      </w:r>
    </w:p>
    <w:p>
      <w:pPr>
        <w:pStyle w:val="BodyText"/>
        <w:spacing w:line="240" w:lineRule="auto" w:before="19"/>
        <w:ind w:left="472" w:right="86"/>
        <w:jc w:val="left"/>
      </w:pPr>
      <w:r>
        <w:rPr/>
        <w:t>报告期内董事出席董事会的情况：</w:t>
      </w:r>
    </w:p>
    <w:p>
      <w:pPr>
        <w:spacing w:line="240" w:lineRule="auto" w:before="1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024"/>
        <w:gridCol w:w="1152"/>
        <w:gridCol w:w="1368"/>
        <w:gridCol w:w="1510"/>
        <w:gridCol w:w="1196"/>
        <w:gridCol w:w="838"/>
        <w:gridCol w:w="850"/>
        <w:gridCol w:w="1418"/>
      </w:tblGrid>
      <w:tr>
        <w:trPr>
          <w:trHeight w:val="739" w:hRule="exact"/>
        </w:trPr>
        <w:tc>
          <w:tcPr>
            <w:tcW w:w="102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15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1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62"/>
              <w:ind w:left="227" w:right="4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51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19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62"/>
              <w:ind w:left="320" w:right="51" w:hanging="272"/>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83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62"/>
              <w:ind w:left="231" w:right="50"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85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41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62"/>
              <w:ind w:left="160" w:right="69"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任金生</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离任董事长</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2</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桑玉贵</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离任董事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吕凤华</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离任董事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2</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何芳</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离任董事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2</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纪晓文</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现任董事长</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7" w:right="0"/>
              <w:jc w:val="left"/>
              <w:rPr>
                <w:rFonts w:ascii="Times New Roman" w:hAnsi="Times New Roman" w:cs="Times New Roman" w:eastAsia="Times New Roman" w:hint="default"/>
                <w:sz w:val="18"/>
                <w:szCs w:val="18"/>
              </w:rPr>
            </w:pPr>
            <w:r>
              <w:rPr>
                <w:rFonts w:ascii="Times New Roman"/>
                <w:sz w:val="18"/>
              </w:rPr>
              <w:t>16</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5</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杨富年</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现任董事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87" w:right="0"/>
              <w:jc w:val="left"/>
              <w:rPr>
                <w:rFonts w:ascii="Times New Roman" w:hAnsi="Times New Roman" w:cs="Times New Roman" w:eastAsia="Times New Roman" w:hint="default"/>
                <w:sz w:val="18"/>
                <w:szCs w:val="18"/>
              </w:rPr>
            </w:pPr>
            <w:r>
              <w:rPr>
                <w:rFonts w:ascii="Times New Roman"/>
                <w:sz w:val="18"/>
              </w:rPr>
              <w:t>15</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6</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田青</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现任董事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87" w:right="0"/>
              <w:jc w:val="left"/>
              <w:rPr>
                <w:rFonts w:ascii="Times New Roman" w:hAnsi="Times New Roman" w:cs="Times New Roman" w:eastAsia="Times New Roman" w:hint="default"/>
                <w:sz w:val="18"/>
                <w:szCs w:val="18"/>
              </w:rPr>
            </w:pPr>
            <w:r>
              <w:rPr>
                <w:rFonts w:ascii="Times New Roman"/>
                <w:sz w:val="18"/>
              </w:rPr>
              <w:t>15</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13</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王东</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现任董事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87" w:right="0"/>
              <w:jc w:val="left"/>
              <w:rPr>
                <w:rFonts w:ascii="Times New Roman" w:hAnsi="Times New Roman" w:cs="Times New Roman" w:eastAsia="Times New Roman" w:hint="default"/>
                <w:sz w:val="18"/>
                <w:szCs w:val="18"/>
              </w:rPr>
            </w:pPr>
            <w:r>
              <w:rPr>
                <w:rFonts w:ascii="Times New Roman"/>
                <w:sz w:val="18"/>
              </w:rPr>
              <w:t>15</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footerReference w:type="default" r:id="rId38"/>
          <w:pgSz w:w="11910" w:h="16840"/>
          <w:pgMar w:footer="1225" w:header="878" w:top="1100" w:bottom="1420" w:left="1020" w:right="940"/>
          <w:pgNumType w:start="6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024"/>
        <w:gridCol w:w="1152"/>
        <w:gridCol w:w="1368"/>
        <w:gridCol w:w="1510"/>
        <w:gridCol w:w="1196"/>
        <w:gridCol w:w="838"/>
        <w:gridCol w:w="850"/>
        <w:gridCol w:w="1418"/>
      </w:tblGrid>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朱天培</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离任独立董事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87" w:right="0"/>
              <w:jc w:val="left"/>
              <w:rPr>
                <w:rFonts w:ascii="Times New Roman" w:hAnsi="Times New Roman" w:cs="Times New Roman" w:eastAsia="Times New Roman" w:hint="default"/>
                <w:sz w:val="18"/>
                <w:szCs w:val="18"/>
              </w:rPr>
            </w:pPr>
            <w:r>
              <w:rPr>
                <w:rFonts w:ascii="Times New Roman"/>
                <w:sz w:val="18"/>
              </w:rPr>
              <w:t>14</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57" w:right="0"/>
              <w:jc w:val="lef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7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潘成东</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离任独立董事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7" w:right="0"/>
              <w:jc w:val="left"/>
              <w:rPr>
                <w:rFonts w:ascii="Times New Roman" w:hAnsi="Times New Roman" w:cs="Times New Roman" w:eastAsia="Times New Roman" w:hint="default"/>
                <w:sz w:val="18"/>
                <w:szCs w:val="18"/>
              </w:rPr>
            </w:pPr>
            <w:r>
              <w:rPr>
                <w:rFonts w:ascii="Times New Roman"/>
                <w:sz w:val="18"/>
              </w:rPr>
              <w:t>14</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02" w:right="0"/>
              <w:jc w:val="lef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7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詹伟哉</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离任独立董事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7" w:right="0"/>
              <w:jc w:val="left"/>
              <w:rPr>
                <w:rFonts w:ascii="Times New Roman" w:hAnsi="Times New Roman" w:cs="Times New Roman" w:eastAsia="Times New Roman" w:hint="default"/>
                <w:sz w:val="18"/>
                <w:szCs w:val="18"/>
              </w:rPr>
            </w:pPr>
            <w:r>
              <w:rPr>
                <w:rFonts w:ascii="Times New Roman"/>
                <w:sz w:val="18"/>
              </w:rPr>
              <w:t>14</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02" w:right="0"/>
              <w:jc w:val="lef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7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马静玉</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现任独立董事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3</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02"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7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邢伟</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现任独立董事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3</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02"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7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郑武</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现任独立董事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3</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02"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7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16" w:lineRule="auto" w:before="10"/>
        <w:ind w:left="472" w:right="86"/>
        <w:jc w:val="left"/>
      </w:pPr>
      <w:r>
        <w:rPr/>
        <w:t>（三）公司内部审计制度的建立和执行 </w:t>
      </w:r>
      <w:r>
        <w:rPr>
          <w:spacing w:val="-2"/>
        </w:rPr>
        <w:t>公司根据《中华人民共和国审计法》、《审计署关于内部审计工作的规定》等法律法规和《公司章程》的有关规定，结</w:t>
      </w:r>
    </w:p>
    <w:p>
      <w:pPr>
        <w:pStyle w:val="BodyText"/>
        <w:spacing w:line="316" w:lineRule="auto" w:before="19"/>
        <w:ind w:left="472" w:right="86" w:hanging="360"/>
        <w:jc w:val="left"/>
      </w:pPr>
      <w:r>
        <w:rPr/>
        <w:t>合公司实际情况，制定了《内部审计制度》。 </w:t>
      </w:r>
      <w:r>
        <w:rPr>
          <w:spacing w:val="-2"/>
        </w:rPr>
        <w:t>根据《内部审计制度》，公司董事会设审计委员会，审计委员会下设审计室作为公司内部审计的执行机构，审计室负责</w:t>
      </w:r>
    </w:p>
    <w:p>
      <w:pPr>
        <w:pStyle w:val="BodyText"/>
        <w:spacing w:line="316" w:lineRule="auto" w:before="19"/>
        <w:ind w:right="86"/>
        <w:jc w:val="left"/>
      </w:pPr>
      <w:r>
        <w:rPr>
          <w:spacing w:val="-2"/>
        </w:rPr>
        <w:t>人由董事会审计委员会提名，董事会任免。内部审计机构对审计委员会负责，向审计委员会报告工作，对公司及所属的经营</w:t>
      </w:r>
      <w:r>
        <w:rPr>
          <w:spacing w:val="-66"/>
        </w:rPr>
        <w:t> </w:t>
      </w:r>
      <w:r>
        <w:rPr>
          <w:spacing w:val="-66"/>
        </w:rPr>
      </w:r>
      <w:r>
        <w:rPr/>
        <w:t>管理活动进行审计监督。</w:t>
      </w:r>
    </w:p>
    <w:p>
      <w:pPr>
        <w:pStyle w:val="BodyText"/>
        <w:spacing w:line="316" w:lineRule="auto" w:before="19"/>
        <w:ind w:right="86" w:firstLine="360"/>
        <w:jc w:val="left"/>
      </w:pPr>
      <w:r>
        <w:rPr>
          <w:spacing w:val="-2"/>
        </w:rPr>
        <w:t>审计室负责组织实施公司内部审计制度，对公司财务计划、成本计划或公司预算的执行和决算情况，财务收支及其有关</w:t>
      </w:r>
      <w:r>
        <w:rPr/>
        <w:t> </w:t>
      </w:r>
      <w:r>
        <w:rPr>
          <w:spacing w:val="-4"/>
        </w:rPr>
        <w:t>的经济活动，生产、经营、开发的经济效益和资产保值增值情况，建设项目概预算和决算情况、经济合同的签订及履行情况、</w:t>
      </w:r>
      <w:r>
        <w:rPr>
          <w:spacing w:val="-42"/>
        </w:rPr>
        <w:t> </w:t>
      </w:r>
      <w:r>
        <w:rPr>
          <w:spacing w:val="-42"/>
        </w:rPr>
      </w:r>
      <w:r>
        <w:rPr>
          <w:spacing w:val="-2"/>
        </w:rPr>
        <w:t>内部控制制度等事项的合法性、合规性、真实性和完整性进行审计监督，负责监督检查公司董事会各项经营决策的贯彻执行</w:t>
      </w:r>
      <w:r>
        <w:rPr>
          <w:spacing w:val="-65"/>
        </w:rPr>
        <w:t> </w:t>
      </w:r>
      <w:r>
        <w:rPr>
          <w:spacing w:val="-65"/>
        </w:rPr>
      </w:r>
      <w:r>
        <w:rPr/>
        <w:t>情况，确定反舞弊的重点领域、关键环节和主要内容，并在内部审计过程中合理关注和检查可能存在的舞弊行为。</w:t>
      </w:r>
    </w:p>
    <w:p>
      <w:pPr>
        <w:pStyle w:val="BodyText"/>
        <w:spacing w:line="240" w:lineRule="auto" w:before="59"/>
        <w:ind w:right="86"/>
        <w:jc w:val="left"/>
      </w:pPr>
      <w:r>
        <w:rPr/>
        <w:t>公司治理与《公司法》和中国证监会相关规定的要求是否存在差异</w:t>
      </w:r>
    </w:p>
    <w:p>
      <w:pPr>
        <w:pStyle w:val="BodyText"/>
        <w:spacing w:line="338" w:lineRule="auto" w:before="117"/>
        <w:ind w:right="45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公司治理与《公司法》和中国证监会相关规定的要求不存在差异。</w:t>
      </w:r>
    </w:p>
    <w:p>
      <w:pPr>
        <w:pStyle w:val="BodyText"/>
        <w:spacing w:line="360" w:lineRule="auto" w:before="43"/>
        <w:ind w:left="472" w:right="104" w:hanging="360"/>
        <w:jc w:val="left"/>
      </w:pPr>
      <w:r>
        <w:rPr/>
        <w:t>公司治理专项活动开展情况以及内幕信息知情人登记管理制度的制定、实施情况 </w:t>
      </w:r>
      <w:r>
        <w:rPr>
          <w:spacing w:val="-10"/>
        </w:rPr>
        <w:t>公司严格按照《公司法》、《证券法》等有关法律、行政法规及《公司章程》、《股东大会议事规则》、《董事会议事规则》</w:t>
      </w:r>
    </w:p>
    <w:p>
      <w:pPr>
        <w:pStyle w:val="BodyText"/>
        <w:spacing w:line="222" w:lineRule="exact"/>
        <w:ind w:right="0"/>
        <w:jc w:val="left"/>
      </w:pPr>
      <w:r>
        <w:rPr/>
        <w:t>及《监事会议事规则》等内部规章制度，对公司规范运作、独立性、透明度等情况定期进行自查，不断健全和完善公司治理</w:t>
      </w:r>
    </w:p>
    <w:p>
      <w:pPr>
        <w:pStyle w:val="BodyText"/>
        <w:spacing w:line="316" w:lineRule="auto" w:before="76"/>
        <w:ind w:right="86"/>
        <w:jc w:val="left"/>
      </w:pPr>
      <w:r>
        <w:rPr>
          <w:spacing w:val="-4"/>
        </w:rPr>
        <w:t>的组织和制度建设，不断提高规范运作意识，切实提升公司治理水平，保持公司健康持续发展。为维护信息披露的公平原则，</w:t>
      </w:r>
      <w:r>
        <w:rPr>
          <w:spacing w:val="-43"/>
        </w:rPr>
        <w:t> </w:t>
      </w:r>
      <w:r>
        <w:rPr>
          <w:spacing w:val="-43"/>
        </w:rPr>
      </w:r>
      <w:r>
        <w:rPr>
          <w:spacing w:val="-10"/>
        </w:rPr>
        <w:t>加强内幕信息保密工作，公司制定了《内幕信息知情人登记和报备制度》、《重大信息内部报告制度》、《内部信息保密制度》。</w:t>
      </w:r>
      <w:r>
        <w:rPr>
          <w:spacing w:val="-54"/>
        </w:rPr>
        <w:t> </w:t>
      </w:r>
      <w:r>
        <w:rPr>
          <w:spacing w:val="-54"/>
        </w:rPr>
      </w:r>
      <w:r>
        <w:rPr>
          <w:spacing w:val="-2"/>
        </w:rPr>
        <w:t>报告期内，公司严格执行内幕信息管理相关制度，认真做好内幕信息知情人的登记报备工作，对公司定期报告和重大事项建</w:t>
      </w:r>
      <w:r>
        <w:rPr>
          <w:spacing w:val="-65"/>
        </w:rPr>
        <w:t> </w:t>
      </w:r>
      <w:r>
        <w:rPr>
          <w:spacing w:val="-65"/>
        </w:rPr>
      </w:r>
      <w:r>
        <w:rPr>
          <w:spacing w:val="-2"/>
        </w:rPr>
        <w:t>立内幕信息知情人档案，并按规定及时报送备案，严格规范向外部信息使用人报送公司信息的行为，在相关敏感期间向公司</w:t>
      </w:r>
      <w:r>
        <w:rPr>
          <w:spacing w:val="-65"/>
        </w:rPr>
        <w:t> </w:t>
      </w:r>
      <w:r>
        <w:rPr>
          <w:spacing w:val="-65"/>
        </w:rPr>
      </w:r>
      <w:r>
        <w:rPr>
          <w:spacing w:val="-2"/>
        </w:rPr>
        <w:t>董事、监事及高级管理人员提示禁止买卖公司股票。经公司自查，未发现内幕信息知情人在影响公司股价的重大敏感信息披</w:t>
      </w:r>
      <w:r>
        <w:rPr>
          <w:spacing w:val="-65"/>
        </w:rPr>
        <w:t> </w:t>
      </w:r>
      <w:r>
        <w:rPr>
          <w:spacing w:val="-65"/>
        </w:rPr>
      </w:r>
      <w:r>
        <w:rPr/>
        <w:t>露前利用内幕信息买卖公司股票的情况。</w:t>
      </w:r>
    </w:p>
    <w:p>
      <w:pPr>
        <w:spacing w:after="0" w:line="316" w:lineRule="auto"/>
        <w:jc w:val="left"/>
        <w:sectPr>
          <w:pgSz w:w="11910" w:h="16840"/>
          <w:pgMar w:header="878" w:footer="1225" w:top="1100" w:bottom="1420" w:left="1020" w:right="940"/>
        </w:sectPr>
      </w:pPr>
    </w:p>
    <w:p>
      <w:pPr>
        <w:spacing w:line="240" w:lineRule="auto" w:before="10"/>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5"/>
          <w:szCs w:val="15"/>
        </w:rPr>
      </w:pPr>
    </w:p>
    <w:p>
      <w:pPr>
        <w:pStyle w:val="Heading4"/>
        <w:spacing w:line="240" w:lineRule="auto" w:before="26"/>
        <w:ind w:left="140" w:right="0"/>
        <w:jc w:val="left"/>
        <w:rPr>
          <w:b w:val="0"/>
          <w:bCs w:val="0"/>
        </w:rPr>
      </w:pPr>
      <w:r>
        <w:rPr/>
        <w:t>二、报告期内召开的年度股东大会和临时股东大会的有关情况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0"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BodyText"/>
        <w:spacing w:line="240" w:lineRule="auto" w:before="44"/>
        <w:ind w:left="0" w:right="108"/>
        <w:jc w:val="right"/>
      </w:pPr>
      <w:r>
        <w:rPr/>
        <w:pict>
          <v:shape style="position:absolute;margin-left:70.360001pt;margin-top:-153.647781pt;width:701.45pt;height:197.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9"/>
                    <w:gridCol w:w="1561"/>
                    <w:gridCol w:w="7513"/>
                    <w:gridCol w:w="992"/>
                    <w:gridCol w:w="1559"/>
                    <w:gridCol w:w="1370"/>
                  </w:tblGrid>
                  <w:tr>
                    <w:trPr>
                      <w:trHeight w:val="401" w:hRule="exact"/>
                    </w:trPr>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7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1" w:hRule="exact"/>
                    </w:trPr>
                    <w:tc>
                      <w:tcPr>
                        <w:tcW w:w="1019"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7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r>
                  <w:tr>
                    <w:trPr>
                      <w:trHeight w:val="408" w:hRule="exact"/>
                    </w:trPr>
                    <w:tc>
                      <w:tcPr>
                        <w:tcW w:w="1019"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22" w:right="-14"/>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32" w:hRule="exact"/>
                    </w:trPr>
                    <w:tc>
                      <w:tcPr>
                        <w:tcW w:w="1019"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《证券时报》及</w:t>
                        </w:r>
                      </w:p>
                    </w:tc>
                  </w:tr>
                  <w:tr>
                    <w:trPr>
                      <w:trHeight w:val="331" w:hRule="exact"/>
                    </w:trPr>
                    <w:tc>
                      <w:tcPr>
                        <w:tcW w:w="1019"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49" w:hRule="exact"/>
                    </w:trPr>
                    <w:tc>
                      <w:tcPr>
                        <w:tcW w:w="1019"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《关于续聘会计师事务所的议案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年年度报告及其摘要</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8"/>
                          <w:jc w:val="left"/>
                          <w:rPr>
                            <w:rFonts w:ascii="宋体" w:hAnsi="宋体" w:cs="宋体" w:eastAsia="宋体" w:hint="default"/>
                            <w:sz w:val="18"/>
                            <w:szCs w:val="18"/>
                          </w:rPr>
                        </w:pPr>
                        <w:r>
                          <w:rPr>
                            <w:rFonts w:ascii="宋体" w:hAnsi="宋体" w:cs="宋体" w:eastAsia="宋体" w:hint="default"/>
                            <w:sz w:val="18"/>
                            <w:szCs w:val="18"/>
                          </w:rPr>
                          <w:t>所有议案均 审议通过</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41">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m.cn</w:t>
                        </w:r>
                        <w:r>
                          <w:rPr>
                            <w:rFonts w:ascii="宋体" w:hAnsi="宋体" w:cs="宋体" w:eastAsia="宋体" w:hint="default"/>
                            <w:spacing w:val="-11"/>
                            <w:sz w:val="18"/>
                            <w:szCs w:val="18"/>
                          </w:rPr>
                          <w:t>）上的《</w:t>
                        </w:r>
                        <w:r>
                          <w:rPr>
                            <w:rFonts w:ascii="Times New Roman" w:hAnsi="Times New Roman" w:cs="Times New Roman" w:eastAsia="Times New Roman" w:hint="default"/>
                            <w:spacing w:val="-11"/>
                            <w:sz w:val="18"/>
                            <w:szCs w:val="18"/>
                          </w:rPr>
                          <w:t>2013</w:t>
                        </w:r>
                      </w:p>
                    </w:tc>
                  </w:tr>
                  <w:tr>
                    <w:trPr>
                      <w:trHeight w:val="331" w:hRule="exact"/>
                    </w:trPr>
                    <w:tc>
                      <w:tcPr>
                        <w:tcW w:w="1019"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《关于选举谢战军、温秋萍担任第四届监事会监事候选人的议案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年年度股东大会</w:t>
                        </w:r>
                      </w:p>
                    </w:tc>
                  </w:tr>
                  <w:tr>
                    <w:trPr>
                      <w:trHeight w:val="332" w:hRule="exact"/>
                    </w:trPr>
                    <w:tc>
                      <w:tcPr>
                        <w:tcW w:w="1019"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《关于公司转让长春高琦聚酰亚胺材料有限公司部分股权的议案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125"/>
                            <w:sz w:val="18"/>
                            <w:szCs w:val="18"/>
                          </w:rPr>
                          <w:t>》</w:t>
                        </w:r>
                        <w:r>
                          <w:rPr>
                            <w:rFonts w:ascii="宋体" w:hAnsi="宋体" w:cs="宋体" w:eastAsia="宋体" w:hint="default"/>
                            <w:sz w:val="18"/>
                            <w:szCs w:val="18"/>
                          </w:rPr>
                          <w:t>（公告</w:t>
                        </w:r>
                      </w:p>
                    </w:tc>
                  </w:tr>
                  <w:tr>
                    <w:trPr>
                      <w:trHeight w:val="413" w:hRule="exact"/>
                    </w:trPr>
                    <w:tc>
                      <w:tcPr>
                        <w:tcW w:w="1019"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9</w:t>
                        </w:r>
                        <w:r>
                          <w:rPr>
                            <w:rFonts w:ascii="宋体" w:hAnsi="宋体" w:cs="宋体" w:eastAsia="宋体" w:hint="default"/>
                            <w:spacing w:val="-166"/>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关于授权公司管理层在未来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年内根据经营情况对长春高琦聚酰亚胺材料有限公司部分股权</w:t>
                        </w:r>
                      </w:p>
                    </w:tc>
                    <w:tc>
                      <w:tcPr>
                        <w:tcW w:w="99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2014-062</w:t>
                        </w:r>
                      </w:p>
                    </w:tc>
                  </w:tr>
                  <w:tr>
                    <w:trPr>
                      <w:trHeight w:val="353" w:hRule="exact"/>
                    </w:trPr>
                    <w:tc>
                      <w:tcPr>
                        <w:tcW w:w="1019"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75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实施回购的议案》</w:t>
                        </w:r>
                      </w:p>
                    </w:tc>
                    <w:tc>
                      <w:tcPr>
                        <w:tcW w:w="992"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before="34"/>
        <w:ind w:left="140"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1162"/>
        <w:gridCol w:w="1560"/>
        <w:gridCol w:w="5103"/>
        <w:gridCol w:w="850"/>
        <w:gridCol w:w="1541"/>
        <w:gridCol w:w="3798"/>
      </w:tblGrid>
      <w:tr>
        <w:trPr>
          <w:trHeight w:val="402" w:hRule="exact"/>
        </w:trPr>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 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《关于补选纪晓文先生担任公司第四届董事会董事的议案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75"/>
              <w:jc w:val="center"/>
              <w:rPr>
                <w:rFonts w:ascii="宋体" w:hAnsi="宋体" w:cs="宋体" w:eastAsia="宋体" w:hint="default"/>
                <w:sz w:val="18"/>
                <w:szCs w:val="18"/>
              </w:rPr>
            </w:pPr>
            <w:r>
              <w:rPr>
                <w:rFonts w:ascii="宋体" w:hAnsi="宋体" w:cs="宋体" w:eastAsia="宋体" w:hint="default"/>
                <w:sz w:val="18"/>
                <w:szCs w:val="18"/>
              </w:rPr>
              <w:t>审议通过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《证券时报》及巨潮资讯网</w:t>
            </w:r>
          </w:p>
          <w:p>
            <w:pPr>
              <w:pStyle w:val="TableParagraph"/>
              <w:spacing w:line="300" w:lineRule="auto" w:before="76"/>
              <w:ind w:left="24" w:right="104"/>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年第一次临 </w:t>
            </w:r>
            <w:r>
              <w:rPr>
                <w:rFonts w:ascii="宋体" w:hAnsi="宋体" w:cs="宋体" w:eastAsia="宋体" w:hint="default"/>
                <w:spacing w:val="-4"/>
                <w:sz w:val="18"/>
                <w:szCs w:val="18"/>
              </w:rPr>
              <w:t>时股东大会决议公告》（公告编号：</w:t>
            </w:r>
            <w:r>
              <w:rPr>
                <w:rFonts w:ascii="Times New Roman" w:hAnsi="Times New Roman" w:cs="Times New Roman" w:eastAsia="Times New Roman" w:hint="default"/>
                <w:spacing w:val="-4"/>
                <w:sz w:val="18"/>
                <w:szCs w:val="18"/>
              </w:rPr>
              <w:t>2014-010</w:t>
            </w:r>
            <w:r>
              <w:rPr>
                <w:rFonts w:ascii="宋体" w:hAnsi="宋体" w:cs="宋体" w:eastAsia="宋体" w:hint="default"/>
                <w:spacing w:val="-4"/>
                <w:sz w:val="18"/>
                <w:szCs w:val="18"/>
              </w:rPr>
              <w:t>）</w:t>
            </w:r>
          </w:p>
        </w:tc>
      </w:tr>
      <w:tr>
        <w:trPr>
          <w:trHeight w:val="313" w:hRule="exact"/>
        </w:trPr>
        <w:tc>
          <w:tcPr>
            <w:tcW w:w="1162"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《关于为控股子公司长春高琦提供贷款担保额度的议案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nil" w:sz="6" w:space="0" w:color="auto"/>
              <w:right w:val="single" w:sz="4" w:space="0" w:color="000000"/>
            </w:tcBorders>
          </w:tcPr>
          <w:p>
            <w:pPr/>
          </w:p>
        </w:tc>
        <w:tc>
          <w:tcPr>
            <w:tcW w:w="1541" w:type="dxa"/>
            <w:tcBorders>
              <w:top w:val="single" w:sz="4" w:space="0" w:color="000000"/>
              <w:left w:val="single" w:sz="4" w:space="0" w:color="000000"/>
              <w:bottom w:val="nil" w:sz="6" w:space="0" w:color="auto"/>
              <w:right w:val="single" w:sz="4" w:space="0" w:color="000000"/>
            </w:tcBorders>
          </w:tcPr>
          <w:p>
            <w:pPr/>
          </w:p>
        </w:tc>
        <w:tc>
          <w:tcPr>
            <w:tcW w:w="3798" w:type="dxa"/>
            <w:tcBorders>
              <w:top w:val="single" w:sz="4" w:space="0" w:color="000000"/>
              <w:left w:val="single" w:sz="4" w:space="0" w:color="000000"/>
              <w:bottom w:val="nil" w:sz="6" w:space="0" w:color="auto"/>
              <w:right w:val="single" w:sz="4" w:space="0" w:color="000000"/>
            </w:tcBorders>
          </w:tcPr>
          <w:p>
            <w:pPr/>
          </w:p>
        </w:tc>
      </w:tr>
      <w:tr>
        <w:trPr>
          <w:trHeight w:val="840" w:hRule="exact"/>
        </w:trPr>
        <w:tc>
          <w:tcPr>
            <w:tcW w:w="1162" w:type="dxa"/>
            <w:tcBorders>
              <w:top w:val="nil" w:sz="6" w:space="0" w:color="auto"/>
              <w:left w:val="single" w:sz="4" w:space="0" w:color="000000"/>
              <w:bottom w:val="nil" w:sz="6" w:space="0" w:color="auto"/>
              <w:right w:val="single" w:sz="4" w:space="0" w:color="000000"/>
            </w:tcBorders>
          </w:tcPr>
          <w:p>
            <w:pPr>
              <w:pStyle w:val="TableParagraph"/>
              <w:spacing w:line="300" w:lineRule="auto" w:before="11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年第二次 临时股东大会</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《关于补选杨富年先生担任公司第四届董事会董事的议案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《关于补选王东先生担任公司第四届董事会董事的议案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所有议案</w:t>
            </w:r>
          </w:p>
          <w:p>
            <w:pPr>
              <w:pStyle w:val="TableParagraph"/>
              <w:spacing w:line="316" w:lineRule="auto" w:before="76"/>
              <w:ind w:left="22" w:right="96"/>
              <w:jc w:val="left"/>
              <w:rPr>
                <w:rFonts w:ascii="宋体" w:hAnsi="宋体" w:cs="宋体" w:eastAsia="宋体" w:hint="default"/>
                <w:sz w:val="18"/>
                <w:szCs w:val="18"/>
              </w:rPr>
            </w:pPr>
            <w:r>
              <w:rPr>
                <w:rFonts w:ascii="宋体" w:hAnsi="宋体" w:cs="宋体" w:eastAsia="宋体" w:hint="default"/>
                <w:sz w:val="18"/>
                <w:szCs w:val="18"/>
              </w:rPr>
              <w:t>均审议通 过</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3798"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《证券时报》及巨潮资讯网</w:t>
            </w:r>
          </w:p>
          <w:p>
            <w:pPr>
              <w:pStyle w:val="TableParagraph"/>
              <w:spacing w:line="300" w:lineRule="auto" w:before="76"/>
              <w:ind w:left="24" w:right="104"/>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年第二次临 </w:t>
            </w:r>
            <w:r>
              <w:rPr>
                <w:rFonts w:ascii="宋体" w:hAnsi="宋体" w:cs="宋体" w:eastAsia="宋体" w:hint="default"/>
                <w:spacing w:val="-4"/>
                <w:sz w:val="18"/>
                <w:szCs w:val="18"/>
              </w:rPr>
              <w:t>时股东大会决议公告》（公告编号：</w:t>
            </w:r>
            <w:r>
              <w:rPr>
                <w:rFonts w:ascii="Times New Roman" w:hAnsi="Times New Roman" w:cs="Times New Roman" w:eastAsia="Times New Roman" w:hint="default"/>
                <w:spacing w:val="-4"/>
                <w:sz w:val="18"/>
                <w:szCs w:val="18"/>
              </w:rPr>
              <w:t>2014-017</w:t>
            </w:r>
            <w:r>
              <w:rPr>
                <w:rFonts w:ascii="宋体" w:hAnsi="宋体" w:cs="宋体" w:eastAsia="宋体" w:hint="default"/>
                <w:spacing w:val="-4"/>
                <w:sz w:val="18"/>
                <w:szCs w:val="18"/>
              </w:rPr>
              <w:t>）</w:t>
            </w:r>
          </w:p>
        </w:tc>
      </w:tr>
      <w:tr>
        <w:trPr>
          <w:trHeight w:val="303" w:hRule="exact"/>
        </w:trPr>
        <w:tc>
          <w:tcPr>
            <w:tcW w:w="116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《关于补选田青先生担任公司第四届董事会董事的议案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1541" w:type="dxa"/>
            <w:tcBorders>
              <w:top w:val="nil" w:sz="6" w:space="0" w:color="auto"/>
              <w:left w:val="single" w:sz="4" w:space="0" w:color="000000"/>
              <w:bottom w:val="single" w:sz="4" w:space="0" w:color="000000"/>
              <w:right w:val="single" w:sz="4" w:space="0" w:color="000000"/>
            </w:tcBorders>
          </w:tcPr>
          <w:p>
            <w:pPr/>
          </w:p>
        </w:tc>
        <w:tc>
          <w:tcPr>
            <w:tcW w:w="3798"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39"/>
          <w:footerReference w:type="default" r:id="rId40"/>
          <w:pgSz w:w="16840" w:h="11910" w:orient="landscape"/>
          <w:pgMar w:header="868" w:footer="1225" w:top="1060" w:bottom="1420" w:left="1300" w:right="1240"/>
          <w:pgNumType w:start="62"/>
        </w:sectPr>
      </w:pPr>
    </w:p>
    <w:p>
      <w:pPr>
        <w:spacing w:line="240" w:lineRule="auto" w:before="1"/>
        <w:rPr>
          <w:rFonts w:ascii="Times New Roman" w:hAnsi="Times New Roman" w:cs="Times New Roman" w:eastAsia="Times New Roman" w:hint="default"/>
          <w:sz w:val="3"/>
          <w:szCs w:val="3"/>
        </w:rPr>
      </w:pPr>
      <w:r>
        <w:rPr/>
        <w:pict>
          <v:group style="position:absolute;margin-left:462pt;margin-top:210.999985pt;width:42.25pt;height:156.65pt;mso-position-horizontal-relative:page;mso-position-vertical-relative:page;z-index:-1009768" coordorigin="9240,4220" coordsize="845,3133">
            <v:shape style="position:absolute;left:9240;top:4220;width:845;height:3133" coordorigin="9240,4220" coordsize="845,3133" path="m9240,4220l10085,4220,10085,7353,9240,7353,9240,4220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162"/>
        <w:gridCol w:w="1560"/>
        <w:gridCol w:w="5103"/>
        <w:gridCol w:w="850"/>
        <w:gridCol w:w="1541"/>
        <w:gridCol w:w="3798"/>
      </w:tblGrid>
      <w:tr>
        <w:trPr>
          <w:trHeight w:val="1041" w:hRule="exact"/>
        </w:trPr>
        <w:tc>
          <w:tcPr>
            <w:tcW w:w="116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年第三次 临时股东大会</w:t>
            </w:r>
          </w:p>
        </w:tc>
        <w:tc>
          <w:tcPr>
            <w:tcW w:w="156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《关于修改</w:t>
            </w:r>
            <w:r>
              <w:rPr>
                <w:rFonts w:ascii="Times New Roman" w:hAnsi="Times New Roman" w:cs="Times New Roman" w:eastAsia="Times New Roman" w:hint="default"/>
                <w:spacing w:val="-1"/>
                <w:w w:val="99"/>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pacing w:val="1"/>
                <w:w w:val="99"/>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5"/>
              <w:jc w:val="center"/>
              <w:rPr>
                <w:rFonts w:ascii="宋体" w:hAnsi="宋体" w:cs="宋体" w:eastAsia="宋体" w:hint="default"/>
                <w:sz w:val="18"/>
                <w:szCs w:val="18"/>
              </w:rPr>
            </w:pPr>
            <w:r>
              <w:rPr>
                <w:rFonts w:ascii="宋体" w:hAnsi="宋体" w:cs="宋体" w:eastAsia="宋体" w:hint="default"/>
                <w:sz w:val="18"/>
                <w:szCs w:val="18"/>
              </w:rPr>
              <w:t>审议通过</w:t>
            </w:r>
          </w:p>
        </w:tc>
        <w:tc>
          <w:tcPr>
            <w:tcW w:w="154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79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《证券时报》及巨潮资讯网</w:t>
            </w:r>
          </w:p>
          <w:p>
            <w:pPr>
              <w:pStyle w:val="TableParagraph"/>
              <w:spacing w:line="300" w:lineRule="auto" w:before="76"/>
              <w:ind w:left="24" w:right="104"/>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年第三次临 </w:t>
            </w:r>
            <w:r>
              <w:rPr>
                <w:rFonts w:ascii="宋体" w:hAnsi="宋体" w:cs="宋体" w:eastAsia="宋体" w:hint="default"/>
                <w:spacing w:val="-4"/>
                <w:sz w:val="18"/>
                <w:szCs w:val="18"/>
              </w:rPr>
              <w:t>时股东大会决议公告》（公告编号：</w:t>
            </w:r>
            <w:r>
              <w:rPr>
                <w:rFonts w:ascii="Times New Roman" w:hAnsi="Times New Roman" w:cs="Times New Roman" w:eastAsia="Times New Roman" w:hint="default"/>
                <w:spacing w:val="-4"/>
                <w:sz w:val="18"/>
                <w:szCs w:val="18"/>
              </w:rPr>
              <w:t>2014-040</w:t>
            </w:r>
            <w:r>
              <w:rPr>
                <w:rFonts w:ascii="宋体" w:hAnsi="宋体" w:cs="宋体" w:eastAsia="宋体" w:hint="default"/>
                <w:spacing w:val="-4"/>
                <w:sz w:val="18"/>
                <w:szCs w:val="18"/>
              </w:rPr>
              <w:t>）</w:t>
            </w:r>
          </w:p>
        </w:tc>
      </w:tr>
      <w:tr>
        <w:trPr>
          <w:trHeight w:val="10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年第四次 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8"/>
              <w:jc w:val="left"/>
              <w:rPr>
                <w:rFonts w:ascii="宋体" w:hAnsi="宋体" w:cs="宋体" w:eastAsia="宋体" w:hint="default"/>
                <w:sz w:val="18"/>
                <w:szCs w:val="18"/>
              </w:rPr>
            </w:pPr>
            <w:r>
              <w:rPr>
                <w:rFonts w:ascii="宋体" w:hAnsi="宋体" w:cs="宋体" w:eastAsia="宋体" w:hint="default"/>
                <w:sz w:val="18"/>
                <w:szCs w:val="18"/>
              </w:rPr>
              <w:t>《关于为间接控股公司吉林高琦聚酰亚胺材料有限公司提供担保 </w:t>
            </w:r>
            <w:r>
              <w:rPr>
                <w:rFonts w:ascii="宋体" w:hAnsi="宋体" w:cs="宋体" w:eastAsia="宋体" w:hint="default"/>
                <w:spacing w:val="-18"/>
                <w:sz w:val="18"/>
                <w:szCs w:val="18"/>
              </w:rPr>
              <w:t>的议案》。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75"/>
              <w:jc w:val="center"/>
              <w:rPr>
                <w:rFonts w:ascii="宋体" w:hAnsi="宋体" w:cs="宋体" w:eastAsia="宋体" w:hint="default"/>
                <w:sz w:val="18"/>
                <w:szCs w:val="18"/>
              </w:rPr>
            </w:pPr>
            <w:r>
              <w:rPr>
                <w:rFonts w:ascii="宋体" w:hAnsi="宋体" w:cs="宋体" w:eastAsia="宋体" w:hint="default"/>
                <w:sz w:val="18"/>
                <w:szCs w:val="18"/>
              </w:rPr>
              <w:t>审议通过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《证券时报》及巨潮资讯网</w:t>
            </w:r>
          </w:p>
          <w:p>
            <w:pPr>
              <w:pStyle w:val="TableParagraph"/>
              <w:spacing w:line="300" w:lineRule="auto" w:before="76"/>
              <w:ind w:left="24" w:right="104"/>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年第四次临 </w:t>
            </w:r>
            <w:r>
              <w:rPr>
                <w:rFonts w:ascii="宋体" w:hAnsi="宋体" w:cs="宋体" w:eastAsia="宋体" w:hint="default"/>
                <w:spacing w:val="-4"/>
                <w:sz w:val="18"/>
                <w:szCs w:val="18"/>
              </w:rPr>
              <w:t>时股东大会决议公告》（公告编号：</w:t>
            </w:r>
            <w:r>
              <w:rPr>
                <w:rFonts w:ascii="Times New Roman" w:hAnsi="Times New Roman" w:cs="Times New Roman" w:eastAsia="Times New Roman" w:hint="default"/>
                <w:spacing w:val="-4"/>
                <w:sz w:val="18"/>
                <w:szCs w:val="18"/>
              </w:rPr>
              <w:t>2014-073</w:t>
            </w:r>
            <w:r>
              <w:rPr>
                <w:rFonts w:ascii="宋体" w:hAnsi="宋体" w:cs="宋体" w:eastAsia="宋体" w:hint="default"/>
                <w:spacing w:val="-4"/>
                <w:sz w:val="18"/>
                <w:szCs w:val="18"/>
              </w:rPr>
              <w:t>）</w:t>
            </w:r>
          </w:p>
        </w:tc>
      </w:tr>
      <w:tr>
        <w:trPr>
          <w:trHeight w:val="10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年第五次 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《关于增加理财产品投资额度的议案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5"/>
              <w:jc w:val="center"/>
              <w:rPr>
                <w:rFonts w:ascii="宋体" w:hAnsi="宋体" w:cs="宋体" w:eastAsia="宋体" w:hint="default"/>
                <w:sz w:val="18"/>
                <w:szCs w:val="18"/>
              </w:rPr>
            </w:pPr>
            <w:r>
              <w:rPr>
                <w:rFonts w:ascii="宋体" w:hAnsi="宋体" w:cs="宋体" w:eastAsia="宋体" w:hint="default"/>
                <w:sz w:val="18"/>
                <w:szCs w:val="18"/>
              </w:rPr>
              <w:t>审议通过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《证券时报》及巨潮资讯网</w:t>
            </w:r>
          </w:p>
          <w:p>
            <w:pPr>
              <w:pStyle w:val="TableParagraph"/>
              <w:spacing w:line="300" w:lineRule="auto" w:before="76"/>
              <w:ind w:left="24" w:right="104"/>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年第五次临 </w:t>
            </w:r>
            <w:r>
              <w:rPr>
                <w:rFonts w:ascii="宋体" w:hAnsi="宋体" w:cs="宋体" w:eastAsia="宋体" w:hint="default"/>
                <w:spacing w:val="-4"/>
                <w:sz w:val="18"/>
                <w:szCs w:val="18"/>
              </w:rPr>
              <w:t>时股东大会决议公告》（公告编号：</w:t>
            </w:r>
            <w:r>
              <w:rPr>
                <w:rFonts w:ascii="Times New Roman" w:hAnsi="Times New Roman" w:cs="Times New Roman" w:eastAsia="Times New Roman" w:hint="default"/>
                <w:spacing w:val="-4"/>
                <w:sz w:val="18"/>
                <w:szCs w:val="18"/>
              </w:rPr>
              <w:t>2014-083</w:t>
            </w:r>
            <w:r>
              <w:rPr>
                <w:rFonts w:ascii="宋体" w:hAnsi="宋体" w:cs="宋体" w:eastAsia="宋体" w:hint="default"/>
                <w:spacing w:val="-4"/>
                <w:sz w:val="18"/>
                <w:szCs w:val="18"/>
              </w:rPr>
              <w:t>）</w:t>
            </w:r>
          </w:p>
        </w:tc>
      </w:tr>
      <w:tr>
        <w:trPr>
          <w:trHeight w:val="382" w:hRule="exact"/>
        </w:trPr>
        <w:tc>
          <w:tcPr>
            <w:tcW w:w="1162"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《关于第四届董事会提前换届的议案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nil" w:sz="6" w:space="0" w:color="auto"/>
              <w:right w:val="single" w:sz="4" w:space="0" w:color="000000"/>
            </w:tcBorders>
          </w:tcPr>
          <w:p>
            <w:pPr/>
          </w:p>
        </w:tc>
        <w:tc>
          <w:tcPr>
            <w:tcW w:w="1541" w:type="dxa"/>
            <w:tcBorders>
              <w:top w:val="single" w:sz="4" w:space="0" w:color="000000"/>
              <w:left w:val="single" w:sz="4" w:space="0" w:color="000000"/>
              <w:bottom w:val="nil" w:sz="6" w:space="0" w:color="auto"/>
              <w:right w:val="single" w:sz="4" w:space="0" w:color="000000"/>
            </w:tcBorders>
          </w:tcPr>
          <w:p>
            <w:pPr/>
          </w:p>
        </w:tc>
        <w:tc>
          <w:tcPr>
            <w:tcW w:w="3798" w:type="dxa"/>
            <w:tcBorders>
              <w:top w:val="single" w:sz="4" w:space="0" w:color="000000"/>
              <w:left w:val="single" w:sz="4" w:space="0" w:color="000000"/>
              <w:bottom w:val="nil" w:sz="6" w:space="0" w:color="auto"/>
              <w:right w:val="single" w:sz="4" w:space="0" w:color="000000"/>
            </w:tcBorders>
          </w:tcPr>
          <w:p>
            <w:pPr/>
          </w:p>
        </w:tc>
      </w:tr>
      <w:tr>
        <w:trPr>
          <w:trHeight w:val="353" w:hRule="exact"/>
        </w:trPr>
        <w:tc>
          <w:tcPr>
            <w:tcW w:w="116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《关于第四届监事会提前换届的议案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798"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16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《关于选举第五届董事会成员的议案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798" w:type="dxa"/>
            <w:tcBorders>
              <w:top w:val="nil" w:sz="6" w:space="0" w:color="auto"/>
              <w:left w:val="single" w:sz="4" w:space="0" w:color="000000"/>
              <w:bottom w:val="nil" w:sz="6" w:space="0" w:color="auto"/>
              <w:right w:val="single" w:sz="4" w:space="0" w:color="000000"/>
            </w:tcBorders>
          </w:tcPr>
          <w:p>
            <w:pPr/>
          </w:p>
        </w:tc>
      </w:tr>
      <w:tr>
        <w:trPr>
          <w:trHeight w:val="1037" w:hRule="exact"/>
        </w:trPr>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00"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年第六次 临时股东大会</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《关于选举第五届监事会监事的议案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240" w:lineRule="auto" w:before="103"/>
              <w:ind w:left="22" w:right="-32"/>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5</w:t>
            </w:r>
            <w:r>
              <w:rPr>
                <w:rFonts w:ascii="宋体" w:hAnsi="宋体" w:cs="宋体" w:eastAsia="宋体" w:hint="default"/>
                <w:spacing w:val="-161"/>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关于公司第五届董事会董事</w:t>
            </w:r>
            <w:r>
              <w:rPr>
                <w:rFonts w:ascii="宋体" w:hAnsi="宋体" w:cs="宋体" w:eastAsia="宋体" w:hint="default"/>
                <w:spacing w:val="-65"/>
                <w:sz w:val="18"/>
                <w:szCs w:val="18"/>
              </w:rPr>
              <w:t>、</w:t>
            </w:r>
            <w:r>
              <w:rPr>
                <w:rFonts w:ascii="宋体" w:hAnsi="宋体" w:cs="宋体" w:eastAsia="宋体" w:hint="default"/>
                <w:sz w:val="18"/>
                <w:szCs w:val="18"/>
              </w:rPr>
              <w:t>第五届监事会监事薪酬的议案</w:t>
            </w:r>
            <w:r>
              <w:rPr>
                <w:rFonts w:ascii="宋体" w:hAnsi="宋体" w:cs="宋体" w:eastAsia="宋体" w:hint="default"/>
                <w:spacing w:val="-89"/>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《关于为控股子公司长春高琦聚酰亚胺材料有限公司提供担保</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26"/>
              <w:ind w:left="22" w:right="96"/>
              <w:jc w:val="both"/>
              <w:rPr>
                <w:rFonts w:ascii="宋体" w:hAnsi="宋体" w:cs="宋体" w:eastAsia="宋体" w:hint="default"/>
                <w:sz w:val="18"/>
                <w:szCs w:val="18"/>
              </w:rPr>
            </w:pPr>
            <w:r>
              <w:rPr>
                <w:rFonts w:ascii="宋体" w:hAnsi="宋体" w:cs="宋体" w:eastAsia="宋体" w:hint="default"/>
                <w:sz w:val="18"/>
                <w:szCs w:val="18"/>
              </w:rPr>
              <w:t>所有议案 均审议通 过</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《证券时报》及巨潮资讯网</w:t>
            </w:r>
          </w:p>
          <w:p>
            <w:pPr>
              <w:pStyle w:val="TableParagraph"/>
              <w:spacing w:line="300" w:lineRule="auto" w:before="76"/>
              <w:ind w:left="24" w:right="104"/>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年第六次临 </w:t>
            </w:r>
            <w:r>
              <w:rPr>
                <w:rFonts w:ascii="宋体" w:hAnsi="宋体" w:cs="宋体" w:eastAsia="宋体" w:hint="default"/>
                <w:spacing w:val="-4"/>
                <w:sz w:val="18"/>
                <w:szCs w:val="18"/>
              </w:rPr>
              <w:t>时股东大会决议公告》（公告编号：</w:t>
            </w:r>
            <w:r>
              <w:rPr>
                <w:rFonts w:ascii="Times New Roman" w:hAnsi="Times New Roman" w:cs="Times New Roman" w:eastAsia="Times New Roman" w:hint="default"/>
                <w:spacing w:val="-4"/>
                <w:sz w:val="18"/>
                <w:szCs w:val="18"/>
              </w:rPr>
              <w:t>2014-108</w:t>
            </w:r>
            <w:r>
              <w:rPr>
                <w:rFonts w:ascii="宋体" w:hAnsi="宋体" w:cs="宋体" w:eastAsia="宋体" w:hint="default"/>
                <w:spacing w:val="-4"/>
                <w:sz w:val="18"/>
                <w:szCs w:val="18"/>
              </w:rPr>
              <w:t>）</w:t>
            </w:r>
          </w:p>
        </w:tc>
      </w:tr>
      <w:tr>
        <w:trPr>
          <w:trHeight w:val="327" w:hRule="exact"/>
        </w:trPr>
        <w:tc>
          <w:tcPr>
            <w:tcW w:w="116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798"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116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《关于公司向银行申请总额不超过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亿元人民币年度综合授信</w:t>
            </w:r>
          </w:p>
        </w:tc>
        <w:tc>
          <w:tcPr>
            <w:tcW w:w="850"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798"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16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额度的议案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1541" w:type="dxa"/>
            <w:tcBorders>
              <w:top w:val="nil" w:sz="6" w:space="0" w:color="auto"/>
              <w:left w:val="single" w:sz="4" w:space="0" w:color="000000"/>
              <w:bottom w:val="single" w:sz="4" w:space="0" w:color="000000"/>
              <w:right w:val="single" w:sz="4" w:space="0" w:color="000000"/>
            </w:tcBorders>
          </w:tcPr>
          <w:p>
            <w:pPr/>
          </w:p>
        </w:tc>
        <w:tc>
          <w:tcPr>
            <w:tcW w:w="379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62"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《关于公司向股东吕晓义先生转让长春高琦聚酰亚胺材料有限</w:t>
            </w:r>
          </w:p>
        </w:tc>
        <w:tc>
          <w:tcPr>
            <w:tcW w:w="850" w:type="dxa"/>
            <w:tcBorders>
              <w:top w:val="single" w:sz="4" w:space="0" w:color="000000"/>
              <w:left w:val="single" w:sz="4" w:space="0" w:color="000000"/>
              <w:bottom w:val="nil" w:sz="6" w:space="0" w:color="auto"/>
              <w:right w:val="single" w:sz="4" w:space="0" w:color="000000"/>
            </w:tcBorders>
          </w:tcPr>
          <w:p>
            <w:pPr/>
          </w:p>
        </w:tc>
        <w:tc>
          <w:tcPr>
            <w:tcW w:w="1541" w:type="dxa"/>
            <w:tcBorders>
              <w:top w:val="single" w:sz="4" w:space="0" w:color="000000"/>
              <w:left w:val="single" w:sz="4" w:space="0" w:color="000000"/>
              <w:bottom w:val="nil" w:sz="6" w:space="0" w:color="auto"/>
              <w:right w:val="single" w:sz="4" w:space="0" w:color="000000"/>
            </w:tcBorders>
          </w:tcPr>
          <w:p>
            <w:pPr/>
          </w:p>
        </w:tc>
        <w:tc>
          <w:tcPr>
            <w:tcW w:w="3798"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116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宋体" w:hAnsi="宋体" w:cs="宋体" w:eastAsia="宋体" w:hint="default"/>
                <w:sz w:val="18"/>
                <w:szCs w:val="18"/>
              </w:rPr>
              <w:t>股权的议案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798"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16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《关于公司受托行使吕晓义先生持有的长春高琦聚酰亚胺材料</w:t>
            </w:r>
          </w:p>
        </w:tc>
        <w:tc>
          <w:tcPr>
            <w:tcW w:w="850"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798" w:type="dxa"/>
            <w:tcBorders>
              <w:top w:val="nil" w:sz="6" w:space="0" w:color="auto"/>
              <w:left w:val="single" w:sz="4" w:space="0" w:color="000000"/>
              <w:bottom w:val="nil" w:sz="6" w:space="0" w:color="auto"/>
              <w:right w:val="single" w:sz="4" w:space="0" w:color="000000"/>
            </w:tcBorders>
          </w:tcPr>
          <w:p>
            <w:pPr/>
          </w:p>
        </w:tc>
      </w:tr>
      <w:tr>
        <w:trPr>
          <w:trHeight w:val="976" w:hRule="exact"/>
        </w:trPr>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年第七次 临时股东大会</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59"/>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66.63177%</w:t>
            </w:r>
            <w:r>
              <w:rPr>
                <w:rFonts w:ascii="宋体" w:hAnsi="宋体" w:cs="宋体" w:eastAsia="宋体" w:hint="default"/>
                <w:sz w:val="18"/>
                <w:szCs w:val="18"/>
              </w:rPr>
              <w:t>股权股东权利并授权公司管理层在未来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w:t>
            </w:r>
            <w:r>
              <w:rPr>
                <w:rFonts w:ascii="宋体" w:hAnsi="宋体" w:cs="宋体" w:eastAsia="宋体" w:hint="default"/>
                <w:spacing w:val="-5"/>
                <w:sz w:val="18"/>
                <w:szCs w:val="18"/>
              </w:rPr>
              <w:t>内根据经营情况对该受托股权实施回购的议案》；</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《关于公司向股东吕晓义先生转让江西先材纳米纤维科技有限</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96"/>
              <w:jc w:val="both"/>
              <w:rPr>
                <w:rFonts w:ascii="宋体" w:hAnsi="宋体" w:cs="宋体" w:eastAsia="宋体" w:hint="default"/>
                <w:sz w:val="18"/>
                <w:szCs w:val="18"/>
              </w:rPr>
            </w:pPr>
            <w:r>
              <w:rPr>
                <w:rFonts w:ascii="宋体" w:hAnsi="宋体" w:cs="宋体" w:eastAsia="宋体" w:hint="default"/>
                <w:sz w:val="18"/>
                <w:szCs w:val="18"/>
              </w:rPr>
              <w:t>所有议案 均审议通 过</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3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《证券时报》及巨潮资讯网</w:t>
            </w:r>
          </w:p>
          <w:p>
            <w:pPr>
              <w:pStyle w:val="TableParagraph"/>
              <w:spacing w:line="300" w:lineRule="auto" w:before="76"/>
              <w:ind w:left="24" w:right="104"/>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年第七次临 </w:t>
            </w:r>
            <w:r>
              <w:rPr>
                <w:rFonts w:ascii="宋体" w:hAnsi="宋体" w:cs="宋体" w:eastAsia="宋体" w:hint="default"/>
                <w:spacing w:val="-4"/>
                <w:sz w:val="18"/>
                <w:szCs w:val="18"/>
              </w:rPr>
              <w:t>时股东大会决议公告》（公告编号：</w:t>
            </w:r>
            <w:r>
              <w:rPr>
                <w:rFonts w:ascii="Times New Roman" w:hAnsi="Times New Roman" w:cs="Times New Roman" w:eastAsia="Times New Roman" w:hint="default"/>
                <w:spacing w:val="-4"/>
                <w:sz w:val="18"/>
                <w:szCs w:val="18"/>
              </w:rPr>
              <w:t>2014-122</w:t>
            </w:r>
            <w:r>
              <w:rPr>
                <w:rFonts w:ascii="宋体" w:hAnsi="宋体" w:cs="宋体" w:eastAsia="宋体" w:hint="default"/>
                <w:spacing w:val="-4"/>
                <w:sz w:val="18"/>
                <w:szCs w:val="18"/>
              </w:rPr>
              <w:t>）</w:t>
            </w:r>
          </w:p>
        </w:tc>
      </w:tr>
      <w:tr>
        <w:trPr>
          <w:trHeight w:val="332" w:hRule="exact"/>
        </w:trPr>
        <w:tc>
          <w:tcPr>
            <w:tcW w:w="116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4"/>
                <w:sz w:val="18"/>
                <w:szCs w:val="18"/>
              </w:rPr>
              <w:t>%</w:t>
            </w:r>
            <w:r>
              <w:rPr>
                <w:rFonts w:ascii="宋体" w:hAnsi="宋体" w:cs="宋体" w:eastAsia="宋体" w:hint="default"/>
                <w:sz w:val="18"/>
                <w:szCs w:val="18"/>
              </w:rPr>
              <w:t>股权的议案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798"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6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《关于公司受托行使吕晓义先生持有的江西先材纳米纤维科技</w:t>
            </w:r>
          </w:p>
        </w:tc>
        <w:tc>
          <w:tcPr>
            <w:tcW w:w="850"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798" w:type="dxa"/>
            <w:tcBorders>
              <w:top w:val="nil" w:sz="6" w:space="0" w:color="auto"/>
              <w:left w:val="single" w:sz="4" w:space="0" w:color="000000"/>
              <w:bottom w:val="nil" w:sz="6" w:space="0" w:color="auto"/>
              <w:right w:val="single" w:sz="4" w:space="0" w:color="000000"/>
            </w:tcBorders>
          </w:tcPr>
          <w:p>
            <w:pPr/>
          </w:p>
        </w:tc>
      </w:tr>
      <w:tr>
        <w:trPr>
          <w:trHeight w:val="320" w:hRule="exact"/>
        </w:trPr>
        <w:tc>
          <w:tcPr>
            <w:tcW w:w="116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w:t>
            </w:r>
            <w:r>
              <w:rPr>
                <w:rFonts w:ascii="宋体" w:hAnsi="宋体" w:cs="宋体" w:eastAsia="宋体" w:hint="default"/>
                <w:sz w:val="18"/>
                <w:szCs w:val="18"/>
              </w:rPr>
              <w:t>股权股东权利并授权公司管理层在未来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年内根</w:t>
            </w:r>
          </w:p>
        </w:tc>
        <w:tc>
          <w:tcPr>
            <w:tcW w:w="850" w:type="dxa"/>
            <w:tcBorders>
              <w:top w:val="nil" w:sz="6" w:space="0" w:color="auto"/>
              <w:left w:val="single" w:sz="4" w:space="0" w:color="000000"/>
              <w:bottom w:val="single" w:sz="4" w:space="0" w:color="000000"/>
              <w:right w:val="single" w:sz="4" w:space="0" w:color="000000"/>
            </w:tcBorders>
          </w:tcPr>
          <w:p>
            <w:pPr/>
          </w:p>
        </w:tc>
        <w:tc>
          <w:tcPr>
            <w:tcW w:w="1541" w:type="dxa"/>
            <w:tcBorders>
              <w:top w:val="nil" w:sz="6" w:space="0" w:color="auto"/>
              <w:left w:val="single" w:sz="4" w:space="0" w:color="000000"/>
              <w:bottom w:val="single" w:sz="4" w:space="0" w:color="000000"/>
              <w:right w:val="single" w:sz="4" w:space="0" w:color="000000"/>
            </w:tcBorders>
          </w:tcPr>
          <w:p>
            <w:pPr/>
          </w:p>
        </w:tc>
        <w:tc>
          <w:tcPr>
            <w:tcW w:w="3798"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1225" w:top="1060" w:bottom="1420" w:left="1300" w:right="130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62"/>
        <w:gridCol w:w="1560"/>
        <w:gridCol w:w="5103"/>
        <w:gridCol w:w="850"/>
        <w:gridCol w:w="1541"/>
        <w:gridCol w:w="3798"/>
      </w:tblGrid>
      <w:tr>
        <w:trPr>
          <w:trHeight w:val="2017" w:hRule="exact"/>
        </w:trPr>
        <w:tc>
          <w:tcPr>
            <w:tcW w:w="1162" w:type="dxa"/>
            <w:tcBorders>
              <w:top w:val="single" w:sz="16" w:space="0" w:color="000000"/>
              <w:left w:val="single" w:sz="4" w:space="0" w:color="000000"/>
              <w:bottom w:val="single" w:sz="4" w:space="0" w:color="000000"/>
              <w:right w:val="single" w:sz="4" w:space="0" w:color="000000"/>
            </w:tcBorders>
          </w:tcPr>
          <w:p>
            <w:pPr/>
          </w:p>
        </w:tc>
        <w:tc>
          <w:tcPr>
            <w:tcW w:w="1560" w:type="dxa"/>
            <w:tcBorders>
              <w:top w:val="single" w:sz="16" w:space="0" w:color="000000"/>
              <w:left w:val="single" w:sz="4" w:space="0" w:color="000000"/>
              <w:bottom w:val="single" w:sz="4" w:space="0" w:color="000000"/>
              <w:right w:val="single" w:sz="4" w:space="0" w:color="000000"/>
            </w:tcBorders>
          </w:tcPr>
          <w:p>
            <w:pPr/>
          </w:p>
        </w:tc>
        <w:tc>
          <w:tcPr>
            <w:tcW w:w="5103"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据经营情况对该受托股权实施回购的议案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319" w:lineRule="auto" w:before="117"/>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《关于公司向股东何平女士转让江西先材纳米纤维科技有限公 司</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26.4%</w:t>
            </w:r>
            <w:r>
              <w:rPr>
                <w:rFonts w:ascii="宋体" w:hAnsi="宋体" w:cs="宋体" w:eastAsia="宋体" w:hint="default"/>
                <w:spacing w:val="-8"/>
                <w:sz w:val="18"/>
                <w:szCs w:val="18"/>
              </w:rPr>
              <w:t>股权的议案》；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6.</w:t>
            </w:r>
            <w:r>
              <w:rPr>
                <w:rFonts w:ascii="宋体" w:hAnsi="宋体" w:cs="宋体" w:eastAsia="宋体" w:hint="default"/>
                <w:sz w:val="18"/>
                <w:szCs w:val="18"/>
              </w:rPr>
              <w:t>《关于公司受托行使何平女士持有的江西先材纳米纤维科技有</w:t>
            </w:r>
          </w:p>
          <w:p>
            <w:pPr>
              <w:pStyle w:val="TableParagraph"/>
              <w:spacing w:line="300" w:lineRule="auto"/>
              <w:ind w:left="22" w:right="59"/>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w:t>
            </w:r>
            <w:r>
              <w:rPr>
                <w:rFonts w:ascii="宋体" w:hAnsi="宋体" w:cs="宋体" w:eastAsia="宋体" w:hint="default"/>
                <w:sz w:val="18"/>
                <w:szCs w:val="18"/>
              </w:rPr>
              <w:t>股权股东权利并授权公司管理层在未来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年内根据 </w:t>
            </w:r>
            <w:r>
              <w:rPr>
                <w:rFonts w:ascii="宋体" w:hAnsi="宋体" w:cs="宋体" w:eastAsia="宋体" w:hint="default"/>
                <w:spacing w:val="-5"/>
                <w:sz w:val="18"/>
                <w:szCs w:val="18"/>
              </w:rPr>
              <w:t>经营情况对该受托股权实施回购的议案》。</w:t>
            </w:r>
          </w:p>
        </w:tc>
        <w:tc>
          <w:tcPr>
            <w:tcW w:w="850" w:type="dxa"/>
            <w:tcBorders>
              <w:top w:val="single" w:sz="16" w:space="0" w:color="000000"/>
              <w:left w:val="single" w:sz="4" w:space="0" w:color="000000"/>
              <w:bottom w:val="single" w:sz="4" w:space="0" w:color="000000"/>
              <w:right w:val="single" w:sz="4" w:space="0" w:color="000000"/>
            </w:tcBorders>
          </w:tcPr>
          <w:p>
            <w:pPr/>
          </w:p>
        </w:tc>
        <w:tc>
          <w:tcPr>
            <w:tcW w:w="1541" w:type="dxa"/>
            <w:tcBorders>
              <w:top w:val="single" w:sz="16" w:space="0" w:color="000000"/>
              <w:left w:val="single" w:sz="4" w:space="0" w:color="000000"/>
              <w:bottom w:val="single" w:sz="4" w:space="0" w:color="000000"/>
              <w:right w:val="single" w:sz="4" w:space="0" w:color="000000"/>
            </w:tcBorders>
          </w:tcPr>
          <w:p>
            <w:pPr/>
          </w:p>
        </w:tc>
        <w:tc>
          <w:tcPr>
            <w:tcW w:w="3798" w:type="dxa"/>
            <w:tcBorders>
              <w:top w:val="single" w:sz="16"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5"/>
        <w:spacing w:line="240" w:lineRule="auto" w:before="34"/>
        <w:ind w:left="140" w:right="132"/>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4"/>
        <w:spacing w:line="240" w:lineRule="auto"/>
        <w:ind w:left="140" w:right="132"/>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40" w:right="13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2379"/>
        <w:gridCol w:w="1939"/>
        <w:gridCol w:w="1939"/>
        <w:gridCol w:w="1940"/>
        <w:gridCol w:w="1940"/>
        <w:gridCol w:w="1940"/>
        <w:gridCol w:w="1937"/>
      </w:tblGrid>
      <w:tr>
        <w:trPr>
          <w:trHeight w:val="402" w:hRule="exact"/>
        </w:trPr>
        <w:tc>
          <w:tcPr>
            <w:tcW w:w="1401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2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83" w:right="64" w:hanging="720"/>
              <w:jc w:val="left"/>
              <w:rPr>
                <w:rFonts w:ascii="宋体" w:hAnsi="宋体" w:cs="宋体" w:eastAsia="宋体" w:hint="default"/>
                <w:sz w:val="18"/>
                <w:szCs w:val="18"/>
              </w:rPr>
            </w:pPr>
            <w:r>
              <w:rPr>
                <w:rFonts w:ascii="宋体" w:hAnsi="宋体" w:cs="宋体" w:eastAsia="宋体" w:hint="default"/>
                <w:sz w:val="18"/>
                <w:szCs w:val="18"/>
              </w:rPr>
              <w:t>本报告期应参加董事会 次数</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以通讯方式参加次数</w:t>
            </w:r>
          </w:p>
        </w:tc>
        <w:tc>
          <w:tcPr>
            <w:tcW w:w="1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92" w:right="61" w:hanging="629"/>
              <w:jc w:val="left"/>
              <w:rPr>
                <w:rFonts w:ascii="宋体" w:hAnsi="宋体" w:cs="宋体" w:eastAsia="宋体" w:hint="default"/>
                <w:sz w:val="18"/>
                <w:szCs w:val="18"/>
              </w:rPr>
            </w:pPr>
            <w:r>
              <w:rPr>
                <w:rFonts w:ascii="宋体" w:hAnsi="宋体" w:cs="宋体" w:eastAsia="宋体" w:hint="default"/>
                <w:sz w:val="18"/>
                <w:szCs w:val="18"/>
              </w:rPr>
              <w:t>是否连续两次未亲自参 加会议</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马静玉</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郑武</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3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9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0"/>
        <w:ind w:left="140" w:right="132"/>
        <w:jc w:val="left"/>
      </w:pPr>
      <w:r>
        <w:rPr/>
        <w:t>连续两次未亲自出席董事会的说明：无。</w:t>
      </w:r>
    </w:p>
    <w:p>
      <w:pPr>
        <w:spacing w:after="0" w:line="240" w:lineRule="auto"/>
        <w:jc w:val="left"/>
        <w:sectPr>
          <w:pgSz w:w="16840" w:h="11910" w:orient="landscape"/>
          <w:pgMar w:header="868" w:footer="1225" w:top="1060" w:bottom="1420" w:left="130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7"/>
        <w:ind w:right="59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57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6" w:lineRule="auto" w:before="43"/>
        <w:ind w:right="112" w:firstLine="360"/>
        <w:jc w:val="both"/>
      </w:pPr>
      <w:r>
        <w:rPr>
          <w:spacing w:val="-2"/>
        </w:rPr>
        <w:t>公司独立董事关注公司运作，独立履行职责，对报告期内公司董事会换届、聘任高管、董监高离职、公司发生的聘请会</w:t>
      </w:r>
      <w:r>
        <w:rPr/>
        <w:t> </w:t>
      </w:r>
      <w:r>
        <w:rPr>
          <w:spacing w:val="-2"/>
        </w:rPr>
        <w:t>计机构、对控股子公司提供担保及关联交易等事项发表了独立意见，对完善公司治理结构、维护公司及全体股东的权益发挥</w:t>
      </w:r>
      <w:r>
        <w:rPr>
          <w:spacing w:val="-65"/>
        </w:rPr>
        <w:t> </w:t>
      </w:r>
      <w:r>
        <w:rPr>
          <w:spacing w:val="-65"/>
        </w:rPr>
      </w:r>
      <w:r>
        <w:rPr/>
        <w:t>了积极的作用。</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t>四、董事会下设专门委员会在报告期内履行职责情况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12" w:firstLine="360"/>
        <w:jc w:val="both"/>
      </w:pPr>
      <w:r>
        <w:rPr>
          <w:rFonts w:ascii="Times New Roman" w:hAnsi="Times New Roman" w:cs="Times New Roman" w:eastAsia="Times New Roman" w:hint="default"/>
          <w:spacing w:val="-2"/>
        </w:rPr>
        <w:t>1</w:t>
      </w:r>
      <w:r>
        <w:rPr>
          <w:spacing w:val="-2"/>
        </w:rPr>
        <w:t>、报告期内公司提名委员会召开了</w:t>
      </w:r>
      <w:r>
        <w:rPr>
          <w:rFonts w:ascii="Times New Roman" w:hAnsi="Times New Roman" w:cs="Times New Roman" w:eastAsia="Times New Roman" w:hint="default"/>
          <w:spacing w:val="-2"/>
        </w:rPr>
        <w:t>4</w:t>
      </w:r>
      <w:r>
        <w:rPr>
          <w:spacing w:val="-2"/>
        </w:rPr>
        <w:t>次会议，委员对提名候选董事、高管任职资格等方面进行考察，对年度工作情况进</w:t>
      </w:r>
      <w:r>
        <w:rPr/>
        <w:t> 行报告并提交至董事会审议。</w:t>
      </w:r>
    </w:p>
    <w:p>
      <w:pPr>
        <w:pStyle w:val="BodyText"/>
        <w:spacing w:line="240" w:lineRule="auto" w:before="31"/>
        <w:ind w:left="472" w:right="0"/>
        <w:jc w:val="left"/>
      </w:pPr>
      <w:r>
        <w:rPr>
          <w:rFonts w:ascii="Times New Roman" w:hAnsi="Times New Roman" w:cs="Times New Roman" w:eastAsia="Times New Roman" w:hint="default"/>
        </w:rPr>
        <w:t>2</w:t>
      </w:r>
      <w:r>
        <w:rPr/>
        <w:t>、报告期内公司薪酬与考核委员会召开了</w:t>
      </w:r>
      <w:r>
        <w:rPr>
          <w:rFonts w:ascii="Times New Roman" w:hAnsi="Times New Roman" w:cs="Times New Roman" w:eastAsia="Times New Roman" w:hint="default"/>
        </w:rPr>
        <w:t>2</w:t>
      </w:r>
      <w:r>
        <w:rPr/>
        <w:t>次会议，对委员会履职情况进行汇总报告并提交公司董事会审议。</w:t>
      </w:r>
    </w:p>
    <w:p>
      <w:pPr>
        <w:pStyle w:val="BodyText"/>
        <w:spacing w:line="300" w:lineRule="auto" w:before="63"/>
        <w:ind w:right="112" w:firstLine="360"/>
        <w:jc w:val="both"/>
      </w:pPr>
      <w:r>
        <w:rPr>
          <w:rFonts w:ascii="Times New Roman" w:hAnsi="Times New Roman" w:cs="Times New Roman" w:eastAsia="Times New Roman" w:hint="default"/>
          <w:spacing w:val="-2"/>
        </w:rPr>
        <w:t>3</w:t>
      </w:r>
      <w:r>
        <w:rPr>
          <w:spacing w:val="-2"/>
        </w:rPr>
        <w:t>、报告期内公司审计委员会召开了</w:t>
      </w:r>
      <w:r>
        <w:rPr>
          <w:rFonts w:ascii="Times New Roman" w:hAnsi="Times New Roman" w:cs="Times New Roman" w:eastAsia="Times New Roman" w:hint="default"/>
          <w:spacing w:val="-2"/>
        </w:rPr>
        <w:t>5</w:t>
      </w:r>
      <w:r>
        <w:rPr>
          <w:spacing w:val="-2"/>
        </w:rPr>
        <w:t>次会议，审议公司审计部提交的各项内部审计报告，听取审计部年度工作总结和工</w:t>
      </w:r>
      <w:r>
        <w:rPr/>
        <w:t> 作计划安排，指导审计部开展各项工作，围绕定期报告审计开展各项工作，相关议案提交公司董事会审议。</w:t>
      </w:r>
    </w:p>
    <w:p>
      <w:pPr>
        <w:pStyle w:val="BodyText"/>
        <w:spacing w:line="300" w:lineRule="auto" w:before="31"/>
        <w:ind w:right="121" w:firstLine="360"/>
        <w:jc w:val="both"/>
      </w:pPr>
      <w:r>
        <w:rPr>
          <w:rFonts w:ascii="Times New Roman" w:hAnsi="Times New Roman" w:cs="Times New Roman" w:eastAsia="Times New Roman" w:hint="default"/>
        </w:rPr>
        <w:t>4</w:t>
      </w:r>
      <w:r>
        <w:rPr/>
        <w:t>、报告期内公司战略委员会对公司长期发展战略和重大决策进行研究并提出建议，积极推动公司针对市场及外部环境 变化确定公司新的战略目标、企业使命和核心竞争力。</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7"/>
        <w:ind w:right="66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监事会对报告期内的监督事项无异议。</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58" w:right="0"/>
        <w:jc w:val="left"/>
      </w:pPr>
      <w:r>
        <w:rPr/>
        <w:t>公司与控股股东在业务、人员、资产、机构、财务等方面完全分开，具有独立完整的业务及自主经营能力。</w:t>
      </w:r>
    </w:p>
    <w:p>
      <w:pPr>
        <w:pStyle w:val="BodyText"/>
        <w:spacing w:line="300" w:lineRule="auto" w:before="117"/>
        <w:ind w:right="134" w:firstLine="345"/>
        <w:jc w:val="both"/>
      </w:pPr>
      <w:r>
        <w:rPr>
          <w:rFonts w:ascii="Times New Roman" w:hAnsi="Times New Roman" w:cs="Times New Roman" w:eastAsia="Times New Roman" w:hint="default"/>
        </w:rPr>
        <w:t>1</w:t>
      </w:r>
      <w:r>
        <w:rPr/>
        <w:t>、业务：公司业务结构完整，自主独立经营，不依赖于股东或其他任何关联方，与控股股东、实际控制人及其控制的 其他企业间不存在同业竞争或者显失公平的关联交易，也不存在控股股东直接或间接干预公司经营运作的情形。</w:t>
      </w:r>
    </w:p>
    <w:p>
      <w:pPr>
        <w:pStyle w:val="BodyText"/>
        <w:spacing w:line="300" w:lineRule="auto" w:before="70"/>
        <w:ind w:right="134" w:firstLine="345"/>
        <w:jc w:val="both"/>
      </w:pPr>
      <w:r>
        <w:rPr>
          <w:rFonts w:ascii="Times New Roman" w:hAnsi="Times New Roman" w:cs="Times New Roman" w:eastAsia="Times New Roman" w:hint="default"/>
        </w:rPr>
        <w:t>2</w:t>
      </w:r>
      <w:r>
        <w:rPr/>
        <w:t>、人员：公司在劳动、人事及工资等方面均完全独立于控股股东。公司总裁、副总裁、董事会秘书、财务负责人等高 级管理人员均在公司领取薪酬，未在控股股东及其下属企业担任董事、监事以外的任何职务。</w:t>
      </w:r>
    </w:p>
    <w:p>
      <w:pPr>
        <w:pStyle w:val="BodyText"/>
        <w:spacing w:line="309" w:lineRule="auto" w:before="72"/>
        <w:ind w:right="112" w:firstLine="345"/>
        <w:jc w:val="both"/>
      </w:pPr>
      <w:r>
        <w:rPr>
          <w:rFonts w:ascii="Times New Roman" w:hAnsi="Times New Roman" w:cs="Times New Roman" w:eastAsia="Times New Roman" w:hint="default"/>
        </w:rPr>
        <w:t>3</w:t>
      </w:r>
      <w:r>
        <w:rPr/>
        <w:t>、资产：公司拥有独立于控股股东的生产经营场所，拥有独立完整的资产结构，拥有独立的生产系统、辅助生产系统 </w:t>
      </w:r>
      <w:r>
        <w:rPr>
          <w:spacing w:val="-2"/>
        </w:rPr>
        <w:t>和配套设施、土地使用权、房屋所有权等资产，拥有独立的采购和销售系统，对所有资产拥有完全的控制支配权，不存在资</w:t>
      </w:r>
      <w:r>
        <w:rPr>
          <w:spacing w:val="-65"/>
        </w:rPr>
        <w:t> </w:t>
      </w:r>
      <w:r>
        <w:rPr>
          <w:spacing w:val="-65"/>
        </w:rPr>
      </w:r>
      <w:r>
        <w:rPr/>
        <w:t>产、资金被控股股东、实际控制人及其控制的其他企业违规占用而损害公司利益的情况。</w:t>
      </w:r>
    </w:p>
    <w:p>
      <w:pPr>
        <w:pStyle w:val="BodyText"/>
        <w:spacing w:line="240" w:lineRule="auto" w:before="65"/>
        <w:ind w:left="458" w:right="0"/>
        <w:jc w:val="left"/>
      </w:pPr>
      <w:r>
        <w:rPr>
          <w:rFonts w:ascii="Times New Roman" w:hAnsi="Times New Roman" w:cs="Times New Roman" w:eastAsia="Times New Roman" w:hint="default"/>
        </w:rPr>
        <w:t>4</w:t>
      </w:r>
      <w:r>
        <w:rPr/>
        <w:t>、机构：公司设立了健全的组织机构体系，独立运作，不存在与控股股东或其职能部门之间的从属关系。</w:t>
      </w:r>
    </w:p>
    <w:p>
      <w:pPr>
        <w:spacing w:after="0" w:line="240" w:lineRule="auto"/>
        <w:jc w:val="left"/>
        <w:sectPr>
          <w:headerReference w:type="default" r:id="rId42"/>
          <w:footerReference w:type="default" r:id="rId43"/>
          <w:pgSz w:w="11910" w:h="16840"/>
          <w:pgMar w:header="878" w:footer="1225" w:top="1100" w:bottom="1420" w:left="1020" w:right="1020"/>
          <w:pgNumType w:start="65"/>
        </w:sectPr>
      </w:pPr>
    </w:p>
    <w:p>
      <w:pPr>
        <w:spacing w:line="240" w:lineRule="auto" w:before="1"/>
        <w:rPr>
          <w:rFonts w:ascii="宋体" w:hAnsi="宋体" w:cs="宋体" w:eastAsia="宋体" w:hint="default"/>
          <w:sz w:val="22"/>
          <w:szCs w:val="22"/>
        </w:rPr>
      </w:pPr>
    </w:p>
    <w:p>
      <w:pPr>
        <w:pStyle w:val="BodyText"/>
        <w:spacing w:line="300" w:lineRule="auto" w:before="44"/>
        <w:ind w:right="0" w:firstLine="451"/>
        <w:jc w:val="left"/>
      </w:pPr>
      <w:r>
        <w:rPr>
          <w:rFonts w:ascii="Times New Roman" w:hAnsi="Times New Roman" w:cs="Times New Roman" w:eastAsia="Times New Roman" w:hint="default"/>
          <w:spacing w:val="-2"/>
        </w:rPr>
        <w:t>5</w:t>
      </w:r>
      <w:r>
        <w:rPr>
          <w:spacing w:val="-2"/>
        </w:rPr>
        <w:t>、财务：公司设有独立的财务会计部门，配备独立的财务会计人员，建立了独立的会计核算体系和财务管理制度，独</w:t>
      </w:r>
      <w:r>
        <w:rPr/>
        <w:t> 立进行财务决策；公司独立开设银行账户，独立纳税。</w:t>
      </w:r>
    </w:p>
    <w:p>
      <w:pPr>
        <w:spacing w:line="240" w:lineRule="auto" w:before="8"/>
        <w:rPr>
          <w:rFonts w:ascii="宋体" w:hAnsi="宋体" w:cs="宋体" w:eastAsia="宋体" w:hint="default"/>
          <w:sz w:val="21"/>
          <w:szCs w:val="21"/>
        </w:rPr>
      </w:pPr>
    </w:p>
    <w:p>
      <w:pPr>
        <w:pStyle w:val="Heading4"/>
        <w:spacing w:line="240" w:lineRule="auto"/>
        <w:ind w:right="0"/>
        <w:jc w:val="both"/>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0"/>
        <w:jc w:val="both"/>
      </w:pPr>
      <w:r>
        <w:rPr>
          <w:spacing w:val="-2"/>
        </w:rPr>
        <w:t>根据《董事、监事、高级管理人员薪酬制度》，对于公司引进高管人员或对公司有杰出贡献的人员，其个人报酬由董事会或</w:t>
      </w:r>
      <w:r>
        <w:rPr>
          <w:spacing w:val="-64"/>
        </w:rPr>
        <w:t> </w:t>
      </w:r>
      <w:r>
        <w:rPr>
          <w:spacing w:val="-64"/>
        </w:rPr>
      </w:r>
      <w:r>
        <w:rPr>
          <w:spacing w:val="-2"/>
        </w:rPr>
        <w:t>总裁决定，公司独立董事应对该薪酬方案发表意见。年终按照高管人员绩效考评，发放绩效奖金；高管人员的个人绩效奖金</w:t>
      </w:r>
      <w:r>
        <w:rPr>
          <w:spacing w:val="-64"/>
        </w:rPr>
        <w:t> </w:t>
      </w:r>
      <w:r>
        <w:rPr>
          <w:spacing w:val="-64"/>
        </w:rPr>
      </w:r>
      <w:r>
        <w:rPr>
          <w:spacing w:val="-2"/>
        </w:rPr>
        <w:t>与公司经营目标挂钩；完成公司年度经营目标后，对上述人员进行个人绩效奖金发放。在每个完整的会计年度结束后，董事</w:t>
      </w:r>
      <w:r>
        <w:rPr>
          <w:spacing w:val="-64"/>
        </w:rPr>
        <w:t> </w:t>
      </w:r>
      <w:r>
        <w:rPr>
          <w:spacing w:val="-64"/>
        </w:rPr>
      </w:r>
      <w:r>
        <w:rPr>
          <w:spacing w:val="-2"/>
        </w:rPr>
        <w:t>会薪酬与考核委员会根据上年生产经营计划对公司高管人员进行考核，在不超过规定的年薪总额度范围内，具体确定各高管</w:t>
      </w:r>
      <w:r>
        <w:rPr>
          <w:spacing w:val="-64"/>
        </w:rPr>
        <w:t> </w:t>
      </w:r>
      <w:r>
        <w:rPr>
          <w:spacing w:val="-64"/>
        </w:rPr>
      </w:r>
      <w:r>
        <w:rPr/>
        <w:t>人员的年薪数额及发放方式。</w:t>
      </w:r>
      <w:r>
        <w:rPr>
          <w:spacing w:val="1"/>
        </w:rPr>
        <w:t> </w:t>
      </w:r>
      <w:r>
        <w:rPr/>
        <w:t>任何高管人员都不应当参与其自身薪酬的决定过程。</w:t>
      </w:r>
    </w:p>
    <w:p>
      <w:pPr>
        <w:spacing w:after="0" w:line="316" w:lineRule="auto"/>
        <w:jc w:val="both"/>
        <w:sectPr>
          <w:pgSz w:w="11910" w:h="16840"/>
          <w:pgMar w:header="878" w:footer="1225" w:top="110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3713" w:right="3870"/>
        <w:jc w:val="center"/>
        <w:rPr>
          <w:b w:val="0"/>
          <w:bCs w:val="0"/>
        </w:rPr>
      </w:pPr>
      <w:bookmarkStart w:name="_bookmark9" w:id="10"/>
      <w:bookmarkEnd w:id="10"/>
      <w:r>
        <w:rPr>
          <w:b w:val="0"/>
          <w:bCs w:val="0"/>
        </w:rPr>
      </w:r>
      <w:r>
        <w:rPr/>
        <w:t>第十节</w:t>
      </w:r>
      <w:r>
        <w:rPr>
          <w:spacing w:val="-7"/>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272" w:firstLine="360"/>
        <w:jc w:val="both"/>
      </w:pPr>
      <w:r>
        <w:rPr>
          <w:spacing w:val="-2"/>
        </w:rPr>
        <w:t>公司按照《公司法》、《证券法》、《上市公司治理准则》、《企业内部控制基本规范》及《深圳证券交易所上市公司</w:t>
      </w:r>
      <w:r>
        <w:rPr/>
        <w:t> </w:t>
      </w:r>
      <w:r>
        <w:rPr>
          <w:spacing w:val="-2"/>
        </w:rPr>
        <w:t>内部控制指引》等有关法律法规和规范性文件的相关规定，建立和健全管理制度控制、生产经营控制、财务管理控制、信息</w:t>
      </w:r>
      <w:r>
        <w:rPr>
          <w:spacing w:val="-65"/>
        </w:rPr>
        <w:t> </w:t>
      </w:r>
      <w:r>
        <w:rPr>
          <w:spacing w:val="-65"/>
        </w:rPr>
      </w:r>
      <w:r>
        <w:rPr>
          <w:spacing w:val="-2"/>
        </w:rPr>
        <w:t>披露控制等内部控制制度。自公司股票上市以来通过梳理现有制度体系，逐步形成了企业内部控制长效机制，提高了公司经</w:t>
      </w:r>
      <w:r>
        <w:rPr>
          <w:spacing w:val="-65"/>
        </w:rPr>
        <w:t> </w:t>
      </w:r>
      <w:r>
        <w:rPr>
          <w:spacing w:val="-65"/>
        </w:rPr>
      </w:r>
      <w:r>
        <w:rPr/>
        <w:t>营管理水平和风险防范能力。公司目前内部控制具体如下：</w:t>
      </w:r>
    </w:p>
    <w:p>
      <w:pPr>
        <w:pStyle w:val="BodyText"/>
        <w:spacing w:line="240" w:lineRule="auto" w:before="59"/>
        <w:ind w:left="472" w:right="0"/>
        <w:jc w:val="left"/>
      </w:pPr>
      <w:r>
        <w:rPr/>
        <w:t>管理制度控制</w:t>
      </w:r>
      <w:r>
        <w:rPr>
          <w:spacing w:val="-29"/>
        </w:rPr>
        <w:t>：</w:t>
      </w:r>
      <w:r>
        <w:rPr/>
        <w:t>公司有较为完善的管理制度体系</w:t>
      </w:r>
      <w:r>
        <w:rPr>
          <w:spacing w:val="-29"/>
        </w:rPr>
        <w:t>，</w:t>
      </w:r>
      <w:r>
        <w:rPr/>
        <w:t>主要包</w:t>
      </w:r>
      <w:r>
        <w:rPr>
          <w:spacing w:val="-27"/>
        </w:rPr>
        <w:t>括</w:t>
      </w:r>
      <w:r>
        <w:rPr>
          <w:spacing w:val="-3"/>
        </w:rPr>
        <w:t>《</w:t>
      </w:r>
      <w:r>
        <w:rPr/>
        <w:t>公司章程</w:t>
      </w:r>
      <w:r>
        <w:rPr>
          <w:spacing w:val="-29"/>
        </w:rPr>
        <w:t>》</w:t>
      </w:r>
      <w:r>
        <w:rPr>
          <w:spacing w:val="-58"/>
        </w:rPr>
        <w:t>、</w:t>
      </w:r>
      <w:r>
        <w:rPr/>
        <w:t>《股东大会议事规则</w:t>
      </w:r>
      <w:r>
        <w:rPr>
          <w:spacing w:val="-32"/>
        </w:rPr>
        <w:t>》</w:t>
      </w:r>
      <w:r>
        <w:rPr>
          <w:spacing w:val="-56"/>
        </w:rPr>
        <w:t>、</w:t>
      </w:r>
      <w:r>
        <w:rPr>
          <w:spacing w:val="-3"/>
        </w:rPr>
        <w:t>《</w:t>
      </w:r>
      <w:r>
        <w:rPr/>
        <w:t>董事会议事规则</w:t>
      </w:r>
      <w:r>
        <w:rPr>
          <w:spacing w:val="-92"/>
        </w:rPr>
        <w:t>》</w:t>
      </w:r>
      <w:r>
        <w:rPr/>
        <w:t>、</w:t>
      </w:r>
    </w:p>
    <w:p>
      <w:pPr>
        <w:pStyle w:val="BodyText"/>
        <w:spacing w:line="316" w:lineRule="auto" w:before="76"/>
        <w:ind w:right="0"/>
        <w:jc w:val="left"/>
      </w:pPr>
      <w:r>
        <w:rPr/>
        <w:t>《监事会议事规则》、《总经理工作细则》、《控股股东、实际控制人行为规范》、《董事会战略委员会工作细则》、《董 事会提名委员会工作细则》、《董事会审计委员会工作细则》、《董事会薪酬与考核委员会工作细则》、《独立董事年报工 </w:t>
      </w:r>
      <w:r>
        <w:rPr>
          <w:spacing w:val="-2"/>
        </w:rPr>
        <w:t>作制度》、《内部审计制度》、《合同管理制度》、《印章管理制度》、《控股子公司管理制度》、《对外担保管理办法》、</w:t>
      </w:r>
    </w:p>
    <w:p>
      <w:pPr>
        <w:pStyle w:val="BodyText"/>
        <w:spacing w:line="240" w:lineRule="auto" w:before="19"/>
        <w:ind w:right="0"/>
        <w:jc w:val="left"/>
      </w:pPr>
      <w:r>
        <w:rPr/>
        <w:t>《关联交易决策制度</w:t>
      </w:r>
      <w:r>
        <w:rPr>
          <w:spacing w:val="-22"/>
        </w:rPr>
        <w:t>》</w:t>
      </w:r>
      <w:r>
        <w:rPr>
          <w:spacing w:val="-41"/>
        </w:rPr>
        <w:t>、</w:t>
      </w:r>
      <w:r>
        <w:rPr>
          <w:spacing w:val="-3"/>
        </w:rPr>
        <w:t>《</w:t>
      </w:r>
      <w:r>
        <w:rPr/>
        <w:t>投资融资管理制度</w:t>
      </w:r>
      <w:r>
        <w:rPr>
          <w:spacing w:val="-22"/>
        </w:rPr>
        <w:t>》</w:t>
      </w:r>
      <w:r>
        <w:rPr>
          <w:spacing w:val="-44"/>
        </w:rPr>
        <w:t>、</w:t>
      </w:r>
      <w:r>
        <w:rPr>
          <w:spacing w:val="-3"/>
        </w:rPr>
        <w:t>《</w:t>
      </w:r>
      <w:r>
        <w:rPr/>
        <w:t>募集资金管理制度</w:t>
      </w:r>
      <w:r>
        <w:rPr>
          <w:spacing w:val="-20"/>
        </w:rPr>
        <w:t>》</w:t>
      </w:r>
      <w:r>
        <w:rPr>
          <w:spacing w:val="-44"/>
        </w:rPr>
        <w:t>、</w:t>
      </w:r>
      <w:r>
        <w:rPr>
          <w:spacing w:val="-3"/>
        </w:rPr>
        <w:t>《</w:t>
      </w:r>
      <w:r>
        <w:rPr/>
        <w:t>投资者关系管理制度</w:t>
      </w:r>
      <w:r>
        <w:rPr>
          <w:spacing w:val="-22"/>
        </w:rPr>
        <w:t>》</w:t>
      </w:r>
      <w:r>
        <w:rPr>
          <w:spacing w:val="-41"/>
        </w:rPr>
        <w:t>、</w:t>
      </w:r>
      <w:r>
        <w:rPr>
          <w:spacing w:val="-3"/>
        </w:rPr>
        <w:t>《</w:t>
      </w:r>
      <w:r>
        <w:rPr/>
        <w:t>信息披露管理制度</w:t>
      </w:r>
      <w:r>
        <w:rPr>
          <w:spacing w:val="-89"/>
        </w:rPr>
        <w:t>》</w:t>
      </w:r>
      <w:r>
        <w:rPr/>
        <w:t>、</w:t>
      </w:r>
    </w:p>
    <w:p>
      <w:pPr>
        <w:pStyle w:val="BodyText"/>
        <w:spacing w:line="316" w:lineRule="auto" w:before="76"/>
        <w:ind w:right="0"/>
        <w:jc w:val="left"/>
      </w:pPr>
      <w:r>
        <w:rPr>
          <w:spacing w:val="-2"/>
        </w:rPr>
        <w:t>《内部信息保密制度》、《年报信息披露重大差错责任追究制度》、《内幕信息知情人登记和报备制度》、《财务负责人管</w:t>
      </w:r>
      <w:r>
        <w:rPr>
          <w:spacing w:val="-66"/>
        </w:rPr>
        <w:t> </w:t>
      </w:r>
      <w:r>
        <w:rPr>
          <w:spacing w:val="-66"/>
        </w:rPr>
      </w:r>
      <w:r>
        <w:rPr/>
        <w:t>理制度》等。公司各项管理制度建立之后均能得到有效地贯彻执行。</w:t>
      </w:r>
    </w:p>
    <w:p>
      <w:pPr>
        <w:pStyle w:val="BodyText"/>
        <w:spacing w:line="316" w:lineRule="auto" w:before="57"/>
        <w:ind w:right="272" w:firstLine="360"/>
        <w:jc w:val="both"/>
      </w:pPr>
      <w:r>
        <w:rPr>
          <w:spacing w:val="-2"/>
        </w:rPr>
        <w:t>生产经营控制：公司制定了明确各职能部门、基层单位的工作权限与职责，规定了生产、采购、销售及安全管理等程序</w:t>
      </w:r>
      <w:r>
        <w:rPr/>
        <w:t> 与工作流程，建立了质量管理体系，通过了</w:t>
      </w:r>
      <w:r>
        <w:rPr>
          <w:rFonts w:ascii="Times New Roman" w:hAnsi="Times New Roman" w:cs="Times New Roman" w:eastAsia="Times New Roman" w:hint="default"/>
        </w:rPr>
        <w:t>ISO9001</w:t>
      </w:r>
      <w:r>
        <w:rPr/>
        <w:t>体系认证。</w:t>
      </w:r>
    </w:p>
    <w:p>
      <w:pPr>
        <w:pStyle w:val="BodyText"/>
        <w:spacing w:line="316" w:lineRule="auto" w:before="40"/>
        <w:ind w:right="0" w:firstLine="360"/>
        <w:jc w:val="left"/>
      </w:pPr>
      <w:r>
        <w:rPr>
          <w:spacing w:val="-2"/>
        </w:rPr>
        <w:t>财务管理控制：公司按照企业会计制度、会计法、税法、经济法等国家有关法律法规的规定，建立了较为完善的财务管</w:t>
      </w:r>
      <w:r>
        <w:rPr/>
        <w:t> </w:t>
      </w:r>
      <w:r>
        <w:rPr>
          <w:spacing w:val="-2"/>
        </w:rPr>
        <w:t>理制度、会计核算制度和内部控制体系；公司财务部在财务管理和会计核算方面设有较为合理的岗位和职责权限，并配备相</w:t>
      </w:r>
      <w:r>
        <w:rPr>
          <w:spacing w:val="-65"/>
        </w:rPr>
        <w:t> </w:t>
      </w:r>
      <w:r>
        <w:rPr>
          <w:spacing w:val="-65"/>
        </w:rPr>
      </w:r>
      <w:r>
        <w:rPr>
          <w:spacing w:val="-4"/>
        </w:rPr>
        <w:t>应的财务人员以保证财会工作的顺利进行。对货币资金、采购与付款、销售与收款、固定资产、存货等建立了内部审批程序，</w:t>
      </w:r>
      <w:r>
        <w:rPr>
          <w:spacing w:val="-42"/>
        </w:rPr>
        <w:t> </w:t>
      </w:r>
      <w:r>
        <w:rPr>
          <w:spacing w:val="-42"/>
        </w:rPr>
      </w:r>
      <w:r>
        <w:rPr>
          <w:spacing w:val="-2"/>
        </w:rPr>
        <w:t>规定了相应的审批权限，并实施有效控制管理。会计系统能确认并记录所有真实交易，及时、充分描述交易，并在会计报表</w:t>
      </w:r>
      <w:r>
        <w:rPr>
          <w:spacing w:val="-65"/>
        </w:rPr>
        <w:t> </w:t>
      </w:r>
      <w:r>
        <w:rPr>
          <w:spacing w:val="-65"/>
        </w:rPr>
      </w:r>
      <w:r>
        <w:rPr/>
        <w:t>和附注中适当的进行表达和披露。</w:t>
      </w:r>
    </w:p>
    <w:p>
      <w:pPr>
        <w:pStyle w:val="BodyText"/>
        <w:spacing w:line="316" w:lineRule="auto" w:before="59"/>
        <w:ind w:right="272" w:firstLine="360"/>
        <w:jc w:val="both"/>
      </w:pPr>
      <w:r>
        <w:rPr>
          <w:spacing w:val="-2"/>
        </w:rPr>
        <w:t>信息披露控制：公司制定了《信息披露管理制度》、《年报信息披露重大差错责任追究制度》、《重大信息内部报告制</w:t>
      </w:r>
      <w:r>
        <w:rPr/>
        <w:t> </w:t>
      </w:r>
      <w:r>
        <w:rPr>
          <w:spacing w:val="-2"/>
        </w:rPr>
        <w:t>度》和《内幕信息知情人登记和报备制度》等，分别对信息披露的基本原则、信息披露的内容、信息披露程序与传递、信息</w:t>
      </w:r>
      <w:r>
        <w:rPr>
          <w:spacing w:val="-65"/>
        </w:rPr>
        <w:t> </w:t>
      </w:r>
      <w:r>
        <w:rPr>
          <w:spacing w:val="-65"/>
        </w:rPr>
      </w:r>
      <w:r>
        <w:rPr/>
        <w:t>披露的责任划分、信息披露的方式、档案管理、内幕信息知情人范围和保密措施以及责任追究做了明确规定。</w:t>
      </w:r>
    </w:p>
    <w:p>
      <w:pPr>
        <w:pStyle w:val="BodyText"/>
        <w:spacing w:line="316" w:lineRule="auto" w:before="57"/>
        <w:ind w:right="272" w:firstLine="360"/>
        <w:jc w:val="both"/>
      </w:pPr>
      <w:r>
        <w:rPr>
          <w:spacing w:val="-2"/>
        </w:rPr>
        <w:t>关联交易控制：公司制定了《关联交易决策制度》，明确了关联人的认定、关联交易的范围、关联交易的执行与披露的</w:t>
      </w:r>
      <w:r>
        <w:rPr/>
        <w:t> </w:t>
      </w:r>
      <w:r>
        <w:rPr>
          <w:spacing w:val="-2"/>
        </w:rPr>
        <w:t>具体程序，规范与关联方的交易行为。报告期内，公司发生的关联交易均遵照相关规定执行，交易价格按市场价格确定，定</w:t>
      </w:r>
      <w:r>
        <w:rPr>
          <w:spacing w:val="-65"/>
        </w:rPr>
        <w:t> </w:t>
      </w:r>
      <w:r>
        <w:rPr>
          <w:spacing w:val="-65"/>
        </w:rPr>
      </w:r>
      <w:r>
        <w:rPr/>
        <w:t>价公平、公允、合理。</w:t>
      </w:r>
    </w:p>
    <w:p>
      <w:pPr>
        <w:pStyle w:val="BodyText"/>
        <w:spacing w:line="360" w:lineRule="auto" w:before="59"/>
        <w:ind w:left="472" w:right="0"/>
        <w:jc w:val="left"/>
      </w:pPr>
      <w:r>
        <w:rPr/>
        <w:t>募集资金控制：公司制定了《募集资金管理制度》，报告期内公司未发生募集资金违规使用的情况。 </w:t>
      </w:r>
      <w:r>
        <w:rPr>
          <w:spacing w:val="-2"/>
        </w:rPr>
        <w:t>内部审计控制：公司制定了《内部审计制度》，对公司内部审计工作了明确的规定和要求。公司董事会下设专门的审计</w:t>
      </w:r>
    </w:p>
    <w:p>
      <w:pPr>
        <w:pStyle w:val="BodyText"/>
        <w:spacing w:line="222" w:lineRule="exact"/>
        <w:ind w:right="0"/>
        <w:jc w:val="left"/>
      </w:pPr>
      <w:r>
        <w:rPr/>
        <w:t>委员会，审计委员会下设审计室作为公司内部审计的执行机构，审计室负责组织实施公司内部审计制度，对公司财务计划、</w:t>
      </w:r>
    </w:p>
    <w:p>
      <w:pPr>
        <w:pStyle w:val="BodyText"/>
        <w:spacing w:line="316" w:lineRule="auto" w:before="76"/>
        <w:ind w:right="0"/>
        <w:jc w:val="left"/>
      </w:pPr>
      <w:r>
        <w:rPr>
          <w:spacing w:val="-4"/>
        </w:rPr>
        <w:t>成本计划或公司预算的执行和决算情况，财务收支及其有关的经济活动，生产、经营、开发的经济效益和资产保值增值情况，</w:t>
      </w:r>
      <w:r>
        <w:rPr>
          <w:spacing w:val="-43"/>
        </w:rPr>
        <w:t> </w:t>
      </w:r>
      <w:r>
        <w:rPr>
          <w:spacing w:val="-43"/>
        </w:rPr>
      </w:r>
      <w:r>
        <w:rPr>
          <w:spacing w:val="-2"/>
        </w:rPr>
        <w:t>建设项目概预算和决算情况、经济合同的签订及履行情况、内部控制制度等事项的合法性、合规性、真实性和完整性进行审</w:t>
      </w:r>
      <w:r>
        <w:rPr>
          <w:spacing w:val="-66"/>
        </w:rPr>
        <w:t> </w:t>
      </w:r>
      <w:r>
        <w:rPr>
          <w:spacing w:val="-66"/>
        </w:rPr>
      </w:r>
      <w:r>
        <w:rPr>
          <w:spacing w:val="-2"/>
        </w:rPr>
        <w:t>计监督，负责监督检查公司董事会各项经营决策的贯彻执行情况，确定反舞弊的重点领域、关键环节和主要内容，并在内部</w:t>
      </w:r>
      <w:r>
        <w:rPr>
          <w:spacing w:val="-66"/>
        </w:rPr>
        <w:t> </w:t>
      </w:r>
      <w:r>
        <w:rPr>
          <w:spacing w:val="-66"/>
        </w:rPr>
      </w:r>
      <w:r>
        <w:rPr/>
        <w:t>审计过程中合理关注和检查可能存在的舞弊行为。</w:t>
      </w:r>
    </w:p>
    <w:p>
      <w:pPr>
        <w:pStyle w:val="BodyText"/>
        <w:spacing w:line="316" w:lineRule="auto" w:before="57"/>
        <w:ind w:right="0" w:firstLine="360"/>
        <w:jc w:val="left"/>
      </w:pPr>
      <w:r>
        <w:rPr>
          <w:spacing w:val="-4"/>
        </w:rPr>
        <w:t>人力资源控制：公司根据人力资源状况和未来需求预测，继续优化人力资源整体布局，组织管理、人力资源规划、招聘、</w:t>
      </w:r>
      <w:r>
        <w:rPr/>
        <w:t> </w:t>
      </w:r>
      <w:r>
        <w:rPr>
          <w:spacing w:val="-2"/>
        </w:rPr>
        <w:t>培训、离职、考核、薪酬、奖惩、休假、劳动合同等一系列有关人力资源的活动和程序，将职业道德素养和专业胜任能力作</w:t>
      </w:r>
      <w:r>
        <w:rPr>
          <w:spacing w:val="-64"/>
        </w:rPr>
        <w:t> </w:t>
      </w:r>
      <w:r>
        <w:rPr>
          <w:spacing w:val="-64"/>
        </w:rPr>
      </w:r>
      <w:r>
        <w:rPr>
          <w:spacing w:val="-2"/>
        </w:rPr>
        <w:t>为选拔和聘用员工的重要标准。报告期内公司修订了《招聘管理规定》，满足了公司管理人员及技术工人需要；修订了《员</w:t>
      </w:r>
      <w:r>
        <w:rPr>
          <w:spacing w:val="-66"/>
        </w:rPr>
        <w:t> </w:t>
      </w:r>
      <w:r>
        <w:rPr>
          <w:spacing w:val="-66"/>
        </w:rPr>
      </w:r>
      <w:r>
        <w:rPr/>
        <w:t>工绩效管理规定》，完善了人力资源的激励约束机制。</w:t>
      </w:r>
    </w:p>
    <w:p>
      <w:pPr>
        <w:spacing w:after="0" w:line="316" w:lineRule="auto"/>
        <w:jc w:val="left"/>
        <w:sectPr>
          <w:pgSz w:w="11910" w:h="16840"/>
          <w:pgMar w:header="878" w:footer="1225" w:top="1100" w:bottom="1420" w:left="1020" w:right="860"/>
        </w:sectPr>
      </w:pPr>
    </w:p>
    <w:p>
      <w:pPr>
        <w:spacing w:line="240" w:lineRule="auto" w:before="1"/>
        <w:rPr>
          <w:rFonts w:ascii="宋体" w:hAnsi="宋体" w:cs="宋体" w:eastAsia="宋体" w:hint="default"/>
          <w:sz w:val="22"/>
          <w:szCs w:val="22"/>
        </w:rPr>
      </w:pPr>
    </w:p>
    <w:p>
      <w:pPr>
        <w:pStyle w:val="BodyText"/>
        <w:spacing w:line="316" w:lineRule="auto" w:before="44"/>
        <w:ind w:right="86" w:firstLine="391"/>
        <w:jc w:val="left"/>
      </w:pPr>
      <w:r>
        <w:rPr/>
        <w:t>公司审计室作为内部控制检查监督部门，按照董事会审计委员会对内部控制有关工作的安排，在年度审计计划中安排 </w:t>
      </w:r>
      <w:r>
        <w:rPr>
          <w:spacing w:val="-2"/>
        </w:rPr>
        <w:t>内控评审项目进行专项监督检查，重点检查了与财务核算相关的内部控制制度的完善情况，并根据检查结果出具了报告期内</w:t>
      </w:r>
      <w:r>
        <w:rPr>
          <w:spacing w:val="-64"/>
        </w:rPr>
        <w:t> </w:t>
      </w:r>
      <w:r>
        <w:rPr>
          <w:spacing w:val="-64"/>
        </w:rPr>
      </w:r>
      <w:r>
        <w:rPr/>
        <w:t>部控制的自我评价报告，评价结果为内部控制有效。</w:t>
      </w:r>
    </w:p>
    <w:p>
      <w:pPr>
        <w:spacing w:line="240" w:lineRule="auto" w:before="9"/>
        <w:rPr>
          <w:rFonts w:ascii="宋体" w:hAnsi="宋体" w:cs="宋体" w:eastAsia="宋体" w:hint="default"/>
          <w:sz w:val="20"/>
          <w:szCs w:val="20"/>
        </w:rPr>
      </w:pPr>
    </w:p>
    <w:p>
      <w:pPr>
        <w:pStyle w:val="Heading4"/>
        <w:spacing w:line="240" w:lineRule="auto"/>
        <w:ind w:right="86"/>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86" w:firstLine="360"/>
        <w:jc w:val="left"/>
      </w:pPr>
      <w:r>
        <w:rPr>
          <w:spacing w:val="-2"/>
        </w:rPr>
        <w:t>公司董事会对公司内部控制的建立健全和有效运行负全面责任。通过公司内部控制制度的不断建立、健全和完善，公司</w:t>
      </w:r>
      <w:r>
        <w:rPr/>
        <w:t> </w:t>
      </w:r>
      <w:r>
        <w:rPr>
          <w:spacing w:val="-4"/>
        </w:rPr>
        <w:t>现行的内部控制体系较为规范、完整，内部控制组织机构完整，人员配备齐全到位，各个内控制度均得到了有效的贯彻执行，</w:t>
      </w:r>
      <w:r>
        <w:rPr>
          <w:spacing w:val="-43"/>
        </w:rPr>
        <w:t> </w:t>
      </w:r>
      <w:r>
        <w:rPr>
          <w:spacing w:val="-43"/>
        </w:rPr>
      </w:r>
      <w:r>
        <w:rPr>
          <w:spacing w:val="-4"/>
        </w:rPr>
        <w:t>能够适应公司现行的管理要求和发展需要，保证了公司经营活动的有序开展，切实保护公司全体股东的根本利益。报告期内，</w:t>
      </w:r>
      <w:r>
        <w:rPr>
          <w:spacing w:val="-42"/>
        </w:rPr>
        <w:t> </w:t>
      </w:r>
      <w:r>
        <w:rPr>
          <w:spacing w:val="-42"/>
        </w:rPr>
      </w:r>
      <w:r>
        <w:rPr>
          <w:spacing w:val="-2"/>
        </w:rPr>
        <w:t>公司不存在违反深圳证券交易所《上市公司内部控制指引》的情形。公司将按照《企业内部控制基本规范》和《企业内部控</w:t>
      </w:r>
      <w:r>
        <w:rPr>
          <w:spacing w:val="-66"/>
        </w:rPr>
        <w:t> </w:t>
      </w:r>
      <w:r>
        <w:rPr>
          <w:spacing w:val="-66"/>
        </w:rPr>
      </w:r>
      <w:r>
        <w:rPr>
          <w:spacing w:val="-4"/>
        </w:rPr>
        <w:t>制配套指引》的相关要求逐步建立健全内部控制体系，提高公司风险防范能力和规范运作水平，保证公司经营管理合法合规、</w:t>
      </w:r>
      <w:r>
        <w:rPr>
          <w:spacing w:val="-42"/>
        </w:rPr>
        <w:t> </w:t>
      </w:r>
      <w:r>
        <w:rPr>
          <w:spacing w:val="-42"/>
        </w:rPr>
      </w:r>
      <w:r>
        <w:rPr/>
        <w:t>资产安全、财务报告及相关信息真实完整，提高经营效率和效果，促进公司发展战略的实现。</w:t>
      </w:r>
    </w:p>
    <w:p>
      <w:pPr>
        <w:spacing w:line="240" w:lineRule="auto" w:before="9"/>
        <w:rPr>
          <w:rFonts w:ascii="宋体" w:hAnsi="宋体" w:cs="宋体" w:eastAsia="宋体" w:hint="default"/>
          <w:sz w:val="20"/>
          <w:szCs w:val="20"/>
        </w:rPr>
      </w:pPr>
    </w:p>
    <w:p>
      <w:pPr>
        <w:pStyle w:val="Heading4"/>
        <w:spacing w:line="240" w:lineRule="auto"/>
        <w:ind w:right="86"/>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86" w:firstLine="360"/>
        <w:jc w:val="left"/>
      </w:pPr>
      <w:r>
        <w:rPr>
          <w:spacing w:val="-2"/>
        </w:rPr>
        <w:t>公司已按照《公司法》、《会计法》、《企业会计准则》和《企业会计制度》等法律法规及其补充规定的要求制定了公</w:t>
      </w:r>
      <w:r>
        <w:rPr/>
        <w:t> 司的财务管理制度。</w:t>
      </w:r>
    </w:p>
    <w:p>
      <w:pPr>
        <w:spacing w:line="240" w:lineRule="auto" w:before="11"/>
        <w:rPr>
          <w:rFonts w:ascii="宋体" w:hAnsi="宋体" w:cs="宋体" w:eastAsia="宋体" w:hint="default"/>
          <w:sz w:val="20"/>
          <w:szCs w:val="20"/>
        </w:rPr>
      </w:pPr>
    </w:p>
    <w:p>
      <w:pPr>
        <w:pStyle w:val="Heading4"/>
        <w:spacing w:line="240" w:lineRule="auto"/>
        <w:ind w:right="86"/>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详见刊登在巨潮资讯网</w:t>
            </w:r>
            <w:r>
              <w:rPr>
                <w:rFonts w:ascii="宋体" w:hAnsi="宋体" w:cs="宋体" w:eastAsia="宋体" w:hint="default"/>
                <w:spacing w:val="-51"/>
                <w:sz w:val="18"/>
                <w:szCs w:val="18"/>
              </w:rPr>
              <w:t> </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《深圳市惠程电气股份有限公司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年度内 部控制自我评价报告》</w:t>
            </w:r>
          </w:p>
        </w:tc>
      </w:tr>
    </w:tbl>
    <w:p>
      <w:pPr>
        <w:spacing w:line="240" w:lineRule="auto" w:before="13"/>
        <w:rPr>
          <w:rFonts w:ascii="宋体" w:hAnsi="宋体" w:cs="宋体" w:eastAsia="宋体" w:hint="default"/>
          <w:b/>
          <w:bCs/>
          <w:sz w:val="17"/>
          <w:szCs w:val="17"/>
        </w:rPr>
      </w:pPr>
    </w:p>
    <w:p>
      <w:pPr>
        <w:pStyle w:val="Heading4"/>
        <w:spacing w:line="240" w:lineRule="auto" w:before="26"/>
        <w:ind w:right="86"/>
        <w:jc w:val="left"/>
        <w:rPr>
          <w:b w:val="0"/>
          <w:bCs w:val="0"/>
        </w:rPr>
      </w:pPr>
      <w:r>
        <w:rPr/>
        <w:t>五、内部控制审计报告或鉴证报告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6"/>
        <w:jc w:val="left"/>
      </w:pPr>
      <w:r>
        <w:rPr/>
        <w:t>不适用</w:t>
      </w:r>
    </w:p>
    <w:p>
      <w:pPr>
        <w:spacing w:line="240" w:lineRule="auto" w:before="1"/>
        <w:rPr>
          <w:rFonts w:ascii="宋体" w:hAnsi="宋体" w:cs="宋体" w:eastAsia="宋体" w:hint="default"/>
          <w:sz w:val="25"/>
          <w:szCs w:val="25"/>
        </w:rPr>
      </w:pPr>
    </w:p>
    <w:p>
      <w:pPr>
        <w:pStyle w:val="Heading4"/>
        <w:spacing w:line="240" w:lineRule="auto"/>
        <w:ind w:right="86"/>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86" w:firstLine="360"/>
        <w:jc w:val="left"/>
      </w:pPr>
      <w:r>
        <w:rPr>
          <w:spacing w:val="-4"/>
        </w:rPr>
        <w:t>为了控制年报信息披露重大差错及责任的追究，公司</w:t>
      </w:r>
      <w:r>
        <w:rPr>
          <w:rFonts w:ascii="Times New Roman" w:hAnsi="Times New Roman" w:cs="Times New Roman" w:eastAsia="Times New Roman" w:hint="default"/>
          <w:spacing w:val="-4"/>
        </w:rPr>
        <w:t>2010</w:t>
      </w:r>
      <w:r>
        <w:rPr>
          <w:spacing w:val="-4"/>
        </w:rPr>
        <w:t>年建立了《年报信息披露重大差错责任追究制度》，报告期内，</w:t>
      </w:r>
      <w:r>
        <w:rPr/>
        <w:t> </w:t>
      </w:r>
      <w:r>
        <w:rPr>
          <w:spacing w:val="-2"/>
        </w:rPr>
        <w:t>公司严格按照《年报信息披露重大差错责任追究制度》进行自查，定期报告中未出现重大会计差错、重大遗漏、不符合会计</w:t>
      </w:r>
      <w:r>
        <w:rPr>
          <w:spacing w:val="-66"/>
        </w:rPr>
        <w:t> </w:t>
      </w:r>
      <w:r>
        <w:rPr>
          <w:spacing w:val="-66"/>
        </w:rPr>
      </w:r>
      <w:r>
        <w:rPr/>
        <w:t>法、企业会计准则的情况，公司在报告期内未发现财务报告内部控制存在重大缺陷的情形。</w:t>
      </w:r>
    </w:p>
    <w:p>
      <w:pPr>
        <w:spacing w:after="0" w:line="309" w:lineRule="auto"/>
        <w:jc w:val="left"/>
        <w:sectPr>
          <w:pgSz w:w="11910" w:h="16840"/>
          <w:pgMar w:header="878" w:footer="1225" w:top="1100" w:bottom="142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3552" w:right="3689"/>
        <w:jc w:val="center"/>
        <w:rPr>
          <w:b w:val="0"/>
          <w:bCs w:val="0"/>
        </w:rPr>
      </w:pPr>
      <w:bookmarkStart w:name="_bookmark10" w:id="11"/>
      <w:bookmarkEnd w:id="11"/>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310108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康跃华、邹军梅</w:t>
            </w:r>
          </w:p>
        </w:tc>
      </w:tr>
    </w:tbl>
    <w:p>
      <w:pPr>
        <w:spacing w:after="0" w:line="240" w:lineRule="auto"/>
        <w:jc w:val="left"/>
        <w:rPr>
          <w:rFonts w:ascii="宋体" w:hAnsi="宋体" w:cs="宋体" w:eastAsia="宋体" w:hint="default"/>
          <w:sz w:val="18"/>
          <w:szCs w:val="18"/>
        </w:rPr>
        <w:sectPr>
          <w:pgSz w:w="11910" w:h="16840"/>
          <w:pgMar w:header="878" w:footer="1225" w:top="1100" w:bottom="1420" w:left="1020" w:right="880"/>
        </w:sectPr>
      </w:pPr>
    </w:p>
    <w:p>
      <w:pPr>
        <w:pStyle w:val="BodyText"/>
        <w:spacing w:line="240" w:lineRule="auto" w:before="49"/>
        <w:ind w:left="0" w:right="451"/>
        <w:jc w:val="right"/>
      </w:pPr>
      <w:r>
        <w:rPr/>
        <w:t>审计报告正文</w:t>
      </w:r>
    </w:p>
    <w:p>
      <w:pPr>
        <w:spacing w:before="128"/>
        <w:ind w:left="3940" w:right="0"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6"/>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32"/>
          <w:szCs w:val="32"/>
        </w:rPr>
      </w:pPr>
    </w:p>
    <w:p>
      <w:pPr>
        <w:pStyle w:val="Heading6"/>
        <w:spacing w:line="240" w:lineRule="auto"/>
        <w:ind w:left="1128" w:right="0"/>
        <w:jc w:val="left"/>
      </w:pPr>
      <w:r>
        <w:rPr/>
        <w:t>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310108</w:t>
      </w:r>
      <w:r>
        <w:rPr/>
        <w:t>号</w:t>
      </w:r>
    </w:p>
    <w:p>
      <w:pPr>
        <w:spacing w:after="0" w:line="240" w:lineRule="auto"/>
        <w:jc w:val="left"/>
        <w:sectPr>
          <w:type w:val="continuous"/>
          <w:pgSz w:w="11910" w:h="16840"/>
          <w:pgMar w:top="1060" w:bottom="1420" w:left="1020" w:right="880"/>
          <w:cols w:num="2" w:equalWidth="0">
            <w:col w:w="5926" w:space="40"/>
            <w:col w:w="4044"/>
          </w:cols>
        </w:sectPr>
      </w:pPr>
    </w:p>
    <w:p>
      <w:pPr>
        <w:spacing w:line="240" w:lineRule="auto" w:before="0"/>
        <w:rPr>
          <w:rFonts w:ascii="宋体" w:hAnsi="宋体" w:cs="宋体" w:eastAsia="宋体" w:hint="default"/>
          <w:sz w:val="20"/>
          <w:szCs w:val="20"/>
        </w:rPr>
      </w:pPr>
    </w:p>
    <w:p>
      <w:pPr>
        <w:pStyle w:val="Heading2"/>
        <w:spacing w:line="240" w:lineRule="auto" w:before="172"/>
        <w:ind w:right="0"/>
        <w:jc w:val="left"/>
        <w:rPr>
          <w:b w:val="0"/>
          <w:bCs w:val="0"/>
        </w:rPr>
      </w:pPr>
      <w:r>
        <w:rPr/>
        <w:t>深圳市惠程电气股份有限公司全体股东：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93" w:lineRule="auto"/>
        <w:ind w:right="250"/>
        <w:jc w:val="both"/>
      </w:pPr>
      <w:r>
        <w:rPr>
          <w:spacing w:val="2"/>
        </w:rPr>
        <w:t>我们审计了后附的深圳市惠程电气股份有限公司（以下简称深圳惠程）财</w:t>
      </w:r>
      <w:r>
        <w:rPr>
          <w:w w:val="100"/>
        </w:rPr>
        <w:t> </w:t>
      </w:r>
      <w:r>
        <w:rPr/>
        <w:t>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2014</w:t>
      </w:r>
      <w:r>
        <w:rPr/>
        <w:t>年度的合并及公</w:t>
      </w:r>
      <w:r>
        <w:rPr>
          <w:spacing w:val="-34"/>
        </w:rPr>
        <w:t> </w:t>
      </w:r>
      <w:r>
        <w:rPr>
          <w:spacing w:val="-34"/>
        </w:rPr>
      </w:r>
      <w:r>
        <w:rPr/>
        <w:t>司利润表、</w:t>
      </w:r>
      <w:r>
        <w:rPr>
          <w:rFonts w:ascii="Times New Roman" w:hAnsi="Times New Roman" w:cs="Times New Roman" w:eastAsia="Times New Roman" w:hint="default"/>
        </w:rPr>
        <w:t>2014</w:t>
      </w:r>
      <w:r>
        <w:rPr/>
        <w:t>年度的合并及公司现金流量表、</w:t>
      </w:r>
      <w:r>
        <w:rPr>
          <w:rFonts w:ascii="Times New Roman" w:hAnsi="Times New Roman" w:cs="Times New Roman" w:eastAsia="Times New Roman" w:hint="default"/>
        </w:rPr>
        <w:t>2014</w:t>
      </w:r>
      <w:r>
        <w:rPr/>
        <w:t>年度的合并及公司所有者</w:t>
      </w:r>
      <w:r>
        <w:rPr>
          <w:spacing w:val="-33"/>
        </w:rPr>
        <w:t> </w:t>
      </w:r>
      <w:r>
        <w:rPr>
          <w:spacing w:val="-33"/>
        </w:rPr>
      </w:r>
      <w:r>
        <w:rPr/>
        <w:t>权益变动表以及财务报表附注。</w:t>
      </w: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25"/>
          <w:szCs w:val="25"/>
        </w:rPr>
      </w:pPr>
    </w:p>
    <w:p>
      <w:pPr>
        <w:pStyle w:val="Heading2"/>
        <w:spacing w:line="240" w:lineRule="auto"/>
        <w:ind w:left="832" w:right="0"/>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86" w:lineRule="auto"/>
        <w:ind w:right="112"/>
        <w:jc w:val="both"/>
      </w:pPr>
      <w:r>
        <w:rPr>
          <w:spacing w:val="-3"/>
        </w:rPr>
        <w:t>编制和公允列报财务报表是贵公司管理层的责任。这种责任包括：（</w:t>
      </w:r>
      <w:r>
        <w:rPr>
          <w:rFonts w:ascii="Times New Roman" w:hAnsi="Times New Roman" w:cs="Times New Roman" w:eastAsia="Times New Roman" w:hint="default"/>
          <w:spacing w:val="-3"/>
        </w:rPr>
        <w:t>1</w:t>
      </w:r>
      <w:r>
        <w:rPr>
          <w:spacing w:val="-3"/>
        </w:rPr>
        <w:t>）按</w:t>
      </w:r>
      <w:r>
        <w:rPr>
          <w:w w:val="100"/>
        </w:rPr>
        <w:t> </w:t>
      </w:r>
      <w:r>
        <w:rPr>
          <w:spacing w:val="-3"/>
        </w:rPr>
        <w:t>照企业会计准则的规定编制财务报表，并使其实现公允反映；（</w:t>
      </w:r>
      <w:r>
        <w:rPr>
          <w:rFonts w:ascii="Times New Roman" w:hAnsi="Times New Roman" w:cs="Times New Roman" w:eastAsia="Times New Roman" w:hint="default"/>
          <w:spacing w:val="-3"/>
        </w:rPr>
        <w:t>2</w:t>
      </w:r>
      <w:r>
        <w:rPr>
          <w:spacing w:val="-3"/>
        </w:rPr>
        <w:t>）设计、执行</w:t>
      </w:r>
      <w:r>
        <w:rPr>
          <w:spacing w:val="-73"/>
        </w:rPr>
        <w:t> </w:t>
      </w:r>
      <w:r>
        <w:rPr>
          <w:spacing w:val="-73"/>
        </w:rPr>
      </w:r>
      <w:r>
        <w:rPr>
          <w:spacing w:val="-3"/>
        </w:rPr>
        <w:t>和维护必要的内部控制，以使财务报表不存在由于舞弊或错误导致的重大错报。</w:t>
      </w:r>
    </w:p>
    <w:p>
      <w:pPr>
        <w:spacing w:after="0" w:line="386" w:lineRule="auto"/>
        <w:jc w:val="both"/>
        <w:sectPr>
          <w:type w:val="continuous"/>
          <w:pgSz w:w="11910" w:h="16840"/>
          <w:pgMar w:top="1060" w:bottom="1420" w:left="1020" w:right="880"/>
        </w:sectPr>
      </w:pPr>
    </w:p>
    <w:p>
      <w:pPr>
        <w:spacing w:line="240" w:lineRule="auto" w:before="0"/>
        <w:rPr>
          <w:rFonts w:ascii="宋体" w:hAnsi="宋体" w:cs="宋体" w:eastAsia="宋体" w:hint="default"/>
          <w:sz w:val="20"/>
          <w:szCs w:val="20"/>
        </w:rPr>
      </w:pPr>
    </w:p>
    <w:p>
      <w:pPr>
        <w:pStyle w:val="Heading2"/>
        <w:spacing w:line="240" w:lineRule="auto" w:before="146"/>
        <w:ind w:left="832" w:right="0"/>
        <w:jc w:val="left"/>
        <w:rPr>
          <w:b w:val="0"/>
          <w:bCs w:val="0"/>
        </w:rPr>
      </w:pPr>
      <w:r>
        <w:rPr/>
        <w:t>二、注册会计师的责任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250"/>
        <w:jc w:val="both"/>
      </w:pPr>
      <w:r>
        <w:rPr>
          <w:spacing w:val="2"/>
        </w:rPr>
        <w:t>我们的责任是在执行审计工作的基础上对财务报表发表审计意见。我们按</w:t>
      </w:r>
      <w:r>
        <w:rPr>
          <w:w w:val="100"/>
        </w:rPr>
        <w:t> </w:t>
      </w:r>
      <w:r>
        <w:rPr>
          <w:spacing w:val="2"/>
        </w:rPr>
        <w:t>照中国注册会计师审计准则的规定执行了审计工作。中国注册会计师审计准则</w:t>
      </w:r>
      <w:r>
        <w:rPr>
          <w:spacing w:val="-99"/>
        </w:rPr>
        <w:t> </w:t>
      </w:r>
      <w:r>
        <w:rPr>
          <w:spacing w:val="-99"/>
        </w:rPr>
      </w:r>
      <w:r>
        <w:rPr>
          <w:spacing w:val="2"/>
        </w:rPr>
        <w:t>要求我们遵守中国注册会计师职业道德守则，计划和执行审计工作以对财务报</w:t>
      </w:r>
      <w:r>
        <w:rPr>
          <w:spacing w:val="-99"/>
        </w:rPr>
        <w:t> </w:t>
      </w:r>
      <w:r>
        <w:rPr>
          <w:spacing w:val="-99"/>
        </w:rPr>
      </w:r>
      <w:r>
        <w:rPr/>
        <w:t>表是否不存在重大错报获取合理保证。</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ind w:right="0"/>
        <w:jc w:val="left"/>
      </w:pPr>
      <w:r>
        <w:rPr>
          <w:spacing w:val="-3"/>
        </w:rPr>
        <w:t>审计工作涉及实施审计程序，以获取有关财务报表金额和披露的审计证据。</w:t>
      </w:r>
      <w:r>
        <w:rPr>
          <w:w w:val="100"/>
        </w:rPr>
        <w:t> </w:t>
      </w:r>
      <w:r>
        <w:rPr>
          <w:spacing w:val="2"/>
        </w:rPr>
        <w:t>选择的审计程序取决于注册会计师的判断，包括对由于舞弊或错误导致的财务</w:t>
      </w:r>
      <w:r>
        <w:rPr>
          <w:spacing w:val="-99"/>
        </w:rPr>
        <w:t> </w:t>
      </w:r>
      <w:r>
        <w:rPr>
          <w:spacing w:val="-99"/>
        </w:rPr>
      </w:r>
      <w:r>
        <w:rPr>
          <w:spacing w:val="2"/>
        </w:rPr>
        <w:t>报表重大错报风险的评估。在进行风险评估时，注册会计师考虑与财务报表编</w:t>
      </w:r>
      <w:r>
        <w:rPr>
          <w:spacing w:val="-99"/>
        </w:rPr>
        <w:t> </w:t>
      </w:r>
      <w:r>
        <w:rPr>
          <w:spacing w:val="-99"/>
        </w:rPr>
      </w:r>
      <w:r>
        <w:rPr>
          <w:spacing w:val="2"/>
        </w:rPr>
        <w:t>制和公允列报相关的内部控制，以设计恰当的审计程序，但目的并非对内部控</w:t>
      </w:r>
      <w:r>
        <w:rPr>
          <w:spacing w:val="-99"/>
        </w:rPr>
        <w:t> </w:t>
      </w:r>
      <w:r>
        <w:rPr>
          <w:spacing w:val="-99"/>
        </w:rPr>
      </w:r>
      <w:r>
        <w:rPr>
          <w:spacing w:val="2"/>
        </w:rPr>
        <w:t>制的有效性发表意见。审计工作还包括评价管理层选用会计政策的恰当性和作</w:t>
      </w:r>
      <w:r>
        <w:rPr>
          <w:spacing w:val="-99"/>
        </w:rPr>
        <w:t> </w:t>
      </w:r>
      <w:r>
        <w:rPr>
          <w:spacing w:val="-99"/>
        </w:rPr>
      </w:r>
      <w:r>
        <w:rPr/>
        <w:t>出会计估计的合理性，以及评价财务报表的总体列报。</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ind w:right="250"/>
        <w:jc w:val="both"/>
      </w:pPr>
      <w:r>
        <w:rPr>
          <w:spacing w:val="2"/>
        </w:rPr>
        <w:t>我们相信，我们获取的审计证据是充分、适当的，为发表审计意见提供了</w:t>
      </w:r>
      <w:r>
        <w:rPr>
          <w:w w:val="100"/>
        </w:rPr>
        <w:t> </w:t>
      </w:r>
      <w:r>
        <w:rPr/>
        <w:t>基础。</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2"/>
        <w:spacing w:line="240" w:lineRule="auto"/>
        <w:ind w:left="832" w:right="0"/>
        <w:jc w:val="left"/>
        <w:rPr>
          <w:b w:val="0"/>
          <w:bCs w:val="0"/>
        </w:rPr>
      </w:pPr>
      <w:r>
        <w:rPr/>
        <w:t>三、审计意见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98" w:lineRule="auto"/>
        <w:ind w:right="250"/>
        <w:jc w:val="both"/>
      </w:pPr>
      <w:r>
        <w:rPr>
          <w:spacing w:val="2"/>
        </w:rPr>
        <w:t>我们认为，深圳惠程财务报表在所有重大方面按照企业会计准则的规定编</w:t>
      </w:r>
      <w:r>
        <w:rPr>
          <w:w w:val="100"/>
        </w:rPr>
        <w:t> </w:t>
      </w:r>
      <w:r>
        <w:rPr/>
        <w:t>制，公允反映了深圳惠程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2014</w:t>
      </w:r>
      <w:r>
        <w:rPr/>
        <w:t>年度的经营成果</w:t>
      </w:r>
      <w:r>
        <w:rPr>
          <w:spacing w:val="-33"/>
        </w:rPr>
        <w:t> </w:t>
      </w:r>
      <w:r>
        <w:rPr>
          <w:spacing w:val="-33"/>
        </w:rPr>
      </w:r>
      <w:r>
        <w:rPr/>
        <w:t>和现金流量。</w:t>
      </w:r>
    </w:p>
    <w:p>
      <w:pPr>
        <w:spacing w:after="0" w:line="398" w:lineRule="auto"/>
        <w:jc w:val="both"/>
        <w:sectPr>
          <w:footerReference w:type="default" r:id="rId44"/>
          <w:pgSz w:w="11910" w:h="16840"/>
          <w:pgMar w:footer="1225" w:header="878" w:top="1100" w:bottom="1420" w:left="1020" w:right="880"/>
          <w:pgNumType w:start="70"/>
        </w:sectPr>
      </w:pPr>
    </w:p>
    <w:p>
      <w:pPr>
        <w:spacing w:line="240" w:lineRule="auto" w:before="10"/>
        <w:rPr>
          <w:rFonts w:ascii="宋体" w:hAnsi="宋体" w:cs="宋体" w:eastAsia="宋体" w:hint="default"/>
          <w:sz w:val="19"/>
          <w:szCs w:val="19"/>
        </w:rPr>
      </w:pPr>
    </w:p>
    <w:p>
      <w:pPr>
        <w:pStyle w:val="Heading4"/>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8" w:footer="1225" w:top="1100" w:bottom="1420" w:left="1020" w:right="1020"/>
        </w:sectPr>
      </w:pPr>
    </w:p>
    <w:p>
      <w:pPr>
        <w:pStyle w:val="BodyText"/>
        <w:spacing w:line="240" w:lineRule="auto" w:before="44"/>
        <w:ind w:right="-20"/>
        <w:jc w:val="left"/>
      </w:pPr>
      <w:r>
        <w:rPr/>
        <w:t>编制单位：深圳市惠程电气股份有限公司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420" w:left="1020" w:right="1020"/>
          <w:cols w:num="3" w:equalWidth="0">
            <w:col w:w="3353" w:space="724"/>
            <w:col w:w="1599" w:space="3242"/>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361,903,081.98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348,805,584.96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4,601,040.50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8,504,750.00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130,024,537.39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213,045,985.62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11,315,321.66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23,388,291.82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438,701.39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14,976,641.42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19,383,109.99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115,066,625.93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155,211,226.40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317,039,216.88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28,231,694.56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954,926,465.76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797,009,344.74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119,110.38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6,219,330.85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6,719,796.25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431,355,322.57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456,622,188.61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46,343,833.75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29,031,893.63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115,665,223.84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103,708,404.61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14,105,401.05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28,501,886.58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2,850,049.14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2,850,049.14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2,680,369.96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2,599,597.70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12,078,891.78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11,377,499.85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2,021,749.02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5,690,244.51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633,439,282.34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647,101,560.88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1,588,365,748.10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1,444,110,905.62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23,865,203.38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59,675,617.19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87,746,722.44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6,882,988.06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2,822,322.94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4,861,855.51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6,258,993.69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5,604,307.79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13,760,379.77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149,597,402.82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1,677,986.83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7,654,894.29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5,396,158.51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264,827,065.66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161,527,767.56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60,496,203.76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60,986,400.21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60,496,203.76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60,986,400.21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325,323,269.42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222,514,167.77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757,104,768.00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757,104,768.00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14,486,313.53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1,690,953.37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-31,938.73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-28,865.88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70,824,048.96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70,824,048.96</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201,191,136.29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290,043,432.53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1,043,574,328.05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1,119,634,336.98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219,468,150.63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101,962,400.87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1,263,042,478.68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1,221,596,737.85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1,588,365,748.10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1,444,110,905.62</w:t>
            </w:r>
          </w:p>
        </w:tc>
      </w:tr>
    </w:tbl>
    <w:p>
      <w:pPr>
        <w:spacing w:line="240" w:lineRule="auto" w:before="1"/>
        <w:rPr>
          <w:rFonts w:ascii="Times New Roman" w:hAnsi="Times New Roman" w:cs="Times New Roman" w:eastAsia="Times New Roman" w:hint="default"/>
          <w:sz w:val="23"/>
          <w:szCs w:val="23"/>
        </w:rPr>
      </w:pPr>
    </w:p>
    <w:p>
      <w:pPr>
        <w:pStyle w:val="BodyText"/>
        <w:tabs>
          <w:tab w:pos="3511" w:val="left" w:leader="none"/>
          <w:tab w:pos="7559" w:val="left" w:leader="none"/>
        </w:tabs>
        <w:spacing w:line="240" w:lineRule="auto" w:before="44"/>
        <w:ind w:left="0" w:right="211"/>
        <w:jc w:val="right"/>
      </w:pPr>
      <w:r>
        <w:rPr/>
        <w:t>法定代表人：纪晓文</w:t>
        <w:tab/>
        <w:t>主管会计工作负责人：田青</w:t>
        <w:tab/>
        <w:t>会计机构负责人：程昭霞</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324,809,333.33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248,344,080.43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3,691,250.00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121,822,678.41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210,041,700.40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3,699,316.84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9,555,326.61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2,370,378.79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1,535,238.24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16,457,809.56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19,685,147.70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64,632,863.39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95,002,278.66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39,988,790.66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281,237,159.47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855,018,330.45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627,855,022.04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302,560,945.06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451,189,525.00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6,219,330.85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6,719,796.25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138,882,282.09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155,823,819.44</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2,521,367.52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13,124,793.59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12,064,943.84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13,336,306.05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1,743,598.73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1,401,087.84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12,078,891.78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3,997,251.82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1,557,200.00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477,628,559.87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645,592,579.99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1,332,646,890.32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1,273,447,602.03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19,310,203.38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48,714,291.18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77,790,318.07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3,662,390.86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1,326,041.94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3,261,853.76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4,426,689.44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3,768,675.31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11,111,863.19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149,136,033.19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1,620,466.43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219,093,244.30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115,585,582.45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229,043,244.30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122,535,582.45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757,104,768.00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757,104,768.00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8,874,070.59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8,874,070.59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70,824,048.96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70,824,048.96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266,800,758.47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314,109,132.03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1,103,603,646.02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1,150,912,019.58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1,332,646,890.32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1,273,447,602.03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313,200,970.58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432,770,239.75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313,200,970.58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432,770,239.75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437,326,952.96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406,562,587.98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222,531,838.85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281,851,041.31</w:t>
            </w:r>
          </w:p>
        </w:tc>
      </w:tr>
      <w:tr>
        <w:trPr>
          <w:trHeight w:val="40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r>
        <w:rPr/>
        <w:pict>
          <v:group style="position:absolute;margin-left:210.949997pt;margin-top:400.600037pt;width:160.25pt;height:19.850pt;mso-position-horizontal-relative:page;mso-position-vertical-relative:page;z-index:-1009744" coordorigin="4219,8012" coordsize="3205,397">
            <v:shape style="position:absolute;left:4219;top:8012;width:3205;height:397" coordorigin="4219,8012" coordsize="3205,397" path="m4219,8012l7424,8012,7424,8409,4219,8409,4219,8012xe" filled="true" fillcolor="#ffffff" stroked="false">
              <v:path arrowok="t"/>
              <v:fill type="solid"/>
            </v:shape>
            <w10:wrap type="none"/>
          </v:group>
        </w:pict>
      </w:r>
      <w:r>
        <w:rPr/>
        <w:pict>
          <v:group style="position:absolute;margin-left:210.949997pt;margin-top:521.200012pt;width:160.25pt;height:19.650pt;mso-position-horizontal-relative:page;mso-position-vertical-relative:page;z-index:-1009720" coordorigin="4219,10424" coordsize="3205,393">
            <v:shape style="position:absolute;left:4219;top:10424;width:3205;height:393" coordorigin="4219,10424" coordsize="3205,393" path="m4219,10424l7424,10424,7424,10817,4219,10817,4219,1042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2,087,883.59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3,583,205.88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79,594,593.58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43,454,885.34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109,884,156.87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73,030,884.70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-3,349,305.27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-4,350,001.88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26,577,785.34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8,992,572.63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6,214,082.92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tabs>
                <w:tab w:pos="2861" w:val="left" w:leader="none"/>
              </w:tabs>
              <w:spacing w:line="240" w:lineRule="auto" w:before="50"/>
              <w:ind w:left="-141"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-117,911,899.46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26,207,651.77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11,302,472.86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11,557,768.83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93,806.81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87,786.47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13,321,838.36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583,383.54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5,084,345.29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511,383.54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tabs>
                <w:tab w:pos="1999" w:val="left" w:leader="none"/>
              </w:tabs>
              <w:spacing w:line="240" w:lineRule="auto" w:before="50"/>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-119,931,264.96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37,182,037.06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-545,722.64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3,959,130.92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-119,385,542.32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33,222,906.14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-88,852,296.24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35,659,127.27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-30,533,246.08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-2,436,221.13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-3,072.85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16,941.08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-3,072.85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16,941.08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3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3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-3,072.85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16,941.08</w:t>
            </w: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3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3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1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-3,072.85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16,941.08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-119,388,615.17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33,239,847.22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-88,855,369.09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35,676,068.35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-30,533,246.08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-2,436,221.13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0.05</w:t>
            </w:r>
          </w:p>
        </w:tc>
      </w:tr>
    </w:tbl>
    <w:p>
      <w:pPr>
        <w:pStyle w:val="BodyText"/>
        <w:tabs>
          <w:tab w:pos="3623" w:val="left" w:leader="none"/>
          <w:tab w:pos="7672" w:val="left" w:leader="none"/>
        </w:tabs>
        <w:spacing w:line="595" w:lineRule="auto" w:before="51"/>
        <w:ind w:right="211"/>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法定代表人：纪晓文</w:t>
        <w:tab/>
        <w:t>主管会计工作负责人：田青</w:t>
        <w:tab/>
        <w:t>会计机构负责人：程昭霞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267,724,153.05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403,676,289.29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177,366,162.21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262,064,680.28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2,087,883.59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3,582,014.85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75,624,122.54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40,756,023.42</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60,309,179.00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47,065,656.33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-6,562,761.88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-6,240,610.28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13,762,912.40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5,736,630.20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9,272,231.10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-45,591,113.71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50,711,894.49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1,337,579.04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3,845,259.41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66,579.04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10,980,809.56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583,383.54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2,853,806.15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511,383.54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-55,234,344.23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53,973,770.36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-7,925,970.67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7,487,204.64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-47,308,373.56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46,486,565.72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72" w:right="0"/>
              <w:jc w:val="left"/>
              <w:rPr>
                <w:rFonts w:ascii="Times New Roman" w:hAnsi="Times New Roman" w:cs="Times New Roman" w:eastAsia="Times New Roman" w:hint="default"/>
                <w:sz w:val="18"/>
                <w:szCs w:val="18"/>
              </w:rPr>
            </w:pPr>
            <w:r>
              <w:rPr>
                <w:rFonts w:ascii="Times New Roman"/>
                <w:sz w:val="18"/>
              </w:rPr>
              <w:t>-47,308,373.56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46,486,565.72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2"/>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2"/>
          <w:szCs w:val="22"/>
        </w:rPr>
      </w:pPr>
    </w:p>
    <w:p>
      <w:pPr>
        <w:pStyle w:val="Heading5"/>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413,829,624.68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443,862,175.28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927,632.41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144,850.15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53,831,999.08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56,993,415.42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468,589,256.17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501,000,440.85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168,761,027.05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218,711,073.68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right="5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70,159,976.23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59,327,815.66</w:t>
            </w:r>
          </w:p>
        </w:tc>
      </w:tr>
    </w:tbl>
    <w:p>
      <w:pPr>
        <w:spacing w:after="0" w:line="240" w:lineRule="auto"/>
        <w:jc w:val="right"/>
        <w:rPr>
          <w:rFonts w:ascii="Times New Roman" w:hAnsi="Times New Roman" w:cs="Times New Roman" w:eastAsia="Times New Roman" w:hint="default"/>
          <w:sz w:val="18"/>
          <w:szCs w:val="18"/>
        </w:rPr>
        <w:sectPr>
          <w:footerReference w:type="default" r:id="rId45"/>
          <w:pgSz w:w="11910" w:h="16840"/>
          <w:pgMar w:footer="1225" w:header="878" w:top="1100" w:bottom="1420" w:left="1020" w:right="1020"/>
          <w:pgNumType w:start="8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35,987,226.26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46,664,976.18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135,830,695.94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106,747,999.52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410,738,925.48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431,451,865.04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57,850,330.69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69,548,575.81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1,162,184,749.92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1,104,221.78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151,243.16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1,167,788,971.70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1,851,243.16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74,309,247.96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58,504,860.33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1,137,035,821.38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1,211,345,069.34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58,754,860.33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-43,556,097.64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-56,903,617.17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5,167,909.69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15,537,826.89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25,167,909.69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35,537,826.89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1,196,891.63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46,781,619.43</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818,318.13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22,015,209.76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66,781,619.43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3,152,699.93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-31,243,792.54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-2,672.64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17,447,088.58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-18,601,506.54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343,514,032.63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362,115,539.17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360,961,121.21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343,514,032.63</w:t>
            </w:r>
          </w:p>
        </w:tc>
      </w:tr>
    </w:tbl>
    <w:p>
      <w:pPr>
        <w:spacing w:line="240" w:lineRule="auto" w:before="0"/>
        <w:rPr>
          <w:rFonts w:ascii="Times New Roman" w:hAnsi="Times New Roman" w:cs="Times New Roman" w:eastAsia="Times New Roman" w:hint="default"/>
          <w:sz w:val="22"/>
          <w:szCs w:val="22"/>
        </w:rPr>
      </w:pPr>
    </w:p>
    <w:p>
      <w:pPr>
        <w:pStyle w:val="Heading5"/>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380,325,689.94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417,482,189.13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45,200,085.54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50,761,799.06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425,525,775.48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468,243,988.19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162,946,655.19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195,276,175.37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48,746,286.71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41,012,344.72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31,560,179.96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44,668,141.75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121,058,868.97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95,692,235.17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364,311,990.83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376,648,897.01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61,213,784.65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91,595,091.18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1,162,167,441.76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1,872,333.34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1,104,061.78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151,243.16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3,994,166.67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1,168,143,836.88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4,145,409.83</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15,356,547.25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14,962,786.33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1,137,535,821.38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1,152,892,368.63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15,112,786.33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15,251,468.25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-10,967,376.50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612,909.69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92,826.89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612,909.69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92,826.89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45,426,286.08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818,318.13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818,318.13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45,426,286.08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-205,408.44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-45,333,459.19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76,259,844.46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35,294,255.49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247,607,528.10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212,313,272.61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323,867,372.56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247,607,528.10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1"/>
        <w:rPr>
          <w:rFonts w:ascii="Times New Roman" w:hAnsi="Times New Roman" w:cs="Times New Roman" w:eastAsia="Times New Roman" w:hint="default"/>
          <w:sz w:val="3"/>
          <w:szCs w:val="3"/>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9"/>
          <w:szCs w:val="19"/>
        </w:rPr>
      </w:pPr>
    </w:p>
    <w:p>
      <w:pPr>
        <w:pStyle w:val="Heading5"/>
        <w:spacing w:line="240" w:lineRule="auto" w:before="34"/>
        <w:ind w:left="140" w:right="13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40" w:right="132"/>
        <w:jc w:val="left"/>
      </w:pPr>
      <w:r>
        <w:rPr/>
        <w:t>本期金额</w:t>
      </w:r>
    </w:p>
    <w:p>
      <w:pPr>
        <w:pStyle w:val="BodyText"/>
        <w:spacing w:line="240" w:lineRule="auto" w:before="117"/>
        <w:ind w:left="0" w:right="137"/>
        <w:jc w:val="right"/>
      </w:pPr>
      <w:r>
        <w:rPr/>
        <w:t>单位：元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35"/>
        <w:gridCol w:w="1181"/>
        <w:gridCol w:w="606"/>
        <w:gridCol w:w="606"/>
        <w:gridCol w:w="610"/>
        <w:gridCol w:w="1091"/>
        <w:gridCol w:w="804"/>
        <w:gridCol w:w="836"/>
        <w:gridCol w:w="772"/>
        <w:gridCol w:w="1091"/>
        <w:gridCol w:w="804"/>
        <w:gridCol w:w="1181"/>
        <w:gridCol w:w="1181"/>
        <w:gridCol w:w="1316"/>
      </w:tblGrid>
      <w:tr>
        <w:trPr>
          <w:trHeight w:val="402" w:hRule="exact"/>
        </w:trPr>
        <w:tc>
          <w:tcPr>
            <w:tcW w:w="1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9"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935" w:type="dxa"/>
            <w:vMerge/>
            <w:tcBorders>
              <w:left w:val="single" w:sz="4" w:space="0" w:color="000000"/>
              <w:right w:val="single" w:sz="4" w:space="0" w:color="000000"/>
            </w:tcBorders>
            <w:shd w:val="clear" w:color="auto" w:fill="D3D3D3"/>
          </w:tcPr>
          <w:p>
            <w:pPr/>
          </w:p>
        </w:tc>
        <w:tc>
          <w:tcPr>
            <w:tcW w:w="958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935"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82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6" w:right="35"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3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34" w:right="5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7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90" w:right="10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0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5" w:right="36"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401" w:hRule="exact"/>
        </w:trPr>
        <w:tc>
          <w:tcPr>
            <w:tcW w:w="1935"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single" w:sz="4" w:space="0" w:color="000000"/>
              <w:right w:val="single" w:sz="4" w:space="0" w:color="000000"/>
            </w:tcBorders>
            <w:shd w:val="clear" w:color="auto" w:fill="D3D3D3"/>
          </w:tcPr>
          <w:p>
            <w:pPr/>
          </w:p>
        </w:tc>
        <w:tc>
          <w:tcPr>
            <w:tcW w:w="804" w:type="dxa"/>
            <w:vMerge/>
            <w:tcBorders>
              <w:left w:val="single" w:sz="4" w:space="0" w:color="000000"/>
              <w:bottom w:val="single" w:sz="4" w:space="0" w:color="000000"/>
              <w:right w:val="single" w:sz="4" w:space="0" w:color="000000"/>
            </w:tcBorders>
            <w:shd w:val="clear" w:color="auto" w:fill="D3D3D3"/>
          </w:tcPr>
          <w:p>
            <w:pPr/>
          </w:p>
        </w:tc>
        <w:tc>
          <w:tcPr>
            <w:tcW w:w="836" w:type="dxa"/>
            <w:vMerge/>
            <w:tcBorders>
              <w:left w:val="single" w:sz="4" w:space="0" w:color="000000"/>
              <w:bottom w:val="single" w:sz="4" w:space="0" w:color="000000"/>
              <w:right w:val="single" w:sz="4" w:space="0" w:color="000000"/>
            </w:tcBorders>
            <w:shd w:val="clear" w:color="auto" w:fill="D3D3D3"/>
          </w:tcPr>
          <w:p>
            <w:pPr/>
          </w:p>
        </w:tc>
        <w:tc>
          <w:tcPr>
            <w:tcW w:w="772"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804"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757,104,768.00</w:t>
            </w: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1,690,953.37</w:t>
            </w: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-28,865.88</w:t>
            </w: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70,824,048.96</w:t>
            </w: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290,043,432.53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101,962,400.87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1,221,596,737.85</w:t>
            </w: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8"/>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757,104,768.00</w:t>
            </w: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1,690,953.37</w:t>
            </w: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-28,865.88</w:t>
            </w: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70,824,048.96</w:t>
            </w: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290,043,432.53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101,962,400.87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1,221,596,737.85</w:t>
            </w:r>
          </w:p>
        </w:tc>
      </w:tr>
      <w:tr>
        <w:trPr>
          <w:trHeight w:val="714"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12,795,360.16</w:t>
            </w: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-3,072.85</w:t>
            </w: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-88,852,296.24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117,505,749.76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41,445,740.83</w:t>
            </w: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-3,072.85</w:t>
            </w: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left"/>
              <w:rPr>
                <w:rFonts w:ascii="Times New Roman" w:hAnsi="Times New Roman" w:cs="Times New Roman" w:eastAsia="Times New Roman" w:hint="default"/>
                <w:sz w:val="18"/>
                <w:szCs w:val="18"/>
              </w:rPr>
            </w:pPr>
            <w:r>
              <w:rPr>
                <w:rFonts w:ascii="Times New Roman"/>
                <w:sz w:val="18"/>
              </w:rPr>
              <w:t>-88,852,296.24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-30,533,246.08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-119,388,615.17</w:t>
            </w:r>
          </w:p>
        </w:tc>
      </w:tr>
      <w:tr>
        <w:trPr>
          <w:trHeight w:val="714"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6"/>
          <w:footerReference w:type="default" r:id="rId47"/>
          <w:pgSz w:w="16840" w:h="11910" w:orient="landscape"/>
          <w:pgMar w:header="868" w:footer="1225" w:top="1060" w:bottom="1420" w:left="1300" w:right="1300"/>
          <w:pgNumType w:start="84"/>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35"/>
        <w:gridCol w:w="1181"/>
        <w:gridCol w:w="606"/>
        <w:gridCol w:w="606"/>
        <w:gridCol w:w="610"/>
        <w:gridCol w:w="1091"/>
        <w:gridCol w:w="804"/>
        <w:gridCol w:w="836"/>
        <w:gridCol w:w="772"/>
        <w:gridCol w:w="1091"/>
        <w:gridCol w:w="804"/>
        <w:gridCol w:w="1181"/>
        <w:gridCol w:w="1181"/>
        <w:gridCol w:w="1316"/>
      </w:tblGrid>
      <w:tr>
        <w:trPr>
          <w:trHeight w:val="377" w:hRule="exact"/>
        </w:trPr>
        <w:tc>
          <w:tcPr>
            <w:tcW w:w="1935" w:type="dxa"/>
            <w:tcBorders>
              <w:top w:val="single" w:sz="16"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1" w:type="dxa"/>
            <w:tcBorders>
              <w:top w:val="single" w:sz="16" w:space="0" w:color="000000"/>
              <w:left w:val="single" w:sz="4" w:space="0" w:color="000000"/>
              <w:bottom w:val="single" w:sz="4" w:space="0" w:color="000000"/>
              <w:right w:val="single" w:sz="4" w:space="0" w:color="000000"/>
            </w:tcBorders>
          </w:tcPr>
          <w:p>
            <w:pPr/>
          </w:p>
        </w:tc>
        <w:tc>
          <w:tcPr>
            <w:tcW w:w="606" w:type="dxa"/>
            <w:tcBorders>
              <w:top w:val="single" w:sz="16" w:space="0" w:color="000000"/>
              <w:left w:val="single" w:sz="4" w:space="0" w:color="000000"/>
              <w:bottom w:val="single" w:sz="4" w:space="0" w:color="000000"/>
              <w:right w:val="single" w:sz="4" w:space="0" w:color="000000"/>
            </w:tcBorders>
          </w:tcPr>
          <w:p>
            <w:pPr/>
          </w:p>
        </w:tc>
        <w:tc>
          <w:tcPr>
            <w:tcW w:w="606" w:type="dxa"/>
            <w:tcBorders>
              <w:top w:val="single" w:sz="16" w:space="0" w:color="000000"/>
              <w:left w:val="single" w:sz="4" w:space="0" w:color="000000"/>
              <w:bottom w:val="single" w:sz="4" w:space="0" w:color="000000"/>
              <w:right w:val="single" w:sz="4" w:space="0" w:color="000000"/>
            </w:tcBorders>
          </w:tcPr>
          <w:p>
            <w:pPr/>
          </w:p>
        </w:tc>
        <w:tc>
          <w:tcPr>
            <w:tcW w:w="610" w:type="dxa"/>
            <w:tcBorders>
              <w:top w:val="single" w:sz="16" w:space="0" w:color="000000"/>
              <w:left w:val="single" w:sz="4" w:space="0" w:color="000000"/>
              <w:bottom w:val="single" w:sz="4" w:space="0" w:color="000000"/>
              <w:right w:val="single" w:sz="4" w:space="0" w:color="000000"/>
            </w:tcBorders>
          </w:tcPr>
          <w:p>
            <w:pPr/>
          </w:p>
        </w:tc>
        <w:tc>
          <w:tcPr>
            <w:tcW w:w="1091" w:type="dxa"/>
            <w:tcBorders>
              <w:top w:val="single" w:sz="16" w:space="0" w:color="000000"/>
              <w:left w:val="single" w:sz="4" w:space="0" w:color="000000"/>
              <w:bottom w:val="single" w:sz="4" w:space="0" w:color="000000"/>
              <w:right w:val="single" w:sz="4" w:space="0" w:color="000000"/>
            </w:tcBorders>
          </w:tcPr>
          <w:p>
            <w:pPr/>
          </w:p>
        </w:tc>
        <w:tc>
          <w:tcPr>
            <w:tcW w:w="804" w:type="dxa"/>
            <w:tcBorders>
              <w:top w:val="single" w:sz="16" w:space="0" w:color="000000"/>
              <w:left w:val="single" w:sz="4" w:space="0" w:color="000000"/>
              <w:bottom w:val="single" w:sz="4" w:space="0" w:color="000000"/>
              <w:right w:val="single" w:sz="4" w:space="0" w:color="000000"/>
            </w:tcBorders>
          </w:tcPr>
          <w:p>
            <w:pPr/>
          </w:p>
        </w:tc>
        <w:tc>
          <w:tcPr>
            <w:tcW w:w="836" w:type="dxa"/>
            <w:tcBorders>
              <w:top w:val="single" w:sz="16" w:space="0" w:color="000000"/>
              <w:left w:val="single" w:sz="4" w:space="0" w:color="000000"/>
              <w:bottom w:val="single" w:sz="4" w:space="0" w:color="000000"/>
              <w:right w:val="single" w:sz="4" w:space="0" w:color="000000"/>
            </w:tcBorders>
          </w:tcPr>
          <w:p>
            <w:pPr/>
          </w:p>
        </w:tc>
        <w:tc>
          <w:tcPr>
            <w:tcW w:w="772" w:type="dxa"/>
            <w:tcBorders>
              <w:top w:val="single" w:sz="16" w:space="0" w:color="000000"/>
              <w:left w:val="single" w:sz="4" w:space="0" w:color="000000"/>
              <w:bottom w:val="single" w:sz="4" w:space="0" w:color="000000"/>
              <w:right w:val="single" w:sz="4" w:space="0" w:color="000000"/>
            </w:tcBorders>
          </w:tcPr>
          <w:p>
            <w:pPr/>
          </w:p>
        </w:tc>
        <w:tc>
          <w:tcPr>
            <w:tcW w:w="1091" w:type="dxa"/>
            <w:tcBorders>
              <w:top w:val="single" w:sz="16" w:space="0" w:color="000000"/>
              <w:left w:val="single" w:sz="4" w:space="0" w:color="000000"/>
              <w:bottom w:val="single" w:sz="4" w:space="0" w:color="000000"/>
              <w:right w:val="single" w:sz="4" w:space="0" w:color="000000"/>
            </w:tcBorders>
          </w:tcPr>
          <w:p>
            <w:pPr/>
          </w:p>
        </w:tc>
        <w:tc>
          <w:tcPr>
            <w:tcW w:w="804" w:type="dxa"/>
            <w:tcBorders>
              <w:top w:val="single" w:sz="16" w:space="0" w:color="000000"/>
              <w:left w:val="single" w:sz="4" w:space="0" w:color="000000"/>
              <w:bottom w:val="single" w:sz="4" w:space="0" w:color="000000"/>
              <w:right w:val="single" w:sz="4" w:space="0" w:color="000000"/>
            </w:tcBorders>
          </w:tcPr>
          <w:p>
            <w:pPr/>
          </w:p>
        </w:tc>
        <w:tc>
          <w:tcPr>
            <w:tcW w:w="1181" w:type="dxa"/>
            <w:tcBorders>
              <w:top w:val="single" w:sz="16" w:space="0" w:color="000000"/>
              <w:left w:val="single" w:sz="4" w:space="0" w:color="000000"/>
              <w:bottom w:val="single" w:sz="4" w:space="0" w:color="000000"/>
              <w:right w:val="single" w:sz="4" w:space="0" w:color="000000"/>
            </w:tcBorders>
          </w:tcPr>
          <w:p>
            <w:pPr/>
          </w:p>
        </w:tc>
        <w:tc>
          <w:tcPr>
            <w:tcW w:w="1181" w:type="dxa"/>
            <w:tcBorders>
              <w:top w:val="single" w:sz="16" w:space="0" w:color="000000"/>
              <w:left w:val="single" w:sz="4" w:space="0" w:color="000000"/>
              <w:bottom w:val="single" w:sz="4" w:space="0" w:color="000000"/>
              <w:right w:val="single" w:sz="4" w:space="0" w:color="000000"/>
            </w:tcBorders>
          </w:tcPr>
          <w:p>
            <w:pPr/>
          </w:p>
        </w:tc>
        <w:tc>
          <w:tcPr>
            <w:tcW w:w="1316" w:type="dxa"/>
            <w:tcBorders>
              <w:top w:val="single" w:sz="16"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12,795,360.16</w:t>
            </w: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148,038,995.84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160,834,356.00</w:t>
            </w:r>
          </w:p>
        </w:tc>
      </w:tr>
      <w:tr>
        <w:trPr>
          <w:trHeight w:val="402" w:hRule="exact"/>
        </w:trPr>
        <w:tc>
          <w:tcPr>
            <w:tcW w:w="1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757,104,768.00</w:t>
            </w:r>
          </w:p>
        </w:tc>
        <w:tc>
          <w:tcPr>
            <w:tcW w:w="60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14,486,313.53</w:t>
            </w:r>
          </w:p>
        </w:tc>
        <w:tc>
          <w:tcPr>
            <w:tcW w:w="80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-31,938.73</w:t>
            </w:r>
          </w:p>
        </w:tc>
        <w:tc>
          <w:tcPr>
            <w:tcW w:w="7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70,824,048.96</w:t>
            </w:r>
          </w:p>
        </w:tc>
        <w:tc>
          <w:tcPr>
            <w:tcW w:w="80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201,191,136.29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219,468,150.63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1,263,042,478.68</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8" w:footer="1225" w:top="1060" w:bottom="1420" w:left="1300" w:right="1300"/>
        </w:sectPr>
      </w:pPr>
    </w:p>
    <w:p>
      <w:pPr>
        <w:spacing w:line="240" w:lineRule="auto" w:before="1"/>
        <w:rPr>
          <w:rFonts w:ascii="Times New Roman" w:hAnsi="Times New Roman" w:cs="Times New Roman" w:eastAsia="Times New Roman" w:hint="default"/>
          <w:sz w:val="3"/>
          <w:szCs w:val="3"/>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140" w:right="132"/>
        <w:jc w:val="left"/>
      </w:pPr>
      <w:r>
        <w:rPr/>
        <w:t>上期金额</w:t>
      </w:r>
    </w:p>
    <w:p>
      <w:pPr>
        <w:pStyle w:val="BodyText"/>
        <w:spacing w:line="240" w:lineRule="auto" w:before="117"/>
        <w:ind w:left="0" w:right="137"/>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46"/>
        <w:gridCol w:w="1181"/>
        <w:gridCol w:w="618"/>
        <w:gridCol w:w="618"/>
        <w:gridCol w:w="621"/>
        <w:gridCol w:w="1001"/>
        <w:gridCol w:w="815"/>
        <w:gridCol w:w="836"/>
        <w:gridCol w:w="794"/>
        <w:gridCol w:w="1091"/>
        <w:gridCol w:w="815"/>
        <w:gridCol w:w="1181"/>
        <w:gridCol w:w="1181"/>
        <w:gridCol w:w="1316"/>
      </w:tblGrid>
      <w:tr>
        <w:trPr>
          <w:trHeight w:val="402" w:hRule="exact"/>
        </w:trPr>
        <w:tc>
          <w:tcPr>
            <w:tcW w:w="19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68"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946" w:type="dxa"/>
            <w:vMerge/>
            <w:tcBorders>
              <w:left w:val="single" w:sz="4" w:space="0" w:color="000000"/>
              <w:right w:val="single" w:sz="4" w:space="0" w:color="000000"/>
            </w:tcBorders>
            <w:shd w:val="clear" w:color="auto" w:fill="D3D3D3"/>
          </w:tcPr>
          <w:p>
            <w:pPr/>
          </w:p>
        </w:tc>
        <w:tc>
          <w:tcPr>
            <w:tcW w:w="957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946"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1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11" w:right="40"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3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33" w:right="5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1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22" w:right="41"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402" w:hRule="exact"/>
        </w:trPr>
        <w:tc>
          <w:tcPr>
            <w:tcW w:w="1946"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1" w:type="dxa"/>
            <w:vMerge/>
            <w:tcBorders>
              <w:left w:val="single" w:sz="4" w:space="0" w:color="000000"/>
              <w:bottom w:val="single" w:sz="4" w:space="0" w:color="000000"/>
              <w:right w:val="single" w:sz="4" w:space="0" w:color="000000"/>
            </w:tcBorders>
            <w:shd w:val="clear" w:color="auto" w:fill="D3D3D3"/>
          </w:tcPr>
          <w:p>
            <w:pPr/>
          </w:p>
        </w:tc>
        <w:tc>
          <w:tcPr>
            <w:tcW w:w="815" w:type="dxa"/>
            <w:vMerge/>
            <w:tcBorders>
              <w:left w:val="single" w:sz="4" w:space="0" w:color="000000"/>
              <w:bottom w:val="single" w:sz="4" w:space="0" w:color="000000"/>
              <w:right w:val="single" w:sz="4" w:space="0" w:color="000000"/>
            </w:tcBorders>
            <w:shd w:val="clear" w:color="auto" w:fill="D3D3D3"/>
          </w:tcPr>
          <w:p>
            <w:pPr/>
          </w:p>
        </w:tc>
        <w:tc>
          <w:tcPr>
            <w:tcW w:w="836" w:type="dxa"/>
            <w:vMerge/>
            <w:tcBorders>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815"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757,104,768.00</w:t>
            </w: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2,063,306.54</w:t>
            </w: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-45,806.96</w:t>
            </w: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66,175,392.39</w:t>
            </w: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304,459,247.91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107,026,268.83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1,236,783,176.71</w:t>
            </w: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1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89"/>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757,104,768.00</w:t>
            </w: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2,063,306.54</w:t>
            </w: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-45,806.96</w:t>
            </w: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66,175,392.39</w:t>
            </w: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304,459,247.91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107,026,268.83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1,236,783,176.71</w:t>
            </w: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-372,353.17</w:t>
            </w: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16,941.08</w:t>
            </w: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4,648,656.57</w:t>
            </w: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-14,415,815.38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-5,063,867.96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-15,186,438.86</w:t>
            </w: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16,941.08</w:t>
            </w: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35,659,127.27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-2,436,221.13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33,239,847.22</w:t>
            </w: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9"/>
                <w:sz w:val="18"/>
                <w:szCs w:val="18"/>
              </w:rPr>
              <w:t>（二）所有者投入和减少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1225" w:top="1060" w:bottom="1420" w:left="1300" w:right="130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46"/>
        <w:gridCol w:w="1181"/>
        <w:gridCol w:w="618"/>
        <w:gridCol w:w="618"/>
        <w:gridCol w:w="621"/>
        <w:gridCol w:w="1001"/>
        <w:gridCol w:w="815"/>
        <w:gridCol w:w="836"/>
        <w:gridCol w:w="794"/>
        <w:gridCol w:w="1091"/>
        <w:gridCol w:w="815"/>
        <w:gridCol w:w="1181"/>
        <w:gridCol w:w="1181"/>
        <w:gridCol w:w="1316"/>
      </w:tblGrid>
      <w:tr>
        <w:trPr>
          <w:trHeight w:val="417" w:hRule="exact"/>
        </w:trPr>
        <w:tc>
          <w:tcPr>
            <w:tcW w:w="1946" w:type="dxa"/>
            <w:tcBorders>
              <w:top w:val="single" w:sz="16"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16" w:space="0" w:color="000000"/>
              <w:left w:val="single" w:sz="4" w:space="0" w:color="000000"/>
              <w:bottom w:val="single" w:sz="4" w:space="0" w:color="000000"/>
              <w:right w:val="single" w:sz="4" w:space="0" w:color="000000"/>
            </w:tcBorders>
          </w:tcPr>
          <w:p>
            <w:pPr/>
          </w:p>
        </w:tc>
        <w:tc>
          <w:tcPr>
            <w:tcW w:w="618" w:type="dxa"/>
            <w:tcBorders>
              <w:top w:val="single" w:sz="16" w:space="0" w:color="000000"/>
              <w:left w:val="single" w:sz="4" w:space="0" w:color="000000"/>
              <w:bottom w:val="single" w:sz="4" w:space="0" w:color="000000"/>
              <w:right w:val="single" w:sz="4" w:space="0" w:color="000000"/>
            </w:tcBorders>
          </w:tcPr>
          <w:p>
            <w:pPr/>
          </w:p>
        </w:tc>
        <w:tc>
          <w:tcPr>
            <w:tcW w:w="618" w:type="dxa"/>
            <w:tcBorders>
              <w:top w:val="single" w:sz="16" w:space="0" w:color="000000"/>
              <w:left w:val="single" w:sz="4" w:space="0" w:color="000000"/>
              <w:bottom w:val="single" w:sz="4" w:space="0" w:color="000000"/>
              <w:right w:val="single" w:sz="4" w:space="0" w:color="000000"/>
            </w:tcBorders>
          </w:tcPr>
          <w:p>
            <w:pPr/>
          </w:p>
        </w:tc>
        <w:tc>
          <w:tcPr>
            <w:tcW w:w="621" w:type="dxa"/>
            <w:tcBorders>
              <w:top w:val="single" w:sz="16" w:space="0" w:color="000000"/>
              <w:left w:val="single" w:sz="4" w:space="0" w:color="000000"/>
              <w:bottom w:val="single" w:sz="4" w:space="0" w:color="000000"/>
              <w:right w:val="single" w:sz="4" w:space="0" w:color="000000"/>
            </w:tcBorders>
          </w:tcPr>
          <w:p>
            <w:pPr/>
          </w:p>
        </w:tc>
        <w:tc>
          <w:tcPr>
            <w:tcW w:w="1001" w:type="dxa"/>
            <w:tcBorders>
              <w:top w:val="single" w:sz="16" w:space="0" w:color="000000"/>
              <w:left w:val="single" w:sz="4" w:space="0" w:color="000000"/>
              <w:bottom w:val="single" w:sz="4" w:space="0" w:color="000000"/>
              <w:right w:val="single" w:sz="4" w:space="0" w:color="000000"/>
            </w:tcBorders>
          </w:tcPr>
          <w:p>
            <w:pPr/>
          </w:p>
        </w:tc>
        <w:tc>
          <w:tcPr>
            <w:tcW w:w="815" w:type="dxa"/>
            <w:tcBorders>
              <w:top w:val="single" w:sz="16" w:space="0" w:color="000000"/>
              <w:left w:val="single" w:sz="4" w:space="0" w:color="000000"/>
              <w:bottom w:val="single" w:sz="4" w:space="0" w:color="000000"/>
              <w:right w:val="single" w:sz="4" w:space="0" w:color="000000"/>
            </w:tcBorders>
          </w:tcPr>
          <w:p>
            <w:pPr/>
          </w:p>
        </w:tc>
        <w:tc>
          <w:tcPr>
            <w:tcW w:w="836" w:type="dxa"/>
            <w:tcBorders>
              <w:top w:val="single" w:sz="16" w:space="0" w:color="000000"/>
              <w:left w:val="single" w:sz="4" w:space="0" w:color="000000"/>
              <w:bottom w:val="single" w:sz="4" w:space="0" w:color="000000"/>
              <w:right w:val="single" w:sz="4" w:space="0" w:color="000000"/>
            </w:tcBorders>
          </w:tcPr>
          <w:p>
            <w:pPr/>
          </w:p>
        </w:tc>
        <w:tc>
          <w:tcPr>
            <w:tcW w:w="794" w:type="dxa"/>
            <w:tcBorders>
              <w:top w:val="single" w:sz="16" w:space="0" w:color="000000"/>
              <w:left w:val="single" w:sz="4" w:space="0" w:color="000000"/>
              <w:bottom w:val="single" w:sz="4" w:space="0" w:color="000000"/>
              <w:right w:val="single" w:sz="4" w:space="0" w:color="000000"/>
            </w:tcBorders>
          </w:tcPr>
          <w:p>
            <w:pPr/>
          </w:p>
        </w:tc>
        <w:tc>
          <w:tcPr>
            <w:tcW w:w="109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4,648,656.57</w:t>
            </w:r>
          </w:p>
        </w:tc>
        <w:tc>
          <w:tcPr>
            <w:tcW w:w="815" w:type="dxa"/>
            <w:tcBorders>
              <w:top w:val="single" w:sz="16" w:space="0" w:color="000000"/>
              <w:left w:val="single" w:sz="4" w:space="0" w:color="000000"/>
              <w:bottom w:val="single" w:sz="4" w:space="0" w:color="000000"/>
              <w:right w:val="single" w:sz="4" w:space="0" w:color="000000"/>
            </w:tcBorders>
          </w:tcPr>
          <w:p>
            <w:pPr/>
          </w:p>
        </w:tc>
        <w:tc>
          <w:tcPr>
            <w:tcW w:w="118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-50,074,942.65</w:t>
            </w:r>
          </w:p>
        </w:tc>
        <w:tc>
          <w:tcPr>
            <w:tcW w:w="1181" w:type="dxa"/>
            <w:tcBorders>
              <w:top w:val="single" w:sz="16" w:space="0" w:color="000000"/>
              <w:left w:val="single" w:sz="4" w:space="0" w:color="000000"/>
              <w:bottom w:val="single" w:sz="4" w:space="0" w:color="000000"/>
              <w:right w:val="single" w:sz="4" w:space="0" w:color="000000"/>
            </w:tcBorders>
          </w:tcPr>
          <w:p>
            <w:pPr/>
          </w:p>
        </w:tc>
        <w:tc>
          <w:tcPr>
            <w:tcW w:w="1316"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-45,426,286.08</w:t>
            </w: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4,648,656.57</w:t>
            </w: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-4,648,656.57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-45,426,286.08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-45,426,286.08</w:t>
            </w: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9"/>
                <w:sz w:val="18"/>
                <w:szCs w:val="18"/>
              </w:rPr>
              <w:t>（四）所有者权益内部结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．资本公积转增资本（或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2"/>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-372,353.17</w:t>
            </w: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-2,627,646.83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757,104,768.00</w:t>
            </w:r>
          </w:p>
        </w:tc>
        <w:tc>
          <w:tcPr>
            <w:tcW w:w="61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1,690,953.37</w:t>
            </w:r>
          </w:p>
        </w:tc>
        <w:tc>
          <w:tcPr>
            <w:tcW w:w="81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-28,865.88</w:t>
            </w:r>
          </w:p>
        </w:tc>
        <w:tc>
          <w:tcPr>
            <w:tcW w:w="79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70,824,048.96</w:t>
            </w:r>
          </w:p>
        </w:tc>
        <w:tc>
          <w:tcPr>
            <w:tcW w:w="8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290,043,432.53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101,962,400.87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1,221,596,737.85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1225" w:top="1060" w:bottom="1420" w:left="1300" w:right="1300"/>
        </w:sectPr>
      </w:pPr>
    </w:p>
    <w:p>
      <w:pPr>
        <w:spacing w:line="240" w:lineRule="auto" w:before="1"/>
        <w:rPr>
          <w:rFonts w:ascii="Times New Roman" w:hAnsi="Times New Roman" w:cs="Times New Roman" w:eastAsia="Times New Roman" w:hint="default"/>
          <w:sz w:val="3"/>
          <w:szCs w:val="3"/>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Times New Roman" w:hAnsi="Times New Roman" w:cs="Times New Roman" w:eastAsia="Times New Roman" w:hint="default"/>
          <w:sz w:val="2"/>
          <w:szCs w:val="2"/>
        </w:rPr>
      </w:r>
    </w:p>
    <w:p>
      <w:pPr>
        <w:pStyle w:val="Heading5"/>
        <w:spacing w:line="240" w:lineRule="auto"/>
        <w:ind w:left="140" w:right="13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40" w:right="132"/>
        <w:jc w:val="left"/>
      </w:pPr>
      <w:r>
        <w:rPr/>
        <w:t>本期金额</w:t>
      </w:r>
    </w:p>
    <w:p>
      <w:pPr>
        <w:pStyle w:val="BodyText"/>
        <w:spacing w:line="240" w:lineRule="auto" w:before="115"/>
        <w:ind w:left="0" w:right="137"/>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51"/>
        <w:gridCol w:w="1181"/>
        <w:gridCol w:w="914"/>
        <w:gridCol w:w="914"/>
        <w:gridCol w:w="916"/>
        <w:gridCol w:w="1107"/>
        <w:gridCol w:w="1110"/>
        <w:gridCol w:w="1107"/>
        <w:gridCol w:w="1110"/>
        <w:gridCol w:w="1107"/>
        <w:gridCol w:w="1181"/>
        <w:gridCol w:w="1316"/>
      </w:tblGrid>
      <w:tr>
        <w:trPr>
          <w:trHeight w:val="402" w:hRule="exact"/>
        </w:trPr>
        <w:tc>
          <w:tcPr>
            <w:tcW w:w="2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051"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458" w:right="9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05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7" w:type="dxa"/>
            <w:vMerge/>
            <w:tcBorders>
              <w:left w:val="single" w:sz="4" w:space="0" w:color="000000"/>
              <w:bottom w:val="single" w:sz="4" w:space="0" w:color="000000"/>
              <w:right w:val="single" w:sz="4" w:space="0" w:color="000000"/>
            </w:tcBorders>
            <w:shd w:val="clear" w:color="auto" w:fill="D3D3D3"/>
          </w:tcPr>
          <w:p>
            <w:pPr/>
          </w:p>
        </w:tc>
        <w:tc>
          <w:tcPr>
            <w:tcW w:w="1110" w:type="dxa"/>
            <w:vMerge/>
            <w:tcBorders>
              <w:left w:val="single" w:sz="4" w:space="0" w:color="000000"/>
              <w:bottom w:val="single" w:sz="4" w:space="0" w:color="000000"/>
              <w:right w:val="single" w:sz="4" w:space="0" w:color="000000"/>
            </w:tcBorders>
            <w:shd w:val="clear" w:color="auto" w:fill="D3D3D3"/>
          </w:tcPr>
          <w:p>
            <w:pPr/>
          </w:p>
        </w:tc>
        <w:tc>
          <w:tcPr>
            <w:tcW w:w="1107" w:type="dxa"/>
            <w:vMerge/>
            <w:tcBorders>
              <w:left w:val="single" w:sz="4" w:space="0" w:color="000000"/>
              <w:bottom w:val="single" w:sz="4" w:space="0" w:color="000000"/>
              <w:right w:val="single" w:sz="4" w:space="0" w:color="000000"/>
            </w:tcBorders>
            <w:shd w:val="clear" w:color="auto" w:fill="D3D3D3"/>
          </w:tcPr>
          <w:p>
            <w:pPr/>
          </w:p>
        </w:tc>
        <w:tc>
          <w:tcPr>
            <w:tcW w:w="1110" w:type="dxa"/>
            <w:vMerge/>
            <w:tcBorders>
              <w:left w:val="single" w:sz="4" w:space="0" w:color="000000"/>
              <w:bottom w:val="single" w:sz="4" w:space="0" w:color="000000"/>
              <w:right w:val="single" w:sz="4" w:space="0" w:color="000000"/>
            </w:tcBorders>
            <w:shd w:val="clear" w:color="auto" w:fill="D3D3D3"/>
          </w:tcPr>
          <w:p>
            <w:pPr/>
          </w:p>
        </w:tc>
        <w:tc>
          <w:tcPr>
            <w:tcW w:w="1107"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757,104,768.00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8,874,070.59</w:t>
            </w: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70,824,048.96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314,109,132.03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1,150,912,019.58</w:t>
            </w: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6"/>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16"/>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4"/>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757,104,768.00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8,874,070.59</w:t>
            </w: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70,824,048.96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314,109,132.03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1,150,912,019.58</w:t>
            </w: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4"/>
                <w:sz w:val="18"/>
                <w:szCs w:val="18"/>
              </w:rPr>
              <w:t>三、本期增减变动金额（减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-47,308,373.56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-47,308,373.56</w:t>
            </w: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-47,308,373.56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-47,308,373.56</w:t>
            </w: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1225" w:top="1060" w:bottom="1420" w:left="1300" w:right="130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51"/>
        <w:gridCol w:w="1181"/>
        <w:gridCol w:w="914"/>
        <w:gridCol w:w="914"/>
        <w:gridCol w:w="916"/>
        <w:gridCol w:w="1107"/>
        <w:gridCol w:w="1110"/>
        <w:gridCol w:w="1107"/>
        <w:gridCol w:w="1110"/>
        <w:gridCol w:w="1107"/>
        <w:gridCol w:w="1181"/>
        <w:gridCol w:w="1316"/>
      </w:tblGrid>
      <w:tr>
        <w:trPr>
          <w:trHeight w:val="417" w:hRule="exact"/>
        </w:trPr>
        <w:tc>
          <w:tcPr>
            <w:tcW w:w="2051" w:type="dxa"/>
            <w:tcBorders>
              <w:top w:val="single" w:sz="16"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16" w:space="0" w:color="000000"/>
              <w:left w:val="single" w:sz="4" w:space="0" w:color="000000"/>
              <w:bottom w:val="single" w:sz="4" w:space="0" w:color="000000"/>
              <w:right w:val="single" w:sz="4" w:space="0" w:color="000000"/>
            </w:tcBorders>
          </w:tcPr>
          <w:p>
            <w:pPr/>
          </w:p>
        </w:tc>
        <w:tc>
          <w:tcPr>
            <w:tcW w:w="914" w:type="dxa"/>
            <w:tcBorders>
              <w:top w:val="single" w:sz="16" w:space="0" w:color="000000"/>
              <w:left w:val="single" w:sz="4" w:space="0" w:color="000000"/>
              <w:bottom w:val="single" w:sz="4" w:space="0" w:color="000000"/>
              <w:right w:val="single" w:sz="4" w:space="0" w:color="000000"/>
            </w:tcBorders>
          </w:tcPr>
          <w:p>
            <w:pPr/>
          </w:p>
        </w:tc>
        <w:tc>
          <w:tcPr>
            <w:tcW w:w="914" w:type="dxa"/>
            <w:tcBorders>
              <w:top w:val="single" w:sz="16" w:space="0" w:color="000000"/>
              <w:left w:val="single" w:sz="4" w:space="0" w:color="000000"/>
              <w:bottom w:val="single" w:sz="4" w:space="0" w:color="000000"/>
              <w:right w:val="single" w:sz="4" w:space="0" w:color="000000"/>
            </w:tcBorders>
          </w:tcPr>
          <w:p>
            <w:pPr/>
          </w:p>
        </w:tc>
        <w:tc>
          <w:tcPr>
            <w:tcW w:w="916" w:type="dxa"/>
            <w:tcBorders>
              <w:top w:val="single" w:sz="16" w:space="0" w:color="000000"/>
              <w:left w:val="single" w:sz="4" w:space="0" w:color="000000"/>
              <w:bottom w:val="single" w:sz="4" w:space="0" w:color="000000"/>
              <w:right w:val="single" w:sz="4" w:space="0" w:color="000000"/>
            </w:tcBorders>
          </w:tcPr>
          <w:p>
            <w:pPr/>
          </w:p>
        </w:tc>
        <w:tc>
          <w:tcPr>
            <w:tcW w:w="1107" w:type="dxa"/>
            <w:tcBorders>
              <w:top w:val="single" w:sz="16" w:space="0" w:color="000000"/>
              <w:left w:val="single" w:sz="4" w:space="0" w:color="000000"/>
              <w:bottom w:val="single" w:sz="4" w:space="0" w:color="000000"/>
              <w:right w:val="single" w:sz="4" w:space="0" w:color="000000"/>
            </w:tcBorders>
          </w:tcPr>
          <w:p>
            <w:pPr/>
          </w:p>
        </w:tc>
        <w:tc>
          <w:tcPr>
            <w:tcW w:w="1110" w:type="dxa"/>
            <w:tcBorders>
              <w:top w:val="single" w:sz="16" w:space="0" w:color="000000"/>
              <w:left w:val="single" w:sz="4" w:space="0" w:color="000000"/>
              <w:bottom w:val="single" w:sz="4" w:space="0" w:color="000000"/>
              <w:right w:val="single" w:sz="4" w:space="0" w:color="000000"/>
            </w:tcBorders>
          </w:tcPr>
          <w:p>
            <w:pPr/>
          </w:p>
        </w:tc>
        <w:tc>
          <w:tcPr>
            <w:tcW w:w="1107" w:type="dxa"/>
            <w:tcBorders>
              <w:top w:val="single" w:sz="16" w:space="0" w:color="000000"/>
              <w:left w:val="single" w:sz="4" w:space="0" w:color="000000"/>
              <w:bottom w:val="single" w:sz="4" w:space="0" w:color="000000"/>
              <w:right w:val="single" w:sz="4" w:space="0" w:color="000000"/>
            </w:tcBorders>
          </w:tcPr>
          <w:p>
            <w:pPr/>
          </w:p>
        </w:tc>
        <w:tc>
          <w:tcPr>
            <w:tcW w:w="1110" w:type="dxa"/>
            <w:tcBorders>
              <w:top w:val="single" w:sz="16" w:space="0" w:color="000000"/>
              <w:left w:val="single" w:sz="4" w:space="0" w:color="000000"/>
              <w:bottom w:val="single" w:sz="4" w:space="0" w:color="000000"/>
              <w:right w:val="single" w:sz="4" w:space="0" w:color="000000"/>
            </w:tcBorders>
          </w:tcPr>
          <w:p>
            <w:pPr/>
          </w:p>
        </w:tc>
        <w:tc>
          <w:tcPr>
            <w:tcW w:w="1107" w:type="dxa"/>
            <w:tcBorders>
              <w:top w:val="single" w:sz="16" w:space="0" w:color="000000"/>
              <w:left w:val="single" w:sz="4" w:space="0" w:color="000000"/>
              <w:bottom w:val="single" w:sz="4" w:space="0" w:color="000000"/>
              <w:right w:val="single" w:sz="4" w:space="0" w:color="000000"/>
            </w:tcBorders>
          </w:tcPr>
          <w:p>
            <w:pPr/>
          </w:p>
        </w:tc>
        <w:tc>
          <w:tcPr>
            <w:tcW w:w="1181" w:type="dxa"/>
            <w:tcBorders>
              <w:top w:val="single" w:sz="16" w:space="0" w:color="000000"/>
              <w:left w:val="single" w:sz="4" w:space="0" w:color="000000"/>
              <w:bottom w:val="single" w:sz="4" w:space="0" w:color="000000"/>
              <w:right w:val="single" w:sz="4" w:space="0" w:color="000000"/>
            </w:tcBorders>
          </w:tcPr>
          <w:p>
            <w:pPr/>
          </w:p>
        </w:tc>
        <w:tc>
          <w:tcPr>
            <w:tcW w:w="1316" w:type="dxa"/>
            <w:tcBorders>
              <w:top w:val="single" w:sz="16"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．对所有者（或股东）的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757,104,768.00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8,874,070.59</w:t>
            </w: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70,824,048.96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266,800,758.47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1,103,603,646.02</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8" w:footer="1225" w:top="1060" w:bottom="1420" w:left="1300" w:right="1300"/>
        </w:sectPr>
      </w:pPr>
    </w:p>
    <w:p>
      <w:pPr>
        <w:spacing w:line="240" w:lineRule="auto" w:before="1"/>
        <w:rPr>
          <w:rFonts w:ascii="Times New Roman" w:hAnsi="Times New Roman" w:cs="Times New Roman" w:eastAsia="Times New Roman" w:hint="default"/>
          <w:sz w:val="3"/>
          <w:szCs w:val="3"/>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140" w:right="132"/>
        <w:jc w:val="left"/>
      </w:pPr>
      <w:r>
        <w:rPr/>
        <w:t>上期金额</w:t>
      </w:r>
    </w:p>
    <w:p>
      <w:pPr>
        <w:pStyle w:val="BodyText"/>
        <w:spacing w:line="240" w:lineRule="auto" w:before="117"/>
        <w:ind w:left="0" w:right="137"/>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51"/>
        <w:gridCol w:w="1181"/>
        <w:gridCol w:w="914"/>
        <w:gridCol w:w="914"/>
        <w:gridCol w:w="916"/>
        <w:gridCol w:w="1107"/>
        <w:gridCol w:w="1110"/>
        <w:gridCol w:w="1107"/>
        <w:gridCol w:w="1110"/>
        <w:gridCol w:w="1107"/>
        <w:gridCol w:w="1181"/>
        <w:gridCol w:w="1316"/>
      </w:tblGrid>
      <w:tr>
        <w:trPr>
          <w:trHeight w:val="402" w:hRule="exact"/>
        </w:trPr>
        <w:tc>
          <w:tcPr>
            <w:tcW w:w="2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051"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58" w:right="9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1" w:hRule="exact"/>
        </w:trPr>
        <w:tc>
          <w:tcPr>
            <w:tcW w:w="205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7" w:type="dxa"/>
            <w:vMerge/>
            <w:tcBorders>
              <w:left w:val="single" w:sz="4" w:space="0" w:color="000000"/>
              <w:bottom w:val="single" w:sz="4" w:space="0" w:color="000000"/>
              <w:right w:val="single" w:sz="4" w:space="0" w:color="000000"/>
            </w:tcBorders>
            <w:shd w:val="clear" w:color="auto" w:fill="D3D3D3"/>
          </w:tcPr>
          <w:p>
            <w:pPr/>
          </w:p>
        </w:tc>
        <w:tc>
          <w:tcPr>
            <w:tcW w:w="1110" w:type="dxa"/>
            <w:vMerge/>
            <w:tcBorders>
              <w:left w:val="single" w:sz="4" w:space="0" w:color="000000"/>
              <w:bottom w:val="single" w:sz="4" w:space="0" w:color="000000"/>
              <w:right w:val="single" w:sz="4" w:space="0" w:color="000000"/>
            </w:tcBorders>
            <w:shd w:val="clear" w:color="auto" w:fill="D3D3D3"/>
          </w:tcPr>
          <w:p>
            <w:pPr/>
          </w:p>
        </w:tc>
        <w:tc>
          <w:tcPr>
            <w:tcW w:w="1107" w:type="dxa"/>
            <w:vMerge/>
            <w:tcBorders>
              <w:left w:val="single" w:sz="4" w:space="0" w:color="000000"/>
              <w:bottom w:val="single" w:sz="4" w:space="0" w:color="000000"/>
              <w:right w:val="single" w:sz="4" w:space="0" w:color="000000"/>
            </w:tcBorders>
            <w:shd w:val="clear" w:color="auto" w:fill="D3D3D3"/>
          </w:tcPr>
          <w:p>
            <w:pPr/>
          </w:p>
        </w:tc>
        <w:tc>
          <w:tcPr>
            <w:tcW w:w="1110" w:type="dxa"/>
            <w:vMerge/>
            <w:tcBorders>
              <w:left w:val="single" w:sz="4" w:space="0" w:color="000000"/>
              <w:bottom w:val="single" w:sz="4" w:space="0" w:color="000000"/>
              <w:right w:val="single" w:sz="4" w:space="0" w:color="000000"/>
            </w:tcBorders>
            <w:shd w:val="clear" w:color="auto" w:fill="D3D3D3"/>
          </w:tcPr>
          <w:p>
            <w:pPr/>
          </w:p>
        </w:tc>
        <w:tc>
          <w:tcPr>
            <w:tcW w:w="1107"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757,104,768.00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8,874,070.59</w:t>
            </w: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66,175,392.39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317,697,508.96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1,149,851,739.94</w:t>
            </w: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94"/>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757,104,768.00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8,874,070.59</w:t>
            </w: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66,175,392.39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317,697,508.96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1,149,851,739.94</w:t>
            </w: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14"/>
                <w:sz w:val="18"/>
                <w:szCs w:val="18"/>
              </w:rPr>
              <w:t>三、本期增减变动金额（减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4,648,656.57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-3,588,376.93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1,060,279.64</w:t>
            </w: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46,486,565.72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46,486,565.72</w:t>
            </w: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4,648,656.57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-50,074,942.65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-45,426,286.08</w:t>
            </w: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4,648,656.57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2" w:right="0"/>
              <w:jc w:val="center"/>
              <w:rPr>
                <w:rFonts w:ascii="Times New Roman" w:hAnsi="Times New Roman" w:cs="Times New Roman" w:eastAsia="Times New Roman" w:hint="default"/>
                <w:sz w:val="18"/>
                <w:szCs w:val="18"/>
              </w:rPr>
            </w:pPr>
            <w:r>
              <w:rPr>
                <w:rFonts w:ascii="Times New Roman"/>
                <w:sz w:val="18"/>
              </w:rPr>
              <w:t>-4,648,656.57</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．对所有者（或股东）的</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-45,426,286.08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-45,426,286.08</w:t>
            </w:r>
          </w:p>
        </w:tc>
      </w:tr>
    </w:tbl>
    <w:p>
      <w:pPr>
        <w:spacing w:after="0" w:line="240" w:lineRule="auto"/>
        <w:jc w:val="right"/>
        <w:rPr>
          <w:rFonts w:ascii="Times New Roman" w:hAnsi="Times New Roman" w:cs="Times New Roman" w:eastAsia="Times New Roman" w:hint="default"/>
          <w:sz w:val="18"/>
          <w:szCs w:val="18"/>
        </w:rPr>
        <w:sectPr>
          <w:footerReference w:type="default" r:id="rId48"/>
          <w:pgSz w:w="16840" w:h="11910" w:orient="landscape"/>
          <w:pgMar w:footer="1225" w:header="868" w:top="1060" w:bottom="1420" w:left="1300" w:right="1300"/>
          <w:pgNumType w:start="90"/>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51"/>
        <w:gridCol w:w="1181"/>
        <w:gridCol w:w="914"/>
        <w:gridCol w:w="914"/>
        <w:gridCol w:w="916"/>
        <w:gridCol w:w="1107"/>
        <w:gridCol w:w="1110"/>
        <w:gridCol w:w="1107"/>
        <w:gridCol w:w="1110"/>
        <w:gridCol w:w="1107"/>
        <w:gridCol w:w="1181"/>
        <w:gridCol w:w="1316"/>
      </w:tblGrid>
      <w:tr>
        <w:trPr>
          <w:trHeight w:val="377" w:hRule="exact"/>
        </w:trPr>
        <w:tc>
          <w:tcPr>
            <w:tcW w:w="2051" w:type="dxa"/>
            <w:tcBorders>
              <w:top w:val="single" w:sz="16"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181" w:type="dxa"/>
            <w:tcBorders>
              <w:top w:val="single" w:sz="16" w:space="0" w:color="000000"/>
              <w:left w:val="single" w:sz="4" w:space="0" w:color="000000"/>
              <w:bottom w:val="single" w:sz="4" w:space="0" w:color="000000"/>
              <w:right w:val="single" w:sz="4" w:space="0" w:color="000000"/>
            </w:tcBorders>
          </w:tcPr>
          <w:p>
            <w:pPr/>
          </w:p>
        </w:tc>
        <w:tc>
          <w:tcPr>
            <w:tcW w:w="914" w:type="dxa"/>
            <w:tcBorders>
              <w:top w:val="single" w:sz="16" w:space="0" w:color="000000"/>
              <w:left w:val="single" w:sz="4" w:space="0" w:color="000000"/>
              <w:bottom w:val="single" w:sz="4" w:space="0" w:color="000000"/>
              <w:right w:val="single" w:sz="4" w:space="0" w:color="000000"/>
            </w:tcBorders>
          </w:tcPr>
          <w:p>
            <w:pPr/>
          </w:p>
        </w:tc>
        <w:tc>
          <w:tcPr>
            <w:tcW w:w="914" w:type="dxa"/>
            <w:tcBorders>
              <w:top w:val="single" w:sz="16" w:space="0" w:color="000000"/>
              <w:left w:val="single" w:sz="4" w:space="0" w:color="000000"/>
              <w:bottom w:val="single" w:sz="4" w:space="0" w:color="000000"/>
              <w:right w:val="single" w:sz="4" w:space="0" w:color="000000"/>
            </w:tcBorders>
          </w:tcPr>
          <w:p>
            <w:pPr/>
          </w:p>
        </w:tc>
        <w:tc>
          <w:tcPr>
            <w:tcW w:w="916" w:type="dxa"/>
            <w:tcBorders>
              <w:top w:val="single" w:sz="16" w:space="0" w:color="000000"/>
              <w:left w:val="single" w:sz="4" w:space="0" w:color="000000"/>
              <w:bottom w:val="single" w:sz="4" w:space="0" w:color="000000"/>
              <w:right w:val="single" w:sz="4" w:space="0" w:color="000000"/>
            </w:tcBorders>
          </w:tcPr>
          <w:p>
            <w:pPr/>
          </w:p>
        </w:tc>
        <w:tc>
          <w:tcPr>
            <w:tcW w:w="1107" w:type="dxa"/>
            <w:tcBorders>
              <w:top w:val="single" w:sz="16" w:space="0" w:color="000000"/>
              <w:left w:val="single" w:sz="4" w:space="0" w:color="000000"/>
              <w:bottom w:val="single" w:sz="4" w:space="0" w:color="000000"/>
              <w:right w:val="single" w:sz="4" w:space="0" w:color="000000"/>
            </w:tcBorders>
          </w:tcPr>
          <w:p>
            <w:pPr/>
          </w:p>
        </w:tc>
        <w:tc>
          <w:tcPr>
            <w:tcW w:w="1110" w:type="dxa"/>
            <w:tcBorders>
              <w:top w:val="single" w:sz="16" w:space="0" w:color="000000"/>
              <w:left w:val="single" w:sz="4" w:space="0" w:color="000000"/>
              <w:bottom w:val="single" w:sz="4" w:space="0" w:color="000000"/>
              <w:right w:val="single" w:sz="4" w:space="0" w:color="000000"/>
            </w:tcBorders>
          </w:tcPr>
          <w:p>
            <w:pPr/>
          </w:p>
        </w:tc>
        <w:tc>
          <w:tcPr>
            <w:tcW w:w="1107" w:type="dxa"/>
            <w:tcBorders>
              <w:top w:val="single" w:sz="16" w:space="0" w:color="000000"/>
              <w:left w:val="single" w:sz="4" w:space="0" w:color="000000"/>
              <w:bottom w:val="single" w:sz="4" w:space="0" w:color="000000"/>
              <w:right w:val="single" w:sz="4" w:space="0" w:color="000000"/>
            </w:tcBorders>
          </w:tcPr>
          <w:p>
            <w:pPr/>
          </w:p>
        </w:tc>
        <w:tc>
          <w:tcPr>
            <w:tcW w:w="1110" w:type="dxa"/>
            <w:tcBorders>
              <w:top w:val="single" w:sz="16" w:space="0" w:color="000000"/>
              <w:left w:val="single" w:sz="4" w:space="0" w:color="000000"/>
              <w:bottom w:val="single" w:sz="4" w:space="0" w:color="000000"/>
              <w:right w:val="single" w:sz="4" w:space="0" w:color="000000"/>
            </w:tcBorders>
          </w:tcPr>
          <w:p>
            <w:pPr/>
          </w:p>
        </w:tc>
        <w:tc>
          <w:tcPr>
            <w:tcW w:w="1107" w:type="dxa"/>
            <w:tcBorders>
              <w:top w:val="single" w:sz="16" w:space="0" w:color="000000"/>
              <w:left w:val="single" w:sz="4" w:space="0" w:color="000000"/>
              <w:bottom w:val="single" w:sz="4" w:space="0" w:color="000000"/>
              <w:right w:val="single" w:sz="4" w:space="0" w:color="000000"/>
            </w:tcBorders>
          </w:tcPr>
          <w:p>
            <w:pPr/>
          </w:p>
        </w:tc>
        <w:tc>
          <w:tcPr>
            <w:tcW w:w="1181" w:type="dxa"/>
            <w:tcBorders>
              <w:top w:val="single" w:sz="16" w:space="0" w:color="000000"/>
              <w:left w:val="single" w:sz="4" w:space="0" w:color="000000"/>
              <w:bottom w:val="single" w:sz="4" w:space="0" w:color="000000"/>
              <w:right w:val="single" w:sz="4" w:space="0" w:color="000000"/>
            </w:tcBorders>
          </w:tcPr>
          <w:p>
            <w:pPr/>
          </w:p>
        </w:tc>
        <w:tc>
          <w:tcPr>
            <w:tcW w:w="1316" w:type="dxa"/>
            <w:tcBorders>
              <w:top w:val="single" w:sz="16"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36"/>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757,104,768.00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8,874,070.59</w:t>
            </w: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70,824,048.96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314,109,132.03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1,150,912,019.58</w:t>
            </w:r>
          </w:p>
        </w:tc>
      </w:tr>
    </w:tbl>
    <w:p>
      <w:pPr>
        <w:spacing w:line="240" w:lineRule="auto" w:before="2"/>
        <w:rPr>
          <w:rFonts w:ascii="宋体" w:hAnsi="宋体" w:cs="宋体" w:eastAsia="宋体" w:hint="default"/>
          <w:sz w:val="18"/>
          <w:szCs w:val="18"/>
        </w:rPr>
      </w:pPr>
    </w:p>
    <w:p>
      <w:pPr>
        <w:pStyle w:val="Heading4"/>
        <w:spacing w:line="240" w:lineRule="auto" w:before="26"/>
        <w:ind w:left="140" w:right="132"/>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40" w:right="132"/>
        <w:jc w:val="left"/>
      </w:pPr>
      <w:r>
        <w:rPr>
          <w:spacing w:val="-1"/>
        </w:rPr>
        <w:t>深圳市惠程电气股份有限公司（以下简称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）前身为深圳市惠程电气有限责任公司，系于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经深圳市工商局核准，由吕晓义、邓树坚共同发起设立的有限</w:t>
      </w:r>
      <w:r>
        <w:rPr>
          <w:spacing w:val="-54"/>
        </w:rPr>
        <w:t> </w:t>
      </w:r>
      <w:r>
        <w:rPr>
          <w:spacing w:val="-54"/>
        </w:rPr>
      </w:r>
      <w:r>
        <w:rPr>
          <w:spacing w:val="-1"/>
        </w:rPr>
        <w:t>责任公司。</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日，经深圳市人民政府深府股【</w:t>
      </w:r>
      <w:r>
        <w:rPr>
          <w:rFonts w:ascii="Times New Roman" w:hAnsi="Times New Roman" w:cs="Times New Roman" w:eastAsia="Times New Roman" w:hint="default"/>
          <w:spacing w:val="-1"/>
        </w:rPr>
        <w:t>2002</w:t>
      </w:r>
      <w:r>
        <w:rPr>
          <w:spacing w:val="-1"/>
        </w:rPr>
        <w:t>】</w:t>
      </w:r>
      <w:r>
        <w:rPr>
          <w:rFonts w:ascii="Times New Roman" w:hAnsi="Times New Roman" w:cs="Times New Roman" w:eastAsia="Times New Roman" w:hint="default"/>
          <w:spacing w:val="-1"/>
        </w:rPr>
        <w:t>44</w:t>
      </w:r>
      <w:r>
        <w:rPr>
          <w:spacing w:val="-1"/>
        </w:rPr>
        <w:t>号</w:t>
      </w:r>
      <w:r>
        <w:rPr>
          <w:rFonts w:ascii="Times New Roman" w:hAnsi="Times New Roman" w:cs="Times New Roman" w:eastAsia="Times New Roman" w:hint="default"/>
          <w:spacing w:val="-1"/>
        </w:rPr>
        <w:t>“</w:t>
      </w:r>
      <w:r>
        <w:rPr>
          <w:spacing w:val="-1"/>
        </w:rPr>
        <w:t>关于以发起方式改组设立深圳市惠程电气股份有限公司的批复</w:t>
      </w:r>
      <w:r>
        <w:rPr>
          <w:rFonts w:ascii="Times New Roman" w:hAnsi="Times New Roman" w:cs="Times New Roman" w:eastAsia="Times New Roman" w:hint="default"/>
          <w:spacing w:val="-1"/>
        </w:rPr>
        <w:t>”</w:t>
      </w:r>
      <w:r>
        <w:rPr>
          <w:spacing w:val="-1"/>
        </w:rPr>
        <w:t>文件批准，并经本公司股东会决议，整体变更</w:t>
      </w:r>
      <w:r>
        <w:rPr>
          <w:spacing w:val="-72"/>
        </w:rPr>
        <w:t> </w:t>
      </w:r>
      <w:r>
        <w:rPr>
          <w:spacing w:val="-72"/>
        </w:rPr>
      </w:r>
      <w:r>
        <w:rPr/>
        <w:t>为股份有限公司。公司的企业法人营业执照注册号：</w:t>
      </w:r>
      <w:r>
        <w:rPr>
          <w:rFonts w:ascii="Times New Roman" w:hAnsi="Times New Roman" w:cs="Times New Roman" w:eastAsia="Times New Roman" w:hint="default"/>
        </w:rPr>
        <w:t>4403012026376</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月在深圳证券交易所上市。所属行业为输配电及控制设备制造业。 </w:t>
      </w: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日，本公司累计发行股本总数</w:t>
      </w:r>
      <w:r>
        <w:rPr>
          <w:rFonts w:ascii="Times New Roman" w:hAnsi="Times New Roman" w:cs="Times New Roman" w:eastAsia="Times New Roman" w:hint="default"/>
          <w:spacing w:val="-2"/>
        </w:rPr>
        <w:t>75,710.4768</w:t>
      </w:r>
      <w:r>
        <w:rPr>
          <w:spacing w:val="-2"/>
        </w:rPr>
        <w:t>万股，注册资本为</w:t>
      </w:r>
      <w:r>
        <w:rPr>
          <w:rFonts w:ascii="Times New Roman" w:hAnsi="Times New Roman" w:cs="Times New Roman" w:eastAsia="Times New Roman" w:hint="default"/>
          <w:spacing w:val="-2"/>
        </w:rPr>
        <w:t>75,710.4768</w:t>
      </w:r>
      <w:r>
        <w:rPr>
          <w:spacing w:val="-2"/>
        </w:rPr>
        <w:t>万元，注册地：深圳市龙岗区大工业区兰景路以东、锦绣路以南惠程科技工业厂区，总部 </w:t>
      </w:r>
      <w:r>
        <w:rPr/>
        <w:t>地址：深圳市福田区益田路西福中路北新世界商务中心</w:t>
      </w:r>
      <w:r>
        <w:rPr>
          <w:rFonts w:ascii="Times New Roman" w:hAnsi="Times New Roman" w:cs="Times New Roman" w:eastAsia="Times New Roman" w:hint="default"/>
        </w:rPr>
        <w:t>1902-1905</w:t>
      </w:r>
      <w:r>
        <w:rPr/>
        <w:t>室。本公司主要经营活动为输配电及控制设备的生产与销售。本公司的实际控制人为吕晓义和何平及其一致行动</w:t>
      </w:r>
      <w:r>
        <w:rPr>
          <w:spacing w:val="-63"/>
        </w:rPr>
        <w:t> </w:t>
      </w:r>
      <w:r>
        <w:rPr>
          <w:spacing w:val="-63"/>
        </w:rPr>
      </w:r>
      <w:r>
        <w:rPr/>
        <w:t>人任金生。</w:t>
      </w:r>
    </w:p>
    <w:p>
      <w:pPr>
        <w:pStyle w:val="BodyText"/>
        <w:spacing w:line="240" w:lineRule="auto" w:before="31"/>
        <w:ind w:left="140" w:right="132"/>
        <w:jc w:val="left"/>
      </w:pPr>
      <w:r>
        <w:rPr/>
        <w:t>本财务报表业经公司全体董事（董事会）于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日批准报出。</w:t>
      </w:r>
    </w:p>
    <w:p>
      <w:pPr>
        <w:spacing w:after="0" w:line="240" w:lineRule="auto"/>
        <w:jc w:val="left"/>
        <w:sectPr>
          <w:pgSz w:w="16840" w:h="11910" w:orient="landscape"/>
          <w:pgMar w:header="868" w:footer="1225" w:top="1060" w:bottom="1420" w:left="1300" w:right="1300"/>
        </w:sectPr>
      </w:pPr>
    </w:p>
    <w:p>
      <w:pPr>
        <w:spacing w:line="240" w:lineRule="auto" w:before="1"/>
        <w:rPr>
          <w:rFonts w:ascii="宋体" w:hAnsi="宋体" w:cs="宋体" w:eastAsia="宋体" w:hint="default"/>
          <w:sz w:val="22"/>
          <w:szCs w:val="22"/>
        </w:rPr>
      </w:pPr>
    </w:p>
    <w:p>
      <w:pPr>
        <w:pStyle w:val="BodyText"/>
        <w:spacing w:line="240" w:lineRule="auto" w:before="44"/>
        <w:ind w:left="852" w:right="138"/>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9658"/>
      </w:tblGrid>
      <w:tr>
        <w:trPr>
          <w:trHeight w:val="342" w:hRule="exact"/>
        </w:trPr>
        <w:tc>
          <w:tcPr>
            <w:tcW w:w="9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2" w:hRule="exact"/>
        </w:trPr>
        <w:tc>
          <w:tcPr>
            <w:tcW w:w="9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长春高琦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9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吉林高琦聚酰亚胺材料有限公司（以下简称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吉林高琦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9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长春聚明光电材料有限公司（以下简称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长春聚明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9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吉林高航复合材料有限公司（以下简称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吉林高航</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9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江西先材纳米纤维科技有限公司（以下简称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江西先材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9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深圳市惠程高能能源科技有限公司（以下简称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惠程高能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9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香港惠程有限公司（以下简称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香港惠程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9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中汇联银投资管理（北京）有限公司（以下简称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中汇联银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18"/>
          <w:szCs w:val="18"/>
        </w:rPr>
      </w:pPr>
    </w:p>
    <w:p>
      <w:pPr>
        <w:pStyle w:val="Heading4"/>
        <w:spacing w:line="240" w:lineRule="auto" w:before="26"/>
        <w:ind w:left="132"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32"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2" w:right="130"/>
        <w:jc w:val="both"/>
      </w:pPr>
      <w:r>
        <w:rPr>
          <w:spacing w:val="-2"/>
        </w:rPr>
        <w:t>公司以持续经营为基础，根据实际发生的交易和事项，按照财政部颁布的《企业会计准则——基本准则》和各项具体会计准</w:t>
      </w:r>
      <w:r>
        <w:rPr>
          <w:spacing w:val="-64"/>
        </w:rPr>
        <w:t> </w:t>
      </w:r>
      <w:r>
        <w:rPr>
          <w:spacing w:val="-64"/>
        </w:rPr>
      </w:r>
      <w:r>
        <w:rPr>
          <w:spacing w:val="-2"/>
        </w:rPr>
        <w:t>则、企业会计准则应用指南、企业会计准则解释及其他相关规定（以下合称“企业会计准则”），以及中国证券监督管理委</w:t>
      </w:r>
      <w:r>
        <w:rPr>
          <w:spacing w:val="-63"/>
        </w:rPr>
        <w:t> </w:t>
      </w:r>
      <w:r>
        <w:rPr>
          <w:spacing w:val="-63"/>
        </w:rPr>
      </w:r>
      <w:r>
        <w:rPr/>
        <w:t>员会《公开发行证券的公司信息披露编报规则第15</w:t>
      </w:r>
      <w:r>
        <w:rPr>
          <w:spacing w:val="1"/>
        </w:rPr>
        <w:t> </w:t>
      </w:r>
      <w:r>
        <w:rPr/>
        <w:t>号——财务报告的一般规定》的披露规定编制财务报表。</w:t>
      </w:r>
    </w:p>
    <w:p>
      <w:pPr>
        <w:spacing w:line="240" w:lineRule="auto" w:before="8"/>
        <w:rPr>
          <w:rFonts w:ascii="宋体" w:hAnsi="宋体" w:cs="宋体" w:eastAsia="宋体" w:hint="default"/>
          <w:sz w:val="22"/>
          <w:szCs w:val="22"/>
        </w:rPr>
      </w:pPr>
    </w:p>
    <w:p>
      <w:pPr>
        <w:pStyle w:val="Heading5"/>
        <w:spacing w:line="240" w:lineRule="auto"/>
        <w:ind w:left="132"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2" w:right="124"/>
        <w:jc w:val="left"/>
      </w:pPr>
      <w:r>
        <w:rPr/>
        <w:t>本公司无影响持续经营能力的事项，预计未来十二个月内具备持续经营的能力,本公司的财务报表系在持续经营为假设的基</w:t>
      </w:r>
      <w:r>
        <w:rPr>
          <w:spacing w:val="-85"/>
        </w:rPr>
        <w:t> </w:t>
      </w:r>
      <w:r>
        <w:rPr>
          <w:spacing w:val="-85"/>
        </w:rPr>
      </w:r>
      <w:r>
        <w:rPr/>
        <w:t>础上编制。</w:t>
      </w:r>
    </w:p>
    <w:p>
      <w:pPr>
        <w:spacing w:line="240" w:lineRule="auto" w:before="9"/>
        <w:rPr>
          <w:rFonts w:ascii="宋体" w:hAnsi="宋体" w:cs="宋体" w:eastAsia="宋体" w:hint="default"/>
          <w:sz w:val="20"/>
          <w:szCs w:val="20"/>
        </w:rPr>
      </w:pPr>
    </w:p>
    <w:p>
      <w:pPr>
        <w:pStyle w:val="Heading4"/>
        <w:spacing w:line="240" w:lineRule="auto"/>
        <w:ind w:left="132"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32" w:right="4174"/>
        <w:jc w:val="left"/>
      </w:pPr>
      <w:r>
        <w:rPr/>
        <w:t>具体会计政策和会计估计提示： 公司根据实际生产经营特点制定的具体会计政策和会计估计详见下文。</w:t>
      </w:r>
    </w:p>
    <w:p>
      <w:pPr>
        <w:spacing w:line="240" w:lineRule="auto" w:before="8"/>
        <w:rPr>
          <w:rFonts w:ascii="宋体" w:hAnsi="宋体" w:cs="宋体" w:eastAsia="宋体" w:hint="default"/>
          <w:sz w:val="22"/>
          <w:szCs w:val="22"/>
        </w:rPr>
      </w:pPr>
    </w:p>
    <w:p>
      <w:pPr>
        <w:pStyle w:val="Heading5"/>
        <w:spacing w:line="240" w:lineRule="auto"/>
        <w:ind w:left="132"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32" w:right="0"/>
        <w:jc w:val="left"/>
      </w:pPr>
      <w:r>
        <w:rPr>
          <w:spacing w:val="-2"/>
        </w:rPr>
        <w:t>公司所编制的财务报表符合企业会计准则的要求，真实、完整地反映了报告期公司的财务状况、经营成果、现金流量等有关</w:t>
      </w:r>
      <w:r>
        <w:rPr>
          <w:spacing w:val="-64"/>
        </w:rPr>
        <w:t> </w:t>
      </w:r>
      <w:r>
        <w:rPr>
          <w:spacing w:val="-64"/>
        </w:rPr>
      </w:r>
      <w:r>
        <w:rPr/>
        <w:t>信息。</w:t>
      </w:r>
    </w:p>
    <w:p>
      <w:pPr>
        <w:spacing w:line="240" w:lineRule="auto" w:before="6"/>
        <w:rPr>
          <w:rFonts w:ascii="宋体" w:hAnsi="宋体" w:cs="宋体" w:eastAsia="宋体" w:hint="default"/>
          <w:sz w:val="22"/>
          <w:szCs w:val="22"/>
        </w:rPr>
      </w:pPr>
    </w:p>
    <w:p>
      <w:pPr>
        <w:pStyle w:val="Heading5"/>
        <w:spacing w:line="240" w:lineRule="auto"/>
        <w:ind w:left="132"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both"/>
      </w:pPr>
      <w:r>
        <w:rPr/>
        <w:t>自公历1月1日至12月31日止为一个会计年度。</w:t>
      </w:r>
    </w:p>
    <w:p>
      <w:pPr>
        <w:spacing w:line="240" w:lineRule="auto" w:before="0"/>
        <w:rPr>
          <w:rFonts w:ascii="宋体" w:hAnsi="宋体" w:cs="宋体" w:eastAsia="宋体" w:hint="default"/>
          <w:sz w:val="18"/>
          <w:szCs w:val="18"/>
        </w:rPr>
      </w:pPr>
    </w:p>
    <w:p>
      <w:pPr>
        <w:pStyle w:val="Heading5"/>
        <w:spacing w:line="240" w:lineRule="auto" w:before="118"/>
        <w:ind w:left="132"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0"/>
        <w:jc w:val="both"/>
      </w:pPr>
      <w:r>
        <w:rPr/>
        <w:t>本公司营业周期为12个月。</w:t>
      </w:r>
    </w:p>
    <w:p>
      <w:pPr>
        <w:spacing w:after="0" w:line="240" w:lineRule="auto"/>
        <w:jc w:val="both"/>
        <w:sectPr>
          <w:headerReference w:type="default" r:id="rId49"/>
          <w:footerReference w:type="default" r:id="rId50"/>
          <w:pgSz w:w="11910" w:h="16840"/>
          <w:pgMar w:header="878" w:footer="1225" w:top="1100" w:bottom="1420" w:left="1000" w:right="1000"/>
          <w:pgNumType w:start="92"/>
        </w:sectPr>
      </w:pPr>
    </w:p>
    <w:p>
      <w:pPr>
        <w:spacing w:line="240" w:lineRule="auto" w:before="12"/>
        <w:rPr>
          <w:rFonts w:ascii="宋体" w:hAnsi="宋体" w:cs="宋体" w:eastAsia="宋体" w:hint="default"/>
          <w:sz w:val="20"/>
          <w:szCs w:val="20"/>
        </w:rPr>
      </w:pPr>
    </w:p>
    <w:p>
      <w:pPr>
        <w:pStyle w:val="Heading5"/>
        <w:spacing w:line="240" w:lineRule="auto" w:before="34"/>
        <w:ind w:right="86"/>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6"/>
        <w:jc w:val="left"/>
      </w:pPr>
      <w:r>
        <w:rPr/>
        <w:t>本公司采用人民币为记账本位币。</w:t>
      </w:r>
    </w:p>
    <w:p>
      <w:pPr>
        <w:spacing w:line="240" w:lineRule="auto" w:before="0"/>
        <w:rPr>
          <w:rFonts w:ascii="宋体" w:hAnsi="宋体" w:cs="宋体" w:eastAsia="宋体" w:hint="default"/>
          <w:sz w:val="18"/>
          <w:szCs w:val="18"/>
        </w:rPr>
      </w:pPr>
    </w:p>
    <w:p>
      <w:pPr>
        <w:pStyle w:val="Heading5"/>
        <w:spacing w:line="240" w:lineRule="auto" w:before="118"/>
        <w:ind w:right="8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同一控制下企业合并：本公司在企业合并中取得的资产和负债，按照合并日在被合并方资产、负债（包括最终控制方收购被</w:t>
      </w:r>
      <w:r>
        <w:rPr>
          <w:spacing w:val="-64"/>
        </w:rPr>
        <w:t> </w:t>
      </w:r>
      <w:r>
        <w:rPr>
          <w:spacing w:val="-64"/>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t>面价值（或发行股份面值总额）的差额，调整资本公积中的股本溢价，资本公积中的股本溢价不足冲减的，调整留存收益。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r>
        <w:rPr>
          <w:spacing w:val="-63"/>
        </w:rPr>
        <w:t> </w:t>
      </w:r>
      <w:r>
        <w:rPr>
          <w:spacing w:val="-63"/>
        </w:rPr>
      </w:r>
      <w:r>
        <w:rPr>
          <w:spacing w:val="-2"/>
        </w:rPr>
        <w:t>与其账面价值的差额，计入当期损益。本公司对合并成本大于合并中取得的被购买方可辨认净资产公允价值份额的差额，确</w:t>
      </w:r>
      <w:r>
        <w:rPr>
          <w:spacing w:val="-64"/>
        </w:rPr>
        <w:t> </w:t>
      </w:r>
      <w:r>
        <w:rPr>
          <w:spacing w:val="-64"/>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4"/>
        </w:rPr>
        <w:t> </w:t>
      </w:r>
      <w:r>
        <w:rPr>
          <w:spacing w:val="-64"/>
        </w:rPr>
      </w:r>
      <w:r>
        <w:rPr/>
        <w:t>行权益性证券的交易费用，冲减权益。</w:t>
      </w:r>
    </w:p>
    <w:p>
      <w:pPr>
        <w:spacing w:line="240" w:lineRule="auto" w:before="8"/>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370" w:right="19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合并范围</w:t>
      </w:r>
      <w:r>
        <w:rPr>
          <w:rFonts w:ascii="宋体" w:hAnsi="宋体" w:cs="宋体" w:eastAsia="宋体" w:hint="default"/>
          <w:b/>
          <w:bCs/>
          <w:w w:val="99"/>
        </w:rPr>
        <w:t> </w:t>
      </w:r>
      <w:r>
        <w:rPr>
          <w:spacing w:val="-2"/>
        </w:rPr>
        <w:t>本公司合并财务报表的合并范围以控制为基础确定，所有子公司（包括本公司所控制的被投资方可分割的部</w:t>
      </w:r>
      <w:r>
        <w:rPr>
          <w:spacing w:val="-76"/>
        </w:rPr>
        <w:t> </w:t>
      </w:r>
      <w:r>
        <w:rPr>
          <w:spacing w:val="-76"/>
        </w:rPr>
      </w:r>
      <w:r>
        <w:rPr/>
        <w:t>分）均纳入合并财务报表。</w:t>
      </w:r>
    </w:p>
    <w:p>
      <w:pPr>
        <w:pStyle w:val="BodyText"/>
        <w:spacing w:line="316" w:lineRule="auto" w:before="24"/>
        <w:ind w:left="1370" w:right="86"/>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w:t>
      </w:r>
      <w:r>
        <w:rPr>
          <w:spacing w:val="-77"/>
        </w:rPr>
        <w:t> </w:t>
      </w:r>
      <w:r>
        <w:rPr>
          <w:spacing w:val="-77"/>
        </w:rPr>
      </w:r>
      <w:r>
        <w:rPr>
          <w:spacing w:val="-2"/>
        </w:rPr>
        <w:t>报表，将整个企业集团视为一个会计主体，依据相关企业会计准则的确认、计量和列报要求，按照统一的会</w:t>
      </w:r>
      <w:r>
        <w:rPr>
          <w:spacing w:val="-76"/>
        </w:rPr>
        <w:t> </w:t>
      </w:r>
      <w:r>
        <w:rPr>
          <w:spacing w:val="-76"/>
        </w:rPr>
      </w:r>
      <w:r>
        <w:rPr/>
        <w:t>计政策，反映本企业集团整体财务状况、经营成果和现金流量。 </w:t>
      </w:r>
      <w:r>
        <w:rPr>
          <w:spacing w:val="-2"/>
        </w:rPr>
        <w:t>所有纳入合并财务报表合并范围的子公司所采用的会计政策、会计期间与本公司一致，如子公司采用的会计</w:t>
      </w:r>
      <w:r>
        <w:rPr>
          <w:spacing w:val="-76"/>
        </w:rPr>
        <w:t> </w:t>
      </w:r>
      <w:r>
        <w:rPr>
          <w:spacing w:val="-76"/>
        </w:rPr>
      </w:r>
      <w:r>
        <w:rPr>
          <w:spacing w:val="-2"/>
        </w:rPr>
        <w:t>政策、会计期间与本公司不一致的，在编制合并财务报表时，按本公司的会计政策、会计期间进行必要的调</w:t>
      </w:r>
      <w:r>
        <w:rPr>
          <w:spacing w:val="-76"/>
        </w:rPr>
        <w:t> </w:t>
      </w:r>
      <w:r>
        <w:rPr>
          <w:spacing w:val="-76"/>
        </w:rPr>
      </w:r>
      <w:r>
        <w:rPr>
          <w:spacing w:val="-2"/>
        </w:rPr>
        <w:t>整。对于非同一控制下企业合并取得的子公司，以购买日可辨认净资产公允价值为基础对其财务报表进行调</w:t>
      </w:r>
      <w:r>
        <w:rPr>
          <w:spacing w:val="-76"/>
        </w:rPr>
        <w:t> </w:t>
      </w:r>
      <w:r>
        <w:rPr>
          <w:spacing w:val="-76"/>
        </w:rPr>
      </w:r>
      <w:r>
        <w:rPr>
          <w:spacing w:val="-4"/>
        </w:rPr>
        <w:t>整。对于同一控制下企业合并取得的子公司，以其资产、负债（包括最终控制方收购该子公司而形成的商誉）</w:t>
      </w:r>
      <w:r>
        <w:rPr>
          <w:spacing w:val="-68"/>
        </w:rPr>
        <w:t> </w:t>
      </w:r>
      <w:r>
        <w:rPr>
          <w:spacing w:val="-68"/>
        </w:rPr>
      </w:r>
      <w:r>
        <w:rPr/>
        <w:t>在最终控制方财务报表中的账面价值为基础对其财务报表进行调整。 </w:t>
      </w:r>
      <w:r>
        <w:rPr>
          <w:spacing w:val="-2"/>
        </w:rPr>
        <w:t>子公司所有者权益、当期净损益和当期综合收益中属于少数股东的份额分别在合并资产负债表中所有者权益</w:t>
      </w:r>
      <w:r>
        <w:rPr>
          <w:spacing w:val="-76"/>
        </w:rPr>
        <w:t> </w:t>
      </w:r>
      <w:r>
        <w:rPr>
          <w:spacing w:val="-76"/>
        </w:rPr>
      </w:r>
      <w:r>
        <w:rPr>
          <w:spacing w:val="-2"/>
        </w:rPr>
        <w:t>项目下、合并利润表中净利润项目下和综合收益总额项目下单独列示。子公司少数股东分担的当期亏损超过</w:t>
      </w:r>
      <w:r>
        <w:rPr>
          <w:spacing w:val="-76"/>
        </w:rPr>
        <w:t> </w:t>
      </w:r>
      <w:r>
        <w:rPr>
          <w:spacing w:val="-76"/>
        </w:rPr>
      </w:r>
      <w:r>
        <w:rPr/>
        <w:t>了少数股东在该子公司期初所有者权益中所享有份额而形成的余额，冲减少数股东权益。</w:t>
      </w:r>
    </w:p>
    <w:p>
      <w:pPr>
        <w:pStyle w:val="BodyText"/>
        <w:spacing w:line="316" w:lineRule="auto" w:before="19"/>
        <w:ind w:left="1370" w:right="96"/>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w:t>
      </w:r>
      <w:r>
        <w:rPr>
          <w:spacing w:val="-77"/>
        </w:rPr>
        <w:t> </w:t>
      </w:r>
      <w:r>
        <w:rPr>
          <w:spacing w:val="-77"/>
        </w:rPr>
      </w:r>
      <w:r>
        <w:rPr>
          <w:spacing w:val="-2"/>
        </w:rPr>
        <w:t>业务合并当期期初至报告期末的收入、费用、利润纳入合并利润表；将子公司或业务合并当期期初至报告期</w:t>
      </w:r>
      <w:r>
        <w:rPr>
          <w:spacing w:val="-77"/>
        </w:rPr>
        <w:t> </w:t>
      </w:r>
      <w:r>
        <w:rPr>
          <w:spacing w:val="-77"/>
        </w:rPr>
      </w:r>
      <w:r>
        <w:rPr>
          <w:spacing w:val="-2"/>
        </w:rPr>
        <w:t>末的现金流量纳入合并现金流量表，同时对比较报表的相关项目进行调整，视同合并后的报告主体自最终控</w:t>
      </w:r>
      <w:r>
        <w:rPr>
          <w:spacing w:val="-76"/>
        </w:rPr>
        <w:t> </w:t>
      </w:r>
      <w:r>
        <w:rPr>
          <w:spacing w:val="-76"/>
        </w:rPr>
      </w:r>
      <w:r>
        <w:rPr/>
        <w:t>制方开始控制时点起一直存在。 </w:t>
      </w:r>
      <w:r>
        <w:rPr>
          <w:spacing w:val="-2"/>
        </w:rPr>
        <w:t>因追加投资等原因能够对同一控制下的被投资方实施控制的，视同参与合并的各方在最终控制方开始控制时</w:t>
      </w:r>
      <w:r>
        <w:rPr>
          <w:spacing w:val="-76"/>
        </w:rPr>
        <w:t> </w:t>
      </w:r>
      <w:r>
        <w:rPr>
          <w:spacing w:val="-76"/>
        </w:rPr>
      </w:r>
      <w:r>
        <w:rPr>
          <w:spacing w:val="-2"/>
        </w:rPr>
        <w:t>即以目前的状态存在进行调整。在取得被合并方控制权之前持有的股权投资，在取得原股权之日与合并方和</w:t>
      </w:r>
      <w:r>
        <w:rPr>
          <w:spacing w:val="-76"/>
        </w:rPr>
        <w:t> </w:t>
      </w:r>
      <w:r>
        <w:rPr>
          <w:spacing w:val="-76"/>
        </w:rPr>
      </w:r>
      <w:r>
        <w:rPr/>
        <w:t>被合并方同处于同一控制之日孰晚日起至合并日之间已确认有关损益、其他综合收益以及其他净资产变动， 分别冲减比较报表期间的期初留存收益或当期损益。 </w:t>
      </w:r>
      <w:r>
        <w:rPr>
          <w:spacing w:val="-2"/>
        </w:rPr>
        <w:t>在报告期内，若因非同一控制下企业合并增加子公司或业务的，则不调整合并资产负债表期初数；将该子公</w:t>
      </w:r>
      <w:r>
        <w:rPr>
          <w:spacing w:val="-77"/>
        </w:rPr>
        <w:t> </w:t>
      </w:r>
      <w:r>
        <w:rPr>
          <w:spacing w:val="-77"/>
        </w:rPr>
      </w:r>
      <w:r>
        <w:rPr>
          <w:spacing w:val="-2"/>
        </w:rPr>
        <w:t>司或业务自购买日至报告期末的收入、费用、利润纳入合并利润表；该子公司或业务自购买日至报告期末的</w:t>
      </w:r>
      <w:r>
        <w:rPr>
          <w:spacing w:val="-77"/>
        </w:rPr>
        <w:t> </w:t>
      </w:r>
      <w:r>
        <w:rPr>
          <w:spacing w:val="-77"/>
        </w:rPr>
      </w:r>
      <w:r>
        <w:rPr/>
        <w:t>现金流量纳入合并现金流量表。</w:t>
      </w:r>
    </w:p>
    <w:p>
      <w:pPr>
        <w:spacing w:after="0" w:line="316" w:lineRule="auto"/>
        <w:jc w:val="left"/>
        <w:sectPr>
          <w:pgSz w:w="11910" w:h="16840"/>
          <w:pgMar w:header="878" w:footer="1225" w:top="1100" w:bottom="1420" w:left="1020" w:right="940"/>
        </w:sectPr>
      </w:pPr>
    </w:p>
    <w:p>
      <w:pPr>
        <w:spacing w:line="240" w:lineRule="auto" w:before="1"/>
        <w:rPr>
          <w:rFonts w:ascii="宋体" w:hAnsi="宋体" w:cs="宋体" w:eastAsia="宋体" w:hint="default"/>
          <w:sz w:val="22"/>
          <w:szCs w:val="22"/>
        </w:rPr>
      </w:pPr>
    </w:p>
    <w:p>
      <w:pPr>
        <w:pStyle w:val="BodyText"/>
        <w:spacing w:line="316" w:lineRule="auto" w:before="44"/>
        <w:ind w:left="1370" w:right="86"/>
        <w:jc w:val="left"/>
      </w:pPr>
      <w:r>
        <w:rPr>
          <w:spacing w:val="-2"/>
        </w:rPr>
        <w:t>因追加投资等原因能够对非同一控制下的被投资方实施控制的，对于购买日之前持有的被购买方的股权，本</w:t>
      </w:r>
      <w:r>
        <w:rPr>
          <w:spacing w:val="-76"/>
        </w:rPr>
        <w:t> </w:t>
      </w:r>
      <w:r>
        <w:rPr>
          <w:spacing w:val="-76"/>
        </w:rPr>
      </w:r>
      <w:r>
        <w:rPr>
          <w:spacing w:val="-2"/>
        </w:rPr>
        <w:t>公司按照该股权在购买日的公允价值进行重新计量，公允价值与其账面价值的差额计入当期投资收益。购买</w:t>
      </w:r>
      <w:r>
        <w:rPr>
          <w:spacing w:val="-76"/>
        </w:rPr>
        <w:t> </w:t>
      </w:r>
      <w:r>
        <w:rPr>
          <w:spacing w:val="-76"/>
        </w:rPr>
      </w:r>
      <w:r>
        <w:rPr>
          <w:spacing w:val="-2"/>
        </w:rPr>
        <w:t>日之前持有的被购买方的股权涉及权益法核算下的其他综合收益以及除净损益、其他综合收益和利润分配之</w:t>
      </w:r>
      <w:r>
        <w:rPr>
          <w:spacing w:val="-76"/>
        </w:rPr>
        <w:t> </w:t>
      </w:r>
      <w:r>
        <w:rPr>
          <w:spacing w:val="-76"/>
        </w:rPr>
      </w:r>
      <w:r>
        <w:rPr>
          <w:spacing w:val="-4"/>
        </w:rPr>
        <w:t>外的其他所有者权益变动的，与其相关的其他综合收益、其他所有者权益变动转为购买日所属当期投资收益，</w:t>
      </w:r>
      <w:r>
        <w:rPr>
          <w:spacing w:val="-66"/>
        </w:rPr>
        <w:t> </w:t>
      </w:r>
      <w:r>
        <w:rPr>
          <w:spacing w:val="-66"/>
        </w:rPr>
      </w:r>
      <w:r>
        <w:rPr/>
        <w:t>由于被投资方重新计量设定受益计划净负债或净资产变动而产生的其他综合收益除外。</w:t>
      </w:r>
    </w:p>
    <w:p>
      <w:pPr>
        <w:pStyle w:val="BodyText"/>
        <w:spacing w:line="240" w:lineRule="auto" w:before="19"/>
        <w:ind w:left="1370" w:right="86"/>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1370" w:right="190"/>
        <w:jc w:val="left"/>
      </w:pPr>
      <w:r>
        <w:rPr/>
        <w:t>①一般处理方法 </w:t>
      </w:r>
      <w:r>
        <w:rPr>
          <w:spacing w:val="-2"/>
        </w:rPr>
        <w:t>在报告期内，本公司处置子公司或业务，则该子公司或业务期初至处置日的收入、费用、利润纳入合并利润</w:t>
      </w:r>
      <w:r>
        <w:rPr>
          <w:spacing w:val="-76"/>
        </w:rPr>
        <w:t> </w:t>
      </w:r>
      <w:r>
        <w:rPr>
          <w:spacing w:val="-76"/>
        </w:rPr>
      </w:r>
      <w:r>
        <w:rPr/>
        <w:t>表；该子公司或业务期初至处置日的现金流量纳入合并现金流量表。 </w:t>
      </w:r>
      <w:r>
        <w:rPr>
          <w:spacing w:val="-2"/>
        </w:rPr>
        <w:t>因处置部分股权投资或其他原因丧失了对被投资方控制权时，对于处置后的剩余股权投资，本公司按照其在</w:t>
      </w:r>
      <w:r>
        <w:rPr>
          <w:spacing w:val="-76"/>
        </w:rPr>
        <w:t> </w:t>
      </w:r>
      <w:r>
        <w:rPr>
          <w:spacing w:val="-76"/>
        </w:rPr>
      </w:r>
      <w:r>
        <w:rPr>
          <w:spacing w:val="-2"/>
        </w:rPr>
        <w:t>丧失控制权日的公允价值进行重新计量。处置股权取得的对价与剩余股权公允价值之和，减去按原持股比例</w:t>
      </w:r>
      <w:r>
        <w:rPr>
          <w:spacing w:val="-76"/>
        </w:rPr>
        <w:t> </w:t>
      </w:r>
      <w:r>
        <w:rPr>
          <w:spacing w:val="-76"/>
        </w:rPr>
      </w:r>
      <w:r>
        <w:rPr>
          <w:spacing w:val="-2"/>
        </w:rPr>
        <w:t>计算应享有原有子公司自购买日或合并日开始持续计算的净资产的份额与商誉之和的差额，计入丧失控制权</w:t>
      </w:r>
      <w:r>
        <w:rPr>
          <w:spacing w:val="-76"/>
        </w:rPr>
        <w:t> </w:t>
      </w:r>
      <w:r>
        <w:rPr>
          <w:spacing w:val="-76"/>
        </w:rPr>
      </w:r>
      <w:r>
        <w:rPr>
          <w:spacing w:val="-2"/>
        </w:rPr>
        <w:t>当期的投资收益。与原有子公司股权投资相关的其他综合收益或除净损益、其他综合收益及利润分配之外的</w:t>
      </w:r>
      <w:r>
        <w:rPr>
          <w:spacing w:val="-76"/>
        </w:rPr>
        <w:t> </w:t>
      </w:r>
      <w:r>
        <w:rPr>
          <w:spacing w:val="-76"/>
        </w:rPr>
      </w:r>
      <w:r>
        <w:rPr>
          <w:spacing w:val="-2"/>
        </w:rPr>
        <w:t>其他所有者权益变动，在丧失控制权时转为当期投资收益，由于被投资方重新计量设定受益计划净负债或净</w:t>
      </w:r>
      <w:r>
        <w:rPr>
          <w:spacing w:val="-76"/>
        </w:rPr>
        <w:t> </w:t>
      </w:r>
      <w:r>
        <w:rPr>
          <w:spacing w:val="-76"/>
        </w:rPr>
      </w:r>
      <w:r>
        <w:rPr/>
        <w:t>资产变动而产生的其他综合收益除外。</w:t>
      </w:r>
    </w:p>
    <w:p>
      <w:pPr>
        <w:pStyle w:val="BodyText"/>
        <w:spacing w:line="316" w:lineRule="auto" w:before="19"/>
        <w:ind w:left="1370" w:right="190"/>
        <w:jc w:val="left"/>
      </w:pPr>
      <w:r>
        <w:rPr/>
        <w:t>②分步处置子公司 </w:t>
      </w:r>
      <w:r>
        <w:rPr>
          <w:spacing w:val="-2"/>
        </w:rPr>
        <w:t>通过多次交易分步处置对子公司股权投资直至丧失控制权的，处置对子公司股权投资的各项交易的条款、条</w:t>
      </w:r>
      <w:r>
        <w:rPr>
          <w:spacing w:val="-76"/>
        </w:rPr>
        <w:t> </w:t>
      </w:r>
      <w:r>
        <w:rPr>
          <w:spacing w:val="-76"/>
        </w:rPr>
      </w:r>
      <w:r>
        <w:rPr/>
        <w:t>件以及经济影响符合以下一种或多种情况，通常表明应将多次交易事项作为一揽子交易进行会计处理： ⅰ．这些交易是同时或者在考虑了彼此影响的情况下订立的； ⅱ．这些交易整体才能达成一项完整的商业结果；</w:t>
      </w:r>
    </w:p>
    <w:p>
      <w:pPr>
        <w:pStyle w:val="BodyText"/>
        <w:spacing w:line="316" w:lineRule="auto" w:before="19"/>
        <w:ind w:left="1370" w:right="190"/>
        <w:jc w:val="left"/>
      </w:pPr>
      <w:r>
        <w:rPr/>
        <w:t>ⅲ．一项交易的发生取决于其他至少一项交易的发生； ⅳ．一项交易单独看是不经济的，但是和其他交易一并考虑时是经济的。 </w:t>
      </w:r>
      <w:r>
        <w:rPr>
          <w:spacing w:val="-2"/>
        </w:rPr>
        <w:t>处置对子公司股权投资直至丧失控制权的各项交易属于一揽子交易的，本公司将各项交易作为一项处置子公</w:t>
      </w:r>
      <w:r>
        <w:rPr>
          <w:spacing w:val="-76"/>
        </w:rPr>
        <w:t> </w:t>
      </w:r>
      <w:r>
        <w:rPr>
          <w:spacing w:val="-76"/>
        </w:rPr>
      </w:r>
      <w:r>
        <w:rPr>
          <w:spacing w:val="-2"/>
        </w:rPr>
        <w:t>司并丧失控制权的交易进行会计处理；但是，在丧失控制权之前每一次处置价款与处置投资对应的享有该子</w:t>
      </w:r>
      <w:r>
        <w:rPr>
          <w:spacing w:val="-76"/>
        </w:rPr>
        <w:t> </w:t>
      </w:r>
      <w:r>
        <w:rPr>
          <w:spacing w:val="-76"/>
        </w:rPr>
      </w:r>
      <w:r>
        <w:rPr>
          <w:spacing w:val="-2"/>
        </w:rPr>
        <w:t>公司净资产份额的差额，在合并财务报表中确认为其他综合收益，在丧失控制权时一并转入丧失控制权当期</w:t>
      </w:r>
      <w:r>
        <w:rPr>
          <w:spacing w:val="-76"/>
        </w:rPr>
        <w:t> </w:t>
      </w:r>
      <w:r>
        <w:rPr>
          <w:spacing w:val="-76"/>
        </w:rPr>
      </w:r>
      <w:r>
        <w:rPr/>
        <w:t>的损益。 </w:t>
      </w:r>
      <w:r>
        <w:rPr>
          <w:spacing w:val="-2"/>
        </w:rPr>
        <w:t>处置对子公司股权投资直至丧失控制权的各项交易不属于一揽子交易的，在丧失控制权之前，按不丧失控制</w:t>
      </w:r>
      <w:r>
        <w:rPr>
          <w:spacing w:val="-76"/>
        </w:rPr>
        <w:t> </w:t>
      </w:r>
      <w:r>
        <w:rPr>
          <w:spacing w:val="-76"/>
        </w:rPr>
      </w:r>
      <w:r>
        <w:rPr>
          <w:spacing w:val="-2"/>
        </w:rPr>
        <w:t>权的情况下部分处置对子公司的股权投资的相关政策进行会计处理；在丧失控制权时，按处置子公司一般处</w:t>
      </w:r>
      <w:r>
        <w:rPr>
          <w:spacing w:val="-76"/>
        </w:rPr>
        <w:t> </w:t>
      </w:r>
      <w:r>
        <w:rPr>
          <w:spacing w:val="-76"/>
        </w:rPr>
      </w:r>
      <w:r>
        <w:rPr/>
        <w:t>理方法进行会计处理。</w:t>
      </w:r>
    </w:p>
    <w:p>
      <w:pPr>
        <w:pStyle w:val="BodyText"/>
        <w:spacing w:line="312" w:lineRule="auto" w:before="19"/>
        <w:ind w:left="1370" w:right="96"/>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本公司因购买少数股权新取得的长期股权投资与按照新增持股比例计算应享有子公司自购买日（或合并日） </w:t>
      </w:r>
      <w:r>
        <w:rPr>
          <w:spacing w:val="-2"/>
        </w:rPr>
        <w:t>开始持续计算的净资产份额之间的差额，调整合并资产负债表中的资本公积中的股本溢价，资本公积中的股</w:t>
      </w:r>
      <w:r>
        <w:rPr>
          <w:spacing w:val="-76"/>
        </w:rPr>
        <w:t> </w:t>
      </w:r>
      <w:r>
        <w:rPr>
          <w:spacing w:val="-76"/>
        </w:rPr>
      </w:r>
      <w:r>
        <w:rPr/>
        <w:t>本溢价不足冲减的，调整留存收益。</w:t>
      </w:r>
    </w:p>
    <w:p>
      <w:pPr>
        <w:pStyle w:val="BodyText"/>
        <w:spacing w:line="312" w:lineRule="auto" w:before="22"/>
        <w:ind w:left="1370" w:right="19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w:t>
      </w:r>
      <w:r>
        <w:rPr>
          <w:spacing w:val="-7"/>
        </w:rPr>
        <w:t> </w:t>
      </w:r>
      <w:r>
        <w:rPr>
          <w:spacing w:val="-7"/>
        </w:rPr>
      </w:r>
      <w:r>
        <w:rPr>
          <w:spacing w:val="-2"/>
        </w:rPr>
        <w:t>应享有子公司自购买日或合并日开始持续计算的净资产份额之间的差额，调整合并资产负债表中的资本公积</w:t>
      </w:r>
      <w:r>
        <w:rPr>
          <w:spacing w:val="-76"/>
        </w:rPr>
        <w:t> </w:t>
      </w:r>
      <w:r>
        <w:rPr>
          <w:spacing w:val="-76"/>
        </w:rPr>
      </w:r>
      <w:r>
        <w:rPr/>
        <w:t>中的股本溢价，资本公积中的股本溢价不足冲减的，调整留存收益。</w:t>
      </w:r>
    </w:p>
    <w:p>
      <w:pPr>
        <w:spacing w:line="240" w:lineRule="auto" w:before="9"/>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4"/>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right="86"/>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spacing w:after="0" w:line="240" w:lineRule="auto"/>
        <w:jc w:val="left"/>
        <w:sectPr>
          <w:pgSz w:w="11910" w:h="16840"/>
          <w:pgMar w:header="878" w:footer="1225" w:top="1100" w:bottom="1420" w:left="1020" w:right="940"/>
        </w:sectPr>
      </w:pPr>
    </w:p>
    <w:p>
      <w:pPr>
        <w:spacing w:line="240" w:lineRule="auto" w:before="1"/>
        <w:rPr>
          <w:rFonts w:ascii="宋体" w:hAnsi="宋体" w:cs="宋体" w:eastAsia="宋体" w:hint="default"/>
          <w:sz w:val="22"/>
          <w:szCs w:val="22"/>
        </w:rPr>
      </w:pPr>
    </w:p>
    <w:p>
      <w:pPr>
        <w:pStyle w:val="BodyText"/>
        <w:spacing w:line="240" w:lineRule="auto" w:before="44"/>
        <w:ind w:right="86"/>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86"/>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right="86"/>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right="3784"/>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1"/>
          <w:szCs w:val="21"/>
        </w:rPr>
      </w:pPr>
    </w:p>
    <w:p>
      <w:pPr>
        <w:pStyle w:val="Heading5"/>
        <w:spacing w:line="240" w:lineRule="auto"/>
        <w:ind w:right="86"/>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6"/>
        <w:jc w:val="left"/>
      </w:pPr>
      <w:r>
        <w:rPr>
          <w:spacing w:val="-2"/>
        </w:rPr>
        <w:t>在编制现金流量表时，将本公司库存现金以及可以随时用于支付的存款确认为现金。将同时具备期限短（从购买日起三个月</w:t>
      </w:r>
      <w:r>
        <w:rPr>
          <w:spacing w:val="-63"/>
        </w:rPr>
        <w:t> </w:t>
      </w:r>
      <w:r>
        <w:rPr>
          <w:spacing w:val="-63"/>
        </w:rPr>
      </w:r>
      <w:r>
        <w:rPr/>
        <w:t>内到期）、流动性强、易于转换为已知现金、价值变动风险很小四个条件的投资，确定为现金等价物。</w:t>
      </w:r>
    </w:p>
    <w:p>
      <w:pPr>
        <w:spacing w:line="240" w:lineRule="auto" w:before="8"/>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1372" w:right="2074" w:hanging="3"/>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16" w:lineRule="auto" w:before="31"/>
        <w:ind w:left="1372" w:right="192"/>
        <w:jc w:val="both"/>
      </w:pPr>
      <w:r>
        <w:rPr>
          <w:spacing w:val="-2"/>
        </w:rPr>
        <w:t>资产负债表日外币货币性项目余额按资产负债表日即期汇率折算，由此产生的汇兑差额，除属于与购建符合</w:t>
      </w:r>
      <w:r>
        <w:rPr>
          <w:spacing w:val="-78"/>
        </w:rPr>
        <w:t> </w:t>
      </w:r>
      <w:r>
        <w:rPr>
          <w:spacing w:val="-78"/>
        </w:rPr>
      </w:r>
      <w:r>
        <w:rPr/>
        <w:t>资本化条件的资产相关的外币专门借款产生的汇兑差额按照借款费用资本化的原则处理外，均计入当期损</w:t>
      </w:r>
      <w:r>
        <w:rPr>
          <w:spacing w:val="-9"/>
        </w:rPr>
        <w:t> </w:t>
      </w:r>
      <w:r>
        <w:rPr>
          <w:spacing w:val="-9"/>
        </w:rPr>
      </w:r>
      <w:r>
        <w:rPr/>
        <w:t>益。</w:t>
      </w:r>
    </w:p>
    <w:p>
      <w:pPr>
        <w:spacing w:line="240" w:lineRule="auto" w:before="4"/>
        <w:rPr>
          <w:rFonts w:ascii="宋体" w:hAnsi="宋体" w:cs="宋体" w:eastAsia="宋体" w:hint="default"/>
          <w:sz w:val="25"/>
          <w:szCs w:val="25"/>
        </w:rPr>
      </w:pPr>
    </w:p>
    <w:p>
      <w:pPr>
        <w:pStyle w:val="BodyText"/>
        <w:spacing w:line="307" w:lineRule="auto"/>
        <w:ind w:left="1372" w:right="94" w:hanging="3"/>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w:t>
      </w:r>
      <w:r>
        <w:rPr>
          <w:spacing w:val="-59"/>
        </w:rPr>
        <w:t> </w:t>
      </w:r>
      <w:r>
        <w:rPr/>
        <w:t>外，其他项目采用发生时的即期汇率折算。利润表中的收入和费用项目，采用交易发生日的即期汇率折算。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2"/>
        <w:rPr>
          <w:rFonts w:ascii="宋体" w:hAnsi="宋体" w:cs="宋体" w:eastAsia="宋体" w:hint="default"/>
          <w:sz w:val="23"/>
          <w:szCs w:val="23"/>
        </w:rPr>
      </w:pPr>
    </w:p>
    <w:p>
      <w:pPr>
        <w:pStyle w:val="Heading5"/>
        <w:spacing w:line="240" w:lineRule="auto"/>
        <w:ind w:right="86"/>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2" w:right="86"/>
        <w:jc w:val="left"/>
      </w:pPr>
      <w:r>
        <w:rPr/>
        <w:t>金融工具包括金融资产、金融负债和权益工具。</w:t>
      </w:r>
    </w:p>
    <w:p>
      <w:pPr>
        <w:pStyle w:val="BodyText"/>
        <w:spacing w:line="312" w:lineRule="auto" w:before="76"/>
        <w:ind w:left="1372" w:right="94" w:hanging="3"/>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金融工具的分类</w:t>
      </w:r>
      <w:r>
        <w:rPr>
          <w:rFonts w:ascii="宋体" w:hAnsi="宋体" w:cs="宋体" w:eastAsia="宋体" w:hint="default"/>
          <w:b/>
          <w:bCs/>
          <w:w w:val="99"/>
        </w:rPr>
        <w:t> </w:t>
      </w:r>
      <w:r>
        <w:rPr/>
        <w:t>金融资产和金融负债于初始确认时分类为：以公允价值计量且其变动计入当期损益的金融资产或金融负债， 包括交易性金融资产或金融负债和直接指定为以公允价值计量且其变动计入当期损益的金融资产或金融负</w:t>
      </w:r>
      <w:r>
        <w:rPr>
          <w:spacing w:val="-12"/>
        </w:rPr>
        <w:t> </w:t>
      </w:r>
      <w:r>
        <w:rPr>
          <w:spacing w:val="-12"/>
        </w:rPr>
      </w:r>
      <w:r>
        <w:rPr/>
        <w:t>债；持有至到期投资；应收款项；可供出售金融资产；其他金融负债等。</w:t>
      </w:r>
    </w:p>
    <w:p>
      <w:pPr>
        <w:pStyle w:val="Heading7"/>
        <w:spacing w:line="240" w:lineRule="auto" w:before="22"/>
        <w:ind w:right="86"/>
        <w:jc w:val="left"/>
        <w:rPr>
          <w:b w:val="0"/>
          <w:bCs w:val="0"/>
        </w:rPr>
      </w:pPr>
      <w:r>
        <w:rPr>
          <w:rFonts w:ascii="Times New Roman" w:hAnsi="Times New Roman" w:cs="Times New Roman" w:eastAsia="Times New Roman" w:hint="default"/>
        </w:rPr>
        <w:t>2</w:t>
      </w:r>
      <w:r>
        <w:rPr/>
        <w:t>、</w:t>
      </w:r>
      <w:r>
        <w:rPr>
          <w:spacing w:val="58"/>
        </w:rPr>
        <w:t> </w:t>
      </w:r>
      <w:r>
        <w:rPr/>
        <w:t>金融工具的确认依据和计量方法</w:t>
      </w:r>
      <w:r>
        <w:rPr>
          <w:b w:val="0"/>
          <w:bCs w:val="0"/>
        </w:rPr>
      </w:r>
    </w:p>
    <w:p>
      <w:pPr>
        <w:pStyle w:val="BodyText"/>
        <w:spacing w:line="314" w:lineRule="auto" w:before="63"/>
        <w:ind w:left="1372" w:right="188"/>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w:t>
      </w:r>
      <w:r>
        <w:rPr>
          <w:spacing w:val="-78"/>
        </w:rPr>
        <w:t> </w:t>
      </w:r>
      <w:r>
        <w:rPr>
          <w:spacing w:val="-78"/>
        </w:rPr>
      </w:r>
      <w:r>
        <w:rPr/>
        <w:t>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4" w:lineRule="auto" w:before="20"/>
        <w:ind w:left="1372" w:right="18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持有期间按照摊余成本和实际利率（实际利率与票面利率差别较小的，按票面利率）计算确认利息收入，计</w:t>
      </w:r>
      <w:r>
        <w:rPr>
          <w:spacing w:val="-78"/>
        </w:rPr>
        <w:t> </w:t>
      </w:r>
      <w:r>
        <w:rPr>
          <w:spacing w:val="-78"/>
        </w:rPr>
      </w:r>
      <w:r>
        <w:rPr/>
        <w:t>入投资收益。实际利率在取得时确定，在该预期存续期间或适用的更短期间内保持不变。 处置时，将所取得价款与该投资账面价值之间的差额计入投资收益。</w:t>
      </w:r>
    </w:p>
    <w:p>
      <w:pPr>
        <w:pStyle w:val="BodyText"/>
        <w:spacing w:line="300" w:lineRule="auto" w:before="20"/>
        <w:ind w:left="1372" w:right="188"/>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w:t>
      </w:r>
    </w:p>
    <w:p>
      <w:pPr>
        <w:spacing w:after="0" w:line="300" w:lineRule="auto"/>
        <w:jc w:val="left"/>
        <w:sectPr>
          <w:pgSz w:w="11910" w:h="16840"/>
          <w:pgMar w:header="878" w:footer="1225" w:top="1100" w:bottom="1420" w:left="1020" w:right="940"/>
        </w:sectPr>
      </w:pPr>
    </w:p>
    <w:p>
      <w:pPr>
        <w:spacing w:line="240" w:lineRule="auto" w:before="1"/>
        <w:rPr>
          <w:rFonts w:ascii="宋体" w:hAnsi="宋体" w:cs="宋体" w:eastAsia="宋体" w:hint="default"/>
          <w:sz w:val="22"/>
          <w:szCs w:val="22"/>
        </w:rPr>
      </w:pPr>
    </w:p>
    <w:p>
      <w:pPr>
        <w:pStyle w:val="BodyText"/>
        <w:spacing w:line="316" w:lineRule="auto" w:before="44"/>
        <w:ind w:left="1372" w:right="188"/>
        <w:jc w:val="left"/>
      </w:pPr>
      <w:r>
        <w:rPr>
          <w:spacing w:val="-2"/>
        </w:rPr>
        <w:t>务工具的债权，包括应收账款、其他应收款等，以向购货方应收的合同或协议价款作为初始确认金额；具有</w:t>
      </w:r>
      <w:r>
        <w:rPr>
          <w:spacing w:val="-78"/>
        </w:rPr>
        <w:t> </w:t>
      </w:r>
      <w:r>
        <w:rPr>
          <w:spacing w:val="-78"/>
        </w:rPr>
      </w:r>
      <w:r>
        <w:rPr/>
        <w:t>融资性质的，按其现值进行初始确认。 收回或处置时，将取得的价款与该应收款项账面价值之间的差额计入当期损益。</w:t>
      </w:r>
    </w:p>
    <w:p>
      <w:pPr>
        <w:pStyle w:val="BodyText"/>
        <w:spacing w:line="314" w:lineRule="auto" w:before="19"/>
        <w:ind w:left="1372" w:right="188"/>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w:t>
      </w:r>
      <w:r>
        <w:rPr>
          <w:spacing w:val="-78"/>
        </w:rPr>
        <w:t> </w:t>
      </w:r>
      <w:r>
        <w:rPr>
          <w:spacing w:val="-78"/>
        </w:rPr>
      </w:r>
      <w:r>
        <w:rPr/>
        <w:t>用之和作为初始确认金额。 </w:t>
      </w:r>
      <w:r>
        <w:rPr>
          <w:spacing w:val="-2"/>
        </w:rPr>
        <w:t>持有期间将取得的利息或现金股利确认为投资收益。期末以公允价值计量且将公允价值变动计入其他综合收</w:t>
      </w:r>
      <w:r>
        <w:rPr>
          <w:spacing w:val="-78"/>
        </w:rPr>
        <w:t> </w:t>
      </w:r>
      <w:r>
        <w:rPr>
          <w:spacing w:val="-78"/>
        </w:rPr>
      </w:r>
      <w:r>
        <w:rPr>
          <w:spacing w:val="-2"/>
        </w:rPr>
        <w:t>益。但是，在活跃市场中没有报价且其公允价值不能可靠计量的权益工具投资，以及与该权益工具挂钩并须</w:t>
      </w:r>
      <w:r>
        <w:rPr>
          <w:spacing w:val="-78"/>
        </w:rPr>
        <w:t> </w:t>
      </w:r>
      <w:r>
        <w:rPr>
          <w:spacing w:val="-78"/>
        </w:rPr>
      </w:r>
      <w:r>
        <w:rPr/>
        <w:t>通过交付该权益工具结算的衍生金融资产，按照成本计量。 </w:t>
      </w:r>
      <w:r>
        <w:rPr>
          <w:spacing w:val="-2"/>
        </w:rPr>
        <w:t>处置时，将取得的价款与该金融资产账面价值之间的差额，计入投资损益；同时，将原直接计入其他综合收</w:t>
      </w:r>
      <w:r>
        <w:rPr>
          <w:spacing w:val="-78"/>
        </w:rPr>
        <w:t> </w:t>
      </w:r>
      <w:r>
        <w:rPr>
          <w:spacing w:val="-78"/>
        </w:rPr>
      </w:r>
      <w:r>
        <w:rPr/>
        <w:t>益的公允价值变动累计额对应处置部分的金额转出，计入当期损益。</w:t>
      </w:r>
    </w:p>
    <w:p>
      <w:pPr>
        <w:spacing w:line="309" w:lineRule="auto" w:before="20"/>
        <w:ind w:left="1370" w:right="1896" w:firstLine="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5"/>
        <w:ind w:left="1372" w:right="188"/>
        <w:jc w:val="left"/>
      </w:pPr>
      <w:r>
        <w:rPr>
          <w:spacing w:val="-2"/>
        </w:rPr>
        <w:t>公司发生金融资产转移时，如已将金融资产所有权上几乎所有的风险和报酬转移给转入方，则终止确认该金</w:t>
      </w:r>
      <w:r>
        <w:rPr>
          <w:spacing w:val="-78"/>
        </w:rPr>
        <w:t> </w:t>
      </w:r>
      <w:r>
        <w:rPr>
          <w:spacing w:val="-78"/>
        </w:rPr>
      </w:r>
      <w:r>
        <w:rPr/>
        <w:t>融资产；如保留了金融资产所有权上几乎所有的风险和报酬的，则不终止确认该金融资产。 </w:t>
      </w:r>
      <w:r>
        <w:rPr>
          <w:spacing w:val="-2"/>
        </w:rPr>
        <w:t>在判断金融资产转移是否满足上述金融资产终止确认条件时，采用实质重于形式的原则。公司将金融资产转</w:t>
      </w:r>
      <w:r>
        <w:rPr>
          <w:spacing w:val="-78"/>
        </w:rPr>
        <w:t> </w:t>
      </w:r>
      <w:r>
        <w:rPr>
          <w:spacing w:val="-78"/>
        </w:rPr>
      </w:r>
      <w:r>
        <w:rPr>
          <w:spacing w:val="-2"/>
        </w:rPr>
        <w:t>移区分为金融资产整体转移和部分转移。金融资产整体转移满足终止确认条件的，将下列两项金额的差额计</w:t>
      </w:r>
      <w:r>
        <w:rPr>
          <w:spacing w:val="-78"/>
        </w:rPr>
        <w:t> </w:t>
      </w:r>
      <w:r>
        <w:rPr>
          <w:spacing w:val="-78"/>
        </w:rPr>
      </w:r>
      <w:r>
        <w:rPr/>
        <w:t>入当期损益：</w:t>
      </w:r>
    </w:p>
    <w:p>
      <w:pPr>
        <w:pStyle w:val="BodyText"/>
        <w:spacing w:line="240" w:lineRule="auto" w:before="19"/>
        <w:ind w:left="1372" w:right="86"/>
        <w:jc w:val="left"/>
      </w:pPr>
      <w:r>
        <w:rPr/>
        <w:t>（</w:t>
      </w:r>
      <w:r>
        <w:rPr>
          <w:rFonts w:ascii="Times New Roman" w:hAnsi="Times New Roman" w:cs="Times New Roman" w:eastAsia="Times New Roman" w:hint="default"/>
        </w:rPr>
        <w:t>1</w:t>
      </w:r>
      <w:r>
        <w:rPr/>
        <w:t>）所转移金融资产的账面价值；</w:t>
      </w:r>
    </w:p>
    <w:p>
      <w:pPr>
        <w:pStyle w:val="BodyText"/>
        <w:spacing w:line="312" w:lineRule="auto" w:before="63"/>
        <w:ind w:left="1372" w:right="184"/>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w:t>
      </w:r>
      <w:r>
        <w:rPr>
          <w:spacing w:val="-84"/>
        </w:rPr>
        <w:t> </w:t>
      </w:r>
      <w:r>
        <w:rPr>
          <w:spacing w:val="-84"/>
        </w:rPr>
      </w:r>
      <w:r>
        <w:rPr/>
        <w:t>出售金融资产的情形）之和。 </w:t>
      </w:r>
      <w:r>
        <w:rPr>
          <w:spacing w:val="-2"/>
        </w:rPr>
        <w:t>金融资产部分转移满足终止确认条件的，将所转移金融资产整体的账面价值，在终止确认部分和未终止确认</w:t>
      </w:r>
      <w:r>
        <w:rPr>
          <w:spacing w:val="-78"/>
        </w:rPr>
        <w:t> </w:t>
      </w:r>
      <w:r>
        <w:rPr>
          <w:spacing w:val="-78"/>
        </w:rPr>
      </w:r>
      <w:r>
        <w:rPr/>
        <w:t>部分之间，按照各自的相对公允价值进行分摊，并将下列两项金额的差额计入当期损益：</w:t>
      </w:r>
    </w:p>
    <w:p>
      <w:pPr>
        <w:pStyle w:val="BodyText"/>
        <w:spacing w:line="240" w:lineRule="auto" w:before="22"/>
        <w:ind w:left="1372" w:right="86"/>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left="1372" w:right="86"/>
        <w:jc w:val="left"/>
      </w:pPr>
      <w:r>
        <w:rPr>
          <w:spacing w:val="-4"/>
        </w:rPr>
        <w:t>（</w:t>
      </w:r>
      <w:r>
        <w:rPr>
          <w:rFonts w:ascii="Times New Roman" w:hAnsi="Times New Roman" w:cs="Times New Roman" w:eastAsia="Times New Roman" w:hint="default"/>
          <w:spacing w:val="-4"/>
        </w:rPr>
        <w:t>2</w:t>
      </w:r>
      <w:r>
        <w:rPr>
          <w:spacing w:val="-4"/>
        </w:rPr>
        <w:t>）终止确认部分的对价，与原直接计入所有者权益的公允价值变动累计额中对应终止确认部分的金额（涉</w:t>
      </w:r>
      <w:r>
        <w:rPr>
          <w:spacing w:val="-69"/>
        </w:rPr>
        <w:t> </w:t>
      </w:r>
      <w:r>
        <w:rPr>
          <w:spacing w:val="-69"/>
        </w:rPr>
      </w:r>
      <w:r>
        <w:rPr/>
        <w:t>及转移的金融资产为可供出售金融资产的情形）之和。 金融资产转移不满足终止确认条件的，继续确认该金融资产，所收到的对价确认为一项金融负债。</w:t>
      </w:r>
    </w:p>
    <w:p>
      <w:pPr>
        <w:pStyle w:val="BodyText"/>
        <w:spacing w:line="316" w:lineRule="auto" w:before="24"/>
        <w:ind w:left="1372" w:right="188" w:hanging="3"/>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w:t>
      </w:r>
      <w:r>
        <w:rPr>
          <w:spacing w:val="-81"/>
        </w:rPr>
        <w:t> </w:t>
      </w:r>
      <w:r>
        <w:rPr>
          <w:spacing w:val="-81"/>
        </w:rPr>
      </w:r>
      <w:r>
        <w:rPr>
          <w:spacing w:val="-2"/>
        </w:rPr>
        <w:t>议，以承担新金融负债方式替换现存金融负债，且新金融负债与现存金融负债的合同条款实质上不同的，则</w:t>
      </w:r>
      <w:r>
        <w:rPr>
          <w:spacing w:val="-80"/>
        </w:rPr>
        <w:t> </w:t>
      </w:r>
      <w:r>
        <w:rPr>
          <w:spacing w:val="-80"/>
        </w:rPr>
      </w:r>
      <w:r>
        <w:rPr/>
        <w:t>终止确认现存金融负债，并同时确认新金融负债。 </w:t>
      </w:r>
      <w:r>
        <w:rPr>
          <w:spacing w:val="-2"/>
        </w:rPr>
        <w:t>对现存金融负债全部或部分合同条款作出实质性修改的，则终止确认现存金融负债或其一部分，同时将修改</w:t>
      </w:r>
      <w:r>
        <w:rPr>
          <w:spacing w:val="-81"/>
        </w:rPr>
        <w:t> </w:t>
      </w:r>
      <w:r>
        <w:rPr>
          <w:spacing w:val="-81"/>
        </w:rPr>
      </w:r>
      <w:r>
        <w:rPr/>
        <w:t>条款后的金融负债确认为一项新金融负债。 </w:t>
      </w:r>
      <w:r>
        <w:rPr>
          <w:spacing w:val="-2"/>
        </w:rPr>
        <w:t>金融负债全部或部分终止确认时，终止确认的金融负债账面价值与支付对价（包括转出的非现金资产或承担</w:t>
      </w:r>
      <w:r>
        <w:rPr>
          <w:spacing w:val="-81"/>
        </w:rPr>
        <w:t> </w:t>
      </w:r>
      <w:r>
        <w:rPr>
          <w:spacing w:val="-81"/>
        </w:rPr>
      </w:r>
      <w:r>
        <w:rPr/>
        <w:t>的新金融负债）之间的差额，计入当期损益。 </w:t>
      </w:r>
      <w:r>
        <w:rPr>
          <w:spacing w:val="-2"/>
        </w:rPr>
        <w:t>本公司若回购部分金融负债的，在回购日按照继续确认部分与终止确认部分的相对公允价值，将该金融负债</w:t>
      </w:r>
      <w:r>
        <w:rPr>
          <w:spacing w:val="-81"/>
        </w:rPr>
        <w:t> </w:t>
      </w:r>
      <w:r>
        <w:rPr>
          <w:spacing w:val="-81"/>
        </w:rPr>
      </w:r>
      <w:r>
        <w:rPr>
          <w:spacing w:val="-2"/>
        </w:rPr>
        <w:t>整体的账面价值进行分配。分配给终止确认部分的账面价值与支付的对价（包括转出的非现金资产或承担的</w:t>
      </w:r>
      <w:r>
        <w:rPr>
          <w:spacing w:val="-81"/>
        </w:rPr>
        <w:t> </w:t>
      </w:r>
      <w:r>
        <w:rPr>
          <w:spacing w:val="-81"/>
        </w:rPr>
      </w:r>
      <w:r>
        <w:rPr/>
        <w:t>新金融负债）之间的差额，计入当期损益。</w:t>
      </w:r>
    </w:p>
    <w:p>
      <w:pPr>
        <w:pStyle w:val="BodyText"/>
        <w:spacing w:line="314" w:lineRule="auto" w:before="19"/>
        <w:ind w:left="1372" w:right="86" w:hanging="3"/>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2"/>
        </w:rPr>
        <w:t>存在活跃市场的金融工具，以活跃市场中的报价确定其公允价值。不存在活跃市场的金融工具，采用估值技</w:t>
      </w:r>
      <w:r>
        <w:rPr>
          <w:spacing w:val="-80"/>
        </w:rPr>
        <w:t> </w:t>
      </w:r>
      <w:r>
        <w:rPr>
          <w:spacing w:val="-80"/>
        </w:rPr>
      </w:r>
      <w:r>
        <w:rPr>
          <w:spacing w:val="-2"/>
        </w:rPr>
        <w:t>术确定其公允价值。在估值时，本公司采用在当前情况下适用并且有足够可利用数据和其他信息支持的估值</w:t>
      </w:r>
      <w:r>
        <w:rPr>
          <w:spacing w:val="-81"/>
        </w:rPr>
        <w:t> </w:t>
      </w:r>
      <w:r>
        <w:rPr>
          <w:spacing w:val="-81"/>
        </w:rPr>
      </w:r>
      <w:r>
        <w:rPr>
          <w:spacing w:val="-2"/>
        </w:rPr>
        <w:t>技术，选择与市场参与者在相关资产或负债的交易中所考虑的资产或负债特征相一致的输入值，并优先使用</w:t>
      </w:r>
      <w:r>
        <w:rPr>
          <w:spacing w:val="-81"/>
        </w:rPr>
        <w:t> </w:t>
      </w:r>
      <w:r>
        <w:rPr>
          <w:spacing w:val="-81"/>
        </w:rPr>
      </w:r>
      <w:r>
        <w:rPr>
          <w:spacing w:val="-4"/>
        </w:rPr>
        <w:t>相关可观察输入值。只有在相关可观察输入值无法取得或取得不切实可行的情况下，才使用不可观察输入值。</w:t>
      </w:r>
    </w:p>
    <w:p>
      <w:pPr>
        <w:spacing w:after="0" w:line="314" w:lineRule="auto"/>
        <w:jc w:val="left"/>
        <w:sectPr>
          <w:footerReference w:type="default" r:id="rId51"/>
          <w:pgSz w:w="11910" w:h="16840"/>
          <w:pgMar w:footer="1225" w:header="878" w:top="1100" w:bottom="1420" w:left="1020" w:right="940"/>
          <w:pgNumType w:start="96"/>
        </w:sectPr>
      </w:pPr>
    </w:p>
    <w:p>
      <w:pPr>
        <w:spacing w:line="240" w:lineRule="auto" w:before="1"/>
        <w:rPr>
          <w:rFonts w:ascii="宋体" w:hAnsi="宋体" w:cs="宋体" w:eastAsia="宋体" w:hint="default"/>
          <w:sz w:val="22"/>
          <w:szCs w:val="22"/>
        </w:rPr>
      </w:pPr>
    </w:p>
    <w:p>
      <w:pPr>
        <w:spacing w:line="309" w:lineRule="auto" w:before="44"/>
        <w:ind w:left="1372" w:right="188"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w:t>
      </w:r>
      <w:r>
        <w:rPr>
          <w:rFonts w:ascii="宋体" w:hAnsi="宋体" w:cs="宋体" w:eastAsia="宋体" w:hint="default"/>
          <w:b/>
          <w:bCs/>
          <w:spacing w:val="62"/>
          <w:sz w:val="18"/>
          <w:szCs w:val="18"/>
        </w:rPr>
        <w:t> </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检查，如果有客观证据表明某项金融资产发生减值的，计提减值准备。</w:t>
      </w:r>
    </w:p>
    <w:p>
      <w:pPr>
        <w:pStyle w:val="BodyText"/>
        <w:spacing w:line="314" w:lineRule="auto" w:before="24"/>
        <w:ind w:left="1372" w:right="94"/>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期末如果可供出售金融资产的公允价值发生严重下降，或在综合考虑各种相关因素后，预期这种下降趋势属</w:t>
      </w:r>
      <w:r>
        <w:rPr>
          <w:spacing w:val="-78"/>
        </w:rPr>
        <w:t> </w:t>
      </w:r>
      <w:r>
        <w:rPr>
          <w:spacing w:val="-78"/>
        </w:rPr>
      </w:r>
      <w:r>
        <w:rPr/>
        <w:t>于非暂时性的，就认定其已发生减值，将原直接计入所有者权益的公允价值下降形成的累计损失一并转出， 确认减值损失。 </w:t>
      </w:r>
      <w:r>
        <w:rPr>
          <w:spacing w:val="-2"/>
        </w:rPr>
        <w:t>对于已确认减值损失的可供出售债务工具，在随后的会计期间公允价值已上升且客观上与确认原减值损失确</w:t>
      </w:r>
      <w:r>
        <w:rPr>
          <w:spacing w:val="-78"/>
        </w:rPr>
        <w:t> </w:t>
      </w:r>
      <w:r>
        <w:rPr>
          <w:spacing w:val="-78"/>
        </w:rPr>
      </w:r>
      <w:r>
        <w:rPr/>
        <w:t>认后发生的事项有关的，原确认的减值损失予以转回，计入当期损益。 可供出售权益工具投资发生的减值损失，不通过损益转回。 </w:t>
      </w:r>
      <w:r>
        <w:rPr>
          <w:spacing w:val="-2"/>
        </w:rPr>
        <w:t>本公司对可供出售债务工具投资减值的认定标准为：债务工具发行方经营所处的技术、市场、经济或法律环</w:t>
      </w:r>
      <w:r>
        <w:rPr>
          <w:spacing w:val="-77"/>
        </w:rPr>
        <w:t> </w:t>
      </w:r>
      <w:r>
        <w:rPr>
          <w:spacing w:val="-77"/>
        </w:rPr>
      </w:r>
      <w:r>
        <w:rPr/>
        <w:t>境等发生重大不利变化，使债务工具投资人可能无法收回投资成本。 本公司对可供出售权益工具投资减值的认定标准为：权益工具投资的公允价值发生严重或非暂时性下跌。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的标准为：一般而言，对于在流动性良好的市场上交 易活跃的权益性投资，超过</w:t>
      </w:r>
      <w:r>
        <w:rPr>
          <w:rFonts w:ascii="Times New Roman" w:hAnsi="Times New Roman" w:cs="Times New Roman" w:eastAsia="Times New Roman" w:hint="default"/>
        </w:rPr>
        <w:t>50%</w:t>
      </w:r>
      <w:r>
        <w:rPr/>
        <w:t>的跌幅则认为属于严重下跌。 </w:t>
      </w:r>
      <w:r>
        <w:rPr>
          <w:spacing w:val="-1"/>
        </w:rPr>
        <w:t>公允价值下跌</w:t>
      </w:r>
      <w:r>
        <w:rPr>
          <w:rFonts w:ascii="Times New Roman" w:hAnsi="Times New Roman" w:cs="Times New Roman" w:eastAsia="Times New Roman" w:hint="default"/>
          <w:spacing w:val="-1"/>
        </w:rPr>
        <w:t>“</w:t>
      </w:r>
      <w:r>
        <w:rPr>
          <w:spacing w:val="-1"/>
        </w:rPr>
        <w:t>非暂时性</w:t>
      </w:r>
      <w:r>
        <w:rPr>
          <w:rFonts w:ascii="Times New Roman" w:hAnsi="Times New Roman" w:cs="Times New Roman" w:eastAsia="Times New Roman" w:hint="default"/>
          <w:spacing w:val="-1"/>
        </w:rPr>
        <w:t>”</w:t>
      </w:r>
      <w:r>
        <w:rPr>
          <w:spacing w:val="-1"/>
        </w:rPr>
        <w:t>的标准为：一般而言，如果连续下跌时间超过</w:t>
      </w:r>
      <w:r>
        <w:rPr>
          <w:rFonts w:ascii="Times New Roman" w:hAnsi="Times New Roman" w:cs="Times New Roman" w:eastAsia="Times New Roman" w:hint="default"/>
          <w:spacing w:val="-1"/>
        </w:rPr>
        <w:t>6</w:t>
      </w:r>
      <w:r>
        <w:rPr>
          <w:spacing w:val="-1"/>
        </w:rPr>
        <w:t>个月，则认为属于</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w:t>
      </w:r>
    </w:p>
    <w:p>
      <w:pPr>
        <w:pStyle w:val="BodyText"/>
        <w:spacing w:line="300" w:lineRule="auto" w:before="1"/>
        <w:ind w:left="1372" w:right="2974"/>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5"/>
        <w:rPr>
          <w:rFonts w:ascii="宋体" w:hAnsi="宋体" w:cs="宋体" w:eastAsia="宋体" w:hint="default"/>
          <w:sz w:val="23"/>
          <w:szCs w:val="23"/>
        </w:rPr>
      </w:pPr>
    </w:p>
    <w:p>
      <w:pPr>
        <w:pStyle w:val="Heading5"/>
        <w:spacing w:line="240" w:lineRule="auto"/>
        <w:ind w:right="86"/>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6"/>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86"/>
        <w:gridCol w:w="5882"/>
      </w:tblGrid>
      <w:tr>
        <w:trPr>
          <w:trHeight w:val="714"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，其他应收款余额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87"/>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单独进行减值测试，按预计未来现金流量现值低于其账面价值的差额计提 坏账准备，计入当期损益。</w:t>
            </w:r>
          </w:p>
        </w:tc>
      </w:tr>
    </w:tbl>
    <w:p>
      <w:pPr>
        <w:spacing w:line="240" w:lineRule="auto" w:before="3"/>
        <w:rPr>
          <w:rFonts w:ascii="宋体" w:hAnsi="宋体" w:cs="宋体" w:eastAsia="宋体" w:hint="default"/>
          <w:b/>
          <w:bCs/>
          <w:sz w:val="19"/>
          <w:szCs w:val="19"/>
        </w:rPr>
      </w:pPr>
    </w:p>
    <w:p>
      <w:pPr>
        <w:pStyle w:val="Heading5"/>
        <w:spacing w:line="240" w:lineRule="auto" w:before="34"/>
        <w:ind w:right="86"/>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0"/>
        <w:ind w:right="86"/>
        <w:jc w:val="left"/>
      </w:pPr>
      <w:r>
        <w:rPr/>
        <w:t>组合中，采用账龄分析法计提坏账准备的：</w:t>
      </w:r>
    </w:p>
    <w:p>
      <w:pPr>
        <w:pStyle w:val="BodyText"/>
        <w:spacing w:line="240" w:lineRule="auto" w:before="117"/>
        <w:ind w:right="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225" w:top="1100" w:bottom="1420" w:left="1020" w:right="9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0"/>
        <w:ind w:right="0"/>
        <w:jc w:val="left"/>
      </w:pPr>
      <w:r>
        <w:rPr/>
        <w:t>组合中，采用余额百分比法计提坏账准备的：</w:t>
      </w:r>
    </w:p>
    <w:p>
      <w:pPr>
        <w:pStyle w:val="BodyText"/>
        <w:spacing w:line="340" w:lineRule="auto" w:before="117"/>
        <w:ind w:right="6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240" w:lineRule="auto" w:before="44"/>
        <w:ind w:left="0" w:right="121"/>
        <w:jc w:val="right"/>
      </w:pPr>
      <w:r>
        <w:rPr/>
        <w:pict>
          <v:shape style="position:absolute;margin-left:56.459999pt;margin-top:-52.188271pt;width:479.15pt;height:71.9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7016"/>
                  </w:tblGrid>
                  <w:tr>
                    <w:trPr>
                      <w:trHeight w:val="714"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pacing w:val="-2"/>
                            <w:sz w:val="18"/>
                            <w:szCs w:val="18"/>
                          </w:rPr>
                          <w:t>有客观证据表明可能发生减值，如债务人出现撤销、破产或死亡，以其破产财产或遗产清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偿后仍不能收回，现金流量严重不足等情况的。</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22"/>
                          <w:jc w:val="left"/>
                          <w:rPr>
                            <w:rFonts w:ascii="宋体" w:hAnsi="宋体" w:cs="宋体" w:eastAsia="宋体" w:hint="default"/>
                            <w:sz w:val="18"/>
                            <w:szCs w:val="18"/>
                          </w:rPr>
                        </w:pPr>
                        <w:r>
                          <w:rPr>
                            <w:rFonts w:ascii="宋体" w:hAnsi="宋体" w:cs="宋体" w:eastAsia="宋体" w:hint="default"/>
                            <w:spacing w:val="-2"/>
                            <w:sz w:val="18"/>
                            <w:szCs w:val="18"/>
                          </w:rPr>
                          <w:t>对有客观证据表明可能发生了减值的应收款项，将其从相关组合中分离出来，单独进行减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值测试，根据其未来现金流量现值低于其账面价值的差额，确认减值损失，计提坏账准备</w:t>
                        </w:r>
                      </w:p>
                    </w:tc>
                  </w:tr>
                </w:tbl>
                <w:p>
                  <w:pPr/>
                </w:p>
              </w:txbxContent>
            </v:textbox>
            <w10:wrap type="none"/>
          </v:shape>
        </w:pict>
      </w:r>
      <w:r>
        <w:rPr/>
        <w:t>。</w:t>
      </w:r>
    </w:p>
    <w:p>
      <w:pPr>
        <w:spacing w:line="240" w:lineRule="auto" w:before="1"/>
        <w:rPr>
          <w:rFonts w:ascii="宋体" w:hAnsi="宋体" w:cs="宋体" w:eastAsia="宋体" w:hint="default"/>
          <w:sz w:val="28"/>
          <w:szCs w:val="28"/>
        </w:rPr>
      </w:pPr>
    </w:p>
    <w:p>
      <w:pPr>
        <w:pStyle w:val="Heading5"/>
        <w:spacing w:line="240" w:lineRule="auto" w:before="34"/>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1"/>
        <w:rPr>
          <w:rFonts w:ascii="宋体" w:hAnsi="宋体" w:cs="宋体" w:eastAsia="宋体" w:hint="default"/>
          <w:b/>
          <w:bCs/>
          <w:sz w:val="23"/>
          <w:szCs w:val="23"/>
        </w:rPr>
      </w:pPr>
    </w:p>
    <w:p>
      <w:pPr>
        <w:spacing w:line="309" w:lineRule="auto" w:before="44"/>
        <w:ind w:left="1370" w:right="181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62"/>
          <w:sz w:val="18"/>
          <w:szCs w:val="18"/>
        </w:rPr>
        <w:t> </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存货分类为：原材料、低值易耗品、库存商品、在产品、发出商品、自制半成品等。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发出存货的计价方法</w:t>
      </w:r>
      <w:r>
        <w:rPr>
          <w:rFonts w:ascii="宋体" w:hAnsi="宋体" w:cs="宋体" w:eastAsia="宋体" w:hint="default"/>
          <w:sz w:val="18"/>
          <w:szCs w:val="18"/>
        </w:rPr>
      </w:r>
    </w:p>
    <w:p>
      <w:pPr>
        <w:pStyle w:val="BodyText"/>
        <w:spacing w:line="240" w:lineRule="auto" w:before="5"/>
        <w:ind w:left="1372" w:right="0"/>
        <w:jc w:val="left"/>
      </w:pPr>
      <w:r>
        <w:rPr/>
        <w:t>存货发出时按加权平均法计价。</w:t>
      </w:r>
    </w:p>
    <w:p>
      <w:pPr>
        <w:pStyle w:val="BodyText"/>
        <w:spacing w:line="316" w:lineRule="auto" w:before="76"/>
        <w:ind w:left="1372" w:right="108" w:hanging="3"/>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不同类别存货可变现净值的确定依据</w:t>
      </w:r>
      <w:r>
        <w:rPr>
          <w:rFonts w:ascii="宋体" w:hAnsi="宋体" w:cs="宋体" w:eastAsia="宋体" w:hint="default"/>
          <w:b/>
          <w:bCs/>
          <w:w w:val="99"/>
        </w:rPr>
        <w:t> </w:t>
      </w:r>
      <w:r>
        <w:rPr>
          <w:spacing w:val="-2"/>
        </w:rPr>
        <w:t>产成品、库存商品和用于出售的材料等直接用于出售的商品存货，在正常生产经营过程中，以该存货的估计</w:t>
      </w:r>
      <w:r>
        <w:rPr>
          <w:spacing w:val="-80"/>
        </w:rPr>
        <w:t> </w:t>
      </w:r>
      <w:r>
        <w:rPr>
          <w:spacing w:val="-80"/>
        </w:rPr>
      </w:r>
      <w:r>
        <w:rPr>
          <w:spacing w:val="-2"/>
        </w:rPr>
        <w:t>售价减去估计的销售费用和相关税费后的金额，确定其可变现净值；需要经过加工的材料存货，在正常生产</w:t>
      </w:r>
      <w:r>
        <w:rPr>
          <w:spacing w:val="-80"/>
        </w:rPr>
        <w:t> </w:t>
      </w:r>
      <w:r>
        <w:rPr>
          <w:spacing w:val="-80"/>
        </w:rPr>
      </w:r>
      <w:r>
        <w:rPr>
          <w:spacing w:val="-2"/>
        </w:rPr>
        <w:t>经营过程中，以所生产的产成品的估计售价减去至完工时估计将要发生的成本、估计的销售费用和相关税费</w:t>
      </w:r>
      <w:r>
        <w:rPr>
          <w:spacing w:val="-81"/>
        </w:rPr>
        <w:t> </w:t>
      </w:r>
      <w:r>
        <w:rPr>
          <w:spacing w:val="-81"/>
        </w:rPr>
      </w:r>
      <w:r>
        <w:rPr>
          <w:spacing w:val="-2"/>
        </w:rPr>
        <w:t>后的金额，确定其可变现净值；为执行销售合同或者劳务合同而持有的存货，其可变现净值以合同价格为基</w:t>
      </w:r>
      <w:r>
        <w:rPr>
          <w:spacing w:val="-80"/>
        </w:rPr>
        <w:t> </w:t>
      </w:r>
      <w:r>
        <w:rPr>
          <w:spacing w:val="-80"/>
        </w:rPr>
      </w:r>
      <w:r>
        <w:rPr>
          <w:spacing w:val="-2"/>
        </w:rPr>
        <w:t>础计算，若持有存货的数量多于销售合同订购数量的，超出部分的存货的可变现净值以一般销售价格为基础</w:t>
      </w:r>
      <w:r>
        <w:rPr>
          <w:spacing w:val="-81"/>
        </w:rPr>
        <w:t> </w:t>
      </w:r>
      <w:r>
        <w:rPr>
          <w:spacing w:val="-81"/>
        </w:rPr>
      </w:r>
      <w:r>
        <w:rPr/>
        <w:t>计算。 </w:t>
      </w:r>
      <w:r>
        <w:rPr>
          <w:spacing w:val="-2"/>
        </w:rPr>
        <w:t>期末按照单个存货项目计提存货跌价准备；但对于数量繁多、单价较低的存货，按照存货类别计提存货跌价</w:t>
      </w:r>
      <w:r>
        <w:rPr>
          <w:spacing w:val="-80"/>
        </w:rPr>
        <w:t> </w:t>
      </w:r>
      <w:r>
        <w:rPr>
          <w:spacing w:val="-80"/>
        </w:rPr>
      </w:r>
      <w:r>
        <w:rPr>
          <w:spacing w:val="-2"/>
        </w:rPr>
        <w:t>准备；与在同一地区生产和销售的产品系列相关、具有相同或类似最终用途或目的，且难以与其他项目分开</w:t>
      </w:r>
      <w:r>
        <w:rPr>
          <w:spacing w:val="-80"/>
        </w:rPr>
        <w:t> </w:t>
      </w:r>
      <w:r>
        <w:rPr>
          <w:spacing w:val="-80"/>
        </w:rPr>
      </w:r>
      <w:r>
        <w:rPr/>
        <w:t>计量的存货，则合并计提存货跌价准备。 </w:t>
      </w:r>
      <w:r>
        <w:rPr>
          <w:spacing w:val="-2"/>
        </w:rPr>
        <w:t>除有明确证据表明资产负债表日市场价格异常外，存货项目的可变现净值以资产负债表日市场价格为基础确</w:t>
      </w:r>
      <w:r>
        <w:rPr>
          <w:spacing w:val="-81"/>
        </w:rPr>
        <w:t> </w:t>
      </w:r>
      <w:r>
        <w:rPr>
          <w:spacing w:val="-81"/>
        </w:rPr>
      </w:r>
      <w:r>
        <w:rPr/>
        <w:t>定。</w:t>
      </w:r>
    </w:p>
    <w:p>
      <w:pPr>
        <w:pStyle w:val="BodyText"/>
        <w:spacing w:line="240" w:lineRule="auto" w:before="19"/>
        <w:ind w:left="1372" w:right="0"/>
        <w:jc w:val="left"/>
      </w:pPr>
      <w:r>
        <w:rPr/>
        <w:t>本年期末存货项目的可变现净值以资产负债表日市场价格为基础确定。</w:t>
      </w:r>
    </w:p>
    <w:p>
      <w:pPr>
        <w:spacing w:line="300" w:lineRule="auto" w:before="76"/>
        <w:ind w:left="1372" w:right="6791"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w:t>
      </w:r>
      <w:r>
        <w:rPr>
          <w:rFonts w:ascii="宋体" w:hAnsi="宋体" w:cs="宋体" w:eastAsia="宋体" w:hint="default"/>
          <w:b/>
          <w:bCs/>
          <w:spacing w:val="59"/>
          <w:sz w:val="18"/>
          <w:szCs w:val="18"/>
        </w:rPr>
        <w:t> </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Heading7"/>
        <w:spacing w:line="240" w:lineRule="auto" w:before="31"/>
        <w:ind w:right="0"/>
        <w:jc w:val="left"/>
        <w:rPr>
          <w:b w:val="0"/>
          <w:bCs w:val="0"/>
        </w:rPr>
      </w:pPr>
      <w:r>
        <w:rPr>
          <w:rFonts w:ascii="Times New Roman" w:hAnsi="Times New Roman" w:cs="Times New Roman" w:eastAsia="Times New Roman" w:hint="default"/>
        </w:rPr>
        <w:t>5</w:t>
      </w:r>
      <w:r>
        <w:rPr/>
        <w:t>、</w:t>
      </w:r>
      <w:r>
        <w:rPr>
          <w:spacing w:val="58"/>
        </w:rPr>
        <w:t> </w:t>
      </w:r>
      <w:r>
        <w:rPr/>
        <w:t>低值易耗品和包装物的摊销方法</w:t>
      </w:r>
      <w:r>
        <w:rPr>
          <w:b w:val="0"/>
          <w:bCs w:val="0"/>
        </w:rPr>
      </w:r>
    </w:p>
    <w:p>
      <w:pPr>
        <w:pStyle w:val="BodyText"/>
        <w:spacing w:line="240" w:lineRule="auto" w:before="63"/>
        <w:ind w:left="1372" w:right="0"/>
        <w:jc w:val="left"/>
      </w:pPr>
      <w:r>
        <w:rPr/>
        <w:t>（</w:t>
      </w:r>
      <w:r>
        <w:rPr>
          <w:rFonts w:ascii="Times New Roman" w:hAnsi="Times New Roman" w:cs="Times New Roman" w:eastAsia="Times New Roman" w:hint="default"/>
        </w:rPr>
        <w:t>1</w:t>
      </w:r>
      <w:r>
        <w:rPr/>
        <w:t>）低值易耗品采用分次转销法；</w:t>
      </w:r>
    </w:p>
    <w:p>
      <w:pPr>
        <w:pStyle w:val="BodyText"/>
        <w:spacing w:line="240" w:lineRule="auto" w:before="63"/>
        <w:ind w:left="1372" w:right="0"/>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878"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2" w:right="0"/>
        <w:jc w:val="left"/>
      </w:pPr>
      <w:r>
        <w:rPr/>
        <w:t>本公司将同时满足下列条件的组成部分（或非流动资产）确认为持有待售：</w:t>
      </w:r>
    </w:p>
    <w:p>
      <w:pPr>
        <w:pStyle w:val="BodyText"/>
        <w:spacing w:line="240" w:lineRule="auto" w:before="76"/>
        <w:ind w:left="832"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00" w:lineRule="auto" w:before="63"/>
        <w:ind w:left="832" w:right="104"/>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）公司已经就处置该组成部分（或非流动资产）作出决议，如按规定需得到股东批准的，已经取得股东大会或</w:t>
      </w:r>
      <w:r>
        <w:rPr>
          <w:spacing w:val="-85"/>
        </w:rPr>
        <w:t> </w:t>
      </w:r>
      <w:r>
        <w:rPr>
          <w:spacing w:val="-85"/>
        </w:rPr>
      </w:r>
      <w:r>
        <w:rPr/>
        <w:t>相应权力机构的批准；</w:t>
      </w:r>
    </w:p>
    <w:p>
      <w:pPr>
        <w:pStyle w:val="BodyText"/>
        <w:spacing w:line="240" w:lineRule="auto" w:before="31"/>
        <w:ind w:left="832"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63"/>
        <w:ind w:left="994" w:right="6221"/>
        <w:jc w:val="center"/>
      </w:pPr>
      <w:r>
        <w:rPr/>
        <w:t>（</w:t>
      </w:r>
      <w:r>
        <w:rPr>
          <w:rFonts w:ascii="Times New Roman" w:hAnsi="Times New Roman" w:cs="Times New Roman" w:eastAsia="Times New Roman" w:hint="default"/>
        </w:rPr>
        <w:t>4</w:t>
      </w:r>
      <w:r>
        <w:rPr/>
        <w:t>）该项转让将在一年内完成。</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left="1372" w:right="108" w:hanging="3"/>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2"/>
        </w:rPr>
        <w:t>共同控制，是指按照相关约定对某项安排所共有的控制，并且该安排的相关活动必须经过分享控制权的参与</w:t>
      </w:r>
      <w:r>
        <w:rPr>
          <w:spacing w:val="-81"/>
        </w:rPr>
        <w:t> </w:t>
      </w:r>
      <w:r>
        <w:rPr>
          <w:spacing w:val="-81"/>
        </w:rPr>
      </w:r>
      <w:r>
        <w:rPr>
          <w:spacing w:val="-2"/>
        </w:rPr>
        <w:t>方一致同意后才能决策。本公司与其他合营方一同对被投资单位实施共同控制且对被投资单位净资产享有权</w:t>
      </w:r>
      <w:r>
        <w:rPr>
          <w:spacing w:val="-81"/>
        </w:rPr>
        <w:t> </w:t>
      </w:r>
      <w:r>
        <w:rPr>
          <w:spacing w:val="-81"/>
        </w:rPr>
      </w:r>
      <w:r>
        <w:rPr/>
        <w:t>利的，被投资单位为本公司的合营企业。 </w:t>
      </w:r>
      <w:r>
        <w:rPr>
          <w:spacing w:val="-2"/>
        </w:rPr>
        <w:t>重大影响，是指对一个企业的财务和经营决策有参与决策的权力，但并不能够控制或者与其他方一起共同控</w:t>
      </w:r>
      <w:r>
        <w:rPr>
          <w:spacing w:val="-81"/>
        </w:rPr>
        <w:t> </w:t>
      </w:r>
      <w:r>
        <w:rPr>
          <w:spacing w:val="-81"/>
        </w:rPr>
      </w:r>
      <w:r>
        <w:rPr/>
        <w:t>制这些政策的制定。本能够对被投资单位施加重大影响的，被投资单位为本公司联营企业。</w:t>
      </w:r>
    </w:p>
    <w:p>
      <w:pPr>
        <w:spacing w:line="240" w:lineRule="auto" w:before="5"/>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w:t>
      </w:r>
      <w:r>
        <w:rPr/>
        <w:t>、</w:t>
      </w:r>
      <w:r>
        <w:rPr>
          <w:spacing w:val="57"/>
        </w:rPr>
        <w:t> </w:t>
      </w:r>
      <w:r>
        <w:rPr/>
        <w:t>初始投资成本的确定</w:t>
      </w:r>
      <w:r>
        <w:rPr>
          <w:b w:val="0"/>
          <w:bCs w:val="0"/>
        </w:rPr>
      </w:r>
    </w:p>
    <w:p>
      <w:pPr>
        <w:pStyle w:val="BodyText"/>
        <w:spacing w:line="316" w:lineRule="auto" w:before="63"/>
        <w:ind w:left="1372" w:right="108"/>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w:t>
      </w:r>
      <w:r>
        <w:rPr>
          <w:spacing w:val="-78"/>
        </w:rPr>
        <w:t> </w:t>
      </w:r>
      <w:r>
        <w:rPr>
          <w:spacing w:val="-78"/>
        </w:rPr>
      </w:r>
      <w:r>
        <w:rPr>
          <w:spacing w:val="-2"/>
        </w:rPr>
        <w:t>对价的，在合并日按照取得被合并方所有者权益在最终控制方合并财务报表中的账面价值的份额作为长期股</w:t>
      </w:r>
      <w:r>
        <w:rPr>
          <w:spacing w:val="-78"/>
        </w:rPr>
        <w:t> </w:t>
      </w:r>
      <w:r>
        <w:rPr>
          <w:spacing w:val="-78"/>
        </w:rPr>
      </w:r>
      <w:r>
        <w:rPr>
          <w:spacing w:val="-2"/>
        </w:rPr>
        <w:t>权投资的初始投资成本。因追加投资等原因能够对同一控制下的被投资单位实施控制的，在合并日根据合并</w:t>
      </w:r>
      <w:r>
        <w:rPr>
          <w:spacing w:val="-78"/>
        </w:rPr>
        <w:t> </w:t>
      </w:r>
      <w:r>
        <w:rPr>
          <w:spacing w:val="-78"/>
        </w:rPr>
      </w:r>
      <w:r>
        <w:rPr>
          <w:spacing w:val="-2"/>
        </w:rPr>
        <w:t>后应享有被合并方净资产在最终控制方合并财务报表中的账面价值的份额，确定长期股权投资的初始投资成</w:t>
      </w:r>
      <w:r>
        <w:rPr>
          <w:spacing w:val="-78"/>
        </w:rPr>
        <w:t> </w:t>
      </w:r>
      <w:r>
        <w:rPr>
          <w:spacing w:val="-78"/>
        </w:rPr>
      </w:r>
      <w:r>
        <w:rPr>
          <w:spacing w:val="-2"/>
        </w:rPr>
        <w:t>本。合并日长期股权投资的初始投资成本，与达到合并前的长期股权投资账面价值加上合并日进一步取得股</w:t>
      </w:r>
      <w:r>
        <w:rPr>
          <w:spacing w:val="-78"/>
        </w:rPr>
        <w:t> </w:t>
      </w:r>
      <w:r>
        <w:rPr>
          <w:spacing w:val="-78"/>
        </w:rPr>
      </w:r>
      <w:r>
        <w:rPr/>
        <w:t>份新支付对价的账面价值之和的差额，调整股本溢价，股本溢价不足冲减的，冲减留存收益。 </w:t>
      </w:r>
      <w:r>
        <w:rPr>
          <w:spacing w:val="-2"/>
        </w:rPr>
        <w:t>非同一控制下的企业合并：公司按照购买日确定的合并成本作为长期股权投资的初始投资成本。因追加投资</w:t>
      </w:r>
      <w:r>
        <w:rPr>
          <w:spacing w:val="-78"/>
        </w:rPr>
        <w:t> </w:t>
      </w:r>
      <w:r>
        <w:rPr>
          <w:spacing w:val="-78"/>
        </w:rPr>
      </w:r>
      <w:r>
        <w:rPr>
          <w:spacing w:val="-2"/>
        </w:rPr>
        <w:t>等原因能够对非同一控制下的被投资单位实施控制的，按照原持有的股权投资账面价值加上新增投资成本之</w:t>
      </w:r>
      <w:r>
        <w:rPr>
          <w:spacing w:val="-78"/>
        </w:rPr>
        <w:t> </w:t>
      </w:r>
      <w:r>
        <w:rPr>
          <w:spacing w:val="-78"/>
        </w:rPr>
      </w:r>
      <w:r>
        <w:rPr/>
        <w:t>和，作为改按成本法核算的初始投资成本。</w:t>
      </w:r>
    </w:p>
    <w:p>
      <w:pPr>
        <w:pStyle w:val="BodyText"/>
        <w:spacing w:line="314" w:lineRule="auto" w:before="19"/>
        <w:ind w:left="1372" w:right="108"/>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w:t>
      </w:r>
      <w:r>
        <w:rPr>
          <w:spacing w:val="-78"/>
        </w:rPr>
        <w:t> </w:t>
      </w:r>
      <w:r>
        <w:rPr>
          <w:spacing w:val="-78"/>
        </w:rPr>
      </w:r>
      <w:r>
        <w:rPr>
          <w:spacing w:val="-2"/>
        </w:rPr>
        <w:t>交换换入的长期股权投资以换出资产的公允价值和应支付的相关税费确定其初始投资成本，除非有确凿证据</w:t>
      </w:r>
      <w:r>
        <w:rPr>
          <w:spacing w:val="-78"/>
        </w:rPr>
        <w:t> </w:t>
      </w:r>
      <w:r>
        <w:rPr>
          <w:spacing w:val="-78"/>
        </w:rPr>
      </w:r>
      <w:r>
        <w:rPr>
          <w:spacing w:val="-2"/>
        </w:rPr>
        <w:t>表明换入资产的公允价值更加可靠；不满足上述前提的非货币性资产交换，以换出资产的账面价值和应支付</w:t>
      </w:r>
      <w:r>
        <w:rPr>
          <w:spacing w:val="-78"/>
        </w:rPr>
        <w:t> </w:t>
      </w:r>
      <w:r>
        <w:rPr>
          <w:spacing w:val="-78"/>
        </w:rPr>
      </w:r>
      <w:r>
        <w:rPr/>
        <w:t>的相关税费作为换入长期股权投资的初始投资成本。 通过债务重组取得的长期股权投资，其初始投资成本按照公允价值为基础确定。</w:t>
      </w:r>
    </w:p>
    <w:p>
      <w:pPr>
        <w:pStyle w:val="Heading7"/>
        <w:spacing w:line="240" w:lineRule="auto" w:before="20"/>
        <w:ind w:right="0"/>
        <w:jc w:val="left"/>
        <w:rPr>
          <w:b w:val="0"/>
          <w:bCs w:val="0"/>
        </w:rPr>
      </w:pPr>
      <w:r>
        <w:rPr>
          <w:rFonts w:ascii="Times New Roman" w:hAnsi="Times New Roman" w:cs="Times New Roman" w:eastAsia="Times New Roman" w:hint="default"/>
        </w:rPr>
        <w:t>3</w:t>
      </w:r>
      <w:r>
        <w:rPr/>
        <w:t>、</w:t>
      </w:r>
      <w:r>
        <w:rPr>
          <w:spacing w:val="58"/>
        </w:rPr>
        <w:t> </w:t>
      </w:r>
      <w:r>
        <w:rPr/>
        <w:t>后续计量及损益确认方法</w:t>
      </w:r>
      <w:r>
        <w:rPr>
          <w:b w:val="0"/>
          <w:bCs w:val="0"/>
        </w:rPr>
      </w:r>
    </w:p>
    <w:p>
      <w:pPr>
        <w:pStyle w:val="BodyText"/>
        <w:spacing w:line="309" w:lineRule="auto" w:before="63"/>
        <w:ind w:left="1372" w:right="108"/>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w:t>
      </w:r>
      <w:r>
        <w:rPr>
          <w:spacing w:val="-78"/>
        </w:rPr>
        <w:t> </w:t>
      </w:r>
      <w:r>
        <w:rPr>
          <w:spacing w:val="-78"/>
        </w:rPr>
      </w:r>
      <w:r>
        <w:rPr/>
        <w:t>未发放的现金股利或利润外，公司按照享有被投资单位宣告发放的现金股利或利润确认当期投资收益。</w:t>
      </w:r>
    </w:p>
    <w:p>
      <w:pPr>
        <w:pStyle w:val="BodyText"/>
        <w:spacing w:line="309" w:lineRule="auto" w:before="24"/>
        <w:ind w:left="1372" w:right="108"/>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w:t>
      </w:r>
      <w:r>
        <w:rPr>
          <w:spacing w:val="-78"/>
        </w:rPr>
        <w:t> </w:t>
      </w:r>
      <w:r>
        <w:rPr>
          <w:spacing w:val="-78"/>
        </w:rPr>
      </w:r>
      <w:r>
        <w:rPr>
          <w:spacing w:val="-2"/>
        </w:rPr>
        <w:t>认净资产公允价值份额的差额，不调整长期股权投资的初始投资成本；初始投资成本小于投资时应享有被投</w:t>
      </w:r>
    </w:p>
    <w:p>
      <w:pPr>
        <w:spacing w:after="0" w:line="309" w:lineRule="auto"/>
        <w:jc w:val="left"/>
        <w:sectPr>
          <w:footerReference w:type="default" r:id="rId52"/>
          <w:pgSz w:w="11910" w:h="16840"/>
          <w:pgMar w:footer="1225" w:header="878" w:top="1100" w:bottom="1420" w:left="1020" w:right="1020"/>
          <w:pgNumType w:start="99"/>
        </w:sectPr>
      </w:pPr>
    </w:p>
    <w:p>
      <w:pPr>
        <w:spacing w:line="240" w:lineRule="auto" w:before="1"/>
        <w:rPr>
          <w:rFonts w:ascii="宋体" w:hAnsi="宋体" w:cs="宋体" w:eastAsia="宋体" w:hint="default"/>
          <w:sz w:val="22"/>
          <w:szCs w:val="22"/>
        </w:rPr>
      </w:pPr>
    </w:p>
    <w:p>
      <w:pPr>
        <w:pStyle w:val="BodyText"/>
        <w:spacing w:line="316" w:lineRule="auto" w:before="44"/>
        <w:ind w:left="1372" w:right="94"/>
        <w:jc w:val="left"/>
      </w:pPr>
      <w:r>
        <w:rPr/>
        <w:t>资单位可辨认净资产公允价值份额的差额，计入当期损益。 </w:t>
      </w:r>
      <w:r>
        <w:rPr>
          <w:spacing w:val="-2"/>
        </w:rPr>
        <w:t>公司按照应享有或应分担的被投资单位实现的净损益和其他综合收益的份额，分别确认投资收益和其他综合</w:t>
      </w:r>
      <w:r>
        <w:rPr>
          <w:spacing w:val="-78"/>
        </w:rPr>
        <w:t> </w:t>
      </w:r>
      <w:r>
        <w:rPr>
          <w:spacing w:val="-78"/>
        </w:rPr>
      </w:r>
      <w:r>
        <w:rPr/>
        <w:t>收益，同时调整长期股权投资的账面价值；按照被投资单位宣告分派的利润或现金股利计算应享有的部分， </w:t>
      </w:r>
      <w:r>
        <w:rPr>
          <w:spacing w:val="-2"/>
        </w:rPr>
        <w:t>相应减少长期股权投资的账面价值；对于被投资单位除净损益、其他综合收益和利润分配以外所有者权益的</w:t>
      </w:r>
      <w:r>
        <w:rPr>
          <w:spacing w:val="-78"/>
        </w:rPr>
        <w:t> </w:t>
      </w:r>
      <w:r>
        <w:rPr>
          <w:spacing w:val="-78"/>
        </w:rPr>
      </w:r>
      <w:r>
        <w:rPr/>
        <w:t>其他变动，调整长期股权投资的账面价值并计入所有者权益。 </w:t>
      </w:r>
      <w:r>
        <w:rPr>
          <w:spacing w:val="-2"/>
        </w:rPr>
        <w:t>在确认应享有被投资单位净损益的份额时，以取得投资时被投资单位可辨认净资产的公允价值为基础，并按</w:t>
      </w:r>
      <w:r>
        <w:rPr>
          <w:spacing w:val="-78"/>
        </w:rPr>
        <w:t> </w:t>
      </w:r>
      <w:r>
        <w:rPr>
          <w:spacing w:val="-78"/>
        </w:rPr>
      </w:r>
      <w:r>
        <w:rPr>
          <w:spacing w:val="-2"/>
        </w:rPr>
        <w:t>照公司的会计政策及会计期间，对被投资单位的净利润进行调整后确认。在持有投资期间，被投资单位编制</w:t>
      </w:r>
      <w:r>
        <w:rPr>
          <w:spacing w:val="-77"/>
        </w:rPr>
        <w:t> </w:t>
      </w:r>
      <w:r>
        <w:rPr>
          <w:spacing w:val="-77"/>
        </w:rPr>
      </w:r>
      <w:r>
        <w:rPr>
          <w:spacing w:val="-2"/>
        </w:rPr>
        <w:t>合并财务报表的，以合并财务报表中的净利润、其他综合收益和其他所有者权益变动中归属于被投资单位的</w:t>
      </w:r>
      <w:r>
        <w:rPr>
          <w:spacing w:val="-78"/>
        </w:rPr>
        <w:t> </w:t>
      </w:r>
      <w:r>
        <w:rPr>
          <w:spacing w:val="-78"/>
        </w:rPr>
      </w:r>
      <w:r>
        <w:rPr/>
        <w:t>金额为基础进行核算。 </w:t>
      </w:r>
      <w:r>
        <w:rPr>
          <w:spacing w:val="-2"/>
        </w:rPr>
        <w:t>公司与联营企业、合营企业之间发生的未实现内部交易损益按照应享有的比例计算归属于公司的部分，予以</w:t>
      </w:r>
      <w:r>
        <w:rPr>
          <w:spacing w:val="-78"/>
        </w:rPr>
        <w:t> </w:t>
      </w:r>
      <w:r>
        <w:rPr>
          <w:spacing w:val="-78"/>
        </w:rPr>
      </w:r>
      <w:r>
        <w:rPr>
          <w:spacing w:val="-2"/>
        </w:rPr>
        <w:t>抵销，在此基础上确认投资收益。与被投资单位发生的未实现内部交易损失，属于资产减值损失的，全额确</w:t>
      </w:r>
      <w:r>
        <w:rPr>
          <w:spacing w:val="-78"/>
        </w:rPr>
        <w:t> </w:t>
      </w:r>
      <w:r>
        <w:rPr>
          <w:spacing w:val="-78"/>
        </w:rPr>
      </w:r>
      <w:r>
        <w:rPr>
          <w:spacing w:val="-6"/>
          <w:w w:val="99"/>
        </w:rPr>
        <w:t>认。公司与联营企业、合营企业之间发生投出或出售资产的交易，该资产构成业务的，按照本附注</w:t>
      </w:r>
      <w:r>
        <w:rPr>
          <w:rFonts w:ascii="Times New Roman" w:hAnsi="Times New Roman" w:cs="Times New Roman" w:eastAsia="Times New Roman" w:hint="default"/>
          <w:spacing w:val="-6"/>
          <w:w w:val="99"/>
        </w:rPr>
        <w:t>“</w:t>
      </w:r>
      <w:r>
        <w:rPr>
          <w:spacing w:val="-6"/>
          <w:w w:val="99"/>
        </w:rPr>
        <w:t>三、（五）</w:t>
      </w:r>
      <w:r>
        <w:rPr>
          <w:spacing w:val="-50"/>
          <w:w w:val="99"/>
        </w:rPr>
        <w:t> </w:t>
      </w:r>
      <w:r>
        <w:rPr>
          <w:spacing w:val="-50"/>
          <w:w w:val="99"/>
        </w:rPr>
      </w:r>
      <w:r>
        <w:rPr/>
        <w:t>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w:t>
      </w:r>
      <w:r>
        <w:rPr>
          <w:spacing w:val="-58"/>
        </w:rPr>
        <w:t> </w:t>
      </w:r>
      <w:r>
        <w:rPr>
          <w:spacing w:val="-58"/>
        </w:rPr>
      </w:r>
      <w:r>
        <w:rPr/>
        <w:t>关政策进行会计处理。 </w:t>
      </w:r>
      <w:r>
        <w:rPr>
          <w:spacing w:val="-4"/>
        </w:rPr>
        <w:t>在公司确认应分担被投资单位发生的亏损时，按照以下顺序进行处理：首先，冲减长期股权投资的账面价值。</w:t>
      </w:r>
      <w:r>
        <w:rPr>
          <w:spacing w:val="-68"/>
        </w:rPr>
        <w:t> </w:t>
      </w:r>
      <w:r>
        <w:rPr>
          <w:spacing w:val="-68"/>
        </w:rPr>
      </w:r>
      <w:r>
        <w:rPr>
          <w:spacing w:val="-2"/>
        </w:rPr>
        <w:t>其次，长期股权投资的账面价值不足以冲减的，以其他实质上构成对被投资单位净投资的长期权益账面价值</w:t>
      </w:r>
      <w:r>
        <w:rPr>
          <w:spacing w:val="-78"/>
        </w:rPr>
        <w:t> </w:t>
      </w:r>
      <w:r>
        <w:rPr>
          <w:spacing w:val="-78"/>
        </w:rPr>
      </w:r>
      <w:r>
        <w:rPr>
          <w:spacing w:val="-2"/>
        </w:rPr>
        <w:t>为限继续确认投资损失，冲减长期应收项目等的账面价值。最后，经过上述处理，按照投资合同或协议约定</w:t>
      </w:r>
      <w:r>
        <w:rPr>
          <w:spacing w:val="-78"/>
        </w:rPr>
        <w:t> </w:t>
      </w:r>
      <w:r>
        <w:rPr>
          <w:spacing w:val="-78"/>
        </w:rPr>
      </w:r>
      <w:r>
        <w:rPr/>
        <w:t>企业仍承担额外义务的，按预计承担的义务确认预计负债，计入当期投资损失。</w:t>
      </w:r>
    </w:p>
    <w:p>
      <w:pPr>
        <w:pStyle w:val="BodyText"/>
        <w:spacing w:line="300" w:lineRule="auto" w:before="19"/>
        <w:ind w:left="1372" w:right="2794"/>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left="1372" w:right="94"/>
        <w:jc w:val="left"/>
      </w:pPr>
      <w:r>
        <w:rPr>
          <w:spacing w:val="-2"/>
        </w:rPr>
        <w:t>采用权益法核算的长期股权投资，在处置该项投资时，采用与被投资单位直接处置相关资产或负债相同的基</w:t>
      </w:r>
      <w:r>
        <w:rPr>
          <w:spacing w:val="-78"/>
        </w:rPr>
        <w:t> </w:t>
      </w:r>
      <w:r>
        <w:rPr>
          <w:spacing w:val="-78"/>
        </w:rPr>
      </w:r>
      <w:r>
        <w:rPr>
          <w:spacing w:val="-2"/>
        </w:rPr>
        <w:t>础，按相应比例对原计入其他综合收益的部分进行会计处理。因被投资单位除净损益、其他综合收益和利润</w:t>
      </w:r>
      <w:r>
        <w:rPr>
          <w:spacing w:val="-77"/>
        </w:rPr>
        <w:t> </w:t>
      </w:r>
      <w:r>
        <w:rPr>
          <w:spacing w:val="-77"/>
        </w:rPr>
      </w:r>
      <w:r>
        <w:rPr>
          <w:spacing w:val="-2"/>
        </w:rPr>
        <w:t>分配以外的其他所有者权益变动而确认的所有者权益，按比例结转入当期损益，由于被投资方重新计量设定</w:t>
      </w:r>
      <w:r>
        <w:rPr>
          <w:spacing w:val="-78"/>
        </w:rPr>
        <w:t> </w:t>
      </w:r>
      <w:r>
        <w:rPr>
          <w:spacing w:val="-78"/>
        </w:rPr>
      </w:r>
      <w:r>
        <w:rPr/>
        <w:t>受益计划净负债或净资产变动而产生的其他综合收益除外。 </w:t>
      </w:r>
      <w:r>
        <w:rPr>
          <w:spacing w:val="-2"/>
        </w:rPr>
        <w:t>因处置部分股权投资等原因丧失了对被投资单位的共同控制或重大影响的，处置后的剩余股权改按金融工具</w:t>
      </w:r>
      <w:r>
        <w:rPr>
          <w:spacing w:val="-78"/>
        </w:rPr>
        <w:t> </w:t>
      </w:r>
      <w:r>
        <w:rPr>
          <w:spacing w:val="-78"/>
        </w:rPr>
      </w:r>
      <w:r>
        <w:rPr/>
        <w:t>确认和计量准则核算，其在丧失共同控制或重大影响之日的公允价值与账面价值之间的差额计入当期损益。 </w:t>
      </w:r>
      <w:r>
        <w:rPr>
          <w:spacing w:val="-2"/>
        </w:rPr>
        <w:t>原股权投资因采用权益法核算而确认的其他综合收益，在终止采用权益法核算时采用与被投资单位直接处置</w:t>
      </w:r>
      <w:r>
        <w:rPr>
          <w:spacing w:val="-78"/>
        </w:rPr>
        <w:t> </w:t>
      </w:r>
      <w:r>
        <w:rPr>
          <w:spacing w:val="-78"/>
        </w:rPr>
      </w:r>
      <w:r>
        <w:rPr>
          <w:spacing w:val="-2"/>
        </w:rPr>
        <w:t>相关资产或负债相同的基础进行会计处理。因被投资方除净损益、其他综合收益和利润分配以外的其他所有</w:t>
      </w:r>
      <w:r>
        <w:rPr>
          <w:spacing w:val="-78"/>
        </w:rPr>
        <w:t> </w:t>
      </w:r>
      <w:r>
        <w:rPr>
          <w:spacing w:val="-78"/>
        </w:rPr>
      </w:r>
      <w:r>
        <w:rPr/>
        <w:t>者权益变动而确认的所有者权益，在终止采用权益法核算时全部转入当期损益。 </w:t>
      </w:r>
      <w:r>
        <w:rPr>
          <w:spacing w:val="-2"/>
        </w:rPr>
        <w:t>因处置部分股权投资等原因丧失了对被投资单位控制权的，在编制个别财务报表时，处置后的剩余股权能够</w:t>
      </w:r>
      <w:r>
        <w:rPr>
          <w:spacing w:val="-78"/>
        </w:rPr>
        <w:t> </w:t>
      </w:r>
      <w:r>
        <w:rPr>
          <w:spacing w:val="-78"/>
        </w:rPr>
      </w:r>
      <w:r>
        <w:rPr>
          <w:spacing w:val="-2"/>
        </w:rPr>
        <w:t>对被投资单位实施共同控制或重大影响的，改按权益法核算，并对该剩余股权视同自取得时即采用权益法核</w:t>
      </w:r>
      <w:r>
        <w:rPr>
          <w:spacing w:val="-78"/>
        </w:rPr>
        <w:t> </w:t>
      </w:r>
      <w:r>
        <w:rPr>
          <w:spacing w:val="-78"/>
        </w:rPr>
      </w:r>
      <w:r>
        <w:rPr>
          <w:spacing w:val="-2"/>
        </w:rPr>
        <w:t>算进行调整；处置后的剩余股权不能对被投资单位实施共同控制或施加重大影响的，改按金融工具确认和计</w:t>
      </w:r>
      <w:r>
        <w:rPr>
          <w:spacing w:val="-78"/>
        </w:rPr>
        <w:t> </w:t>
      </w:r>
      <w:r>
        <w:rPr>
          <w:spacing w:val="-78"/>
        </w:rPr>
      </w:r>
      <w:r>
        <w:rPr/>
        <w:t>量准则的有关规定进行会计处理，其在丧失控制之日的公允价值与账面价值间的差额计入当期损益。 </w:t>
      </w:r>
      <w:r>
        <w:rPr>
          <w:spacing w:val="-2"/>
        </w:rPr>
        <w:t>处置的股权是因追加投资等原因通过企业合并取得的，在编制个别财务报表时，处置后的剩余股权采用成本</w:t>
      </w:r>
      <w:r>
        <w:rPr>
          <w:spacing w:val="-78"/>
        </w:rPr>
        <w:t> </w:t>
      </w:r>
      <w:r>
        <w:rPr>
          <w:spacing w:val="-78"/>
        </w:rPr>
      </w:r>
      <w:r>
        <w:rPr>
          <w:spacing w:val="-2"/>
        </w:rPr>
        <w:t>法或权益法核算的，购买日之前持有的股权投资因采用权益法核算而确认的其他综合收益和其他所有者权益</w:t>
      </w:r>
      <w:r>
        <w:rPr>
          <w:spacing w:val="-78"/>
        </w:rPr>
        <w:t> </w:t>
      </w:r>
      <w:r>
        <w:rPr>
          <w:spacing w:val="-78"/>
        </w:rPr>
      </w:r>
      <w:r>
        <w:rPr>
          <w:spacing w:val="-2"/>
        </w:rPr>
        <w:t>按比例结转；处置后的剩余股权改按金融工具确认和计量准则进行会计处理的，其他综合收益和其他所有者</w:t>
      </w:r>
      <w:r>
        <w:rPr>
          <w:spacing w:val="-78"/>
        </w:rPr>
        <w:t> </w:t>
      </w:r>
      <w:r>
        <w:rPr>
          <w:spacing w:val="-78"/>
        </w:rPr>
      </w:r>
      <w:r>
        <w:rPr/>
        <w:t>权益全部结转。</w:t>
      </w:r>
    </w:p>
    <w:p>
      <w:pPr>
        <w:spacing w:line="240" w:lineRule="auto" w:before="6"/>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014"/>
        <w:jc w:val="left"/>
      </w:pPr>
      <w:r>
        <w:rPr/>
        <w:t>投资性房地产计量模式 成本法计量 折旧或摊销方法</w:t>
      </w:r>
    </w:p>
    <w:p>
      <w:pPr>
        <w:pStyle w:val="BodyText"/>
        <w:spacing w:line="240" w:lineRule="auto" w:before="29"/>
        <w:ind w:right="86"/>
        <w:jc w:val="left"/>
      </w:pPr>
      <w:r>
        <w:rPr/>
        <w:t>公司对现有投资性房地产采用成本模式计量</w:t>
      </w:r>
      <w:r>
        <w:rPr>
          <w:spacing w:val="-82"/>
        </w:rPr>
        <w:t>。</w:t>
      </w:r>
      <w:r>
        <w:rPr/>
        <w:t>对按照成本模式计量的投资性房地产－出租用建筑物采用与本公司固定资产相</w:t>
      </w:r>
    </w:p>
    <w:p>
      <w:pPr>
        <w:spacing w:after="0" w:line="240" w:lineRule="auto"/>
        <w:jc w:val="left"/>
        <w:sectPr>
          <w:footerReference w:type="default" r:id="rId53"/>
          <w:pgSz w:w="11910" w:h="16840"/>
          <w:pgMar w:footer="1225" w:header="878" w:top="1100" w:bottom="1420" w:left="1020" w:right="940"/>
          <w:pgNumType w:start="100"/>
        </w:sectPr>
      </w:pPr>
    </w:p>
    <w:p>
      <w:pPr>
        <w:spacing w:line="240" w:lineRule="auto" w:before="1"/>
        <w:rPr>
          <w:rFonts w:ascii="宋体" w:hAnsi="宋体" w:cs="宋体" w:eastAsia="宋体" w:hint="default"/>
          <w:sz w:val="22"/>
          <w:szCs w:val="22"/>
        </w:rPr>
      </w:pPr>
    </w:p>
    <w:p>
      <w:pPr>
        <w:pStyle w:val="BodyText"/>
        <w:spacing w:line="240" w:lineRule="auto" w:before="44"/>
        <w:ind w:right="0"/>
        <w:jc w:val="left"/>
      </w:pPr>
      <w:r>
        <w:rPr/>
        <w:t>同的折旧政策，出租用土地使用权按与无形资产相同的摊销政策执行。</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4"/>
        <w:rPr>
          <w:rFonts w:ascii="宋体" w:hAnsi="宋体" w:cs="宋体" w:eastAsia="宋体" w:hint="default"/>
          <w:b/>
          <w:bCs/>
          <w:sz w:val="19"/>
          <w:szCs w:val="19"/>
        </w:rPr>
      </w:pPr>
    </w:p>
    <w:p>
      <w:pPr>
        <w:pStyle w:val="Heading5"/>
        <w:spacing w:line="240" w:lineRule="auto" w:before="34"/>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
        <w:jc w:val="both"/>
      </w:pPr>
      <w:r>
        <w:rPr>
          <w:spacing w:val="-2"/>
        </w:rPr>
        <w:t>在建工程项目按建造该项资产达到预定可使用状态前所发生的必要支出，作为固定资产的入账价值。所建造的固定资产在建</w:t>
      </w:r>
      <w:r>
        <w:rPr>
          <w:spacing w:val="-64"/>
        </w:rPr>
        <w:t> </w:t>
      </w:r>
      <w:r>
        <w:rPr>
          <w:spacing w:val="-64"/>
        </w:rPr>
      </w:r>
      <w:r>
        <w:rPr>
          <w:spacing w:val="-2"/>
        </w:rPr>
        <w:t>工程已达到预定可使用状态，但尚未办理竣工决算的，自达到预定可使用状态之日起，根据工程预算、造价或者工程实际成</w:t>
      </w:r>
      <w:r>
        <w:rPr>
          <w:spacing w:val="-66"/>
        </w:rPr>
        <w:t> </w:t>
      </w:r>
      <w:r>
        <w:rPr>
          <w:spacing w:val="-66"/>
        </w:rPr>
      </w:r>
      <w:r>
        <w:rPr>
          <w:spacing w:val="-2"/>
        </w:rPr>
        <w:t>本等，按估计的价值转入固定资产，并按本公司固定资产折旧政策计提固定资产的折旧，待办理竣工决算后，再按实际成本</w:t>
      </w:r>
      <w:r>
        <w:rPr>
          <w:spacing w:val="-66"/>
        </w:rPr>
        <w:t> </w:t>
      </w:r>
      <w:r>
        <w:rPr>
          <w:spacing w:val="-66"/>
        </w:rPr>
      </w:r>
      <w:r>
        <w:rPr/>
        <w:t>调整原来的暂估价值，但不调整原已计提的折旧额。</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372" w:right="108" w:hanging="3"/>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w:t>
      </w:r>
      <w:r>
        <w:rPr>
          <w:spacing w:val="-80"/>
        </w:rPr>
        <w:t> </w:t>
      </w:r>
      <w:r>
        <w:rPr>
          <w:spacing w:val="-80"/>
        </w:rPr>
      </w:r>
      <w:r>
        <w:rPr/>
        <w:t>成本；其他借款费用，在发生时根据其发生额确认为费用，计入当期损益。 </w:t>
      </w:r>
      <w:r>
        <w:rPr>
          <w:spacing w:val="-2"/>
        </w:rPr>
        <w:t>符合资本化条件的资产，是指需要经过相当长时间的购建或者生产活动才能达到预定可使用或者可销售状态</w:t>
      </w:r>
      <w:r>
        <w:rPr>
          <w:spacing w:val="-81"/>
        </w:rPr>
        <w:t> </w:t>
      </w:r>
      <w:r>
        <w:rPr>
          <w:spacing w:val="-81"/>
        </w:rPr>
      </w:r>
      <w:r>
        <w:rPr/>
        <w:t>的固定资产、投资性房地产和存货等资产。</w:t>
      </w:r>
    </w:p>
    <w:p>
      <w:pPr>
        <w:pStyle w:val="BodyText"/>
        <w:spacing w:line="240" w:lineRule="auto" w:before="20"/>
        <w:ind w:left="1372" w:right="0"/>
        <w:jc w:val="left"/>
      </w:pPr>
      <w:r>
        <w:rPr/>
        <w:t>借款费用同时满足下列条件时开始资本化：</w:t>
      </w:r>
    </w:p>
    <w:p>
      <w:pPr>
        <w:pStyle w:val="BodyText"/>
        <w:spacing w:line="300" w:lineRule="auto" w:before="76"/>
        <w:ind w:left="1372" w:right="104"/>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w:t>
      </w:r>
      <w:r>
        <w:rPr>
          <w:spacing w:val="-84"/>
        </w:rPr>
        <w:t> </w:t>
      </w:r>
      <w:r>
        <w:rPr>
          <w:spacing w:val="-84"/>
        </w:rPr>
      </w:r>
      <w:r>
        <w:rPr/>
        <w:t>资产或者承担带息债务形式发生的支出；</w:t>
      </w:r>
    </w:p>
    <w:p>
      <w:pPr>
        <w:pStyle w:val="BodyText"/>
        <w:spacing w:line="240" w:lineRule="auto" w:before="31"/>
        <w:ind w:left="1372"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1372"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309" w:lineRule="auto" w:before="63"/>
        <w:ind w:left="1372" w:right="108"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62"/>
          <w:sz w:val="18"/>
          <w:szCs w:val="18"/>
        </w:rPr>
        <w:t> </w:t>
      </w:r>
      <w:r>
        <w:rPr>
          <w:rFonts w:ascii="宋体" w:hAnsi="宋体" w:cs="宋体" w:eastAsia="宋体" w:hint="default"/>
          <w:b/>
          <w:bCs/>
          <w:sz w:val="18"/>
          <w:szCs w:val="18"/>
        </w:rPr>
        <w:t>借款费用资本化期间</w:t>
      </w:r>
      <w:r>
        <w:rPr>
          <w:rFonts w:ascii="宋体" w:hAnsi="宋体" w:cs="宋体" w:eastAsia="宋体" w:hint="default"/>
          <w:b/>
          <w:bCs/>
          <w:w w:val="99"/>
          <w:sz w:val="18"/>
          <w:szCs w:val="18"/>
        </w:rPr>
        <w:t> </w:t>
      </w:r>
      <w:r>
        <w:rPr>
          <w:rFonts w:ascii="宋体" w:hAnsi="宋体" w:cs="宋体" w:eastAsia="宋体" w:hint="default"/>
          <w:spacing w:val="-2"/>
          <w:sz w:val="18"/>
          <w:szCs w:val="18"/>
        </w:rPr>
        <w:t>资本化期间，指从借款费用开始资本化时点到停止资本化时点的期间，借款费用暂停资本化的期间不包括在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内。</w:t>
      </w:r>
    </w:p>
    <w:p>
      <w:pPr>
        <w:spacing w:after="0" w:line="309" w:lineRule="auto"/>
        <w:jc w:val="left"/>
        <w:rPr>
          <w:rFonts w:ascii="宋体" w:hAnsi="宋体" w:cs="宋体" w:eastAsia="宋体" w:hint="default"/>
          <w:sz w:val="18"/>
          <w:szCs w:val="18"/>
        </w:rPr>
        <w:sectPr>
          <w:pgSz w:w="11910" w:h="16840"/>
          <w:pgMar w:header="878" w:footer="1225" w:top="1100" w:bottom="1420" w:left="1020" w:right="1020"/>
        </w:sectPr>
      </w:pPr>
    </w:p>
    <w:p>
      <w:pPr>
        <w:spacing w:line="240" w:lineRule="auto" w:before="1"/>
        <w:rPr>
          <w:rFonts w:ascii="宋体" w:hAnsi="宋体" w:cs="宋体" w:eastAsia="宋体" w:hint="default"/>
          <w:sz w:val="22"/>
          <w:szCs w:val="22"/>
        </w:rPr>
      </w:pPr>
    </w:p>
    <w:p>
      <w:pPr>
        <w:pStyle w:val="BodyText"/>
        <w:spacing w:line="316" w:lineRule="auto" w:before="44"/>
        <w:ind w:left="1372" w:right="188"/>
        <w:jc w:val="left"/>
      </w:pPr>
      <w:r>
        <w:rPr/>
        <w:t>当购建或者生产符合资本化条件的资产达到预定可使用或者可销售状态时，借款费用停止资本化。 </w:t>
      </w:r>
      <w:r>
        <w:rPr>
          <w:spacing w:val="-2"/>
        </w:rPr>
        <w:t>当购建或者生产符合资本化条件的资产中部分项目分别完工且可单独使用时，该部分资产借款费用停止资本</w:t>
      </w:r>
      <w:r>
        <w:rPr>
          <w:spacing w:val="-78"/>
        </w:rPr>
        <w:t> </w:t>
      </w:r>
      <w:r>
        <w:rPr>
          <w:spacing w:val="-78"/>
        </w:rPr>
      </w:r>
      <w:r>
        <w:rPr/>
        <w:t>化。 </w:t>
      </w:r>
      <w:r>
        <w:rPr>
          <w:spacing w:val="-2"/>
        </w:rPr>
        <w:t>购建或者生产的资产的各部分分别完工，但必须等到整体完工后才可使用或可对外销售的，在该资产整体完</w:t>
      </w:r>
      <w:r>
        <w:rPr>
          <w:spacing w:val="-78"/>
        </w:rPr>
        <w:t> </w:t>
      </w:r>
      <w:r>
        <w:rPr>
          <w:spacing w:val="-78"/>
        </w:rPr>
      </w:r>
      <w:r>
        <w:rPr/>
        <w:t>工时停止借款费用资本化。</w:t>
      </w:r>
    </w:p>
    <w:p>
      <w:pPr>
        <w:pStyle w:val="BodyText"/>
        <w:spacing w:line="309" w:lineRule="auto" w:before="19"/>
        <w:ind w:left="1372" w:right="184" w:hanging="3"/>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w:t>
      </w:r>
      <w:r>
        <w:rPr>
          <w:spacing w:val="-88"/>
        </w:rPr>
        <w:t> </w:t>
      </w:r>
      <w:r>
        <w:rPr>
          <w:spacing w:val="-88"/>
        </w:rPr>
      </w:r>
      <w:r>
        <w:rPr>
          <w:spacing w:val="-2"/>
        </w:rPr>
        <w:t>暂停资本化；该项中断如是所购建或生产的符合资本化条件的资产达到预定可使用状态或者可销售状态必要</w:t>
      </w:r>
      <w:r>
        <w:rPr>
          <w:spacing w:val="-81"/>
        </w:rPr>
        <w:t> </w:t>
      </w:r>
      <w:r>
        <w:rPr>
          <w:spacing w:val="-81"/>
        </w:rPr>
      </w:r>
      <w:r>
        <w:rPr>
          <w:spacing w:val="-2"/>
        </w:rPr>
        <w:t>的程序，则借款费用继续资本化。在中断期间发生的借款费用确认为当期损益，直至资产的购建或者生产活</w:t>
      </w:r>
      <w:r>
        <w:rPr>
          <w:spacing w:val="-80"/>
        </w:rPr>
        <w:t> </w:t>
      </w:r>
      <w:r>
        <w:rPr>
          <w:spacing w:val="-80"/>
        </w:rPr>
      </w:r>
      <w:r>
        <w:rPr/>
        <w:t>动重新开始后借款费用继续资本化。</w:t>
      </w:r>
    </w:p>
    <w:p>
      <w:pPr>
        <w:pStyle w:val="BodyText"/>
        <w:spacing w:line="314" w:lineRule="auto" w:before="24"/>
        <w:ind w:left="1372" w:right="188" w:hanging="3"/>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2"/>
        </w:rPr>
        <w:t>对于为购建或者生产符合资本化条件的资产而借入的专门借款，以专门借款当期实际发生的借款费用，减去</w:t>
      </w:r>
      <w:r>
        <w:rPr>
          <w:spacing w:val="-81"/>
        </w:rPr>
        <w:t> </w:t>
      </w:r>
      <w:r>
        <w:rPr>
          <w:spacing w:val="-81"/>
        </w:rPr>
      </w:r>
      <w:r>
        <w:rPr>
          <w:spacing w:val="-2"/>
        </w:rPr>
        <w:t>尚未动用的借款资金存入银行取得的利息收入或进行暂时性投资取得的投资收益后的金额，来确定借款费用</w:t>
      </w:r>
      <w:r>
        <w:rPr>
          <w:spacing w:val="-81"/>
        </w:rPr>
        <w:t> </w:t>
      </w:r>
      <w:r>
        <w:rPr>
          <w:spacing w:val="-81"/>
        </w:rPr>
      </w:r>
      <w:r>
        <w:rPr/>
        <w:t>的资本化金额。 </w:t>
      </w:r>
      <w:r>
        <w:rPr>
          <w:spacing w:val="-2"/>
        </w:rPr>
        <w:t>对于为购建或者生产符合资本化条件的资产而占用的一般借款，根据累计资产支出超过专门借款部分的资产</w:t>
      </w:r>
      <w:r>
        <w:rPr>
          <w:spacing w:val="-81"/>
        </w:rPr>
        <w:t> </w:t>
      </w:r>
      <w:r>
        <w:rPr>
          <w:spacing w:val="-81"/>
        </w:rPr>
      </w:r>
      <w:r>
        <w:rPr>
          <w:spacing w:val="-2"/>
        </w:rPr>
        <w:t>支出加权平均数乘以所占用一般借款的资本化率，计算确定一般借款应予资本化的借款费用金额。资本化率</w:t>
      </w:r>
      <w:r>
        <w:rPr>
          <w:spacing w:val="-81"/>
        </w:rPr>
        <w:t> </w:t>
      </w:r>
      <w:r>
        <w:rPr>
          <w:spacing w:val="-81"/>
        </w:rPr>
      </w:r>
      <w:r>
        <w:rPr/>
        <w:t>根据一般借款加权平均利率计算确定。</w:t>
      </w:r>
    </w:p>
    <w:p>
      <w:pPr>
        <w:spacing w:line="240" w:lineRule="auto" w:before="7"/>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6"/>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86"/>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86"/>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Heading7"/>
        <w:spacing w:line="240" w:lineRule="auto"/>
        <w:ind w:right="86"/>
        <w:jc w:val="left"/>
        <w:rPr>
          <w:b w:val="0"/>
          <w:bCs w:val="0"/>
        </w:rPr>
      </w:pPr>
      <w:r>
        <w:rPr>
          <w:rFonts w:ascii="Times New Roman" w:hAnsi="Times New Roman" w:cs="Times New Roman" w:eastAsia="Times New Roman" w:hint="default"/>
        </w:rPr>
        <w:t>1</w:t>
      </w:r>
      <w:r>
        <w:rPr/>
        <w:t>、</w:t>
      </w:r>
      <w:r>
        <w:rPr>
          <w:spacing w:val="57"/>
        </w:rPr>
        <w:t> </w:t>
      </w:r>
      <w:r>
        <w:rPr/>
        <w:t>无形资产的计价方法</w:t>
      </w:r>
      <w:r>
        <w:rPr>
          <w:b w:val="0"/>
          <w:bCs w:val="0"/>
        </w:rPr>
      </w:r>
    </w:p>
    <w:p>
      <w:pPr>
        <w:pStyle w:val="BodyText"/>
        <w:spacing w:line="316" w:lineRule="auto" w:before="63"/>
        <w:ind w:left="1372" w:right="86"/>
        <w:jc w:val="left"/>
      </w:pPr>
      <w:r>
        <w:rPr/>
        <w:t>（</w:t>
      </w:r>
      <w:r>
        <w:rPr>
          <w:rFonts w:ascii="Times New Roman" w:hAnsi="Times New Roman" w:cs="Times New Roman" w:eastAsia="Times New Roman" w:hint="default"/>
        </w:rPr>
        <w:t>1</w:t>
      </w:r>
      <w:r>
        <w:rPr/>
        <w:t>）公司取得无形资产时按成本进行初始计量； </w:t>
      </w:r>
      <w:r>
        <w:rPr>
          <w:spacing w:val="-4"/>
        </w:rPr>
        <w:t>外购无形资产的成本，包括购买价款、相关税费以及直接归属于使该项资产达到预定用途所发生的其他支出。</w:t>
      </w:r>
      <w:r>
        <w:rPr>
          <w:spacing w:val="-69"/>
        </w:rPr>
        <w:t> </w:t>
      </w:r>
      <w:r>
        <w:rPr>
          <w:spacing w:val="-69"/>
        </w:rPr>
      </w:r>
      <w:r>
        <w:rPr>
          <w:spacing w:val="-2"/>
        </w:rPr>
        <w:t>购买无形资产的价款超过正常信用条件延期支付，实质上具有融资性质的，无形资产的成本以购买价款的现</w:t>
      </w:r>
      <w:r>
        <w:rPr>
          <w:spacing w:val="-78"/>
        </w:rPr>
        <w:t> </w:t>
      </w:r>
      <w:r>
        <w:rPr>
          <w:spacing w:val="-78"/>
        </w:rPr>
      </w:r>
      <w:r>
        <w:rPr/>
        <w:t>值为基础确定。 </w:t>
      </w:r>
      <w:r>
        <w:rPr>
          <w:spacing w:val="-2"/>
        </w:rPr>
        <w:t>债务重组取得债务人用以抵债的无形资产，以该无形资产的公允价值为基础确定其入账价值，并将重组债务</w:t>
      </w:r>
      <w:r>
        <w:rPr>
          <w:spacing w:val="-78"/>
        </w:rPr>
        <w:t> </w:t>
      </w:r>
      <w:r>
        <w:rPr>
          <w:spacing w:val="-78"/>
        </w:rPr>
      </w:r>
      <w:r>
        <w:rPr/>
        <w:t>的账面价值与该用以抵债的无形资产公允价值之间的差额，计入当期损益。 </w:t>
      </w:r>
      <w:r>
        <w:rPr>
          <w:spacing w:val="-2"/>
        </w:rPr>
        <w:t>在非货币性资产交换具备商业实质且换入资产或换出资产的公允价值能够可靠计量的前提下，非货币性资产</w:t>
      </w:r>
      <w:r>
        <w:rPr>
          <w:spacing w:val="-78"/>
        </w:rPr>
        <w:t> </w:t>
      </w:r>
      <w:r>
        <w:rPr>
          <w:spacing w:val="-78"/>
        </w:rPr>
      </w:r>
      <w:r>
        <w:rPr>
          <w:spacing w:val="-2"/>
        </w:rPr>
        <w:t>交换换入的无形资产以换出资产的公允价值为基础确定其入账价值，除非有确凿证据表明换入资产的公允价</w:t>
      </w:r>
      <w:r>
        <w:rPr>
          <w:spacing w:val="-78"/>
        </w:rPr>
        <w:t> </w:t>
      </w:r>
      <w:r>
        <w:rPr>
          <w:spacing w:val="-78"/>
        </w:rPr>
      </w:r>
      <w:r>
        <w:rPr>
          <w:spacing w:val="-2"/>
        </w:rPr>
        <w:t>值更加可靠；不满足上述前提的非货币性资产交换，以换出资产的账面价值和应支付的相关税费作为换入无</w:t>
      </w:r>
      <w:r>
        <w:rPr>
          <w:spacing w:val="-78"/>
        </w:rPr>
        <w:t> </w:t>
      </w:r>
      <w:r>
        <w:rPr>
          <w:spacing w:val="-78"/>
        </w:rPr>
      </w:r>
      <w:r>
        <w:rPr/>
        <w:t>形资产的成本，不确认损益。</w:t>
      </w:r>
    </w:p>
    <w:p>
      <w:pPr>
        <w:pStyle w:val="BodyText"/>
        <w:spacing w:line="300" w:lineRule="auto" w:before="19"/>
        <w:ind w:left="1372" w:right="5314"/>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left="1372" w:right="188"/>
        <w:jc w:val="left"/>
      </w:pPr>
      <w:r>
        <w:rPr>
          <w:spacing w:val="-2"/>
        </w:rPr>
        <w:t>对于使用寿命有限的无形资产，在为企业带来经济利益的期限内按直线法摊销；无法预见无形资产为企业带</w:t>
      </w:r>
      <w:r>
        <w:rPr>
          <w:spacing w:val="-78"/>
        </w:rPr>
        <w:t> </w:t>
      </w:r>
      <w:r>
        <w:rPr>
          <w:spacing w:val="-78"/>
        </w:rPr>
      </w:r>
      <w:r>
        <w:rPr/>
        <w:t>来经济利益期限的，视为使用寿命不确定的无形资产，不予摊销。</w:t>
      </w:r>
    </w:p>
    <w:p>
      <w:pPr>
        <w:pStyle w:val="Heading7"/>
        <w:spacing w:line="240" w:lineRule="auto" w:before="19"/>
        <w:ind w:right="86"/>
        <w:jc w:val="left"/>
        <w:rPr>
          <w:b w:val="0"/>
          <w:bCs w:val="0"/>
        </w:rPr>
      </w:pPr>
      <w:r>
        <w:rPr>
          <w:rFonts w:ascii="Times New Roman" w:hAnsi="Times New Roman" w:cs="Times New Roman" w:eastAsia="Times New Roman" w:hint="default"/>
        </w:rPr>
        <w:t>2</w:t>
      </w:r>
      <w:r>
        <w:rPr/>
        <w:t>、</w:t>
      </w:r>
      <w:r>
        <w:rPr>
          <w:spacing w:val="57"/>
        </w:rPr>
        <w:t> </w:t>
      </w:r>
      <w:r>
        <w:rPr/>
        <w:t>使用寿命有限的无形资产的使用寿命估计情况：</w:t>
      </w:r>
      <w:r>
        <w:rPr>
          <w:b w:val="0"/>
          <w:bCs w:val="0"/>
        </w:rPr>
      </w:r>
    </w:p>
    <w:p>
      <w:pPr>
        <w:spacing w:line="240" w:lineRule="auto" w:before="12"/>
        <w:rPr>
          <w:rFonts w:ascii="宋体" w:hAnsi="宋体" w:cs="宋体" w:eastAsia="宋体" w:hint="default"/>
          <w:b/>
          <w:bCs/>
          <w:sz w:val="3"/>
          <w:szCs w:val="3"/>
        </w:rPr>
      </w:pPr>
    </w:p>
    <w:tbl>
      <w:tblPr>
        <w:tblW w:w="0" w:type="auto"/>
        <w:jc w:val="left"/>
        <w:tblInd w:w="1385" w:type="dxa"/>
        <w:tblLayout w:type="fixed"/>
        <w:tblCellMar>
          <w:top w:w="0" w:type="dxa"/>
          <w:left w:w="0" w:type="dxa"/>
          <w:bottom w:w="0" w:type="dxa"/>
          <w:right w:w="0" w:type="dxa"/>
        </w:tblCellMar>
        <w:tblLook w:val="01E0"/>
      </w:tblPr>
      <w:tblGrid>
        <w:gridCol w:w="1276"/>
        <w:gridCol w:w="1559"/>
        <w:gridCol w:w="5528"/>
      </w:tblGrid>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3-10</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合同权利并预计给企业带来经济利益的期限</w:t>
            </w:r>
          </w:p>
        </w:tc>
      </w:tr>
    </w:tbl>
    <w:p>
      <w:pPr>
        <w:spacing w:after="0" w:line="240" w:lineRule="auto"/>
        <w:jc w:val="left"/>
        <w:rPr>
          <w:rFonts w:ascii="宋体" w:hAnsi="宋体" w:cs="宋体" w:eastAsia="宋体" w:hint="default"/>
          <w:sz w:val="18"/>
          <w:szCs w:val="18"/>
        </w:rPr>
        <w:sectPr>
          <w:pgSz w:w="11910" w:h="16840"/>
          <w:pgMar w:header="878" w:footer="1225" w:top="1100" w:bottom="1420" w:left="1020" w:right="940"/>
        </w:sectPr>
      </w:pPr>
    </w:p>
    <w:p>
      <w:pPr>
        <w:spacing w:line="240" w:lineRule="auto" w:before="8"/>
        <w:rPr>
          <w:rFonts w:ascii="宋体" w:hAnsi="宋体" w:cs="宋体" w:eastAsia="宋体" w:hint="default"/>
          <w:b/>
          <w:bCs/>
          <w:sz w:val="24"/>
          <w:szCs w:val="24"/>
        </w:rPr>
      </w:pPr>
    </w:p>
    <w:tbl>
      <w:tblPr>
        <w:tblW w:w="0" w:type="auto"/>
        <w:jc w:val="left"/>
        <w:tblInd w:w="1385" w:type="dxa"/>
        <w:tblLayout w:type="fixed"/>
        <w:tblCellMar>
          <w:top w:w="0" w:type="dxa"/>
          <w:left w:w="0" w:type="dxa"/>
          <w:bottom w:w="0" w:type="dxa"/>
          <w:right w:w="0" w:type="dxa"/>
        </w:tblCellMar>
        <w:tblLook w:val="01E0"/>
      </w:tblPr>
      <w:tblGrid>
        <w:gridCol w:w="1276"/>
        <w:gridCol w:w="1559"/>
        <w:gridCol w:w="5528"/>
      </w:tblGrid>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合同期限以及预计给企业带来经济利息的期限孰短</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合同权利</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5-10</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预计给企业带来经济利益的期限</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5-10</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合同权利并预计给企业带来经济利益的期限</w:t>
            </w:r>
          </w:p>
        </w:tc>
      </w:tr>
    </w:tbl>
    <w:p>
      <w:pPr>
        <w:pStyle w:val="BodyText"/>
        <w:spacing w:line="316" w:lineRule="auto" w:before="11"/>
        <w:ind w:left="1372" w:right="2614"/>
        <w:jc w:val="left"/>
      </w:pPr>
      <w:r>
        <w:rPr/>
        <w:t>每年度终了，对使用寿命有限的无形资产的使用寿命及摊销方法进行复核。 经复核，本年期末无形资产的使用寿命及摊销方法与以前估计未有不同。</w:t>
      </w:r>
    </w:p>
    <w:p>
      <w:pPr>
        <w:spacing w:line="300" w:lineRule="auto" w:before="19"/>
        <w:ind w:left="1372" w:right="2358"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55"/>
          <w:sz w:val="18"/>
          <w:szCs w:val="18"/>
        </w:rPr>
        <w:t> </w:t>
      </w:r>
      <w:r>
        <w:rPr>
          <w:rFonts w:ascii="宋体" w:hAnsi="宋体" w:cs="宋体" w:eastAsia="宋体" w:hint="default"/>
          <w:b/>
          <w:bCs/>
          <w:sz w:val="18"/>
          <w:szCs w:val="18"/>
        </w:rPr>
        <w:t>使用寿命不确定的无形资产的判断依据以及对其使用寿命进行复核的程序</w:t>
      </w:r>
      <w:r>
        <w:rPr>
          <w:rFonts w:ascii="宋体" w:hAnsi="宋体" w:cs="宋体" w:eastAsia="宋体" w:hint="default"/>
          <w:b/>
          <w:bCs/>
          <w:w w:val="99"/>
          <w:sz w:val="18"/>
          <w:szCs w:val="18"/>
        </w:rPr>
        <w:t> </w:t>
      </w:r>
      <w:r>
        <w:rPr>
          <w:rFonts w:ascii="宋体" w:hAnsi="宋体" w:cs="宋体" w:eastAsia="宋体" w:hint="default"/>
          <w:sz w:val="18"/>
          <w:szCs w:val="18"/>
        </w:rPr>
        <w:t>截至资产负债表日，本公司没有使用寿命不确定的无形资产。</w:t>
      </w:r>
    </w:p>
    <w:p>
      <w:pPr>
        <w:pStyle w:val="BodyText"/>
        <w:spacing w:line="314" w:lineRule="auto" w:before="31"/>
        <w:ind w:left="1372" w:right="94"/>
        <w:jc w:val="left"/>
      </w:pPr>
      <w:r>
        <w:rPr>
          <w:rFonts w:ascii="Times New Roman" w:hAnsi="Times New Roman" w:cs="Times New Roman" w:eastAsia="Times New Roman" w:hint="default"/>
          <w:b/>
          <w:bCs/>
        </w:rPr>
        <w:t>4</w:t>
      </w:r>
      <w:r>
        <w:rPr>
          <w:rFonts w:ascii="宋体" w:hAnsi="宋体" w:cs="宋体" w:eastAsia="宋体" w:hint="default"/>
          <w:b/>
          <w:bCs/>
        </w:rPr>
        <w:t>、减值测试</w:t>
      </w:r>
      <w:r>
        <w:rPr>
          <w:rFonts w:ascii="宋体" w:hAnsi="宋体" w:cs="宋体" w:eastAsia="宋体" w:hint="default"/>
          <w:b/>
          <w:bCs/>
          <w:w w:val="99"/>
        </w:rPr>
        <w:t> </w:t>
      </w:r>
      <w:r>
        <w:rPr>
          <w:spacing w:val="-2"/>
        </w:rPr>
        <w:t>公司于资产负债表日对无形资产进行减值测试，判断是否存在减值迹象，减值测试结果表明资产的可收回金</w:t>
      </w:r>
      <w:r>
        <w:rPr>
          <w:spacing w:val="-78"/>
        </w:rPr>
        <w:t> </w:t>
      </w:r>
      <w:r>
        <w:rPr>
          <w:spacing w:val="-78"/>
        </w:rPr>
      </w:r>
      <w:r>
        <w:rPr>
          <w:spacing w:val="-2"/>
        </w:rPr>
        <w:t>额低于其账面价值的，按其差额计提减值准备并计入减值损失。可收回金额为资产的公允价值减去处置费用</w:t>
      </w:r>
      <w:r>
        <w:rPr>
          <w:spacing w:val="-78"/>
        </w:rPr>
        <w:t> </w:t>
      </w:r>
      <w:r>
        <w:rPr>
          <w:spacing w:val="-78"/>
        </w:rPr>
      </w:r>
      <w:r>
        <w:rPr/>
        <w:t>后的净额与资产预计未来现金流量的现值两者之间的较高者。资产减值准备按单项资产为基础计算并确认， </w:t>
      </w:r>
      <w:r>
        <w:rPr>
          <w:spacing w:val="-2"/>
        </w:rPr>
        <w:t>如果难以对单项资产的可收回金额进行估计的，以该资产所属的资产组确定资产组的可收回金额。资产组是</w:t>
      </w:r>
      <w:r>
        <w:rPr>
          <w:spacing w:val="-78"/>
        </w:rPr>
        <w:t> </w:t>
      </w:r>
      <w:r>
        <w:rPr>
          <w:spacing w:val="-78"/>
        </w:rPr>
      </w:r>
      <w:r>
        <w:rPr/>
        <w:t>能够独立产生现金流入的最小资产组合。</w:t>
      </w:r>
    </w:p>
    <w:p>
      <w:pPr>
        <w:spacing w:line="240" w:lineRule="auto" w:before="7"/>
        <w:rPr>
          <w:rFonts w:ascii="宋体" w:hAnsi="宋体" w:cs="宋体" w:eastAsia="宋体" w:hint="default"/>
          <w:sz w:val="22"/>
          <w:szCs w:val="22"/>
        </w:rPr>
      </w:pPr>
    </w:p>
    <w:p>
      <w:pPr>
        <w:pStyle w:val="Heading5"/>
        <w:spacing w:line="240" w:lineRule="auto"/>
        <w:ind w:right="86"/>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1372" w:right="188" w:hanging="3"/>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w:t>
      </w:r>
      <w:r>
        <w:rPr>
          <w:spacing w:val="-80"/>
        </w:rPr>
        <w:t> </w:t>
      </w:r>
      <w:r>
        <w:rPr>
          <w:spacing w:val="-80"/>
        </w:rPr>
      </w:r>
      <w:r>
        <w:rPr/>
        <w:t>有实质性改进的材料、装置、产品等活动的阶段。</w:t>
      </w:r>
    </w:p>
    <w:p>
      <w:pPr>
        <w:spacing w:line="300" w:lineRule="auto" w:before="20"/>
        <w:ind w:left="1372" w:right="274"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62"/>
          <w:sz w:val="18"/>
          <w:szCs w:val="18"/>
        </w:rPr>
        <w:t> </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公司根据实际情况，对于内部研究开发项目开发阶段的支出在同时满足以下五个条件时确认为无形资产：</w:t>
      </w:r>
    </w:p>
    <w:p>
      <w:pPr>
        <w:pStyle w:val="BodyText"/>
        <w:spacing w:line="300" w:lineRule="auto" w:before="31"/>
        <w:ind w:left="1372" w:right="184"/>
        <w:jc w:val="left"/>
      </w:pPr>
      <w:r>
        <w:rPr/>
        <w:t>（</w:t>
      </w:r>
      <w:r>
        <w:rPr>
          <w:rFonts w:ascii="Times New Roman" w:hAnsi="Times New Roman" w:cs="Times New Roman" w:eastAsia="Times New Roman" w:hint="default"/>
        </w:rPr>
        <w:t>1</w:t>
      </w:r>
      <w:r>
        <w:rPr/>
        <w:t>）公司对该项目方案所采用技术的分析，从技术的角度讲是完全能够生产出产品的，且公司已经对该项</w:t>
      </w:r>
      <w:r>
        <w:rPr>
          <w:spacing w:val="-84"/>
        </w:rPr>
        <w:t> </w:t>
      </w:r>
      <w:r>
        <w:rPr>
          <w:spacing w:val="-84"/>
        </w:rPr>
      </w:r>
      <w:r>
        <w:rPr/>
        <w:t>目方案所需采用的技术进行了充分的分析论证和测试，即该项目从技术的角度来讲完全是可行的；</w:t>
      </w:r>
    </w:p>
    <w:p>
      <w:pPr>
        <w:pStyle w:val="BodyText"/>
        <w:spacing w:line="300" w:lineRule="auto" w:before="31"/>
        <w:ind w:left="1372" w:right="190"/>
        <w:jc w:val="both"/>
      </w:pPr>
      <w:r>
        <w:rPr/>
        <w:t>（</w:t>
      </w:r>
      <w:r>
        <w:rPr>
          <w:rFonts w:ascii="Times New Roman" w:hAnsi="Times New Roman" w:cs="Times New Roman" w:eastAsia="Times New Roman" w:hint="default"/>
        </w:rPr>
        <w:t>2</w:t>
      </w:r>
      <w:r>
        <w:rPr/>
        <w:t>）公司在完成项目方案的开发，取得技术成功并形成样品后交由部分下游客户试用，能够带来稳定的经</w:t>
      </w:r>
      <w:r>
        <w:rPr>
          <w:spacing w:val="-84"/>
        </w:rPr>
        <w:t> </w:t>
      </w:r>
      <w:r>
        <w:rPr>
          <w:spacing w:val="-84"/>
        </w:rPr>
      </w:r>
      <w:r>
        <w:rPr/>
        <w:t>济效益。对于经济效益的评价，公司在确认直接经济效益达到或超过项目投入</w:t>
      </w:r>
      <w:r>
        <w:rPr>
          <w:rFonts w:ascii="Times New Roman" w:hAnsi="Times New Roman" w:cs="Times New Roman" w:eastAsia="Times New Roman" w:hint="default"/>
        </w:rPr>
        <w:t>(</w:t>
      </w:r>
      <w:r>
        <w:rPr/>
        <w:t>包括项目研发阶段和项目市</w:t>
      </w:r>
      <w:r>
        <w:rPr>
          <w:spacing w:val="-57"/>
        </w:rPr>
        <w:t> </w:t>
      </w:r>
      <w:r>
        <w:rPr>
          <w:spacing w:val="-57"/>
        </w:rPr>
      </w:r>
      <w:r>
        <w:rPr/>
        <w:t>场化开发阶段</w:t>
      </w:r>
      <w:r>
        <w:rPr>
          <w:rFonts w:ascii="Times New Roman" w:hAnsi="Times New Roman" w:cs="Times New Roman" w:eastAsia="Times New Roman" w:hint="default"/>
        </w:rPr>
        <w:t>)</w:t>
      </w:r>
      <w:r>
        <w:rPr/>
        <w:t>的所有成本时，认为该项目的市场化开发达到预定的经济效益；</w:t>
      </w:r>
    </w:p>
    <w:p>
      <w:pPr>
        <w:pStyle w:val="BodyText"/>
        <w:spacing w:line="300" w:lineRule="auto" w:before="13"/>
        <w:ind w:left="1372" w:right="184"/>
        <w:jc w:val="left"/>
      </w:pPr>
      <w:r>
        <w:rPr/>
        <w:t>（</w:t>
      </w:r>
      <w:r>
        <w:rPr>
          <w:rFonts w:ascii="Times New Roman" w:hAnsi="Times New Roman" w:cs="Times New Roman" w:eastAsia="Times New Roman" w:hint="default"/>
        </w:rPr>
        <w:t>3</w:t>
      </w:r>
      <w:r>
        <w:rPr/>
        <w:t>）本公司市场部通过市场调研，确认该项目方案进入市场化开发阶段后三年内，能够持续为本公司带来</w:t>
      </w:r>
      <w:r>
        <w:rPr>
          <w:spacing w:val="-84"/>
        </w:rPr>
        <w:t> </w:t>
      </w:r>
      <w:r>
        <w:rPr>
          <w:spacing w:val="-84"/>
        </w:rPr>
      </w:r>
      <w:r>
        <w:rPr/>
        <w:t>稳定的收益；</w:t>
      </w:r>
    </w:p>
    <w:p>
      <w:pPr>
        <w:pStyle w:val="BodyText"/>
        <w:spacing w:line="300" w:lineRule="auto" w:before="31"/>
        <w:ind w:left="1372" w:right="184"/>
        <w:jc w:val="left"/>
      </w:pPr>
      <w:r>
        <w:rPr/>
        <w:t>（</w:t>
      </w:r>
      <w:r>
        <w:rPr>
          <w:rFonts w:ascii="Times New Roman" w:hAnsi="Times New Roman" w:cs="Times New Roman" w:eastAsia="Times New Roman" w:hint="default"/>
        </w:rPr>
        <w:t>4</w:t>
      </w:r>
      <w:r>
        <w:rPr/>
        <w:t>）本公司研发中心、市场部配备专业人员来完成开发和推广，同时本公司财务部门在年度的预算中也为</w:t>
      </w:r>
      <w:r>
        <w:rPr>
          <w:spacing w:val="-84"/>
        </w:rPr>
        <w:t> </w:t>
      </w:r>
      <w:r>
        <w:rPr>
          <w:spacing w:val="-84"/>
        </w:rPr>
      </w:r>
      <w:r>
        <w:rPr/>
        <w:t>项目技术方案开发及市场化开发阶段提供了资金预算，从人、财、物上保证项目的顺利开发；</w:t>
      </w:r>
    </w:p>
    <w:p>
      <w:pPr>
        <w:pStyle w:val="BodyText"/>
        <w:spacing w:line="312" w:lineRule="auto" w:before="31"/>
        <w:ind w:left="1372" w:right="86"/>
        <w:jc w:val="left"/>
      </w:pPr>
      <w:r>
        <w:rPr/>
        <w:t>（</w:t>
      </w:r>
      <w:r>
        <w:rPr>
          <w:rFonts w:ascii="Times New Roman" w:hAnsi="Times New Roman" w:cs="Times New Roman" w:eastAsia="Times New Roman" w:hint="default"/>
        </w:rPr>
        <w:t>5</w:t>
      </w:r>
      <w:r>
        <w:rPr/>
        <w:t>）本公司对各个研发项目方案，已经按照直接人工、直接材料投入、设计费、试制费、折旧摊销、调试</w:t>
      </w:r>
      <w:r>
        <w:rPr>
          <w:spacing w:val="-84"/>
        </w:rPr>
        <w:t> </w:t>
      </w:r>
      <w:r>
        <w:rPr>
          <w:spacing w:val="-84"/>
        </w:rPr>
      </w:r>
      <w:r>
        <w:rPr>
          <w:spacing w:val="-2"/>
        </w:rPr>
        <w:t>费等费用明细进行归集，在核算过程中，如果发生的某笔费用系为多个项目而发生，能够按照一定比例分摊</w:t>
      </w:r>
      <w:r>
        <w:rPr>
          <w:spacing w:val="-77"/>
        </w:rPr>
        <w:t> </w:t>
      </w:r>
      <w:r>
        <w:rPr>
          <w:spacing w:val="-77"/>
        </w:rPr>
      </w:r>
      <w:r>
        <w:rPr/>
        <w:t>的，分摊后归集到该项目中，不能够按照一定比例分摊的，则直接计入当期管理费用。 </w:t>
      </w:r>
      <w:r>
        <w:rPr>
          <w:spacing w:val="-4"/>
        </w:rPr>
        <w:t>只有同时符合以上五个条件，公司才将开发阶段的支出资本化，不满足上述条件的开发支出，计入当期损益。</w:t>
      </w:r>
    </w:p>
    <w:p>
      <w:pPr>
        <w:spacing w:line="240" w:lineRule="auto" w:before="12"/>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72" w:right="189"/>
        <w:jc w:val="both"/>
      </w:pPr>
      <w:r>
        <w:rPr>
          <w:spacing w:val="-2"/>
        </w:rPr>
        <w:t>长期股权投资、采用成本模式计量的投资性房地产、固定资产、在建工程、无形资产等长期资产，于资产负</w:t>
      </w:r>
      <w:r>
        <w:rPr>
          <w:spacing w:val="-75"/>
        </w:rPr>
        <w:t> </w:t>
      </w:r>
      <w:r>
        <w:rPr>
          <w:spacing w:val="-75"/>
        </w:rPr>
      </w:r>
      <w:r>
        <w:rPr>
          <w:spacing w:val="-2"/>
        </w:rPr>
        <w:t>债表日存在减值迹象的，进行减值测试。减值测试结果表明资产的可收回金额低于其账面价值的，按其差额</w:t>
      </w:r>
      <w:r>
        <w:rPr>
          <w:spacing w:val="-79"/>
        </w:rPr>
        <w:t> </w:t>
      </w:r>
      <w:r>
        <w:rPr>
          <w:spacing w:val="-79"/>
        </w:rPr>
      </w:r>
      <w:r>
        <w:rPr>
          <w:spacing w:val="-2"/>
        </w:rPr>
        <w:t>计提减值准备并计入减值损失。可收回金额为资产的公允价值减去处置费用后的净额与资产预计未来现金流</w:t>
      </w:r>
      <w:r>
        <w:rPr>
          <w:spacing w:val="-78"/>
        </w:rPr>
        <w:t> </w:t>
      </w:r>
      <w:r>
        <w:rPr>
          <w:spacing w:val="-78"/>
        </w:rPr>
      </w:r>
      <w:r>
        <w:rPr>
          <w:spacing w:val="-2"/>
        </w:rPr>
        <w:t>量的现值两者之间的较高者。资产减值准备按单项资产为基础计算并确认，如果难以对单项资产的可收回金</w:t>
      </w:r>
    </w:p>
    <w:p>
      <w:pPr>
        <w:spacing w:after="0" w:line="316" w:lineRule="auto"/>
        <w:jc w:val="both"/>
        <w:sectPr>
          <w:pgSz w:w="11910" w:h="16840"/>
          <w:pgMar w:header="878" w:footer="1225" w:top="1100" w:bottom="1420" w:left="1020" w:right="940"/>
        </w:sectPr>
      </w:pPr>
    </w:p>
    <w:p>
      <w:pPr>
        <w:spacing w:line="240" w:lineRule="auto" w:before="1"/>
        <w:rPr>
          <w:rFonts w:ascii="宋体" w:hAnsi="宋体" w:cs="宋体" w:eastAsia="宋体" w:hint="default"/>
          <w:sz w:val="22"/>
          <w:szCs w:val="22"/>
        </w:rPr>
      </w:pPr>
    </w:p>
    <w:p>
      <w:pPr>
        <w:pStyle w:val="BodyText"/>
        <w:spacing w:line="316" w:lineRule="auto" w:before="44"/>
        <w:ind w:left="1372" w:right="188"/>
        <w:jc w:val="left"/>
      </w:pPr>
      <w:r>
        <w:rPr>
          <w:spacing w:val="-2"/>
        </w:rPr>
        <w:t>额进行估计的，以该资产所属的资产组确定资产组的可收回金额。资产组是能够独立产生现金流入的最小资</w:t>
      </w:r>
      <w:r>
        <w:rPr>
          <w:spacing w:val="-78"/>
        </w:rPr>
        <w:t> </w:t>
      </w:r>
      <w:r>
        <w:rPr>
          <w:spacing w:val="-78"/>
        </w:rPr>
      </w:r>
      <w:r>
        <w:rPr/>
        <w:t>产组合。</w:t>
      </w:r>
    </w:p>
    <w:p>
      <w:pPr>
        <w:pStyle w:val="BodyText"/>
        <w:spacing w:line="316" w:lineRule="auto" w:before="19"/>
        <w:ind w:left="1372" w:right="188"/>
        <w:jc w:val="left"/>
      </w:pPr>
      <w:r>
        <w:rPr/>
        <w:t>商誉至少在每年年度终了进行减值测试。 </w:t>
      </w:r>
      <w:r>
        <w:rPr>
          <w:spacing w:val="-2"/>
        </w:rPr>
        <w:t>本公司进行商誉减值测试，对于因企业合并形成的商誉的账面价值，自购买日起按照合理的方法分摊至相关</w:t>
      </w:r>
      <w:r>
        <w:rPr>
          <w:spacing w:val="-78"/>
        </w:rPr>
        <w:t> </w:t>
      </w:r>
      <w:r>
        <w:rPr>
          <w:spacing w:val="-78"/>
        </w:rPr>
      </w:r>
      <w:r>
        <w:rPr>
          <w:spacing w:val="-2"/>
        </w:rPr>
        <w:t>的资产组；难以分摊至相关的资产组的，将其分摊至相关的资产组组合。在将商誉的账面价值分摊至相关的</w:t>
      </w:r>
      <w:r>
        <w:rPr>
          <w:spacing w:val="-79"/>
        </w:rPr>
        <w:t> </w:t>
      </w:r>
      <w:r>
        <w:rPr>
          <w:spacing w:val="-79"/>
        </w:rPr>
      </w:r>
      <w:r>
        <w:rPr>
          <w:spacing w:val="-2"/>
        </w:rPr>
        <w:t>资产组或者资产组组合时，按照各资产组或者资产组组合的公允价值占相关资产组或者资产组组合公允价值</w:t>
      </w:r>
      <w:r>
        <w:rPr>
          <w:spacing w:val="-78"/>
        </w:rPr>
        <w:t> </w:t>
      </w:r>
      <w:r>
        <w:rPr>
          <w:spacing w:val="-78"/>
        </w:rPr>
      </w:r>
      <w:r>
        <w:rPr>
          <w:spacing w:val="-2"/>
        </w:rPr>
        <w:t>总额的比例进行分摊。公允价值难以可靠计量的，按照各资产组或者资产组组合的账面价值占相关资产组或</w:t>
      </w:r>
      <w:r>
        <w:rPr>
          <w:spacing w:val="-78"/>
        </w:rPr>
        <w:t> </w:t>
      </w:r>
      <w:r>
        <w:rPr>
          <w:spacing w:val="-78"/>
        </w:rPr>
      </w:r>
      <w:r>
        <w:rPr/>
        <w:t>者资产组组合账面价值总额的比例进行分摊。 </w:t>
      </w:r>
      <w:r>
        <w:rPr>
          <w:spacing w:val="-2"/>
        </w:rPr>
        <w:t>在对包含商誉的相关资产组或者资产组组合进行减值测试时，如与商誉相关的资产组或者资产组组合存在减</w:t>
      </w:r>
      <w:r>
        <w:rPr>
          <w:spacing w:val="-78"/>
        </w:rPr>
        <w:t> </w:t>
      </w:r>
      <w:r>
        <w:rPr>
          <w:spacing w:val="-78"/>
        </w:rPr>
      </w:r>
      <w:r>
        <w:rPr>
          <w:spacing w:val="-2"/>
        </w:rPr>
        <w:t>值迹象的，先对不包含商誉的资产组或者资产组组合进行减值测试，计算可收回金额，并与相关账面价值相</w:t>
      </w:r>
      <w:r>
        <w:rPr>
          <w:spacing w:val="-79"/>
        </w:rPr>
        <w:t> </w:t>
      </w:r>
      <w:r>
        <w:rPr>
          <w:spacing w:val="-79"/>
        </w:rPr>
      </w:r>
      <w:r>
        <w:rPr>
          <w:spacing w:val="-2"/>
        </w:rPr>
        <w:t>比较，确认相应的减值损失。再对包含商誉的资产组或者资产组组合进行减值测试，比较这些相关资产组或</w:t>
      </w:r>
      <w:r>
        <w:rPr>
          <w:spacing w:val="-79"/>
        </w:rPr>
        <w:t> </w:t>
      </w:r>
      <w:r>
        <w:rPr>
          <w:spacing w:val="-79"/>
        </w:rPr>
      </w:r>
      <w:r>
        <w:rPr>
          <w:spacing w:val="-2"/>
        </w:rPr>
        <w:t>者资产组组合的账面价值（包括所分摊的商誉的账面价值部分）与其可收回金额，如相关资产组或者资产组</w:t>
      </w:r>
      <w:r>
        <w:rPr>
          <w:spacing w:val="-79"/>
        </w:rPr>
        <w:t> </w:t>
      </w:r>
      <w:r>
        <w:rPr>
          <w:spacing w:val="-79"/>
        </w:rPr>
      </w:r>
      <w:r>
        <w:rPr/>
        <w:t>组合的可收回金额低于其账面价值的，确认商誉的减值损失。 上述资产减值损失一经确认，在以后会计期间不予转回。</w:t>
      </w:r>
    </w:p>
    <w:p>
      <w:pPr>
        <w:spacing w:line="240" w:lineRule="auto" w:before="6"/>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72" w:right="86"/>
        <w:jc w:val="left"/>
      </w:pPr>
      <w:r>
        <w:rPr/>
        <w:t>长期待摊费用为已经发生但应由本年和以后各期负担的分摊期限在一年以上的各项费用。</w:t>
      </w:r>
    </w:p>
    <w:p>
      <w:pPr>
        <w:spacing w:line="309" w:lineRule="auto" w:before="76"/>
        <w:ind w:left="1372" w:right="567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长期待摊费用在受益期内平均摊销。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摊销年限</w:t>
      </w:r>
      <w:r>
        <w:rPr>
          <w:rFonts w:ascii="宋体" w:hAnsi="宋体" w:cs="宋体" w:eastAsia="宋体" w:hint="default"/>
          <w:sz w:val="18"/>
          <w:szCs w:val="18"/>
        </w:rPr>
      </w:r>
    </w:p>
    <w:p>
      <w:pPr>
        <w:pStyle w:val="BodyText"/>
        <w:spacing w:line="240" w:lineRule="auto" w:before="5"/>
        <w:ind w:left="1372" w:right="86"/>
        <w:jc w:val="left"/>
      </w:pPr>
      <w:r>
        <w:rPr/>
        <w:t>有明确受益期的，在受益期内平均摊销；无明确受益期的，按</w:t>
      </w:r>
      <w:r>
        <w:rPr>
          <w:rFonts w:ascii="Times New Roman" w:hAnsi="Times New Roman" w:cs="Times New Roman" w:eastAsia="Times New Roman" w:hint="default"/>
        </w:rPr>
        <w:t>3-5</w:t>
      </w:r>
      <w:r>
        <w:rPr/>
        <w:t>年平均摊销。</w:t>
      </w:r>
    </w:p>
    <w:p>
      <w:pPr>
        <w:spacing w:line="240" w:lineRule="auto" w:before="13"/>
        <w:rPr>
          <w:rFonts w:ascii="宋体" w:hAnsi="宋体" w:cs="宋体" w:eastAsia="宋体" w:hint="default"/>
          <w:sz w:val="25"/>
          <w:szCs w:val="25"/>
        </w:rPr>
      </w:pPr>
    </w:p>
    <w:p>
      <w:pPr>
        <w:pStyle w:val="Heading5"/>
        <w:spacing w:line="240" w:lineRule="auto"/>
        <w:ind w:right="86"/>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86"/>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372" w:right="188"/>
        <w:jc w:val="left"/>
      </w:pPr>
      <w:r>
        <w:rPr>
          <w:spacing w:val="-2"/>
        </w:rPr>
        <w:t>本公司在职工为本公司提供服务的会计期间，将实际发生的短期薪酬确认为负债，并计入当期损益或相关资</w:t>
      </w:r>
      <w:r>
        <w:rPr>
          <w:spacing w:val="-78"/>
        </w:rPr>
        <w:t> </w:t>
      </w:r>
      <w:r>
        <w:rPr>
          <w:spacing w:val="-78"/>
        </w:rPr>
      </w:r>
      <w:r>
        <w:rPr/>
        <w:t>产成本。 </w:t>
      </w:r>
      <w:r>
        <w:rPr>
          <w:spacing w:val="-2"/>
        </w:rPr>
        <w:t>本公司为职工缴纳的社会保险费和住房公积金，以及按规定提取的工会经费和职工教育经费，在职工为本公</w:t>
      </w:r>
      <w:r>
        <w:rPr>
          <w:spacing w:val="-78"/>
        </w:rPr>
        <w:t> </w:t>
      </w:r>
      <w:r>
        <w:rPr>
          <w:spacing w:val="-78"/>
        </w:rPr>
      </w:r>
      <w:r>
        <w:rPr/>
        <w:t>司提供服务的会计期间，根据规定的计提基础和计提比例计算确定相应的职工薪酬金额。 职工福利费为非货币性福利的，如能够可靠计量的，按照公允价值计量。</w:t>
      </w:r>
    </w:p>
    <w:p>
      <w:pPr>
        <w:spacing w:line="240" w:lineRule="auto" w:before="6"/>
        <w:rPr>
          <w:rFonts w:ascii="宋体" w:hAnsi="宋体" w:cs="宋体" w:eastAsia="宋体" w:hint="default"/>
          <w:sz w:val="22"/>
          <w:szCs w:val="22"/>
        </w:rPr>
      </w:pPr>
    </w:p>
    <w:p>
      <w:pPr>
        <w:pStyle w:val="Heading5"/>
        <w:spacing w:line="240" w:lineRule="auto"/>
        <w:ind w:right="86"/>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1372" w:right="94"/>
        <w:jc w:val="left"/>
      </w:pPr>
      <w:r>
        <w:rPr/>
        <w:t>设定提存计划 本公司按当地政府的相关规定为职工缴纳基本养老保险和失业保险，在职工为本公司提供服务的会计期间， 按以当地规定的缴纳基数和比例计算应缴纳金额，确认为负债，并计入当期损益或相关资产成本。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4"/>
        <w:ind w:right="86"/>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72" w:right="188"/>
        <w:jc w:val="left"/>
      </w:pPr>
      <w:r>
        <w:rPr>
          <w:spacing w:val="-2"/>
        </w:rPr>
        <w:t>本公司在不能单方面撤回因解除劳动关系计划或裁减建议所提供的辞退福利时，或确认与涉及支付辞退福利</w:t>
      </w:r>
      <w:r>
        <w:rPr>
          <w:spacing w:val="-78"/>
        </w:rPr>
        <w:t> </w:t>
      </w:r>
      <w:r>
        <w:rPr>
          <w:spacing w:val="-78"/>
        </w:rPr>
      </w:r>
      <w:r>
        <w:rPr/>
        <w:t>的重组相关的成本或费用时（两者孰早），确认辞退福利产生的职工薪酬负债，并计入当期损益。</w:t>
      </w:r>
    </w:p>
    <w:p>
      <w:pPr>
        <w:spacing w:after="0" w:line="316" w:lineRule="auto"/>
        <w:jc w:val="left"/>
        <w:sectPr>
          <w:pgSz w:w="11910" w:h="16840"/>
          <w:pgMar w:header="878" w:footer="1225" w:top="1100" w:bottom="1420" w:left="1020" w:right="940"/>
        </w:sectPr>
      </w:pPr>
    </w:p>
    <w:p>
      <w:pPr>
        <w:spacing w:line="240" w:lineRule="auto" w:before="12"/>
        <w:rPr>
          <w:rFonts w:ascii="宋体" w:hAnsi="宋体" w:cs="宋体" w:eastAsia="宋体" w:hint="default"/>
          <w:sz w:val="20"/>
          <w:szCs w:val="20"/>
        </w:rPr>
      </w:pPr>
    </w:p>
    <w:p>
      <w:pPr>
        <w:pStyle w:val="Heading5"/>
        <w:spacing w:line="240" w:lineRule="auto" w:before="34"/>
        <w:ind w:right="86"/>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6"/>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spacing w:line="309" w:lineRule="auto" w:before="0"/>
        <w:ind w:left="1372" w:right="188"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62"/>
          <w:sz w:val="18"/>
          <w:szCs w:val="18"/>
        </w:rPr>
        <w:t> </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pacing w:val="-2"/>
          <w:sz w:val="18"/>
          <w:szCs w:val="18"/>
        </w:rPr>
        <w:t>与诉讼、债务担保、亏损合同、重组事项等或有事项相关的义务同时满足下列条件时，本公司确认为预计负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债：</w:t>
      </w:r>
    </w:p>
    <w:p>
      <w:pPr>
        <w:pStyle w:val="BodyText"/>
        <w:spacing w:line="240" w:lineRule="auto" w:before="24"/>
        <w:ind w:left="1372" w:right="86"/>
        <w:jc w:val="left"/>
      </w:pPr>
      <w:r>
        <w:rPr/>
        <w:t>（1）该义务是本公司承担的现时义务；</w:t>
      </w:r>
    </w:p>
    <w:p>
      <w:pPr>
        <w:pStyle w:val="BodyText"/>
        <w:spacing w:line="240" w:lineRule="auto" w:before="76"/>
        <w:ind w:left="1372" w:right="86"/>
        <w:jc w:val="left"/>
      </w:pPr>
      <w:r>
        <w:rPr/>
        <w:t>（2）履行该义务很可能导致经济利益流出本公司；</w:t>
      </w:r>
    </w:p>
    <w:p>
      <w:pPr>
        <w:pStyle w:val="BodyText"/>
        <w:spacing w:line="240" w:lineRule="auto" w:before="76"/>
        <w:ind w:left="1372" w:right="86"/>
        <w:jc w:val="left"/>
      </w:pPr>
      <w:r>
        <w:rPr/>
        <w:t>（3）该义务的金额能够可靠地计量。</w:t>
      </w:r>
    </w:p>
    <w:p>
      <w:pPr>
        <w:pStyle w:val="BodyText"/>
        <w:spacing w:line="316" w:lineRule="auto" w:before="76"/>
        <w:ind w:left="1372" w:right="94" w:hanging="3"/>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w:t>
      </w:r>
      <w:r>
        <w:rPr>
          <w:spacing w:val="-80"/>
        </w:rPr>
        <w:t> </w:t>
      </w:r>
      <w:r>
        <w:rPr>
          <w:spacing w:val="-80"/>
        </w:rPr>
      </w:r>
      <w:r>
        <w:rPr/>
        <w:t>时间价值影响重大的，通过对相关未来现金流出进行折现后确定最佳估计数。 最佳估计数分别以下情况处理： </w:t>
      </w:r>
      <w:r>
        <w:rPr>
          <w:spacing w:val="-2"/>
        </w:rPr>
        <w:t>所需支出存在一个连续范围（或区间），且该范围内各种结果发生的可能性相同的，则最佳估计数按照该范</w:t>
      </w:r>
      <w:r>
        <w:rPr>
          <w:spacing w:val="-81"/>
        </w:rPr>
        <w:t> </w:t>
      </w:r>
      <w:r>
        <w:rPr>
          <w:spacing w:val="-81"/>
        </w:rPr>
      </w:r>
      <w:r>
        <w:rPr/>
        <w:t>围的中间值即上下限金额的平均数确定。 </w:t>
      </w:r>
      <w:r>
        <w:rPr>
          <w:spacing w:val="-2"/>
        </w:rPr>
        <w:t>所需支出不存在一个连续范围（或区间），或虽然存在一个连续范围但该范围内各种结果发生的可能性不相</w:t>
      </w:r>
      <w:r>
        <w:rPr>
          <w:spacing w:val="-82"/>
        </w:rPr>
        <w:t> </w:t>
      </w:r>
      <w:r>
        <w:rPr>
          <w:spacing w:val="-82"/>
        </w:rPr>
      </w:r>
      <w:r>
        <w:rPr/>
        <w:t>同的，如或有事项涉及单个项目的，则最佳估计数按照最可能发生金额确定；如或有事项涉及多个项目的， 则最佳估计数按各种可能结果及相关概率计算确定。 </w:t>
      </w:r>
      <w:r>
        <w:rPr>
          <w:spacing w:val="-2"/>
        </w:rPr>
        <w:t>本公司清偿预计负债所需支出全部或部分预期由第三方补偿的，补偿金额在基本确定能够收到时，作为资产</w:t>
      </w:r>
      <w:r>
        <w:rPr>
          <w:spacing w:val="-81"/>
        </w:rPr>
        <w:t> </w:t>
      </w:r>
      <w:r>
        <w:rPr>
          <w:spacing w:val="-81"/>
        </w:rPr>
      </w:r>
      <w:r>
        <w:rPr/>
        <w:t>单独确认，确认的补偿金额不超过预计负债的账面价值。</w:t>
      </w:r>
    </w:p>
    <w:p>
      <w:pPr>
        <w:spacing w:line="240" w:lineRule="auto" w:before="8"/>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86"/>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6"/>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Heading7"/>
        <w:spacing w:line="240" w:lineRule="auto"/>
        <w:ind w:left="1372" w:right="86"/>
        <w:jc w:val="left"/>
        <w:rPr>
          <w:b w:val="0"/>
          <w:bCs w:val="0"/>
        </w:rPr>
      </w:pPr>
      <w:r>
        <w:rPr>
          <w:rFonts w:ascii="Times New Roman" w:hAnsi="Times New Roman" w:cs="Times New Roman" w:eastAsia="Times New Roman" w:hint="default"/>
        </w:rPr>
        <w:t>1</w:t>
      </w:r>
      <w:r>
        <w:rPr/>
        <w:t>、</w:t>
      </w:r>
      <w:r>
        <w:rPr>
          <w:spacing w:val="56"/>
        </w:rPr>
        <w:t> </w:t>
      </w:r>
      <w:r>
        <w:rPr/>
        <w:t>销售商品收入确认时间的具体判断标准</w:t>
      </w:r>
      <w:r>
        <w:rPr>
          <w:b w:val="0"/>
          <w:bCs w:val="0"/>
        </w:rPr>
      </w:r>
    </w:p>
    <w:p>
      <w:pPr>
        <w:pStyle w:val="BodyText"/>
        <w:spacing w:line="316" w:lineRule="auto" w:before="63"/>
        <w:ind w:left="1372" w:right="188"/>
        <w:jc w:val="left"/>
      </w:pPr>
      <w:r>
        <w:rPr/>
        <w:t>（1）销售商品收入确认和计量的总体原则： </w:t>
      </w:r>
      <w:r>
        <w:rPr>
          <w:spacing w:val="-2"/>
        </w:rPr>
        <w:t>本公司已将商品所有权上的主要风险和报酬转移给购货方；本公司既没有保留通常与所有权相联系的继续管</w:t>
      </w:r>
      <w:r>
        <w:rPr>
          <w:spacing w:val="-78"/>
        </w:rPr>
        <w:t> </w:t>
      </w:r>
      <w:r>
        <w:rPr>
          <w:spacing w:val="-78"/>
        </w:rPr>
      </w:r>
      <w:r>
        <w:rPr>
          <w:spacing w:val="-2"/>
        </w:rPr>
        <w:t>理权，也没有对已售出的商品实施有效控制；收入的金额能够可靠地计量；相关的经济利益很可能流入本公</w:t>
      </w:r>
      <w:r>
        <w:rPr>
          <w:spacing w:val="-77"/>
        </w:rPr>
        <w:t> </w:t>
      </w:r>
      <w:r>
        <w:rPr>
          <w:spacing w:val="-77"/>
        </w:rPr>
      </w:r>
      <w:r>
        <w:rPr/>
        <w:t>司；相关的、已发生或将发生的成本能够可靠地计量。</w:t>
      </w:r>
    </w:p>
    <w:p>
      <w:pPr>
        <w:pStyle w:val="BodyText"/>
        <w:spacing w:line="316" w:lineRule="auto" w:before="19"/>
        <w:ind w:left="1372" w:right="86"/>
        <w:jc w:val="left"/>
      </w:pPr>
      <w:r>
        <w:rPr/>
        <w:t>（2）销售商品收入确认和计量的具体原则 本公司销售商品收入包括电力行业产品（电力设备类）销售、化工行业产品（聚酰亚胺类）销售。 电力行业产品（电力设备类）销售确认方式： </w:t>
      </w:r>
      <w:r>
        <w:rPr>
          <w:spacing w:val="-4"/>
        </w:rPr>
        <w:t>国内销售：①非工程项目类：合同商品已移交给客户，客户验收合格后，与本公司确认商品数量及结算金额，</w:t>
      </w:r>
      <w:r>
        <w:rPr>
          <w:spacing w:val="-71"/>
        </w:rPr>
        <w:t> </w:t>
      </w:r>
      <w:r>
        <w:rPr>
          <w:spacing w:val="-71"/>
        </w:rPr>
      </w:r>
      <w:r>
        <w:rPr>
          <w:spacing w:val="-2"/>
        </w:rPr>
        <w:t>本公司获得收取货款权利后确认收入实现。②工程项目类：合同商品已移交给购买方施工单位并进行安装调</w:t>
      </w:r>
      <w:r>
        <w:rPr>
          <w:spacing w:val="-78"/>
        </w:rPr>
        <w:t> </w:t>
      </w:r>
      <w:r>
        <w:rPr>
          <w:spacing w:val="-78"/>
        </w:rPr>
      </w:r>
      <w:r>
        <w:rPr/>
        <w:t>试后，与本公司确认商品数量及结算金额，本公司获得收取货款权利后确认收入实现。 国外销售：以出口报关时间为销售收入的确认时间。</w:t>
      </w:r>
    </w:p>
    <w:p>
      <w:pPr>
        <w:pStyle w:val="BodyText"/>
        <w:spacing w:line="316" w:lineRule="auto" w:before="19"/>
        <w:ind w:left="1372" w:right="188"/>
        <w:jc w:val="left"/>
      </w:pPr>
      <w:r>
        <w:rPr/>
        <w:t>化工行业产品（聚酰亚胺类）销售确认方式： </w:t>
      </w:r>
      <w:r>
        <w:rPr>
          <w:spacing w:val="-2"/>
        </w:rPr>
        <w:t>国内销售：合同商品已移交给客户，客户验收合格后，与本公司确认商品数量及结算金额，本公司获得收取</w:t>
      </w:r>
      <w:r>
        <w:rPr>
          <w:spacing w:val="-78"/>
        </w:rPr>
        <w:t> </w:t>
      </w:r>
      <w:r>
        <w:rPr>
          <w:spacing w:val="-78"/>
        </w:rPr>
      </w:r>
      <w:r>
        <w:rPr/>
        <w:t>货款权利后确认收入实现。</w:t>
      </w:r>
    </w:p>
    <w:p>
      <w:pPr>
        <w:spacing w:after="0" w:line="316" w:lineRule="auto"/>
        <w:jc w:val="left"/>
        <w:sectPr>
          <w:pgSz w:w="11910" w:h="16840"/>
          <w:pgMar w:header="878" w:footer="1225" w:top="1100" w:bottom="1420" w:left="1020" w:right="940"/>
        </w:sectPr>
      </w:pPr>
    </w:p>
    <w:p>
      <w:pPr>
        <w:spacing w:line="240" w:lineRule="auto" w:before="1"/>
        <w:rPr>
          <w:rFonts w:ascii="宋体" w:hAnsi="宋体" w:cs="宋体" w:eastAsia="宋体" w:hint="default"/>
          <w:sz w:val="22"/>
          <w:szCs w:val="22"/>
        </w:rPr>
      </w:pPr>
    </w:p>
    <w:p>
      <w:pPr>
        <w:pStyle w:val="BodyText"/>
        <w:spacing w:line="240" w:lineRule="auto" w:before="44"/>
        <w:ind w:left="1372" w:right="86"/>
        <w:jc w:val="left"/>
      </w:pPr>
      <w:r>
        <w:rPr/>
        <w:t>国外销售：以出口报关时间为销售收入的确认时间。</w:t>
      </w:r>
    </w:p>
    <w:p>
      <w:pPr>
        <w:spacing w:line="309" w:lineRule="auto" w:before="76"/>
        <w:ind w:left="1372" w:right="18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pacing w:val="-2"/>
          <w:sz w:val="18"/>
          <w:szCs w:val="18"/>
        </w:rPr>
        <w:t>与交易相关的经济利益很可能流入企业，收入的金额能够可靠地计量时。分别下列情况确定让渡资产使用权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收入金额：</w:t>
      </w:r>
    </w:p>
    <w:p>
      <w:pPr>
        <w:pStyle w:val="BodyText"/>
        <w:spacing w:line="240" w:lineRule="auto" w:before="24"/>
        <w:ind w:left="1372" w:right="86"/>
        <w:jc w:val="left"/>
      </w:pPr>
      <w:r>
        <w:rPr/>
        <w:t>（1）利息收入金额，按照他人使用本企业货币资金的时间和实际利率计算确定。</w:t>
      </w:r>
    </w:p>
    <w:p>
      <w:pPr>
        <w:pStyle w:val="BodyText"/>
        <w:spacing w:line="240" w:lineRule="auto" w:before="76"/>
        <w:ind w:left="1372" w:right="86"/>
        <w:jc w:val="left"/>
      </w:pPr>
      <w:r>
        <w:rPr/>
        <w:t>（2）使用费收入金额，按照有关合同或协议约定的收费时间和方法计算确定。</w:t>
      </w:r>
    </w:p>
    <w:p>
      <w:pPr>
        <w:spacing w:line="240" w:lineRule="auto" w:before="11"/>
        <w:rPr>
          <w:rFonts w:ascii="宋体" w:hAnsi="宋体" w:cs="宋体" w:eastAsia="宋体" w:hint="default"/>
          <w:sz w:val="26"/>
          <w:szCs w:val="26"/>
        </w:rPr>
      </w:pPr>
    </w:p>
    <w:p>
      <w:pPr>
        <w:pStyle w:val="Heading5"/>
        <w:spacing w:line="240" w:lineRule="auto"/>
        <w:ind w:right="86"/>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6"/>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72" w:right="86"/>
        <w:jc w:val="left"/>
      </w:pPr>
      <w:r>
        <w:rPr/>
        <w:t>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pStyle w:val="Heading5"/>
        <w:spacing w:line="240" w:lineRule="auto" w:before="118"/>
        <w:ind w:right="86"/>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72" w:right="192"/>
        <w:jc w:val="both"/>
      </w:pPr>
      <w:r>
        <w:rPr>
          <w:spacing w:val="-2"/>
        </w:rPr>
        <w:t>与收益相关的政府补助，用于补偿本公司以后期间的相关费用或损失的，取得时确认为递延收益，在确认相</w:t>
      </w:r>
      <w:r>
        <w:rPr>
          <w:spacing w:val="-79"/>
        </w:rPr>
        <w:t> </w:t>
      </w:r>
      <w:r>
        <w:rPr>
          <w:spacing w:val="-79"/>
        </w:rPr>
      </w:r>
      <w:r>
        <w:rPr>
          <w:spacing w:val="-2"/>
        </w:rPr>
        <w:t>关费用的期间计入当期营业外收入；用于补偿本公司已发生的相关费用或损失的，取得时直接计入当期营业</w:t>
      </w:r>
      <w:r>
        <w:rPr>
          <w:spacing w:val="-78"/>
        </w:rPr>
        <w:t> </w:t>
      </w:r>
      <w:r>
        <w:rPr>
          <w:spacing w:val="-78"/>
        </w:rPr>
      </w:r>
      <w:r>
        <w:rPr/>
        <w:t>外收入</w:t>
      </w:r>
    </w:p>
    <w:p>
      <w:pPr>
        <w:spacing w:line="240" w:lineRule="auto" w:before="6"/>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964" w:right="191"/>
        <w:jc w:val="left"/>
      </w:pPr>
      <w:r>
        <w:rPr>
          <w:spacing w:val="-1"/>
        </w:rPr>
        <w:t>对于可抵扣暂时性差异确认递延所得税资产，以未来期间很可能取得的用来抵扣可抵扣暂时性差异的应纳税所得</w:t>
      </w:r>
      <w:r>
        <w:rPr>
          <w:spacing w:val="-75"/>
        </w:rPr>
        <w:t> </w:t>
      </w:r>
      <w:r>
        <w:rPr>
          <w:spacing w:val="-75"/>
        </w:rPr>
      </w:r>
      <w:r>
        <w:rPr>
          <w:spacing w:val="-1"/>
        </w:rPr>
        <w:t>额为限。对于能够结转以后年度的可抵扣亏损和税款抵减，以很可能获得用来抵扣可抵扣亏损和税款抵减的未来</w:t>
      </w:r>
      <w:r>
        <w:rPr>
          <w:spacing w:val="-75"/>
        </w:rPr>
        <w:t> </w:t>
      </w:r>
      <w:r>
        <w:rPr>
          <w:spacing w:val="-75"/>
        </w:rPr>
      </w:r>
      <w:r>
        <w:rPr/>
        <w:t>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不确认递延所得税资产或递延所得税负债的特殊情况包括：商誉的初始确认；除企业合并以外的发生时既不影响</w:t>
      </w:r>
      <w:r>
        <w:rPr>
          <w:spacing w:val="-75"/>
        </w:rPr>
        <w:t> </w:t>
      </w:r>
      <w:r>
        <w:rPr>
          <w:spacing w:val="-75"/>
        </w:rPr>
      </w:r>
      <w:r>
        <w:rPr/>
        <w:t>会计利润也不影响应纳税所得额（或可抵扣亏损）的其他交易或事项。 </w:t>
      </w:r>
      <w:r>
        <w:rPr>
          <w:spacing w:val="-1"/>
        </w:rPr>
        <w:t>当拥有以净额结算的法定权利，且意图以净额结算或取得资产、清偿负债同时进行时，当期所得税资产及当期所</w:t>
      </w:r>
      <w:r>
        <w:rPr>
          <w:spacing w:val="-75"/>
        </w:rPr>
        <w:t> </w:t>
      </w:r>
      <w:r>
        <w:rPr>
          <w:spacing w:val="-75"/>
        </w:rPr>
      </w:r>
      <w:r>
        <w:rPr/>
        <w:t>得税负债以抵销后的净额列报。 </w:t>
      </w:r>
      <w:r>
        <w:rPr>
          <w:spacing w:val="-1"/>
        </w:rPr>
        <w:t>当拥有以净额结算当期所得税资产及当期所得税负债的法定权利，且递延所得税资产及递延所得税负债是与同一</w:t>
      </w:r>
      <w:r>
        <w:rPr>
          <w:spacing w:val="-75"/>
        </w:rPr>
        <w:t> </w:t>
      </w:r>
      <w:r>
        <w:rPr>
          <w:spacing w:val="-75"/>
        </w:rPr>
      </w:r>
      <w:r>
        <w:rPr>
          <w:spacing w:val="-1"/>
        </w:rPr>
        <w:t>税收征管部门对同一纳税主体征收的所得税相关或者是对不同的纳税主体相关，但在未来每一具有重要性的递延</w:t>
      </w:r>
      <w:r>
        <w:rPr>
          <w:spacing w:val="-75"/>
        </w:rPr>
        <w:t> </w:t>
      </w:r>
      <w:r>
        <w:rPr>
          <w:spacing w:val="-75"/>
        </w:rPr>
      </w:r>
      <w:r>
        <w:rPr>
          <w:spacing w:val="-1"/>
        </w:rPr>
        <w:t>所得税资产及负债转回的期间内，涉及的纳税主体意图以净额结算当期所得税资产和负债或是同时取得资产、清</w:t>
      </w:r>
      <w:r>
        <w:rPr>
          <w:spacing w:val="-75"/>
        </w:rPr>
        <w:t> </w:t>
      </w:r>
      <w:r>
        <w:rPr>
          <w:spacing w:val="-75"/>
        </w:rPr>
      </w:r>
      <w:r>
        <w:rPr/>
        <w:t>偿负债时，递延所得税资产及递延所得税负债以抵销后的净额列报。</w:t>
      </w:r>
    </w:p>
    <w:p>
      <w:pPr>
        <w:spacing w:line="240" w:lineRule="auto" w:before="6"/>
        <w:rPr>
          <w:rFonts w:ascii="宋体" w:hAnsi="宋体" w:cs="宋体" w:eastAsia="宋体" w:hint="default"/>
          <w:sz w:val="22"/>
          <w:szCs w:val="22"/>
        </w:rPr>
      </w:pPr>
    </w:p>
    <w:p>
      <w:pPr>
        <w:pStyle w:val="Heading5"/>
        <w:spacing w:line="240" w:lineRule="auto"/>
        <w:ind w:right="86"/>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6"/>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72" w:right="86"/>
        <w:jc w:val="left"/>
      </w:pPr>
      <w:r>
        <w:rPr>
          <w:spacing w:val="-2"/>
        </w:rPr>
        <w:t>公司租入资产所支付的租赁费，在不扣除免租期的整个租赁期内，按直线法进行分摊，计入当期费用。公司</w:t>
      </w:r>
      <w:r>
        <w:rPr>
          <w:spacing w:val="-78"/>
        </w:rPr>
        <w:t> </w:t>
      </w:r>
      <w:r>
        <w:rPr>
          <w:spacing w:val="-78"/>
        </w:rPr>
      </w:r>
      <w:r>
        <w:rPr/>
        <w:t>支付的与租赁交易相关的初始直接费用，计入当期费用。 </w:t>
      </w:r>
      <w:r>
        <w:rPr>
          <w:spacing w:val="-2"/>
        </w:rPr>
        <w:t>资产出租方承担了应由公司承担的与租赁相关的费用时，公司将该部分费用从租金总额中扣除，按扣除后的</w:t>
      </w:r>
      <w:r>
        <w:rPr>
          <w:spacing w:val="-78"/>
        </w:rPr>
        <w:t> </w:t>
      </w:r>
      <w:r>
        <w:rPr>
          <w:spacing w:val="-78"/>
        </w:rPr>
      </w:r>
      <w:r>
        <w:rPr/>
        <w:t>租金费用在租赁期内分摊，计入当期费用。 </w:t>
      </w:r>
      <w:r>
        <w:rPr>
          <w:spacing w:val="-4"/>
        </w:rPr>
        <w:t>公司出租资产所收取的租赁费，在不扣除免租期的整个租赁期内，按直线法进行分摊，确认为租赁相关收入。</w:t>
      </w:r>
      <w:r>
        <w:rPr>
          <w:spacing w:val="-68"/>
        </w:rPr>
        <w:t> </w:t>
      </w:r>
      <w:r>
        <w:rPr>
          <w:spacing w:val="-68"/>
        </w:rPr>
      </w:r>
      <w:r>
        <w:rPr>
          <w:spacing w:val="-2"/>
        </w:rPr>
        <w:t>公司支付的与租赁交易相关的初始直接费用，计入当期费用；如金额较大的，则予以资本化，在整个租赁期</w:t>
      </w:r>
      <w:r>
        <w:rPr>
          <w:spacing w:val="-78"/>
        </w:rPr>
        <w:t> </w:t>
      </w:r>
      <w:r>
        <w:rPr>
          <w:spacing w:val="-78"/>
        </w:rPr>
      </w:r>
      <w:r>
        <w:rPr/>
        <w:t>间内按照与租赁相关收入确认相同的基础分期计入当期收益。</w:t>
      </w:r>
    </w:p>
    <w:p>
      <w:pPr>
        <w:spacing w:after="0" w:line="316" w:lineRule="auto"/>
        <w:jc w:val="left"/>
        <w:sectPr>
          <w:pgSz w:w="11910" w:h="16840"/>
          <w:pgMar w:header="878" w:footer="1225" w:top="1100" w:bottom="1420" w:left="1020" w:right="940"/>
        </w:sectPr>
      </w:pPr>
    </w:p>
    <w:p>
      <w:pPr>
        <w:spacing w:line="240" w:lineRule="auto" w:before="1"/>
        <w:rPr>
          <w:rFonts w:ascii="宋体" w:hAnsi="宋体" w:cs="宋体" w:eastAsia="宋体" w:hint="default"/>
          <w:sz w:val="22"/>
          <w:szCs w:val="22"/>
        </w:rPr>
      </w:pPr>
    </w:p>
    <w:p>
      <w:pPr>
        <w:pStyle w:val="BodyText"/>
        <w:spacing w:line="316" w:lineRule="auto" w:before="44"/>
        <w:ind w:left="1372" w:right="103" w:firstLine="91"/>
        <w:jc w:val="left"/>
      </w:pPr>
      <w:r>
        <w:rPr/>
        <w:t>公司承担了应由承租方承担的与租赁相关的费用时，公司将该部分费用从租金收入总额中扣除，按扣除后 的租金费用在租赁期内分配。</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72" w:right="108"/>
        <w:jc w:val="left"/>
      </w:pPr>
      <w:r>
        <w:rPr>
          <w:spacing w:val="-2"/>
        </w:rPr>
        <w:t>融资租入资产：公司在承租开始日，将租赁资产公允价值与最低租赁付款额现值两者中较低者作为租入资产</w:t>
      </w:r>
      <w:r>
        <w:rPr>
          <w:spacing w:val="-78"/>
        </w:rPr>
        <w:t> </w:t>
      </w:r>
      <w:r>
        <w:rPr>
          <w:spacing w:val="-78"/>
        </w:rPr>
      </w:r>
      <w:r>
        <w:rPr>
          <w:spacing w:val="-2"/>
        </w:rPr>
        <w:t>的入账价值，将最低租赁付款额作为长期应付款的入账价值，其差额作为未确认的融资费用。公司采用实际</w:t>
      </w:r>
      <w:r>
        <w:rPr>
          <w:spacing w:val="-77"/>
        </w:rPr>
        <w:t> </w:t>
      </w:r>
      <w:r>
        <w:rPr>
          <w:spacing w:val="-77"/>
        </w:rPr>
      </w:r>
      <w:r>
        <w:rPr>
          <w:spacing w:val="-2"/>
        </w:rPr>
        <w:t>利率法对未确认的融资费用，在资产租赁期间内摊销，计入财务费用。公司发生的初始直接费用，计入租入</w:t>
      </w:r>
      <w:r>
        <w:rPr>
          <w:spacing w:val="-78"/>
        </w:rPr>
        <w:t> </w:t>
      </w:r>
      <w:r>
        <w:rPr>
          <w:spacing w:val="-78"/>
        </w:rPr>
      </w:r>
      <w:r>
        <w:rPr/>
        <w:t>资产价值。 </w:t>
      </w:r>
      <w:r>
        <w:rPr>
          <w:spacing w:val="-2"/>
        </w:rPr>
        <w:t>融资租出资产：公司在租赁开始日，将应收融资租赁款，未担保余值之和与其现值的差额确认为未实现融资</w:t>
      </w:r>
      <w:r>
        <w:rPr>
          <w:spacing w:val="-77"/>
        </w:rPr>
        <w:t> </w:t>
      </w:r>
      <w:r>
        <w:rPr>
          <w:spacing w:val="-77"/>
        </w:rPr>
      </w:r>
      <w:r>
        <w:rPr>
          <w:spacing w:val="-2"/>
        </w:rPr>
        <w:t>收益，在将来收到租金的各期间内确认为租赁收入。公司发生的与出租交易相关的初始直接费用，计入应收</w:t>
      </w:r>
      <w:r>
        <w:rPr>
          <w:spacing w:val="-77"/>
        </w:rPr>
        <w:t> </w:t>
      </w:r>
      <w:r>
        <w:rPr>
          <w:spacing w:val="-77"/>
        </w:rPr>
      </w:r>
      <w:r>
        <w:rPr/>
        <w:t>融资租赁款的初始计量中，并减少租赁期内确认的收益金额。</w:t>
      </w:r>
    </w:p>
    <w:p>
      <w:pPr>
        <w:spacing w:line="240" w:lineRule="auto" w:before="8"/>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7"/>
        <w:spacing w:line="240" w:lineRule="auto" w:before="11"/>
        <w:ind w:right="0"/>
        <w:jc w:val="left"/>
        <w:rPr>
          <w:b w:val="0"/>
          <w:bCs w:val="0"/>
        </w:rPr>
      </w:pPr>
      <w:r>
        <w:rPr>
          <w:rFonts w:ascii="Times New Roman" w:hAnsi="Times New Roman" w:cs="Times New Roman" w:eastAsia="Times New Roman" w:hint="default"/>
        </w:rPr>
        <w:t>1</w:t>
      </w:r>
      <w:r>
        <w:rPr/>
        <w:t>、</w:t>
      </w:r>
      <w:r>
        <w:rPr>
          <w:spacing w:val="58"/>
        </w:rPr>
        <w:t> </w:t>
      </w:r>
      <w:r>
        <w:rPr/>
        <w:t>重要会计政策变更</w:t>
      </w:r>
      <w:r>
        <w:rPr>
          <w:b w:val="0"/>
          <w:bCs w:val="0"/>
        </w:rPr>
      </w:r>
    </w:p>
    <w:p>
      <w:pPr>
        <w:pStyle w:val="BodyText"/>
        <w:spacing w:line="300" w:lineRule="auto" w:before="63"/>
        <w:ind w:left="1372" w:right="2894"/>
        <w:jc w:val="left"/>
      </w:pPr>
      <w:r>
        <w:rPr/>
        <w:t>（</w:t>
      </w:r>
      <w:r>
        <w:rPr>
          <w:rFonts w:ascii="Times New Roman" w:hAnsi="Times New Roman" w:cs="Times New Roman" w:eastAsia="Times New Roman" w:hint="default"/>
        </w:rPr>
        <w:t>1</w:t>
      </w:r>
      <w:r>
        <w:rPr/>
        <w:t>）执行财政部于</w:t>
      </w:r>
      <w:r>
        <w:rPr>
          <w:rFonts w:ascii="Times New Roman" w:hAnsi="Times New Roman" w:cs="Times New Roman" w:eastAsia="Times New Roman" w:hint="default"/>
        </w:rPr>
        <w:t>2014</w:t>
      </w:r>
      <w:r>
        <w:rPr/>
        <w:t>年修订及新颁布的准则 本公司已执行财政部于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13"/>
        <w:ind w:left="1372" w:right="0"/>
        <w:jc w:val="left"/>
      </w:pPr>
      <w:r>
        <w:rPr/>
        <w:t>《企业会计准则</w:t>
      </w:r>
      <w:r>
        <w:rPr>
          <w:rFonts w:ascii="Times New Roman" w:hAnsi="Times New Roman" w:cs="Times New Roman" w:eastAsia="Times New Roman" w:hint="default"/>
        </w:rPr>
        <w:t>—</w:t>
      </w:r>
      <w:r>
        <w:rPr/>
        <w:t>基本准则》（修订）</w:t>
      </w:r>
    </w:p>
    <w:p>
      <w:pPr>
        <w:pStyle w:val="BodyText"/>
        <w:spacing w:line="240" w:lineRule="auto" w:before="63"/>
        <w:ind w:left="1372" w:right="0"/>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240" w:lineRule="auto" w:before="63"/>
        <w:ind w:left="1372" w:right="0"/>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63"/>
        <w:ind w:left="1372" w:right="0"/>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63"/>
        <w:ind w:left="1372" w:right="0"/>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63"/>
        <w:ind w:left="1372" w:right="0"/>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63"/>
        <w:ind w:left="1372" w:right="0"/>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240" w:lineRule="auto" w:before="63"/>
        <w:ind w:left="1372" w:right="0"/>
        <w:jc w:val="left"/>
      </w:pP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w:t>
      </w:r>
    </w:p>
    <w:p>
      <w:pPr>
        <w:pStyle w:val="BodyText"/>
        <w:spacing w:line="300" w:lineRule="auto" w:before="63"/>
        <w:ind w:left="1372" w:right="3974"/>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 本公司执行上述企业会计准则的主要影响如下：</w:t>
      </w:r>
    </w:p>
    <w:p>
      <w:pPr>
        <w:pStyle w:val="BodyText"/>
        <w:spacing w:line="300" w:lineRule="auto" w:before="31"/>
        <w:ind w:left="1372" w:right="104"/>
        <w:jc w:val="left"/>
      </w:pPr>
      <w:r>
        <w:rPr>
          <w:spacing w:val="-2"/>
        </w:rPr>
        <w:t>本公司会计政策已按上述准则进行了修订，除《企业会计准则第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财务报表列报》和《企业会计准则</w:t>
      </w:r>
      <w:r>
        <w:rPr>
          <w:spacing w:val="-78"/>
        </w:rPr>
        <w:t> </w:t>
      </w:r>
      <w:r>
        <w:rPr>
          <w:spacing w:val="-78"/>
        </w:rPr>
      </w:r>
      <w:r>
        <w:rPr/>
        <w:t>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长期股权投资》对财务报表列报产生影响，其他会计政策变更对本公司各报告期不造成影响。 根据《企业会计准则第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长期股权投资》衔接要求进行</w:t>
      </w:r>
      <w:r>
        <w:rPr>
          <w:spacing w:val="-85"/>
        </w:rPr>
        <w:t> </w:t>
      </w:r>
      <w:r>
        <w:rPr>
          <w:spacing w:val="-85"/>
        </w:rPr>
      </w:r>
      <w:r>
        <w:rPr/>
        <w:t>了调整，对可比期间各期财务报表项目及金额的影响如下：</w:t>
      </w:r>
    </w:p>
    <w:p>
      <w:pPr>
        <w:pStyle w:val="BodyText"/>
        <w:spacing w:line="240" w:lineRule="auto" w:before="31"/>
        <w:ind w:left="1372"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3"/>
          <w:szCs w:val="3"/>
        </w:rPr>
      </w:pPr>
    </w:p>
    <w:tbl>
      <w:tblPr>
        <w:tblW w:w="0" w:type="auto"/>
        <w:jc w:val="left"/>
        <w:tblInd w:w="1385" w:type="dxa"/>
        <w:tblLayout w:type="fixed"/>
        <w:tblCellMar>
          <w:top w:w="0" w:type="dxa"/>
          <w:left w:w="0" w:type="dxa"/>
          <w:bottom w:w="0" w:type="dxa"/>
          <w:right w:w="0" w:type="dxa"/>
        </w:tblCellMar>
        <w:tblLook w:val="01E0"/>
      </w:tblPr>
      <w:tblGrid>
        <w:gridCol w:w="1985"/>
        <w:gridCol w:w="1984"/>
        <w:gridCol w:w="1276"/>
        <w:gridCol w:w="1559"/>
        <w:gridCol w:w="1559"/>
      </w:tblGrid>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8" w:right="84"/>
              <w:jc w:val="left"/>
              <w:rPr>
                <w:rFonts w:ascii="宋体" w:hAnsi="宋体" w:cs="宋体" w:eastAsia="宋体" w:hint="default"/>
                <w:sz w:val="18"/>
                <w:szCs w:val="18"/>
              </w:rPr>
            </w:pPr>
            <w:r>
              <w:rPr>
                <w:rFonts w:ascii="宋体" w:hAnsi="宋体" w:cs="宋体" w:eastAsia="宋体" w:hint="default"/>
                <w:sz w:val="18"/>
                <w:szCs w:val="18"/>
              </w:rPr>
              <w:t>会计政策变更的内容及 其对本公司的影响说明</w:t>
            </w:r>
          </w:p>
        </w:tc>
        <w:tc>
          <w:tcPr>
            <w:tcW w:w="4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31" w:right="0"/>
              <w:jc w:val="left"/>
              <w:rPr>
                <w:rFonts w:ascii="宋体" w:hAnsi="宋体" w:cs="宋体" w:eastAsia="宋体" w:hint="default"/>
                <w:sz w:val="18"/>
                <w:szCs w:val="18"/>
              </w:rPr>
            </w:pPr>
            <w:r>
              <w:rPr>
                <w:rFonts w:ascii="宋体" w:hAnsi="宋体" w:cs="宋体" w:eastAsia="宋体" w:hint="default"/>
                <w:sz w:val="18"/>
                <w:szCs w:val="18"/>
              </w:rPr>
              <w:t>对相关财务报表项目的影响金额</w:t>
            </w:r>
          </w:p>
        </w:tc>
      </w:tr>
      <w:tr>
        <w:trPr>
          <w:trHeight w:val="331" w:hRule="exact"/>
        </w:trPr>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pacing w:val="15"/>
                <w:sz w:val="18"/>
                <w:szCs w:val="18"/>
              </w:rPr>
              <w:t>企业会计准则第</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w:t>
            </w:r>
          </w:p>
        </w:tc>
        <w:tc>
          <w:tcPr>
            <w:tcW w:w="19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按照《企业会计准则第</w:t>
            </w:r>
            <w:r>
              <w:rPr>
                <w:rFonts w:ascii="Times New Roman" w:hAnsi="Times New Roman" w:cs="Times New Roman" w:eastAsia="Times New Roman" w:hint="default"/>
                <w:spacing w:val="-2"/>
                <w:sz w:val="18"/>
                <w:szCs w:val="18"/>
              </w:rPr>
              <w:t>30</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33" w:right="0"/>
              <w:jc w:val="left"/>
              <w:rPr>
                <w:rFonts w:ascii="宋体" w:hAnsi="宋体" w:cs="宋体" w:eastAsia="宋体" w:hint="default"/>
                <w:sz w:val="18"/>
                <w:szCs w:val="18"/>
              </w:rPr>
            </w:pPr>
            <w:r>
              <w:rPr>
                <w:rFonts w:ascii="宋体" w:hAnsi="宋体" w:cs="宋体" w:eastAsia="宋体" w:hint="default"/>
                <w:sz w:val="18"/>
                <w:szCs w:val="18"/>
              </w:rPr>
              <w:t>年末影响金额</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34" w:right="0"/>
              <w:jc w:val="left"/>
              <w:rPr>
                <w:rFonts w:ascii="宋体" w:hAnsi="宋体" w:cs="宋体" w:eastAsia="宋体" w:hint="default"/>
                <w:sz w:val="18"/>
                <w:szCs w:val="18"/>
              </w:rPr>
            </w:pPr>
            <w:r>
              <w:rPr>
                <w:rFonts w:ascii="宋体" w:hAnsi="宋体" w:cs="宋体" w:eastAsia="宋体" w:hint="default"/>
                <w:sz w:val="18"/>
                <w:szCs w:val="18"/>
              </w:rPr>
              <w:t>年初影响金额</w:t>
            </w:r>
          </w:p>
        </w:tc>
      </w:tr>
      <w:tr>
        <w:trPr>
          <w:trHeight w:val="323" w:hRule="exact"/>
        </w:trPr>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财务报表列报（</w:t>
            </w:r>
            <w:r>
              <w:rPr>
                <w:rFonts w:ascii="Times New Roman" w:hAnsi="Times New Roman" w:cs="Times New Roman" w:eastAsia="Times New Roman" w:hint="default"/>
                <w:spacing w:val="-2"/>
                <w:sz w:val="18"/>
                <w:szCs w:val="18"/>
              </w:rPr>
              <w:t>2014</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财</w:t>
            </w:r>
            <w:r>
              <w:rPr>
                <w:rFonts w:ascii="宋体" w:hAnsi="宋体" w:cs="宋体" w:eastAsia="宋体" w:hint="default"/>
                <w:spacing w:val="-42"/>
                <w:sz w:val="18"/>
                <w:szCs w:val="18"/>
              </w:rPr>
              <w:t> </w:t>
            </w:r>
            <w:r>
              <w:rPr>
                <w:rFonts w:ascii="宋体" w:hAnsi="宋体" w:cs="宋体" w:eastAsia="宋体" w:hint="default"/>
                <w:sz w:val="18"/>
                <w:szCs w:val="18"/>
              </w:rPr>
              <w:t>务</w:t>
            </w:r>
            <w:r>
              <w:rPr>
                <w:rFonts w:ascii="宋体" w:hAnsi="宋体" w:cs="宋体" w:eastAsia="宋体" w:hint="default"/>
                <w:spacing w:val="-40"/>
                <w:sz w:val="18"/>
                <w:szCs w:val="18"/>
              </w:rPr>
              <w:t> </w:t>
            </w: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表</w:t>
            </w:r>
            <w:r>
              <w:rPr>
                <w:rFonts w:ascii="宋体" w:hAnsi="宋体" w:cs="宋体" w:eastAsia="宋体" w:hint="default"/>
                <w:spacing w:val="-40"/>
                <w:sz w:val="18"/>
                <w:szCs w:val="18"/>
              </w:rPr>
              <w:t> </w:t>
            </w:r>
            <w:r>
              <w:rPr>
                <w:rFonts w:ascii="宋体" w:hAnsi="宋体" w:cs="宋体" w:eastAsia="宋体" w:hint="default"/>
                <w:sz w:val="18"/>
                <w:szCs w:val="18"/>
              </w:rPr>
              <w:t>列</w:t>
            </w:r>
            <w:r>
              <w:rPr>
                <w:rFonts w:ascii="宋体" w:hAnsi="宋体" w:cs="宋体" w:eastAsia="宋体" w:hint="default"/>
                <w:spacing w:val="-42"/>
                <w:sz w:val="18"/>
                <w:szCs w:val="18"/>
              </w:rPr>
              <w:t> </w:t>
            </w:r>
            <w:r>
              <w:rPr>
                <w:rFonts w:ascii="宋体" w:hAnsi="宋体" w:cs="宋体" w:eastAsia="宋体" w:hint="default"/>
                <w:sz w:val="18"/>
                <w:szCs w:val="18"/>
              </w:rPr>
              <w:t>报</w:t>
            </w:r>
          </w:p>
        </w:tc>
        <w:tc>
          <w:tcPr>
            <w:tcW w:w="1276"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3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3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0" w:hRule="exact"/>
        </w:trPr>
        <w:tc>
          <w:tcPr>
            <w:tcW w:w="1985" w:type="dxa"/>
            <w:tcBorders>
              <w:top w:val="nil" w:sz="6" w:space="0" w:color="auto"/>
              <w:left w:val="single" w:sz="4" w:space="0" w:color="000000"/>
              <w:bottom w:val="single" w:sz="4" w:space="0" w:color="000000"/>
              <w:right w:val="single" w:sz="4" w:space="0" w:color="000000"/>
            </w:tcBorders>
          </w:tcPr>
          <w:p>
            <w:pPr>
              <w:pStyle w:val="TableParagraph"/>
              <w:spacing w:line="232" w:lineRule="exact"/>
              <w:ind w:left="4" w:right="0"/>
              <w:jc w:val="left"/>
              <w:rPr>
                <w:rFonts w:ascii="宋体" w:hAnsi="宋体" w:cs="宋体" w:eastAsia="宋体" w:hint="default"/>
                <w:sz w:val="18"/>
                <w:szCs w:val="18"/>
              </w:rPr>
            </w:pPr>
            <w:r>
              <w:rPr>
                <w:rFonts w:ascii="宋体" w:hAnsi="宋体" w:cs="宋体" w:eastAsia="宋体" w:hint="default"/>
                <w:sz w:val="18"/>
                <w:szCs w:val="18"/>
              </w:rPr>
              <w:t>年修订）》</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年修订）》及应用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9" w:right="0"/>
              <w:jc w:val="left"/>
              <w:rPr>
                <w:rFonts w:ascii="Times New Roman" w:hAnsi="Times New Roman" w:cs="Times New Roman" w:eastAsia="Times New Roman" w:hint="default"/>
                <w:sz w:val="18"/>
                <w:szCs w:val="18"/>
              </w:rPr>
            </w:pPr>
            <w:r>
              <w:rPr>
                <w:rFonts w:ascii="Times New Roman"/>
                <w:sz w:val="18"/>
              </w:rPr>
              <w:t>+60,496,203.76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7" w:right="0"/>
              <w:jc w:val="left"/>
              <w:rPr>
                <w:rFonts w:ascii="Times New Roman" w:hAnsi="Times New Roman" w:cs="Times New Roman" w:eastAsia="Times New Roman" w:hint="default"/>
                <w:sz w:val="18"/>
                <w:szCs w:val="18"/>
              </w:rPr>
            </w:pPr>
            <w:r>
              <w:rPr>
                <w:rFonts w:ascii="Times New Roman"/>
                <w:sz w:val="18"/>
              </w:rPr>
              <w:t>+60,986,400.21</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385" w:type="dxa"/>
        <w:tblLayout w:type="fixed"/>
        <w:tblCellMar>
          <w:top w:w="0" w:type="dxa"/>
          <w:left w:w="0" w:type="dxa"/>
          <w:bottom w:w="0" w:type="dxa"/>
          <w:right w:w="0" w:type="dxa"/>
        </w:tblCellMar>
        <w:tblLook w:val="01E0"/>
      </w:tblPr>
      <w:tblGrid>
        <w:gridCol w:w="1985"/>
        <w:gridCol w:w="1984"/>
        <w:gridCol w:w="1276"/>
        <w:gridCol w:w="1559"/>
        <w:gridCol w:w="1559"/>
      </w:tblGrid>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指南的相关规定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 w:right="4"/>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54"/>
                <w:sz w:val="18"/>
                <w:szCs w:val="18"/>
              </w:rPr>
              <w:t> </w:t>
            </w:r>
            <w:r>
              <w:rPr>
                <w:rFonts w:ascii="宋体" w:hAnsi="宋体" w:cs="宋体" w:eastAsia="宋体" w:hint="default"/>
                <w:sz w:val="18"/>
                <w:szCs w:val="18"/>
              </w:rPr>
              <w:t>他</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4"/>
                <w:sz w:val="18"/>
                <w:szCs w:val="18"/>
              </w:rPr>
              <w:t> </w:t>
            </w:r>
            <w:r>
              <w:rPr>
                <w:rFonts w:ascii="宋体" w:hAnsi="宋体" w:cs="宋体" w:eastAsia="宋体" w:hint="default"/>
                <w:sz w:val="18"/>
                <w:szCs w:val="18"/>
              </w:rPr>
              <w:t>流</w:t>
            </w:r>
            <w:r>
              <w:rPr>
                <w:rFonts w:ascii="宋体" w:hAnsi="宋体" w:cs="宋体" w:eastAsia="宋体" w:hint="default"/>
                <w:spacing w:val="-54"/>
                <w:sz w:val="18"/>
                <w:szCs w:val="18"/>
              </w:rPr>
              <w:t> </w:t>
            </w:r>
            <w:r>
              <w:rPr>
                <w:rFonts w:ascii="宋体" w:hAnsi="宋体" w:cs="宋体" w:eastAsia="宋体" w:hint="default"/>
                <w:sz w:val="18"/>
                <w:szCs w:val="18"/>
              </w:rPr>
              <w:t>动</w:t>
            </w:r>
            <w:r>
              <w:rPr>
                <w:rFonts w:ascii="宋体" w:hAnsi="宋体" w:cs="宋体" w:eastAsia="宋体" w:hint="default"/>
                <w:spacing w:val="-57"/>
                <w:sz w:val="18"/>
                <w:szCs w:val="18"/>
              </w:rPr>
              <w:t> </w:t>
            </w:r>
            <w:r>
              <w:rPr>
                <w:rFonts w:ascii="宋体" w:hAnsi="宋体" w:cs="宋体" w:eastAsia="宋体" w:hint="default"/>
                <w:sz w:val="18"/>
                <w:szCs w:val="18"/>
              </w:rPr>
              <w:t>负</w:t>
            </w:r>
            <w:r>
              <w:rPr>
                <w:rFonts w:ascii="宋体" w:hAnsi="宋体" w:cs="宋体" w:eastAsia="宋体" w:hint="default"/>
                <w:sz w:val="18"/>
                <w:szCs w:val="18"/>
              </w:rPr>
              <w:t> 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9" w:right="0"/>
              <w:jc w:val="left"/>
              <w:rPr>
                <w:rFonts w:ascii="Times New Roman" w:hAnsi="Times New Roman" w:cs="Times New Roman" w:eastAsia="Times New Roman" w:hint="default"/>
                <w:sz w:val="18"/>
                <w:szCs w:val="18"/>
              </w:rPr>
            </w:pPr>
            <w:r>
              <w:rPr>
                <w:rFonts w:ascii="Times New Roman"/>
                <w:sz w:val="18"/>
              </w:rPr>
              <w:t>-60,496,203.76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0" w:right="0"/>
              <w:jc w:val="left"/>
              <w:rPr>
                <w:rFonts w:ascii="Times New Roman" w:hAnsi="Times New Roman" w:cs="Times New Roman" w:eastAsia="Times New Roman" w:hint="default"/>
                <w:sz w:val="18"/>
                <w:szCs w:val="18"/>
              </w:rPr>
            </w:pPr>
            <w:r>
              <w:rPr>
                <w:rFonts w:ascii="Times New Roman"/>
                <w:sz w:val="18"/>
              </w:rPr>
              <w:t>-60,986,400.21</w:t>
            </w:r>
          </w:p>
        </w:tc>
      </w:tr>
    </w:tbl>
    <w:p>
      <w:pPr>
        <w:pStyle w:val="BodyText"/>
        <w:spacing w:line="240" w:lineRule="auto" w:before="10"/>
        <w:ind w:left="1372" w:right="138"/>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
        <w:rPr>
          <w:rFonts w:ascii="宋体" w:hAnsi="宋体" w:cs="宋体" w:eastAsia="宋体" w:hint="default"/>
          <w:sz w:val="4"/>
          <w:szCs w:val="4"/>
        </w:rPr>
      </w:pPr>
    </w:p>
    <w:tbl>
      <w:tblPr>
        <w:tblW w:w="0" w:type="auto"/>
        <w:jc w:val="left"/>
        <w:tblInd w:w="1385" w:type="dxa"/>
        <w:tblLayout w:type="fixed"/>
        <w:tblCellMar>
          <w:top w:w="0" w:type="dxa"/>
          <w:left w:w="0" w:type="dxa"/>
          <w:bottom w:w="0" w:type="dxa"/>
          <w:right w:w="0" w:type="dxa"/>
        </w:tblCellMar>
        <w:tblLook w:val="01E0"/>
      </w:tblPr>
      <w:tblGrid>
        <w:gridCol w:w="1985"/>
        <w:gridCol w:w="1842"/>
        <w:gridCol w:w="1418"/>
        <w:gridCol w:w="1559"/>
        <w:gridCol w:w="1559"/>
      </w:tblGrid>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6"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16" w:right="14"/>
              <w:jc w:val="left"/>
              <w:rPr>
                <w:rFonts w:ascii="宋体" w:hAnsi="宋体" w:cs="宋体" w:eastAsia="宋体" w:hint="default"/>
                <w:sz w:val="18"/>
                <w:szCs w:val="18"/>
              </w:rPr>
            </w:pPr>
            <w:r>
              <w:rPr>
                <w:rFonts w:ascii="宋体" w:hAnsi="宋体" w:cs="宋体" w:eastAsia="宋体" w:hint="default"/>
                <w:sz w:val="18"/>
                <w:szCs w:val="18"/>
              </w:rPr>
              <w:t>会计政策变更的内容及 其对本公司的影响说明</w:t>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3" w:right="0"/>
              <w:jc w:val="left"/>
              <w:rPr>
                <w:rFonts w:ascii="宋体" w:hAnsi="宋体" w:cs="宋体" w:eastAsia="宋体" w:hint="default"/>
                <w:sz w:val="18"/>
                <w:szCs w:val="18"/>
              </w:rPr>
            </w:pPr>
            <w:r>
              <w:rPr>
                <w:rFonts w:ascii="宋体" w:hAnsi="宋体" w:cs="宋体" w:eastAsia="宋体" w:hint="default"/>
                <w:sz w:val="18"/>
                <w:szCs w:val="18"/>
              </w:rPr>
              <w:t>对相关财务报表项目的影响金额</w:t>
            </w:r>
          </w:p>
        </w:tc>
      </w:tr>
      <w:tr>
        <w:trPr>
          <w:trHeight w:val="332" w:hRule="exact"/>
        </w:trPr>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pacing w:val="15"/>
                <w:sz w:val="18"/>
                <w:szCs w:val="18"/>
              </w:rPr>
              <w:t>企业会计准则第</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按照《企业会计准则第</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33" w:right="0"/>
              <w:jc w:val="left"/>
              <w:rPr>
                <w:rFonts w:ascii="宋体" w:hAnsi="宋体" w:cs="宋体" w:eastAsia="宋体" w:hint="default"/>
                <w:sz w:val="18"/>
                <w:szCs w:val="18"/>
              </w:rPr>
            </w:pPr>
            <w:r>
              <w:rPr>
                <w:rFonts w:ascii="宋体" w:hAnsi="宋体" w:cs="宋体" w:eastAsia="宋体" w:hint="default"/>
                <w:sz w:val="18"/>
                <w:szCs w:val="18"/>
              </w:rPr>
              <w:t>年末影响金额</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34" w:right="0"/>
              <w:jc w:val="left"/>
              <w:rPr>
                <w:rFonts w:ascii="宋体" w:hAnsi="宋体" w:cs="宋体" w:eastAsia="宋体" w:hint="default"/>
                <w:sz w:val="18"/>
                <w:szCs w:val="18"/>
              </w:rPr>
            </w:pPr>
            <w:r>
              <w:rPr>
                <w:rFonts w:ascii="宋体" w:hAnsi="宋体" w:cs="宋体" w:eastAsia="宋体" w:hint="default"/>
                <w:sz w:val="18"/>
                <w:szCs w:val="18"/>
              </w:rPr>
              <w:t>年初影响金额</w:t>
            </w:r>
          </w:p>
        </w:tc>
      </w:tr>
      <w:tr>
        <w:trPr>
          <w:trHeight w:val="322" w:hRule="exact"/>
        </w:trPr>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财务报表列报（</w:t>
            </w:r>
            <w:r>
              <w:rPr>
                <w:rFonts w:ascii="Times New Roman" w:hAnsi="Times New Roman" w:cs="Times New Roman" w:eastAsia="Times New Roman" w:hint="default"/>
                <w:spacing w:val="-2"/>
                <w:sz w:val="18"/>
                <w:szCs w:val="18"/>
              </w:rPr>
              <w:t>2014</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3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3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2" w:hRule="exact"/>
        </w:trPr>
        <w:tc>
          <w:tcPr>
            <w:tcW w:w="198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4" w:right="0"/>
              <w:jc w:val="left"/>
              <w:rPr>
                <w:rFonts w:ascii="宋体" w:hAnsi="宋体" w:cs="宋体" w:eastAsia="宋体" w:hint="default"/>
                <w:sz w:val="18"/>
                <w:szCs w:val="18"/>
              </w:rPr>
            </w:pPr>
            <w:r>
              <w:rPr>
                <w:rFonts w:ascii="宋体" w:hAnsi="宋体" w:cs="宋体" w:eastAsia="宋体" w:hint="default"/>
                <w:sz w:val="18"/>
                <w:szCs w:val="18"/>
              </w:rPr>
              <w:t>年修订）》</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年修订）》及应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+60,986,400.21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+69,244,312.28</w:t>
            </w:r>
          </w:p>
        </w:tc>
      </w:tr>
      <w:tr>
        <w:trPr>
          <w:trHeight w:val="342" w:hRule="exact"/>
        </w:trPr>
        <w:tc>
          <w:tcPr>
            <w:tcW w:w="1985"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4" w:right="0"/>
              <w:jc w:val="left"/>
              <w:rPr>
                <w:rFonts w:ascii="宋体" w:hAnsi="宋体" w:cs="宋体" w:eastAsia="宋体" w:hint="default"/>
                <w:sz w:val="18"/>
                <w:szCs w:val="18"/>
              </w:rPr>
            </w:pPr>
            <w:r>
              <w:rPr>
                <w:rFonts w:ascii="宋体" w:hAnsi="宋体" w:cs="宋体" w:eastAsia="宋体" w:hint="default"/>
                <w:sz w:val="18"/>
                <w:szCs w:val="18"/>
              </w:rPr>
              <w:t>用指南的相关规定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-60,986,400.21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-69,244,312.28</w:t>
            </w:r>
          </w:p>
        </w:tc>
      </w:tr>
    </w:tbl>
    <w:p>
      <w:pPr>
        <w:spacing w:line="240" w:lineRule="auto" w:before="4"/>
        <w:rPr>
          <w:rFonts w:ascii="宋体" w:hAnsi="宋体" w:cs="宋体" w:eastAsia="宋体" w:hint="default"/>
          <w:sz w:val="19"/>
          <w:szCs w:val="19"/>
        </w:rPr>
      </w:pPr>
    </w:p>
    <w:p>
      <w:pPr>
        <w:pStyle w:val="Heading5"/>
        <w:spacing w:line="240" w:lineRule="auto" w:before="34"/>
        <w:ind w:right="13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spacing w:line="487" w:lineRule="auto" w:before="0"/>
        <w:ind w:left="112" w:right="79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2127"/>
        <w:gridCol w:w="6804"/>
        <w:gridCol w:w="735"/>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税种</w:t>
            </w:r>
          </w:p>
        </w:tc>
        <w:tc>
          <w:tcPr>
            <w:tcW w:w="6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按税法规定计算的销售货物和应税劳务收入为基础计算销项税额，在扣除当期允许抵 扣的进项税额后，差额部分为应交增值税</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见下表</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38"/>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1225" w:top="1100" w:bottom="1420" w:left="1020" w:right="980"/>
        </w:sectPr>
      </w:pPr>
    </w:p>
    <w:p>
      <w:pPr>
        <w:spacing w:line="240" w:lineRule="auto" w:before="12"/>
        <w:rPr>
          <w:rFonts w:ascii="宋体" w:hAnsi="宋体" w:cs="宋体" w:eastAsia="宋体" w:hint="default"/>
          <w:sz w:val="20"/>
          <w:szCs w:val="20"/>
        </w:rPr>
      </w:pPr>
    </w:p>
    <w:p>
      <w:pPr>
        <w:pStyle w:val="Heading5"/>
        <w:spacing w:line="240" w:lineRule="auto" w:before="34"/>
        <w:ind w:right="8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8" w:right="86"/>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日，本公司通过高新技术企业复审，取得深圳市科技创新委员会、深圳市财政委员会、深圳市国家税务</w:t>
      </w:r>
      <w:r>
        <w:rPr>
          <w:spacing w:val="-47"/>
        </w:rPr>
        <w:t> </w:t>
      </w:r>
      <w:r>
        <w:rPr>
          <w:spacing w:val="-47"/>
        </w:rPr>
      </w:r>
      <w:r>
        <w:rPr>
          <w:spacing w:val="-2"/>
        </w:rPr>
        <w:t>局和深圳市地方税务局联合批准颁发的高新技术企业证书，证书编号</w:t>
      </w:r>
      <w:r>
        <w:rPr>
          <w:rFonts w:ascii="Times New Roman" w:hAnsi="Times New Roman" w:cs="Times New Roman" w:eastAsia="Times New Roman" w:hint="default"/>
          <w:spacing w:val="-2"/>
        </w:rPr>
        <w:t>GR201444200952</w:t>
      </w:r>
      <w:r>
        <w:rPr>
          <w:spacing w:val="-2"/>
        </w:rPr>
        <w:t>。根据高新技术企业所得税优惠政策，</w:t>
      </w:r>
      <w:r>
        <w:rPr>
          <w:spacing w:val="-81"/>
        </w:rPr>
        <w:t> </w:t>
      </w:r>
      <w:r>
        <w:rPr>
          <w:spacing w:val="-81"/>
        </w:rPr>
      </w:r>
      <w:r>
        <w:rPr/>
        <w:t>本公司</w:t>
      </w:r>
      <w:r>
        <w:rPr>
          <w:rFonts w:ascii="Times New Roman" w:hAnsi="Times New Roman" w:cs="Times New Roman" w:eastAsia="Times New Roman" w:hint="default"/>
        </w:rPr>
        <w:t>2014</w:t>
      </w:r>
      <w:r>
        <w:rPr/>
        <w:t>至</w:t>
      </w:r>
      <w:r>
        <w:rPr>
          <w:rFonts w:ascii="Times New Roman" w:hAnsi="Times New Roman" w:cs="Times New Roman" w:eastAsia="Times New Roman" w:hint="default"/>
        </w:rPr>
        <w:t>2016</w:t>
      </w:r>
      <w:r>
        <w:rPr/>
        <w:t>年执行企业所得税率为</w:t>
      </w:r>
      <w:r>
        <w:rPr>
          <w:rFonts w:ascii="Times New Roman" w:hAnsi="Times New Roman" w:cs="Times New Roman" w:eastAsia="Times New Roman" w:hint="default"/>
        </w:rPr>
        <w:t>15%</w:t>
      </w:r>
      <w:r>
        <w:rPr/>
        <w:t>。</w:t>
      </w:r>
    </w:p>
    <w:p>
      <w:pPr>
        <w:pStyle w:val="BodyText"/>
        <w:spacing w:line="300" w:lineRule="auto" w:before="13"/>
        <w:ind w:right="19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日，子公司长春高琦通过高新技术企业复审，取得由吉林省科学技术厅、吉林省财政厅、吉林省国家税务</w:t>
      </w:r>
      <w:r>
        <w:rPr>
          <w:spacing w:val="-58"/>
        </w:rPr>
        <w:t> </w:t>
      </w:r>
      <w:r>
        <w:rPr>
          <w:spacing w:val="-58"/>
        </w:rPr>
      </w:r>
      <w:r>
        <w:rPr/>
        <w:t>局和吉林省地方税务局联合批准颁发的高新技术企业证书，证书编号</w:t>
      </w:r>
      <w:r>
        <w:rPr>
          <w:rFonts w:ascii="Times New Roman" w:hAnsi="Times New Roman" w:cs="Times New Roman" w:eastAsia="Times New Roman" w:hint="default"/>
        </w:rPr>
        <w:t>GF201422000002</w:t>
      </w:r>
      <w:r>
        <w:rPr/>
        <w:t>，本公司已到相关部门备案。根据高</w:t>
      </w:r>
      <w:r>
        <w:rPr>
          <w:spacing w:val="-55"/>
        </w:rPr>
        <w:t> </w:t>
      </w:r>
      <w:r>
        <w:rPr>
          <w:spacing w:val="-55"/>
        </w:rPr>
      </w:r>
      <w:r>
        <w:rPr/>
        <w:t>新技术企业所得税优惠政策，长春高琦</w:t>
      </w:r>
      <w:r>
        <w:rPr>
          <w:rFonts w:ascii="Times New Roman" w:hAnsi="Times New Roman" w:cs="Times New Roman" w:eastAsia="Times New Roman" w:hint="default"/>
        </w:rPr>
        <w:t>2014</w:t>
      </w:r>
      <w:r>
        <w:rPr/>
        <w:t>至</w:t>
      </w:r>
      <w:r>
        <w:rPr>
          <w:rFonts w:ascii="Times New Roman" w:hAnsi="Times New Roman" w:cs="Times New Roman" w:eastAsia="Times New Roman" w:hint="default"/>
        </w:rPr>
        <w:t>2016</w:t>
      </w:r>
      <w:r>
        <w:rPr/>
        <w:t>年执行企业所得税率为</w:t>
      </w:r>
      <w:r>
        <w:rPr>
          <w:rFonts w:ascii="Times New Roman" w:hAnsi="Times New Roman" w:cs="Times New Roman" w:eastAsia="Times New Roman" w:hint="default"/>
        </w:rPr>
        <w:t>15%</w:t>
      </w:r>
      <w:r>
        <w:rPr/>
        <w:t>。</w:t>
      </w:r>
    </w:p>
    <w:p>
      <w:pPr>
        <w:pStyle w:val="BodyText"/>
        <w:spacing w:line="300" w:lineRule="auto" w:before="13"/>
        <w:ind w:left="158" w:right="189"/>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日，子公司江西先材取得由江西省科学技术厅、江西省财政厅、江西省国家税务局和江西省地方税务局</w:t>
      </w:r>
      <w:r>
        <w:rPr>
          <w:spacing w:val="-48"/>
        </w:rPr>
        <w:t> </w:t>
      </w:r>
      <w:r>
        <w:rPr>
          <w:spacing w:val="-48"/>
        </w:rPr>
      </w:r>
      <w:r>
        <w:rPr>
          <w:spacing w:val="-1"/>
        </w:rPr>
        <w:t>联合批准颁发的高新技术企业证书，证书编号</w:t>
      </w:r>
      <w:r>
        <w:rPr>
          <w:rFonts w:ascii="Times New Roman" w:hAnsi="Times New Roman" w:cs="Times New Roman" w:eastAsia="Times New Roman" w:hint="default"/>
          <w:spacing w:val="-1"/>
        </w:rPr>
        <w:t>GR201436000136</w:t>
      </w:r>
      <w:r>
        <w:rPr>
          <w:spacing w:val="-1"/>
        </w:rPr>
        <w:t>。根据高新技术企业所得税优惠政策，江西先材</w:t>
      </w:r>
      <w:r>
        <w:rPr>
          <w:rFonts w:ascii="Times New Roman" w:hAnsi="Times New Roman" w:cs="Times New Roman" w:eastAsia="Times New Roman" w:hint="default"/>
          <w:spacing w:val="-1"/>
        </w:rPr>
        <w:t>2014</w:t>
      </w:r>
      <w:r>
        <w:rPr>
          <w:spacing w:val="-1"/>
        </w:rPr>
        <w:t>至</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年执行企业所得税率为</w:t>
      </w:r>
      <w:r>
        <w:rPr>
          <w:rFonts w:ascii="Times New Roman" w:hAnsi="Times New Roman" w:cs="Times New Roman" w:eastAsia="Times New Roman" w:hint="default"/>
        </w:rPr>
        <w:t>15%</w:t>
      </w:r>
      <w:r>
        <w:rPr/>
        <w:t>。</w:t>
      </w:r>
    </w:p>
    <w:p>
      <w:pPr>
        <w:spacing w:line="240" w:lineRule="auto" w:before="2"/>
        <w:rPr>
          <w:rFonts w:ascii="宋体" w:hAnsi="宋体" w:cs="宋体" w:eastAsia="宋体" w:hint="default"/>
          <w:sz w:val="22"/>
          <w:szCs w:val="22"/>
        </w:rPr>
      </w:pPr>
    </w:p>
    <w:p>
      <w:pPr>
        <w:spacing w:line="484" w:lineRule="auto" w:before="0"/>
        <w:ind w:left="112" w:right="69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12"/>
        <w:ind w:left="0" w:right="19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106,019.50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85,508.35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360,855,101.71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343,428,524.28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941,960.77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5,291,552.33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361,903,081.98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348,805,584.96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184,607.18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86,903.23</w:t>
            </w:r>
          </w:p>
        </w:tc>
      </w:tr>
    </w:tbl>
    <w:p>
      <w:pPr>
        <w:pStyle w:val="BodyText"/>
        <w:spacing w:line="240" w:lineRule="auto" w:before="50"/>
        <w:ind w:right="86"/>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86"/>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86"/>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86"/>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86"/>
        <w:jc w:val="left"/>
      </w:pPr>
      <w:r>
        <w:rPr/>
        <w:t>其他说明：无。</w:t>
      </w:r>
    </w:p>
    <w:p>
      <w:pPr>
        <w:spacing w:after="0" w:line="240" w:lineRule="auto"/>
        <w:jc w:val="left"/>
        <w:sectPr>
          <w:pgSz w:w="11910" w:h="16840"/>
          <w:pgMar w:header="878" w:footer="1225" w:top="1100" w:bottom="1420" w:left="1020" w:right="94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4,601,040.50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8,504,750.00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4,601,040.50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8,504,750.00</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16,775,736.80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16,775,736.80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footerReference w:type="default" r:id="rId54"/>
          <w:pgSz w:w="11910" w:h="16840"/>
          <w:pgMar w:footer="1225" w:header="878" w:top="1100" w:bottom="1420" w:left="1020" w:right="1020"/>
          <w:pgNumType w:start="110"/>
        </w:sectPr>
      </w:pPr>
    </w:p>
    <w:p>
      <w:pPr>
        <w:pStyle w:val="BodyText"/>
        <w:spacing w:line="240" w:lineRule="auto" w:before="16"/>
        <w:ind w:left="0" w:right="137"/>
        <w:jc w:val="righ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p>
      <w:pPr>
        <w:spacing w:line="240" w:lineRule="auto" w:before="6"/>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pStyle w:val="Heading5"/>
        <w:spacing w:line="240" w:lineRule="auto" w:before="34"/>
        <w:ind w:left="140" w:right="132"/>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0" w:right="13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7"/>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55"/>
        <w:gridCol w:w="1181"/>
        <w:gridCol w:w="1077"/>
        <w:gridCol w:w="1091"/>
        <w:gridCol w:w="1065"/>
        <w:gridCol w:w="1181"/>
        <w:gridCol w:w="1181"/>
        <w:gridCol w:w="1077"/>
        <w:gridCol w:w="1152"/>
        <w:gridCol w:w="1327"/>
        <w:gridCol w:w="1327"/>
      </w:tblGrid>
      <w:tr>
        <w:trPr>
          <w:trHeight w:val="402" w:hRule="exact"/>
        </w:trPr>
        <w:tc>
          <w:tcPr>
            <w:tcW w:w="2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59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6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55" w:type="dxa"/>
            <w:vMerge/>
            <w:tcBorders>
              <w:left w:val="single" w:sz="4" w:space="0" w:color="000000"/>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7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355"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5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60"/>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7,143,460.82</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3,184,919.48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3,958,541.34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60"/>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139,586,099.98</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14,027,679.60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125,558,420.38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231,663,875.53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18,617,889.91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213,045,985.62</w:t>
            </w:r>
          </w:p>
        </w:tc>
      </w:tr>
      <w:tr>
        <w:trPr>
          <w:trHeight w:val="714" w:hRule="exact"/>
        </w:trPr>
        <w:tc>
          <w:tcPr>
            <w:tcW w:w="2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60"/>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3,079,673.00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2,572,097.33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507,575.67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149,809,233.80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19,784,696.41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130,024,537.39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231,663,875.53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00" w:right="0"/>
              <w:jc w:val="left"/>
              <w:rPr>
                <w:rFonts w:ascii="Times New Roman" w:hAnsi="Times New Roman" w:cs="Times New Roman" w:eastAsia="Times New Roman" w:hint="default"/>
                <w:sz w:val="18"/>
                <w:szCs w:val="18"/>
              </w:rPr>
            </w:pPr>
            <w:r>
              <w:rPr>
                <w:rFonts w:ascii="Times New Roman"/>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2" w:right="0"/>
              <w:jc w:val="center"/>
              <w:rPr>
                <w:rFonts w:ascii="Times New Roman" w:hAnsi="Times New Roman" w:cs="Times New Roman" w:eastAsia="Times New Roman" w:hint="default"/>
                <w:sz w:val="18"/>
                <w:szCs w:val="18"/>
              </w:rPr>
            </w:pPr>
            <w:r>
              <w:rPr>
                <w:rFonts w:ascii="Times New Roman"/>
                <w:sz w:val="18"/>
              </w:rPr>
              <w:t>18,617,889.91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213,045,985.62</w:t>
            </w:r>
          </w:p>
        </w:tc>
      </w:tr>
    </w:tbl>
    <w:p>
      <w:pPr>
        <w:spacing w:after="0" w:line="240" w:lineRule="auto"/>
        <w:jc w:val="right"/>
        <w:rPr>
          <w:rFonts w:ascii="Times New Roman" w:hAnsi="Times New Roman" w:cs="Times New Roman" w:eastAsia="Times New Roman" w:hint="default"/>
          <w:sz w:val="18"/>
          <w:szCs w:val="18"/>
        </w:rPr>
        <w:sectPr>
          <w:headerReference w:type="default" r:id="rId55"/>
          <w:footerReference w:type="default" r:id="rId56"/>
          <w:pgSz w:w="16840" w:h="11910" w:orient="landscape"/>
          <w:pgMar w:header="0" w:footer="0" w:top="800" w:bottom="280" w:left="1300" w:right="1300"/>
        </w:sectPr>
      </w:pPr>
    </w:p>
    <w:p>
      <w:pPr>
        <w:pStyle w:val="BodyText"/>
        <w:spacing w:line="240" w:lineRule="auto" w:before="49"/>
        <w:ind w:left="140" w:right="-20"/>
        <w:jc w:val="left"/>
      </w:pPr>
      <w:r>
        <w:rPr/>
        <w:t>期末单项金额重大并单项计提坏账准备的应收账款：</w:t>
      </w:r>
    </w:p>
    <w:p>
      <w:pPr>
        <w:pStyle w:val="BodyText"/>
        <w:spacing w:line="240" w:lineRule="auto" w:before="11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420" w:left="1300" w:right="1300"/>
          <w:cols w:num="2" w:equalWidth="0">
            <w:col w:w="4281" w:space="8867"/>
            <w:col w:w="1092"/>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799"/>
        <w:gridCol w:w="2806"/>
        <w:gridCol w:w="2803"/>
        <w:gridCol w:w="2803"/>
        <w:gridCol w:w="2803"/>
      </w:tblGrid>
      <w:tr>
        <w:trPr>
          <w:trHeight w:val="402" w:hRule="exact"/>
        </w:trPr>
        <w:tc>
          <w:tcPr>
            <w:tcW w:w="2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1121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99" w:type="dxa"/>
            <w:vMerge/>
            <w:tcBorders>
              <w:left w:val="single" w:sz="4" w:space="0" w:color="000000"/>
              <w:bottom w:val="single" w:sz="4" w:space="0" w:color="000000"/>
              <w:right w:val="single" w:sz="4" w:space="0" w:color="000000"/>
            </w:tcBorders>
            <w:shd w:val="clear" w:color="auto" w:fill="D3D3D3"/>
          </w:tcPr>
          <w:p>
            <w:pPr/>
          </w:p>
        </w:tc>
        <w:tc>
          <w:tcPr>
            <w:tcW w:w="2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成都惠程电气有限公司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1,016,627.81</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612,042.81</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60.20%</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催款困难，全部收回的可能性很小</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吉林省吉诚电气有限公司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2,978,384.00</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998,652.16</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33.53%</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sz w:val="18"/>
                <w:szCs w:val="18"/>
              </w:rPr>
              <w:t>催款困难，全部收回的可能性很小</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3,148,449.01</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1,574,224.51</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催款困难，全部收回的可能性很小</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7,143,460.82</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3,184,919.48</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3"/>
        <w:rPr>
          <w:rFonts w:ascii="宋体" w:hAnsi="宋体" w:cs="宋体" w:eastAsia="宋体" w:hint="default"/>
          <w:sz w:val="9"/>
          <w:szCs w:val="9"/>
        </w:rPr>
      </w:pPr>
    </w:p>
    <w:p>
      <w:pPr>
        <w:pStyle w:val="BodyText"/>
        <w:spacing w:line="240" w:lineRule="auto" w:before="76"/>
        <w:ind w:left="6964" w:right="6958"/>
        <w:jc w:val="center"/>
        <w:rPr>
          <w:rFonts w:ascii="Times New Roman" w:hAnsi="Times New Roman" w:cs="Times New Roman" w:eastAsia="Times New Roman" w:hint="default"/>
        </w:rPr>
      </w:pPr>
      <w:r>
        <w:rPr>
          <w:rFonts w:ascii="Times New Roman"/>
          <w:spacing w:val="-4"/>
        </w:rPr>
        <w:t>111</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420" w:left="1300" w:right="1300"/>
        </w:sectPr>
      </w:pPr>
    </w:p>
    <w:p>
      <w:pPr>
        <w:spacing w:line="240" w:lineRule="auto" w:before="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57"/>
          <w:pgSz w:w="11910" w:h="16840"/>
          <w:pgMar w:footer="1225" w:header="0" w:top="1100" w:bottom="1420" w:left="1020" w:right="1020"/>
          <w:pgNumType w:start="112"/>
        </w:sectPr>
      </w:pPr>
    </w:p>
    <w:p>
      <w:pPr>
        <w:pStyle w:val="BodyText"/>
        <w:spacing w:line="240" w:lineRule="auto" w:before="44"/>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420" w:left="1020" w:right="1020"/>
          <w:cols w:num="2" w:equalWidth="0">
            <w:col w:w="4073" w:space="475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95,963,816.28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4,798,190.82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29,549,995.24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2,954,999.52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7,835,942.45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1,567,188.49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6,236,346.01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4,707,300.77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75.48%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1,323,359.70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397,007.91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1,004,489.08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401,795.63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3,908,497.23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3,908,497.23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139,586,099.98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14,027,679.60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414"/>
        <w:jc w:val="left"/>
      </w:pPr>
      <w:r>
        <w:rPr/>
        <w:t>确定该组合依据的说明： 组合中，采用余额百分比法计提坏账准备的应收账款：</w:t>
      </w:r>
    </w:p>
    <w:p>
      <w:pPr>
        <w:pStyle w:val="BodyText"/>
        <w:spacing w:line="340" w:lineRule="auto" w:before="25"/>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420" w:left="1020" w:right="1020"/>
        </w:sectPr>
      </w:pPr>
    </w:p>
    <w:p>
      <w:pPr>
        <w:pStyle w:val="BodyText"/>
        <w:spacing w:line="340" w:lineRule="auto" w:before="44"/>
        <w:ind w:right="-8"/>
        <w:jc w:val="left"/>
      </w:pPr>
      <w:r>
        <w:rPr/>
        <w:t>本期计提坏账准备金额</w:t>
      </w:r>
      <w:r>
        <w:rPr>
          <w:spacing w:val="-47"/>
        </w:rPr>
        <w:t> </w:t>
      </w:r>
      <w:r>
        <w:rPr>
          <w:rFonts w:ascii="Times New Roman" w:hAnsi="Times New Roman" w:cs="Times New Roman" w:eastAsia="Times New Roman" w:hint="default"/>
        </w:rPr>
        <w:t>1,166,806.50</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420" w:left="1020" w:right="1020"/>
          <w:cols w:num="2" w:equalWidth="0">
            <w:col w:w="6413" w:space="241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其中重要的应收账款核销情况：</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应收账款核销说明：无。</w:t>
      </w:r>
    </w:p>
    <w:p>
      <w:pPr>
        <w:spacing w:after="0" w:line="240" w:lineRule="auto"/>
        <w:jc w:val="left"/>
        <w:sectPr>
          <w:type w:val="continuous"/>
          <w:pgSz w:w="11910" w:h="16840"/>
          <w:pgMar w:top="106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435"/>
        <w:gridCol w:w="1798"/>
        <w:gridCol w:w="2617"/>
        <w:gridCol w:w="1808"/>
      </w:tblGrid>
      <w:tr>
        <w:trPr>
          <w:trHeight w:val="342" w:hRule="exact"/>
        </w:trPr>
        <w:tc>
          <w:tcPr>
            <w:tcW w:w="3435"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2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3435" w:type="dxa"/>
            <w:vMerge/>
            <w:tcBorders>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3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21,668,953.37</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14.46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1,691,050.85</w:t>
            </w:r>
          </w:p>
        </w:tc>
      </w:tr>
      <w:tr>
        <w:trPr>
          <w:trHeight w:val="342"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10,689,020.00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7.14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534,451.00</w:t>
            </w:r>
          </w:p>
        </w:tc>
      </w:tr>
      <w:tr>
        <w:trPr>
          <w:trHeight w:val="342"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10,667,871.00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7.12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1,066,787.10</w:t>
            </w:r>
          </w:p>
        </w:tc>
      </w:tr>
      <w:tr>
        <w:trPr>
          <w:trHeight w:val="342"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10,277,731.79</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6.86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661,800.73</w:t>
            </w:r>
          </w:p>
        </w:tc>
      </w:tr>
      <w:tr>
        <w:trPr>
          <w:trHeight w:val="342"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9,506,006.80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6.35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475,300.34</w:t>
            </w:r>
          </w:p>
        </w:tc>
      </w:tr>
      <w:tr>
        <w:trPr>
          <w:trHeight w:val="342"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62,809,582.96</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41.93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4,429,390.02</w:t>
            </w:r>
          </w:p>
        </w:tc>
      </w:tr>
    </w:tbl>
    <w:p>
      <w:pPr>
        <w:spacing w:line="240" w:lineRule="auto" w:before="5"/>
        <w:rPr>
          <w:rFonts w:ascii="宋体" w:hAnsi="宋体" w:cs="宋体" w:eastAsia="宋体" w:hint="default"/>
          <w:b/>
          <w:bCs/>
          <w:sz w:val="19"/>
          <w:szCs w:val="19"/>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38"/>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10,094,117.98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18,783,568.95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664,218.55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1,869,666.84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47,635.31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1,835,874.93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7.85%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509,349.82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899,181.10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11,315,321.66</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23,388,291.82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32" w:right="138"/>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13"/>
        <w:rPr>
          <w:rFonts w:ascii="宋体" w:hAnsi="宋体" w:cs="宋体" w:eastAsia="宋体" w:hint="default"/>
          <w:sz w:val="25"/>
          <w:szCs w:val="25"/>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602"/>
        <w:gridCol w:w="3110"/>
        <w:gridCol w:w="2946"/>
      </w:tblGrid>
      <w:tr>
        <w:trPr>
          <w:trHeight w:val="654" w:hRule="exact"/>
        </w:trPr>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28" w:right="745" w:hanging="180"/>
              <w:jc w:val="left"/>
              <w:rPr>
                <w:rFonts w:ascii="宋体" w:hAnsi="宋体" w:cs="宋体" w:eastAsia="宋体" w:hint="default"/>
                <w:sz w:val="18"/>
                <w:szCs w:val="18"/>
              </w:rPr>
            </w:pPr>
            <w:r>
              <w:rPr>
                <w:rFonts w:ascii="宋体" w:hAnsi="宋体" w:cs="宋体" w:eastAsia="宋体" w:hint="default"/>
                <w:sz w:val="18"/>
                <w:szCs w:val="18"/>
              </w:rPr>
              <w:t>占预付款年末余额 合计数的比例</w:t>
            </w:r>
          </w:p>
        </w:tc>
      </w:tr>
      <w:tr>
        <w:trPr>
          <w:trHeight w:val="342" w:hRule="exact"/>
        </w:trPr>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5,997,200.00</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53.00</w:t>
            </w:r>
          </w:p>
        </w:tc>
      </w:tr>
      <w:tr>
        <w:trPr>
          <w:trHeight w:val="342" w:hRule="exact"/>
        </w:trPr>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643,369.24</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5.69</w:t>
            </w:r>
          </w:p>
        </w:tc>
      </w:tr>
      <w:tr>
        <w:trPr>
          <w:trHeight w:val="342" w:hRule="exact"/>
        </w:trPr>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633,795.30</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5.60</w:t>
            </w:r>
          </w:p>
        </w:tc>
      </w:tr>
      <w:tr>
        <w:trPr>
          <w:trHeight w:val="342" w:hRule="exact"/>
        </w:trPr>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175,750.02</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1.55</w:t>
            </w:r>
          </w:p>
        </w:tc>
      </w:tr>
      <w:tr>
        <w:trPr>
          <w:trHeight w:val="342" w:hRule="exact"/>
        </w:trPr>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140,825.36</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1.24</w:t>
            </w:r>
          </w:p>
        </w:tc>
      </w:tr>
      <w:tr>
        <w:trPr>
          <w:trHeight w:val="342" w:hRule="exact"/>
        </w:trPr>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7,590,939.92</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67.08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00" w:right="1000"/>
        </w:sectPr>
      </w:pPr>
    </w:p>
    <w:p>
      <w:pPr>
        <w:spacing w:line="240" w:lineRule="auto" w:before="1"/>
        <w:rPr>
          <w:rFonts w:ascii="宋体" w:hAnsi="宋体" w:cs="宋体" w:eastAsia="宋体" w:hint="default"/>
          <w:b/>
          <w:bCs/>
          <w:sz w:val="22"/>
          <w:szCs w:val="22"/>
        </w:rPr>
      </w:pPr>
    </w:p>
    <w:p>
      <w:pPr>
        <w:pStyle w:val="BodyText"/>
        <w:spacing w:line="240" w:lineRule="auto" w:before="44"/>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438,701.39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438,701.39</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）重要的账龄超过</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0"/>
        <w:jc w:val="left"/>
      </w:pPr>
      <w:r>
        <w:rPr/>
        <w:t>其他说明：无。</w:t>
      </w:r>
    </w:p>
    <w:p>
      <w:pPr>
        <w:spacing w:after="0" w:line="240" w:lineRule="auto"/>
        <w:jc w:val="left"/>
        <w:sectPr>
          <w:pgSz w:w="11910" w:h="16840"/>
          <w:pgMar w:header="0" w:footer="1225" w:top="1100" w:bottom="1420" w:left="1020" w:right="1020"/>
        </w:sectPr>
      </w:pPr>
    </w:p>
    <w:p>
      <w:pPr>
        <w:pStyle w:val="BodyText"/>
        <w:spacing w:line="240" w:lineRule="auto" w:before="16"/>
        <w:ind w:left="0" w:right="137"/>
        <w:jc w:val="righ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p>
      <w:pPr>
        <w:spacing w:line="240" w:lineRule="auto" w:before="6"/>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pStyle w:val="Heading5"/>
        <w:spacing w:line="240" w:lineRule="auto" w:before="34"/>
        <w:ind w:left="140" w:right="132"/>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0" w:right="132"/>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7"/>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80"/>
        <w:gridCol w:w="1104"/>
        <w:gridCol w:w="1102"/>
        <w:gridCol w:w="1102"/>
        <w:gridCol w:w="1105"/>
        <w:gridCol w:w="1145"/>
        <w:gridCol w:w="1091"/>
        <w:gridCol w:w="1103"/>
        <w:gridCol w:w="1178"/>
        <w:gridCol w:w="1352"/>
        <w:gridCol w:w="1352"/>
      </w:tblGrid>
      <w:tr>
        <w:trPr>
          <w:trHeight w:val="402" w:hRule="exact"/>
        </w:trPr>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55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7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80" w:type="dxa"/>
            <w:vMerge/>
            <w:tcBorders>
              <w:left w:val="single" w:sz="4" w:space="0" w:color="000000"/>
              <w:right w:val="single" w:sz="4" w:space="0" w:color="000000"/>
            </w:tcBorders>
            <w:shd w:val="clear" w:color="auto" w:fill="D3D3D3"/>
          </w:tcPr>
          <w:p>
            <w:pPr/>
          </w:p>
        </w:tc>
        <w:tc>
          <w:tcPr>
            <w:tcW w:w="22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380" w:type="dxa"/>
            <w:vMerge/>
            <w:tcBorders>
              <w:left w:val="single" w:sz="4" w:space="0" w:color="000000"/>
              <w:bottom w:val="single" w:sz="4" w:space="0" w:color="000000"/>
              <w:right w:val="single" w:sz="4" w:space="0" w:color="000000"/>
            </w:tcBorders>
            <w:shd w:val="clear" w:color="auto" w:fill="D3D3D3"/>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45"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5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331,180.00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331,180.00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85"/>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20,781,635.55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5,832,167.87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14,949,467.68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27,274,694.13</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7,891,584.14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19,383,109.99</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27,173.74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0.13%</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27,173.74</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21,139,989.29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6,163,347.87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29.15%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14,976,641.42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27,274,694.13</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26" w:right="0"/>
              <w:jc w:val="left"/>
              <w:rPr>
                <w:rFonts w:ascii="Times New Roman" w:hAnsi="Times New Roman" w:cs="Times New Roman" w:eastAsia="Times New Roman" w:hint="default"/>
                <w:sz w:val="18"/>
                <w:szCs w:val="18"/>
              </w:rPr>
            </w:pPr>
            <w:r>
              <w:rPr>
                <w:rFonts w:ascii="Times New Roman"/>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7,891,584.14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28.93%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19,383,109.99</w:t>
            </w:r>
          </w:p>
        </w:tc>
      </w:tr>
    </w:tbl>
    <w:p>
      <w:pPr>
        <w:spacing w:after="0" w:line="240" w:lineRule="auto"/>
        <w:jc w:val="right"/>
        <w:rPr>
          <w:rFonts w:ascii="Times New Roman" w:hAnsi="Times New Roman" w:cs="Times New Roman" w:eastAsia="Times New Roman" w:hint="default"/>
          <w:sz w:val="18"/>
          <w:szCs w:val="18"/>
        </w:rPr>
        <w:sectPr>
          <w:headerReference w:type="default" r:id="rId58"/>
          <w:footerReference w:type="default" r:id="rId59"/>
          <w:pgSz w:w="16840" w:h="11910" w:orient="landscape"/>
          <w:pgMar w:header="0" w:footer="0" w:top="800" w:bottom="280" w:left="1300" w:right="1300"/>
        </w:sectPr>
      </w:pPr>
    </w:p>
    <w:p>
      <w:pPr>
        <w:pStyle w:val="BodyText"/>
        <w:spacing w:line="240" w:lineRule="auto" w:before="49"/>
        <w:ind w:left="140" w:right="-20"/>
        <w:jc w:val="left"/>
      </w:pPr>
      <w:r>
        <w:rPr/>
        <w:t>期末单项金额重大并单项计提坏账准备的其他应收款：</w:t>
      </w:r>
    </w:p>
    <w:p>
      <w:pPr>
        <w:pStyle w:val="BodyText"/>
        <w:spacing w:line="240" w:lineRule="auto" w:before="11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420" w:left="1300" w:right="1300"/>
          <w:cols w:num="2" w:equalWidth="0">
            <w:col w:w="4461" w:space="8687"/>
            <w:col w:w="1092"/>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799"/>
        <w:gridCol w:w="2806"/>
        <w:gridCol w:w="2803"/>
        <w:gridCol w:w="2803"/>
        <w:gridCol w:w="2803"/>
      </w:tblGrid>
      <w:tr>
        <w:trPr>
          <w:trHeight w:val="402" w:hRule="exact"/>
        </w:trPr>
        <w:tc>
          <w:tcPr>
            <w:tcW w:w="2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1121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99" w:type="dxa"/>
            <w:vMerge/>
            <w:tcBorders>
              <w:left w:val="single" w:sz="4" w:space="0" w:color="000000"/>
              <w:bottom w:val="single" w:sz="4" w:space="0" w:color="000000"/>
              <w:right w:val="single" w:sz="4" w:space="0" w:color="000000"/>
            </w:tcBorders>
            <w:shd w:val="clear" w:color="auto" w:fill="D3D3D3"/>
          </w:tcPr>
          <w:p>
            <w:pPr/>
          </w:p>
        </w:tc>
        <w:tc>
          <w:tcPr>
            <w:tcW w:w="2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艾科达（深圳）光电有限公司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331,180.00</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331,180.00</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对方已破产，款项难以收回</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331,180.00</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331,180.00</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6964" w:right="6963"/>
        <w:jc w:val="center"/>
        <w:rPr>
          <w:rFonts w:ascii="Times New Roman" w:hAnsi="Times New Roman" w:cs="Times New Roman" w:eastAsia="Times New Roman" w:hint="default"/>
        </w:rPr>
      </w:pPr>
      <w:r>
        <w:rPr>
          <w:rFonts w:ascii="Times New Roman"/>
          <w:spacing w:val="-2"/>
        </w:rPr>
        <w:t>115</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420" w:left="1300" w:right="1300"/>
        </w:sectPr>
      </w:pPr>
    </w:p>
    <w:p>
      <w:pPr>
        <w:spacing w:line="240" w:lineRule="auto" w:before="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60"/>
          <w:pgSz w:w="11910" w:h="16840"/>
          <w:pgMar w:footer="1225" w:header="0" w:top="1100" w:bottom="1420" w:left="1000" w:right="1000"/>
          <w:pgNumType w:start="116"/>
        </w:sectPr>
      </w:pPr>
    </w:p>
    <w:p>
      <w:pPr>
        <w:pStyle w:val="BodyText"/>
        <w:spacing w:line="240" w:lineRule="auto" w:before="44"/>
        <w:ind w:left="132" w:right="-20"/>
        <w:jc w:val="left"/>
      </w:pPr>
      <w:r>
        <w:rPr/>
        <w:t>组合中，按账龄分析法计提坏账准备的其他应收款：</w:t>
      </w:r>
    </w:p>
    <w:p>
      <w:pPr>
        <w:pStyle w:val="BodyText"/>
        <w:spacing w:line="240" w:lineRule="auto" w:before="115"/>
        <w:ind w:left="1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32" w:right="0"/>
        <w:jc w:val="left"/>
      </w:pPr>
      <w:r>
        <w:rPr/>
        <w:t>单位：</w:t>
      </w:r>
      <w:r>
        <w:rPr>
          <w:spacing w:val="-2"/>
        </w:rPr>
        <w:t> </w:t>
      </w:r>
      <w:r>
        <w:rPr/>
        <w:t>元</w:t>
      </w:r>
    </w:p>
    <w:p>
      <w:pPr>
        <w:spacing w:after="0" w:line="240" w:lineRule="auto"/>
        <w:jc w:val="left"/>
        <w:sectPr>
          <w:type w:val="continuous"/>
          <w:pgSz w:w="11910" w:h="16840"/>
          <w:pgMar w:top="1060" w:bottom="1420" w:left="1000" w:right="1000"/>
          <w:cols w:num="2" w:equalWidth="0">
            <w:col w:w="4273" w:space="4556"/>
            <w:col w:w="1081"/>
          </w:cols>
        </w:sectPr>
      </w:pP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12,089,666.37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604,483.31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3,387,812.86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338,781.29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230,058.00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46,011.60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550,615.58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319,408.93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58.01%</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298,497.39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89,549.22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14,838.98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215,020.73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215,020.73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16,258,152.81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1,308,685.13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8.05%</w:t>
            </w:r>
          </w:p>
        </w:tc>
      </w:tr>
    </w:tbl>
    <w:p>
      <w:pPr>
        <w:pStyle w:val="BodyText"/>
        <w:spacing w:line="360" w:lineRule="auto" w:before="51"/>
        <w:ind w:left="132" w:right="5254"/>
        <w:jc w:val="left"/>
      </w:pPr>
      <w:r>
        <w:rPr/>
        <w:t>确定该组合依据的说明： 组合中，采用余额百分比法计提坏账准备的其他应收款：</w:t>
      </w:r>
    </w:p>
    <w:p>
      <w:pPr>
        <w:pStyle w:val="BodyText"/>
        <w:spacing w:line="340" w:lineRule="auto" w:before="25"/>
        <w:ind w:left="132" w:right="5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1"/>
        <w:ind w:left="132"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619"/>
        <w:gridCol w:w="2457"/>
        <w:gridCol w:w="2455"/>
        <w:gridCol w:w="2127"/>
      </w:tblGrid>
      <w:tr>
        <w:trPr>
          <w:trHeight w:val="342" w:hRule="exact"/>
        </w:trPr>
        <w:tc>
          <w:tcPr>
            <w:tcW w:w="2619" w:type="dxa"/>
            <w:vMerge w:val="restart"/>
            <w:tcBorders>
              <w:top w:val="single" w:sz="4" w:space="0" w:color="000000"/>
              <w:left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2619" w:type="dxa"/>
            <w:vMerge/>
            <w:tcBorders>
              <w:left w:val="single" w:sz="4" w:space="0" w:color="000000"/>
              <w:bottom w:val="single" w:sz="4" w:space="0" w:color="000000"/>
              <w:right w:val="single" w:sz="4" w:space="0" w:color="000000"/>
            </w:tcBorders>
          </w:tcPr>
          <w:p>
            <w:pP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4,523,482.74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4,523,482.74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4,523,482.74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4,523,482.74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4"/>
        <w:rPr>
          <w:rFonts w:ascii="宋体" w:hAnsi="宋体" w:cs="宋体" w:eastAsia="宋体" w:hint="default"/>
          <w:sz w:val="19"/>
          <w:szCs w:val="19"/>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420" w:left="1000" w:right="1000"/>
        </w:sectPr>
      </w:pPr>
    </w:p>
    <w:p>
      <w:pPr>
        <w:pStyle w:val="BodyText"/>
        <w:spacing w:line="340" w:lineRule="auto" w:before="44"/>
        <w:ind w:left="132" w:right="-6"/>
        <w:jc w:val="left"/>
      </w:pPr>
      <w:r>
        <w:rPr/>
        <w:t>本期计提坏账准备金额</w:t>
      </w:r>
      <w:r>
        <w:rPr>
          <w:spacing w:val="-47"/>
        </w:rPr>
        <w:t> </w:t>
      </w:r>
      <w:r>
        <w:rPr>
          <w:rFonts w:ascii="Times New Roman" w:hAnsi="Times New Roman" w:cs="Times New Roman" w:eastAsia="Times New Roman" w:hint="default"/>
        </w:rPr>
        <w:t>4,778,938.83</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6,507,175.10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32" w:right="0"/>
        <w:jc w:val="left"/>
      </w:pPr>
      <w:r>
        <w:rPr/>
        <w:t>单位：</w:t>
      </w:r>
      <w:r>
        <w:rPr>
          <w:spacing w:val="-2"/>
        </w:rPr>
        <w:t> </w:t>
      </w:r>
      <w:r>
        <w:rPr/>
        <w:t>元</w:t>
      </w:r>
    </w:p>
    <w:p>
      <w:pPr>
        <w:spacing w:after="0" w:line="240" w:lineRule="auto"/>
        <w:jc w:val="left"/>
        <w:sectPr>
          <w:type w:val="continuous"/>
          <w:pgSz w:w="11910" w:h="16840"/>
          <w:pgMar w:top="1060" w:bottom="1420" w:left="1000" w:right="1000"/>
          <w:cols w:num="2" w:equalWidth="0">
            <w:col w:w="7065" w:space="1765"/>
            <w:col w:w="1080"/>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暂未取得发票的业务费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6,506,203.89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收到发票后冲销款项</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6,506,203.89</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3d3d3"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3"/>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type w:val="continuous"/>
          <w:pgSz w:w="11910" w:h="16840"/>
          <w:pgMar w:top="1060" w:bottom="1420" w:left="1000" w:right="1000"/>
        </w:sectPr>
      </w:pPr>
    </w:p>
    <w:p>
      <w:pPr>
        <w:spacing w:line="240" w:lineRule="auto" w:before="1"/>
        <w:rPr>
          <w:rFonts w:ascii="宋体" w:hAnsi="宋体" w:cs="宋体" w:eastAsia="宋体" w:hint="default"/>
          <w:sz w:val="22"/>
          <w:szCs w:val="22"/>
        </w:rPr>
      </w:pPr>
    </w:p>
    <w:p>
      <w:pPr>
        <w:pStyle w:val="BodyText"/>
        <w:spacing w:line="240" w:lineRule="auto" w:before="44"/>
        <w:ind w:right="0"/>
        <w:jc w:val="left"/>
      </w:pPr>
      <w:r>
        <w:rPr/>
        <w:t>其中重要的其他应收款核销情况：</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其他应收款核销说明：无。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12,572,273.00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11,925,420.00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1,876,836.68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628,355.49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728,638.93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1,729,439.61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4,853,167.78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10,116,086.09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员工个人借支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547,890.21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2,636,143.27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561,182.69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239,249.67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21,139,989.29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27,274,694.13</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1,179,808.19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58,990.41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8,986,808.19</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563,340.41</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33,793,785.40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439,886.74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33,353,898.66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48,658,381.07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405,661.57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48,252,719.50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8,946,272.95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8,946,272.95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14,377,071.63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14,377,071.63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47,915,331.96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12,497,462.69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35,417,869.27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50,104,066.30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3,196,934.29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46,907,132.01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221,869.99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221,869.99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143,550.78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143,550.78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26,370,129.00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4,058,166.32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22,311,962.68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31,014,211.69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31,014,211.69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14,716,068.64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14,716,068.64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14,516,540.79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14,516,540.79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98,683.74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98,683.74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132,062,141.68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16,995,515.75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115,066,625.93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158,813,822.26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3,602,595.86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155,211,226.40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405,661.57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410,155.11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375,929.94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439,886.74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3,196,934.29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9,300,528.40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12,497,462.69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4,058,166.32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4,058,166.32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3,602,595.86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13,768,849.83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375,929.94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16,995,515.75</w:t>
            </w:r>
          </w:p>
        </w:tc>
      </w:tr>
    </w:tbl>
    <w:p>
      <w:pPr>
        <w:pStyle w:val="BodyText"/>
        <w:spacing w:line="316" w:lineRule="auto" w:before="10"/>
        <w:ind w:right="0"/>
        <w:jc w:val="left"/>
      </w:pPr>
      <w:r>
        <w:rPr>
          <w:spacing w:val="-2"/>
        </w:rPr>
        <w:t>产成品、库存商品和用于出售的材料等直接用于出售的商品存货，在正常生产经营过程中，以该存货的估计售价减去估计的</w:t>
      </w:r>
      <w:r>
        <w:rPr>
          <w:spacing w:val="-63"/>
        </w:rPr>
        <w:t> </w:t>
      </w:r>
      <w:r>
        <w:rPr>
          <w:spacing w:val="-63"/>
        </w:rPr>
      </w:r>
      <w:r>
        <w:rPr>
          <w:spacing w:val="-2"/>
        </w:rPr>
        <w:t>销售费用和相关税费后的金额，确定其可变现净值；需要经过加工的材料存货，在正常生产经营过程中，以所生产的产成品</w:t>
      </w:r>
      <w:r>
        <w:rPr>
          <w:spacing w:val="-64"/>
        </w:rPr>
        <w:t> </w:t>
      </w:r>
      <w:r>
        <w:rPr>
          <w:spacing w:val="-64"/>
        </w:rPr>
      </w:r>
      <w:r>
        <w:rPr>
          <w:spacing w:val="-2"/>
        </w:rPr>
        <w:t>的估计售价减去至完工时估计将要发生的成本、估计的销售费用和相关税费后的金额，确定其可变现净值；为执行销售合同</w:t>
      </w:r>
      <w:r>
        <w:rPr>
          <w:spacing w:val="-63"/>
        </w:rPr>
        <w:t> </w:t>
      </w:r>
      <w:r>
        <w:rPr>
          <w:spacing w:val="-63"/>
        </w:rPr>
      </w:r>
      <w:r>
        <w:rPr>
          <w:spacing w:val="-2"/>
        </w:rPr>
        <w:t>或者劳务合同而持有的存货，其可变现净值以合同价格为基础计算，若持有存货的数量多于销售合同订购数量的，超出部分</w:t>
      </w:r>
      <w:r>
        <w:rPr>
          <w:spacing w:val="-63"/>
        </w:rPr>
        <w:t> </w:t>
      </w:r>
      <w:r>
        <w:rPr>
          <w:spacing w:val="-63"/>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4"/>
        </w:rPr>
        <w:t> </w:t>
      </w:r>
      <w:r>
        <w:rPr>
          <w:spacing w:val="-64"/>
        </w:rPr>
      </w:r>
      <w:r>
        <w:rPr>
          <w:spacing w:val="-2"/>
        </w:rPr>
        <w:t>地区生产和销售的产品系列相关、具有相同或类似最终用途或目的，且难以与其他项目分开计量的存货，则合并计提存货跌</w:t>
      </w:r>
      <w:r>
        <w:rPr>
          <w:spacing w:val="-63"/>
        </w:rPr>
        <w:t> </w:t>
      </w:r>
      <w:r>
        <w:rPr>
          <w:spacing w:val="-63"/>
        </w:rPr>
      </w:r>
      <w:r>
        <w:rPr/>
        <w:t>价准备。</w:t>
      </w:r>
    </w:p>
    <w:p>
      <w:pPr>
        <w:spacing w:after="0" w:line="316"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3d3d3"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left="132"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38"/>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left="132" w:right="138"/>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left="132" w:right="138"/>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left="132"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38"/>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288,500,000.00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27,615,379.89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28,231,694.56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923,836.99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317,039,216.88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28,231,694.56</w:t>
            </w:r>
          </w:p>
        </w:tc>
      </w:tr>
    </w:tbl>
    <w:p>
      <w:pPr>
        <w:pStyle w:val="BodyText"/>
        <w:spacing w:line="240" w:lineRule="auto" w:before="51"/>
        <w:ind w:left="132" w:right="138"/>
        <w:jc w:val="left"/>
      </w:pPr>
      <w:r>
        <w:rPr/>
        <w:t>其他说明：</w:t>
      </w:r>
    </w:p>
    <w:p>
      <w:pPr>
        <w:pStyle w:val="Heading6"/>
        <w:spacing w:line="240" w:lineRule="auto" w:before="89"/>
        <w:ind w:right="138"/>
        <w:jc w:val="left"/>
      </w:pPr>
      <w:r>
        <w:rPr/>
        <w:t>银行理财产品明细</w:t>
      </w:r>
    </w:p>
    <w:p>
      <w:pPr>
        <w:spacing w:line="240" w:lineRule="auto" w:before="1"/>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3484"/>
        <w:gridCol w:w="3483"/>
        <w:gridCol w:w="2691"/>
      </w:tblGrid>
      <w:tr>
        <w:trPr>
          <w:trHeight w:val="34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55"/>
              <w:jc w:val="right"/>
              <w:rPr>
                <w:rFonts w:ascii="宋体" w:hAnsi="宋体" w:cs="宋体" w:eastAsia="宋体" w:hint="default"/>
                <w:sz w:val="18"/>
                <w:szCs w:val="18"/>
              </w:rPr>
            </w:pPr>
            <w:r>
              <w:rPr>
                <w:rFonts w:ascii="宋体" w:hAnsi="宋体" w:cs="宋体" w:eastAsia="宋体" w:hint="default"/>
                <w:sz w:val="18"/>
                <w:szCs w:val="18"/>
              </w:rPr>
              <w:t>项目</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130,000,000.00</w:t>
            </w: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金元</w:t>
            </w:r>
            <w:r>
              <w:rPr>
                <w:rFonts w:ascii="Times New Roman" w:hAnsi="Times New Roman" w:cs="Times New Roman" w:eastAsia="Times New Roman" w:hint="default"/>
                <w:sz w:val="18"/>
                <w:szCs w:val="18"/>
              </w:rPr>
              <w:t>30</w:t>
            </w:r>
            <w:r>
              <w:rPr>
                <w:rFonts w:ascii="宋体" w:hAnsi="宋体" w:cs="宋体" w:eastAsia="宋体" w:hint="default"/>
                <w:sz w:val="18"/>
                <w:szCs w:val="18"/>
              </w:rPr>
              <w:t>天</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150,000,000.00</w:t>
            </w: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9"/>
              <w:ind w:left="3" w:right="2"/>
              <w:jc w:val="left"/>
              <w:rPr>
                <w:rFonts w:ascii="宋体" w:hAnsi="宋体" w:cs="宋体" w:eastAsia="宋体" w:hint="default"/>
                <w:sz w:val="18"/>
                <w:szCs w:val="18"/>
              </w:rPr>
            </w:pPr>
            <w:r>
              <w:rPr>
                <w:rFonts w:ascii="宋体" w:hAnsi="宋体" w:cs="宋体" w:eastAsia="宋体" w:hint="default"/>
                <w:spacing w:val="2"/>
                <w:sz w:val="18"/>
                <w:szCs w:val="18"/>
              </w:rPr>
              <w:t>招商银行岁月流金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黄金周</w:t>
            </w:r>
            <w:r>
              <w:rPr>
                <w:rFonts w:ascii="Times New Roman" w:hAnsi="Times New Roman" w:cs="Times New Roman" w:eastAsia="Times New Roman" w:hint="default"/>
                <w:spacing w:val="2"/>
                <w:sz w:val="18"/>
                <w:szCs w:val="18"/>
              </w:rPr>
              <w:t>”1288</w:t>
            </w:r>
            <w:r>
              <w:rPr>
                <w:rFonts w:ascii="宋体" w:hAnsi="宋体" w:cs="宋体" w:eastAsia="宋体" w:hint="default"/>
                <w:spacing w:val="2"/>
                <w:sz w:val="18"/>
                <w:szCs w:val="18"/>
              </w:rPr>
              <w:t>号理财计划</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产品</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8,500,000.00</w:t>
            </w: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55"/>
              <w:jc w:val="right"/>
              <w:rPr>
                <w:rFonts w:ascii="宋体" w:hAnsi="宋体" w:cs="宋体" w:eastAsia="宋体" w:hint="default"/>
                <w:sz w:val="18"/>
                <w:szCs w:val="18"/>
              </w:rPr>
            </w:pPr>
            <w:r>
              <w:rPr>
                <w:rFonts w:ascii="宋体" w:hAnsi="宋体" w:cs="宋体" w:eastAsia="宋体" w:hint="default"/>
                <w:sz w:val="18"/>
                <w:szCs w:val="18"/>
              </w:rPr>
              <w:t>合计</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288,500,000.00</w:t>
            </w:r>
          </w:p>
        </w:tc>
        <w:tc>
          <w:tcPr>
            <w:tcW w:w="26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5" w:top="1100" w:bottom="1420" w:left="1000" w:right="100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9"/>
        <w:gridCol w:w="1915"/>
        <w:gridCol w:w="1915"/>
        <w:gridCol w:w="1915"/>
        <w:gridCol w:w="1915"/>
      </w:tblGrid>
      <w:tr>
        <w:trPr>
          <w:trHeight w:val="714"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413" w:right="26" w:hanging="38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42" w:right="52"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2"/>
        <w:gridCol w:w="1327"/>
        <w:gridCol w:w="1328"/>
        <w:gridCol w:w="1328"/>
        <w:gridCol w:w="1327"/>
        <w:gridCol w:w="1328"/>
        <w:gridCol w:w="1328"/>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5"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7" w:right="26" w:hanging="449"/>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8" w:right="28"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8" w:right="26" w:hanging="89"/>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7" w:right="27" w:hanging="449"/>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0"/>
        <w:ind w:right="0"/>
        <w:jc w:val="left"/>
      </w:pPr>
      <w:r>
        <w:rPr/>
        <w:t>其他说明：无。</w:t>
      </w:r>
    </w:p>
    <w:p>
      <w:pPr>
        <w:spacing w:after="0" w:line="240" w:lineRule="auto"/>
        <w:jc w:val="left"/>
        <w:sectPr>
          <w:footerReference w:type="default" r:id="rId61"/>
          <w:pgSz w:w="11910" w:h="16840"/>
          <w:pgMar w:footer="1225" w:header="0" w:top="1100" w:bottom="1420" w:left="1020" w:right="1020"/>
          <w:pgNumType w:start="120"/>
        </w:sectPr>
      </w:pPr>
    </w:p>
    <w:p>
      <w:pPr>
        <w:spacing w:line="240" w:lineRule="auto" w:before="12"/>
        <w:rPr>
          <w:rFonts w:ascii="宋体" w:hAnsi="宋体" w:cs="宋体" w:eastAsia="宋体" w:hint="default"/>
          <w:sz w:val="20"/>
          <w:szCs w:val="20"/>
        </w:rPr>
      </w:pPr>
    </w:p>
    <w:p>
      <w:pPr>
        <w:pStyle w:val="Heading5"/>
        <w:spacing w:line="240" w:lineRule="auto" w:before="34"/>
        <w:ind w:left="132" w:right="184"/>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2" w:right="184"/>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9"/>
          <w:szCs w:val="19"/>
        </w:rPr>
      </w:pPr>
    </w:p>
    <w:p>
      <w:pPr>
        <w:pStyle w:val="Heading5"/>
        <w:spacing w:line="240" w:lineRule="auto" w:before="34"/>
        <w:ind w:left="132" w:right="184"/>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5"/>
        <w:spacing w:line="240" w:lineRule="auto" w:before="34"/>
        <w:ind w:left="132" w:right="184"/>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84"/>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84"/>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84"/>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4"/>
        <w:ind w:left="132" w:right="184"/>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2" w:right="184"/>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84"/>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left="132" w:right="184"/>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21"/>
        <w:gridCol w:w="564"/>
        <w:gridCol w:w="867"/>
        <w:gridCol w:w="793"/>
        <w:gridCol w:w="836"/>
        <w:gridCol w:w="793"/>
        <w:gridCol w:w="795"/>
        <w:gridCol w:w="795"/>
        <w:gridCol w:w="795"/>
        <w:gridCol w:w="797"/>
        <w:gridCol w:w="853"/>
        <w:gridCol w:w="785"/>
      </w:tblGrid>
      <w:tr>
        <w:trPr>
          <w:trHeight w:val="402" w:hRule="exact"/>
        </w:trPr>
        <w:tc>
          <w:tcPr>
            <w:tcW w:w="10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97" w:right="94"/>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47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1021" w:type="dxa"/>
            <w:vMerge/>
            <w:tcBorders>
              <w:left w:val="single" w:sz="4" w:space="0" w:color="000000"/>
              <w:bottom w:val="single" w:sz="4" w:space="0" w:color="000000"/>
              <w:right w:val="single" w:sz="4" w:space="0" w:color="000000"/>
            </w:tcBorders>
            <w:shd w:val="clear" w:color="auto" w:fill="D3D3D3"/>
          </w:tcPr>
          <w:p>
            <w:pPr/>
          </w:p>
        </w:tc>
        <w:tc>
          <w:tcPr>
            <w:tcW w:w="564" w:type="dxa"/>
            <w:vMerge/>
            <w:tcBorders>
              <w:left w:val="single" w:sz="4" w:space="0" w:color="000000"/>
              <w:bottom w:val="single" w:sz="4" w:space="0" w:color="000000"/>
              <w:right w:val="single" w:sz="4" w:space="0" w:color="000000"/>
            </w:tcBorders>
            <w:shd w:val="clear" w:color="auto" w:fill="D3D3D3"/>
          </w:tcPr>
          <w:p>
            <w:pPr/>
          </w:p>
        </w:tc>
        <w:tc>
          <w:tcPr>
            <w:tcW w:w="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 w:right="51"/>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 w:right="30"/>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0"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vMerge/>
            <w:tcBorders>
              <w:left w:val="single" w:sz="4" w:space="0" w:color="000000"/>
              <w:bottom w:val="single" w:sz="4" w:space="0" w:color="000000"/>
              <w:right w:val="single" w:sz="4" w:space="0" w:color="000000"/>
            </w:tcBorders>
            <w:shd w:val="clear" w:color="auto" w:fill="D3D3D3"/>
          </w:tcPr>
          <w:p>
            <w:pPr/>
          </w:p>
        </w:tc>
        <w:tc>
          <w:tcPr>
            <w:tcW w:w="785" w:type="dxa"/>
            <w:vMerge/>
            <w:tcBorders>
              <w:left w:val="single" w:sz="4" w:space="0" w:color="000000"/>
              <w:bottom w:val="single" w:sz="4" w:space="0" w:color="000000"/>
              <w:right w:val="single" w:sz="4" w:space="0" w:color="000000"/>
            </w:tcBorders>
            <w:shd w:val="clear" w:color="auto" w:fill="D3D3D3"/>
          </w:tcPr>
          <w:p>
            <w:pPr/>
          </w:p>
        </w:tc>
      </w:tr>
      <w:tr>
        <w:trPr>
          <w:trHeight w:val="400"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0" w:footer="1225" w:top="1100" w:bottom="1420" w:left="1000" w:right="98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021"/>
        <w:gridCol w:w="564"/>
        <w:gridCol w:w="867"/>
        <w:gridCol w:w="793"/>
        <w:gridCol w:w="836"/>
        <w:gridCol w:w="793"/>
        <w:gridCol w:w="795"/>
        <w:gridCol w:w="795"/>
        <w:gridCol w:w="795"/>
        <w:gridCol w:w="797"/>
        <w:gridCol w:w="853"/>
        <w:gridCol w:w="785"/>
      </w:tblGrid>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北京金喜凯 德有限公司</w:t>
            </w:r>
          </w:p>
        </w:tc>
        <w:tc>
          <w:tcPr>
            <w:tcW w:w="56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-30,889.62</w:t>
            </w:r>
          </w:p>
        </w:tc>
        <w:tc>
          <w:tcPr>
            <w:tcW w:w="79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119,110.38</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6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150,000.00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-30,889.62</w:t>
            </w:r>
          </w:p>
        </w:tc>
        <w:tc>
          <w:tcPr>
            <w:tcW w:w="79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119,110.38</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150,000.00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-30,889.62</w:t>
            </w:r>
          </w:p>
        </w:tc>
        <w:tc>
          <w:tcPr>
            <w:tcW w:w="79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119,110.38</w:t>
            </w:r>
          </w:p>
        </w:tc>
        <w:tc>
          <w:tcPr>
            <w:tcW w:w="7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left="132" w:right="184"/>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84"/>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84"/>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283"/>
        <w:gridCol w:w="1557"/>
        <w:gridCol w:w="1309"/>
        <w:gridCol w:w="1062"/>
        <w:gridCol w:w="1483"/>
      </w:tblGrid>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5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11,121,454.02</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11,121,454.02</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11,121,454.02</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11,121,454.02</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5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4,401,657.77</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4,401,657.77</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500,465.40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500,465.40</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500,465.40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500,465.40</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4,902,123.17</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4,902,123.17</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5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5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6,219,330.85</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6,219,330.85</w:t>
            </w:r>
          </w:p>
        </w:tc>
      </w:tr>
      <w:tr>
        <w:trPr>
          <w:trHeight w:val="402" w:hRule="exact"/>
        </w:trPr>
        <w:tc>
          <w:tcPr>
            <w:tcW w:w="4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6,719,796.25</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6,719,796.25</w:t>
            </w:r>
          </w:p>
        </w:tc>
      </w:tr>
    </w:tbl>
    <w:p>
      <w:pPr>
        <w:spacing w:line="240" w:lineRule="auto" w:before="2"/>
        <w:rPr>
          <w:rFonts w:ascii="宋体" w:hAnsi="宋体" w:cs="宋体" w:eastAsia="宋体" w:hint="default"/>
          <w:sz w:val="19"/>
          <w:szCs w:val="19"/>
        </w:rPr>
      </w:pPr>
    </w:p>
    <w:p>
      <w:pPr>
        <w:pStyle w:val="Heading5"/>
        <w:spacing w:line="240" w:lineRule="auto" w:before="34"/>
        <w:ind w:left="132" w:right="184"/>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0" w:footer="1225" w:top="1100" w:bottom="1420" w:left="1000" w:right="98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296,909,533.74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262,923,605.92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25,498,684.17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15,396,112.15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20,903,741.77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621,631,677.75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10,349,970.46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11,747,292.97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3,838,678.30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434,813.87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8,995.71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26,379,751.31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251,170.70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7,910,822.23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1,992,615.40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434,813.87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10,598,417.91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10,098,799.76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3,836,470.74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1,846,062.90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15,781,333.40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12,823,364.17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575,751.44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775,244.22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3,750,489.83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17,924,849.66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12,823,364.17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575,751.44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775,244.22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3,750,489.83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17,924,849.66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307,259,504.20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261,847,534.72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28,761,611.03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15,055,681.80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17,162,247.65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630,086,579.40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53,024,858.43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63,434,881.65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18,419,311.46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12,221,825.56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17,327,214.31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164,428,091.41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13,439,391.32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22,365,593.63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2,646,888.54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1,157,666.48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1,242,617.32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40,852,157.29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13,439,391.32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22,365,593.63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2,646,888.54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1,157,666.48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1,242,617.32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40,852,157.29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7,265,346.03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446,531.30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675,142.18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3,380,518.77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11,767,538.28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7,265,346.03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446,531.30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675,142.18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3,380,518.77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11,767,538.28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66,464,249.75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78,535,129.25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20,619,668.70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12,704,349.86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15,189,312.86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193,512,710.42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581,397.73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581,397.73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4,381,676.75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457,591.93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4,839,268.68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4,381,676.75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457,591.93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4,839,268.68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202,120.00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202,120.00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202,120.00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202,120.00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4,760,954.48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457,591.93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5,218,546.41</w:t>
            </w:r>
          </w:p>
        </w:tc>
      </w:tr>
      <w:tr>
        <w:trPr>
          <w:trHeight w:val="400"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240,795,254.45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178,551,450.99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8,141,942.33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2,351,331.94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1,515,342.86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431,355,322.57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243,884,675.31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198,907,326.54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7,079,372.71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3,174,286.59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3,576,527.46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456,622,188.61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21,147,571.83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11,630,987.15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4,839,268.68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4,677,316.00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3d3d3"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2909"/>
        <w:gridCol w:w="3473"/>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3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吉林高琦厂房及综合办公楼</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94,931,745.08</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产权证需办理竣工结算后方可办理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雾凇水岸（吉林）</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1,060,542.71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产权证需地产商办理竣工结算后方可办理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兆丰国际（长春）</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1,761,229.52</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产权证需地产商办理竣工结算后方可办理</w:t>
            </w:r>
          </w:p>
        </w:tc>
      </w:tr>
    </w:tbl>
    <w:p>
      <w:pPr>
        <w:pStyle w:val="BodyText"/>
        <w:spacing w:line="240" w:lineRule="auto" w:before="52"/>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276"/>
        <w:gridCol w:w="1134"/>
        <w:gridCol w:w="1134"/>
        <w:gridCol w:w="1134"/>
        <w:gridCol w:w="851"/>
        <w:gridCol w:w="1207"/>
      </w:tblGrid>
      <w:tr>
        <w:trPr>
          <w:trHeight w:val="402" w:hRule="exact"/>
        </w:trPr>
        <w:tc>
          <w:tcPr>
            <w:tcW w:w="28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835"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深圳惠程聚酰亚胺高性能复合项目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2" w:right="0"/>
              <w:jc w:val="center"/>
              <w:rPr>
                <w:rFonts w:ascii="Times New Roman" w:hAnsi="Times New Roman" w:cs="Times New Roman" w:eastAsia="Times New Roman" w:hint="default"/>
                <w:sz w:val="18"/>
                <w:szCs w:val="18"/>
              </w:rPr>
            </w:pPr>
            <w:r>
              <w:rPr>
                <w:rFonts w:ascii="Times New Roman"/>
                <w:sz w:val="18"/>
              </w:rPr>
              <w:t>4,178,748.65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9" w:right="0"/>
              <w:jc w:val="left"/>
              <w:rPr>
                <w:rFonts w:ascii="Times New Roman" w:hAnsi="Times New Roman" w:cs="Times New Roman" w:eastAsia="Times New Roman" w:hint="default"/>
                <w:sz w:val="18"/>
                <w:szCs w:val="18"/>
              </w:rPr>
            </w:pPr>
            <w:r>
              <w:rPr>
                <w:rFonts w:ascii="Times New Roman"/>
                <w:sz w:val="18"/>
              </w:rPr>
              <w:t>4,178,748.65</w:t>
            </w:r>
          </w:p>
        </w:tc>
      </w:tr>
      <w:tr>
        <w:trPr>
          <w:trHeight w:val="71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0"/>
              <w:jc w:val="left"/>
              <w:rPr>
                <w:rFonts w:ascii="宋体" w:hAnsi="宋体" w:cs="宋体" w:eastAsia="宋体" w:hint="default"/>
                <w:sz w:val="18"/>
                <w:szCs w:val="18"/>
              </w:rPr>
            </w:pPr>
            <w:r>
              <w:rPr>
                <w:rFonts w:ascii="宋体" w:hAnsi="宋体" w:cs="宋体" w:eastAsia="宋体" w:hint="default"/>
                <w:sz w:val="18"/>
                <w:szCs w:val="18"/>
              </w:rPr>
              <w:t>深圳惠程聚酰亚胺隔膜生产线设备 安装（</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3,327,340.16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2,617,938.45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709,401.71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4,941,510.90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4,941,510.90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835"/>
        <w:gridCol w:w="1276"/>
        <w:gridCol w:w="1134"/>
        <w:gridCol w:w="1134"/>
        <w:gridCol w:w="1134"/>
        <w:gridCol w:w="851"/>
        <w:gridCol w:w="1207"/>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0"/>
              <w:jc w:val="left"/>
              <w:rPr>
                <w:rFonts w:ascii="宋体" w:hAnsi="宋体" w:cs="宋体" w:eastAsia="宋体" w:hint="default"/>
                <w:sz w:val="18"/>
                <w:szCs w:val="18"/>
              </w:rPr>
            </w:pPr>
            <w:r>
              <w:rPr>
                <w:rFonts w:ascii="宋体" w:hAnsi="宋体" w:cs="宋体" w:eastAsia="宋体" w:hint="default"/>
                <w:sz w:val="18"/>
                <w:szCs w:val="18"/>
              </w:rPr>
              <w:t>惠程高强度聚酰亚胺隔膜生产线设 备安装（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2,314,261.49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1,818,489.99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495,771.50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1,553,013.54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1,553,013.54</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深圳惠程聚酰亚胺流延膜生产线设 备安装（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2,846,658.83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2,077,428.06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769,230.77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15,398.70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15,398.70</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0"/>
              <w:jc w:val="left"/>
              <w:rPr>
                <w:rFonts w:ascii="宋体" w:hAnsi="宋体" w:cs="宋体" w:eastAsia="宋体" w:hint="default"/>
                <w:sz w:val="18"/>
                <w:szCs w:val="18"/>
              </w:rPr>
            </w:pPr>
            <w:r>
              <w:rPr>
                <w:rFonts w:ascii="宋体" w:hAnsi="宋体" w:cs="宋体" w:eastAsia="宋体" w:hint="default"/>
                <w:sz w:val="18"/>
                <w:szCs w:val="18"/>
              </w:rPr>
              <w:t>深圳惠程聚酰亚胺隔膜牵伸生产线 设备安装（</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2,564,203.64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2,017,240.10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546,963.54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2,436,121.80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2,436,121.80</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吉林高琦高性能耐热聚酰亚胺纤维 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7,122,047.06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7,122,047.06</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0"/>
              <w:jc w:val="left"/>
              <w:rPr>
                <w:rFonts w:ascii="宋体" w:hAnsi="宋体" w:cs="宋体" w:eastAsia="宋体" w:hint="default"/>
                <w:sz w:val="18"/>
                <w:szCs w:val="18"/>
              </w:rPr>
            </w:pPr>
            <w:r>
              <w:rPr>
                <w:rFonts w:ascii="宋体" w:hAnsi="宋体" w:cs="宋体" w:eastAsia="宋体" w:hint="default"/>
                <w:sz w:val="18"/>
                <w:szCs w:val="18"/>
              </w:rPr>
              <w:t>长春聚明聚酰亚胺薄膜生产线设备 安装项目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115,570.94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115,570.94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江西先材纳米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纳米纤维电池隔膜</w:t>
            </w:r>
            <w:r>
              <w:rPr>
                <w:rFonts w:ascii="宋体" w:hAnsi="宋体" w:cs="宋体" w:eastAsia="宋体" w:hint="default"/>
                <w:w w:val="99"/>
                <w:sz w:val="18"/>
                <w:szCs w:val="18"/>
              </w:rPr>
              <w:t> </w:t>
            </w:r>
            <w:r>
              <w:rPr>
                <w:rFonts w:ascii="宋体" w:hAnsi="宋体" w:cs="宋体" w:eastAsia="宋体" w:hint="default"/>
                <w:sz w:val="18"/>
                <w:szCs w:val="18"/>
              </w:rPr>
              <w:t>生产线设备安装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5,598,980.08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5,598,980.08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5,630,322.48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5,630,322.48</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31"/>
              <w:jc w:val="left"/>
              <w:rPr>
                <w:rFonts w:ascii="宋体" w:hAnsi="宋体" w:cs="宋体" w:eastAsia="宋体" w:hint="default"/>
                <w:sz w:val="18"/>
                <w:szCs w:val="18"/>
              </w:rPr>
            </w:pPr>
            <w:r>
              <w:rPr>
                <w:rFonts w:ascii="宋体" w:hAnsi="宋体" w:cs="宋体" w:eastAsia="宋体" w:hint="default"/>
                <w:sz w:val="18"/>
                <w:szCs w:val="18"/>
              </w:rPr>
              <w:t>江西先材年产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亿平方米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纳米纤</w:t>
            </w:r>
            <w:r>
              <w:rPr>
                <w:rFonts w:ascii="宋体" w:hAnsi="宋体" w:cs="宋体" w:eastAsia="宋体" w:hint="default"/>
                <w:w w:val="99"/>
                <w:sz w:val="18"/>
                <w:szCs w:val="18"/>
              </w:rPr>
              <w:t> </w:t>
            </w:r>
            <w:r>
              <w:rPr>
                <w:rFonts w:ascii="宋体" w:hAnsi="宋体" w:cs="宋体" w:eastAsia="宋体" w:hint="default"/>
                <w:sz w:val="18"/>
                <w:szCs w:val="18"/>
              </w:rPr>
              <w:t>维电池隔膜产品（一期）工程项目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38,107,915.21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38,107,915.21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3,154,730.50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3,154,730.50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54,874,930.35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8,531,096.60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46,343,833.75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29,031,893.63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29,031,893.63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2"/>
        <w:rPr>
          <w:rFonts w:ascii="Times New Roman" w:hAnsi="Times New Roman" w:cs="Times New Roman" w:eastAsia="Times New Roman" w:hint="default"/>
          <w:sz w:val="27"/>
          <w:szCs w:val="27"/>
        </w:rPr>
      </w:pPr>
    </w:p>
    <w:p>
      <w:pPr>
        <w:pStyle w:val="Heading5"/>
        <w:spacing w:line="240" w:lineRule="auto"/>
        <w:ind w:left="140" w:right="0"/>
        <w:jc w:val="left"/>
        <w:rPr>
          <w:b w:val="0"/>
          <w:bCs w:val="0"/>
        </w:rPr>
      </w:pPr>
      <w:r>
        <w:rPr>
          <w:w w:val="95"/>
        </w:rPr>
        <w:t>（</w:t>
      </w:r>
      <w:r>
        <w:rPr>
          <w:rFonts w:ascii="Times New Roman" w:hAnsi="Times New Roman" w:cs="Times New Roman" w:eastAsia="Times New Roman" w:hint="default"/>
          <w:w w:val="95"/>
        </w:rPr>
        <w:t>2</w:t>
      </w:r>
      <w:r>
        <w:rPr>
          <w:w w:val="95"/>
        </w:rPr>
        <w:t>）重要在建工程项目本期变动情况</w:t>
      </w:r>
      <w:r>
        <w:rPr>
          <w:b w:val="0"/>
          <w:bCs w:val="0"/>
        </w:rPr>
      </w:r>
    </w:p>
    <w:p>
      <w:pPr>
        <w:pStyle w:val="BodyText"/>
        <w:spacing w:line="240" w:lineRule="auto" w:before="16"/>
        <w:ind w:left="0" w:right="137"/>
        <w:jc w:val="right"/>
      </w:pPr>
      <w:r>
        <w:rPr/>
        <w:br w:type="column"/>
      </w: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left="0" w:right="137"/>
        <w:jc w:val="right"/>
      </w:pPr>
      <w:r>
        <w:rPr/>
        <w:pict>
          <v:group style="position:absolute;margin-left:72pt;margin-top:-19.298304pt;width:697.9pt;height:.1pt;mso-position-horizontal-relative:page;mso-position-vertical-relative:paragraph;z-index:2368" coordorigin="1440,-386" coordsize="13958,2">
            <v:shape style="position:absolute;left:1440;top:-386;width:13958;height:2" coordorigin="1440,-386" coordsize="13958,0" path="m1440,-386l15398,-386e" filled="false" stroked="true" strokeweight=".719971pt" strokecolor="#000000">
              <v:path arrowok="t"/>
            </v:shape>
            <w10:wrap type="none"/>
          </v:group>
        </w:pict>
      </w:r>
      <w:r>
        <w:rPr/>
        <w:t>单位：</w:t>
      </w:r>
      <w:r>
        <w:rPr>
          <w:spacing w:val="1"/>
        </w:rPr>
        <w:t> </w:t>
      </w:r>
      <w:r>
        <w:rPr/>
        <w:t>元</w:t>
      </w:r>
    </w:p>
    <w:p>
      <w:pPr>
        <w:spacing w:after="0" w:line="240" w:lineRule="auto"/>
        <w:jc w:val="right"/>
        <w:sectPr>
          <w:headerReference w:type="default" r:id="rId62"/>
          <w:footerReference w:type="default" r:id="rId63"/>
          <w:pgSz w:w="16840" w:h="11910" w:orient="landscape"/>
          <w:pgMar w:header="0" w:footer="0" w:top="800" w:bottom="280" w:left="1300" w:right="1300"/>
          <w:cols w:num="2" w:equalWidth="0">
            <w:col w:w="3616" w:space="6291"/>
            <w:col w:w="4333"/>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52"/>
        <w:gridCol w:w="1181"/>
        <w:gridCol w:w="1091"/>
        <w:gridCol w:w="1108"/>
        <w:gridCol w:w="1381"/>
        <w:gridCol w:w="1188"/>
        <w:gridCol w:w="1091"/>
        <w:gridCol w:w="1150"/>
        <w:gridCol w:w="685"/>
        <w:gridCol w:w="708"/>
        <w:gridCol w:w="926"/>
        <w:gridCol w:w="713"/>
        <w:gridCol w:w="440"/>
      </w:tblGrid>
      <w:tr>
        <w:trPr>
          <w:trHeight w:val="1026" w:hRule="exact"/>
        </w:trPr>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58" w:right="98"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6" w:right="53"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0" w:right="46"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0" w:right="28" w:hanging="92"/>
              <w:jc w:val="left"/>
              <w:rPr>
                <w:rFonts w:ascii="宋体" w:hAnsi="宋体" w:cs="宋体" w:eastAsia="宋体" w:hint="default"/>
                <w:sz w:val="18"/>
                <w:szCs w:val="18"/>
              </w:rPr>
            </w:pPr>
            <w:r>
              <w:rPr>
                <w:rFonts w:ascii="宋体" w:hAnsi="宋体" w:cs="宋体" w:eastAsia="宋体" w:hint="default"/>
                <w:sz w:val="18"/>
                <w:szCs w:val="18"/>
              </w:rPr>
              <w:t>工程累计投入 占预算比例</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8" w:right="77"/>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7"/>
                <w:sz w:val="18"/>
                <w:szCs w:val="18"/>
              </w:rPr>
              <w:t>其中：本期</w:t>
            </w:r>
            <w:r>
              <w:rPr>
                <w:rFonts w:ascii="宋体" w:hAnsi="宋体" w:cs="宋体" w:eastAsia="宋体" w:hint="default"/>
                <w:sz w:val="18"/>
                <w:szCs w:val="18"/>
              </w:rPr>
              <w:t> 利息资本 化金额</w:t>
            </w:r>
          </w:p>
        </w:tc>
        <w:tc>
          <w:tcPr>
            <w:tcW w:w="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1" w:right="8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32"/>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7"/>
              <w:jc w:val="left"/>
              <w:rPr>
                <w:rFonts w:ascii="宋体" w:hAnsi="宋体" w:cs="宋体" w:eastAsia="宋体" w:hint="default"/>
                <w:sz w:val="18"/>
                <w:szCs w:val="18"/>
              </w:rPr>
            </w:pPr>
            <w:r>
              <w:rPr>
                <w:rFonts w:ascii="宋体" w:hAnsi="宋体" w:cs="宋体" w:eastAsia="宋体" w:hint="default"/>
                <w:sz w:val="18"/>
                <w:szCs w:val="18"/>
              </w:rPr>
              <w:t>深圳惠程聚酰亚胺高性能复 合项目</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4,178,748.65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427,350.45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4,559,880.82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46,218.28</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57"/>
              <w:jc w:val="left"/>
              <w:rPr>
                <w:rFonts w:ascii="宋体" w:hAnsi="宋体" w:cs="宋体" w:eastAsia="宋体" w:hint="default"/>
                <w:sz w:val="18"/>
                <w:szCs w:val="18"/>
              </w:rPr>
            </w:pPr>
            <w:r>
              <w:rPr>
                <w:rFonts w:ascii="宋体" w:hAnsi="宋体" w:cs="宋体" w:eastAsia="宋体" w:hint="default"/>
                <w:sz w:val="18"/>
                <w:szCs w:val="18"/>
              </w:rPr>
              <w:t>深圳惠程聚酰亚胺隔膜生产 线设备安装（</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4,941,510.90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663,841.32</w:t>
            </w:r>
          </w:p>
        </w:tc>
        <w:tc>
          <w:tcPr>
            <w:tcW w:w="13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2,278,012.06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3,327,340.16</w:t>
            </w:r>
          </w:p>
        </w:tc>
        <w:tc>
          <w:tcPr>
            <w:tcW w:w="115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已停建</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深圳惠程高强度聚酰亚胺隔 膜生产线设备安装（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1,553,013.54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1,925,997.41</w:t>
            </w:r>
          </w:p>
        </w:tc>
        <w:tc>
          <w:tcPr>
            <w:tcW w:w="13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1,164,749.46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2,314,261.49</w:t>
            </w:r>
          </w:p>
        </w:tc>
        <w:tc>
          <w:tcPr>
            <w:tcW w:w="115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已停建</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57"/>
              <w:jc w:val="left"/>
              <w:rPr>
                <w:rFonts w:ascii="宋体" w:hAnsi="宋体" w:cs="宋体" w:eastAsia="宋体" w:hint="default"/>
                <w:sz w:val="18"/>
                <w:szCs w:val="18"/>
              </w:rPr>
            </w:pPr>
            <w:r>
              <w:rPr>
                <w:rFonts w:ascii="宋体" w:hAnsi="宋体" w:cs="宋体" w:eastAsia="宋体" w:hint="default"/>
                <w:sz w:val="18"/>
                <w:szCs w:val="18"/>
              </w:rPr>
              <w:t>深圳惠程聚酰亚胺流延膜生 产线设备安装（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15,398.70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4,813,789.32</w:t>
            </w:r>
          </w:p>
        </w:tc>
        <w:tc>
          <w:tcPr>
            <w:tcW w:w="13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1,982,529.19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2,846,658.83</w:t>
            </w:r>
          </w:p>
        </w:tc>
        <w:tc>
          <w:tcPr>
            <w:tcW w:w="115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已停建</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7"/>
              <w:jc w:val="left"/>
              <w:rPr>
                <w:rFonts w:ascii="宋体" w:hAnsi="宋体" w:cs="宋体" w:eastAsia="宋体" w:hint="default"/>
                <w:sz w:val="18"/>
                <w:szCs w:val="18"/>
              </w:rPr>
            </w:pPr>
            <w:r>
              <w:rPr>
                <w:rFonts w:ascii="宋体" w:hAnsi="宋体" w:cs="宋体" w:eastAsia="宋体" w:hint="default"/>
                <w:sz w:val="18"/>
                <w:szCs w:val="18"/>
              </w:rPr>
              <w:t>深圳惠程聚酰亚胺隔膜牵伸 生产线设备安装（</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2,436,121.80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378,702.65</w:t>
            </w:r>
          </w:p>
        </w:tc>
        <w:tc>
          <w:tcPr>
            <w:tcW w:w="13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250,620.81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2,564,203.64</w:t>
            </w:r>
          </w:p>
        </w:tc>
        <w:tc>
          <w:tcPr>
            <w:tcW w:w="115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已停建</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57"/>
              <w:jc w:val="left"/>
              <w:rPr>
                <w:rFonts w:ascii="宋体" w:hAnsi="宋体" w:cs="宋体" w:eastAsia="宋体" w:hint="default"/>
                <w:sz w:val="18"/>
                <w:szCs w:val="18"/>
              </w:rPr>
            </w:pPr>
            <w:r>
              <w:rPr>
                <w:rFonts w:ascii="宋体" w:hAnsi="宋体" w:cs="宋体" w:eastAsia="宋体" w:hint="default"/>
                <w:sz w:val="18"/>
                <w:szCs w:val="18"/>
              </w:rPr>
              <w:t>吉林高琦高性能耐热聚酰亚 胺纤维项目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331,408,300.00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7,122,047.06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3,178,744.59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10,300,791.65</w:t>
            </w:r>
          </w:p>
        </w:tc>
        <w:tc>
          <w:tcPr>
            <w:tcW w:w="118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4"/>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71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7"/>
              <w:jc w:val="left"/>
              <w:rPr>
                <w:rFonts w:ascii="宋体" w:hAnsi="宋体" w:cs="宋体" w:eastAsia="宋体" w:hint="default"/>
                <w:sz w:val="18"/>
                <w:szCs w:val="18"/>
              </w:rPr>
            </w:pPr>
            <w:r>
              <w:rPr>
                <w:rFonts w:ascii="宋体" w:hAnsi="宋体" w:cs="宋体" w:eastAsia="宋体" w:hint="default"/>
                <w:sz w:val="18"/>
                <w:szCs w:val="18"/>
              </w:rPr>
              <w:t>长春聚明聚酰亚胺薄膜生产 线设备安装项目</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115,570.94</w:t>
            </w:r>
          </w:p>
        </w:tc>
        <w:tc>
          <w:tcPr>
            <w:tcW w:w="13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115,570.94</w:t>
            </w:r>
          </w:p>
        </w:tc>
        <w:tc>
          <w:tcPr>
            <w:tcW w:w="115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87"/>
              <w:jc w:val="left"/>
              <w:rPr>
                <w:rFonts w:ascii="宋体" w:hAnsi="宋体" w:cs="宋体" w:eastAsia="宋体" w:hint="default"/>
                <w:sz w:val="18"/>
                <w:szCs w:val="18"/>
              </w:rPr>
            </w:pPr>
            <w:r>
              <w:rPr>
                <w:rFonts w:ascii="宋体" w:hAnsi="宋体" w:cs="宋体" w:eastAsia="宋体" w:hint="default"/>
                <w:sz w:val="18"/>
                <w:szCs w:val="18"/>
              </w:rPr>
              <w:t>江西先材纳米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纳米纤维电</w:t>
            </w:r>
            <w:r>
              <w:rPr>
                <w:rFonts w:ascii="宋体" w:hAnsi="宋体" w:cs="宋体" w:eastAsia="宋体" w:hint="default"/>
                <w:w w:val="99"/>
                <w:sz w:val="18"/>
                <w:szCs w:val="18"/>
              </w:rPr>
              <w:t> </w:t>
            </w:r>
            <w:r>
              <w:rPr>
                <w:rFonts w:ascii="宋体" w:hAnsi="宋体" w:cs="宋体" w:eastAsia="宋体" w:hint="default"/>
                <w:sz w:val="18"/>
                <w:szCs w:val="18"/>
              </w:rPr>
              <w:t>池隔膜生产线设备安装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5,630,322.48</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889,318.53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920,660.93</w:t>
            </w:r>
          </w:p>
        </w:tc>
        <w:tc>
          <w:tcPr>
            <w:tcW w:w="118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5,598,980.08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33"/>
              <w:jc w:val="both"/>
              <w:rPr>
                <w:rFonts w:ascii="宋体" w:hAnsi="宋体" w:cs="宋体" w:eastAsia="宋体" w:hint="default"/>
                <w:sz w:val="18"/>
                <w:szCs w:val="18"/>
              </w:rPr>
            </w:pPr>
            <w:r>
              <w:rPr>
                <w:rFonts w:ascii="宋体" w:hAnsi="宋体" w:cs="宋体" w:eastAsia="宋体" w:hint="default"/>
                <w:sz w:val="18"/>
                <w:szCs w:val="18"/>
              </w:rPr>
              <w:t>江西先材年产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亿平方米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纳米纤维电池隔膜产品（一</w:t>
            </w:r>
            <w:r>
              <w:rPr>
                <w:rFonts w:ascii="宋体" w:hAnsi="宋体" w:cs="宋体" w:eastAsia="宋体" w:hint="default"/>
                <w:w w:val="99"/>
                <w:sz w:val="18"/>
                <w:szCs w:val="18"/>
              </w:rPr>
              <w:t> </w:t>
            </w:r>
            <w:r>
              <w:rPr>
                <w:rFonts w:ascii="宋体" w:hAnsi="宋体" w:cs="宋体" w:eastAsia="宋体" w:hint="default"/>
                <w:sz w:val="18"/>
                <w:szCs w:val="18"/>
              </w:rPr>
              <w:t>期）工程项目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3,154,730.50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34,953,184.71</w:t>
            </w:r>
          </w:p>
        </w:tc>
        <w:tc>
          <w:tcPr>
            <w:tcW w:w="13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38,107,915.21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91.83%</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445,008,300.00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29,031,893.63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47,346,499.92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15,781,333.40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5,722,129.80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54,874,930.35</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8"/>
          <w:szCs w:val="28"/>
        </w:rPr>
      </w:pPr>
    </w:p>
    <w:p>
      <w:pPr>
        <w:pStyle w:val="BodyText"/>
        <w:spacing w:line="240" w:lineRule="auto" w:before="76"/>
        <w:ind w:left="6964" w:right="6963"/>
        <w:jc w:val="center"/>
        <w:rPr>
          <w:rFonts w:ascii="Times New Roman" w:hAnsi="Times New Roman" w:cs="Times New Roman" w:eastAsia="Times New Roman" w:hint="default"/>
        </w:rPr>
      </w:pPr>
      <w:r>
        <w:rPr>
          <w:rFonts w:ascii="Times New Roman"/>
        </w:rPr>
        <w:t>126</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420" w:left="1300" w:right="1300"/>
        </w:sectPr>
      </w:pPr>
    </w:p>
    <w:p>
      <w:pPr>
        <w:spacing w:line="240" w:lineRule="auto" w:before="9"/>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64"/>
          <w:pgSz w:w="11910" w:h="16840"/>
          <w:pgMar w:footer="1225" w:header="0" w:top="1100" w:bottom="1420" w:left="1000" w:right="980"/>
          <w:pgNumType w:start="127"/>
        </w:sectPr>
      </w:pPr>
    </w:p>
    <w:p>
      <w:pPr>
        <w:pStyle w:val="Heading5"/>
        <w:spacing w:line="240" w:lineRule="auto" w:before="34"/>
        <w:ind w:left="132" w:right="0"/>
        <w:jc w:val="left"/>
        <w:rPr>
          <w:b w:val="0"/>
          <w:bCs w:val="0"/>
        </w:rPr>
      </w:pPr>
      <w:r>
        <w:rPr>
          <w:w w:val="95"/>
        </w:rPr>
        <w:t>（</w:t>
      </w:r>
      <w:r>
        <w:rPr>
          <w:rFonts w:ascii="Times New Roman" w:hAnsi="Times New Roman" w:cs="Times New Roman" w:eastAsia="Times New Roman" w:hint="default"/>
          <w:w w:val="95"/>
        </w:rPr>
        <w:t>3</w:t>
      </w:r>
      <w:r>
        <w:rPr>
          <w:w w:val="95"/>
        </w:rPr>
        <w:t>）本期计提在建工程减值准备情况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3"/>
          <w:szCs w:val="13"/>
        </w:rPr>
      </w:pPr>
    </w:p>
    <w:p>
      <w:pPr>
        <w:pStyle w:val="BodyText"/>
        <w:spacing w:line="240" w:lineRule="auto"/>
        <w:ind w:left="132" w:right="0"/>
        <w:jc w:val="left"/>
      </w:pPr>
      <w:r>
        <w:rPr/>
        <w:t>单位：</w:t>
      </w:r>
      <w:r>
        <w:rPr>
          <w:spacing w:val="-2"/>
        </w:rPr>
        <w:t> </w:t>
      </w:r>
      <w:r>
        <w:rPr/>
        <w:t>元</w:t>
      </w:r>
    </w:p>
    <w:p>
      <w:pPr>
        <w:spacing w:after="0" w:line="240" w:lineRule="auto"/>
        <w:jc w:val="left"/>
        <w:sectPr>
          <w:type w:val="continuous"/>
          <w:pgSz w:w="11910" w:h="16840"/>
          <w:pgMar w:top="1060" w:bottom="1420" w:left="1000" w:right="980"/>
          <w:cols w:num="2" w:equalWidth="0">
            <w:col w:w="3611" w:space="5219"/>
            <w:col w:w="1100"/>
          </w:cols>
        </w:sectPr>
      </w:pP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5971"/>
        <w:gridCol w:w="1505"/>
        <w:gridCol w:w="2218"/>
      </w:tblGrid>
      <w:tr>
        <w:trPr>
          <w:trHeight w:val="402" w:hRule="exact"/>
        </w:trPr>
        <w:tc>
          <w:tcPr>
            <w:tcW w:w="5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2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深圳惠程聚酰亚胺隔膜生产线设备安装（</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2,617,938.45</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停止投入，准备出售</w:t>
            </w:r>
          </w:p>
        </w:tc>
      </w:tr>
      <w:tr>
        <w:trPr>
          <w:trHeight w:val="402" w:hRule="exac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深圳惠程高强度聚酰亚胺隔膜生产线设备安装（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1,818,489.99</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停止投入，准备出售</w:t>
            </w:r>
          </w:p>
        </w:tc>
      </w:tr>
      <w:tr>
        <w:trPr>
          <w:trHeight w:val="402" w:hRule="exac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深圳惠程聚酰亚胺流延膜生产线设备安装（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2,077,428.06</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停止投入，准备出售</w:t>
            </w:r>
          </w:p>
        </w:tc>
      </w:tr>
      <w:tr>
        <w:trPr>
          <w:trHeight w:val="402" w:hRule="exac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深圳惠程聚酰亚胺隔膜牵伸生产线设备安装（</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2,017,240.10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停止投入，准备出售</w:t>
            </w:r>
          </w:p>
        </w:tc>
      </w:tr>
      <w:tr>
        <w:trPr>
          <w:trHeight w:val="402" w:hRule="exact"/>
        </w:trPr>
        <w:tc>
          <w:tcPr>
            <w:tcW w:w="5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8,531,096.60</w:t>
            </w:r>
          </w:p>
        </w:tc>
        <w:tc>
          <w:tcPr>
            <w:tcW w:w="2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32" w:right="184"/>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left="132" w:right="184"/>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32" w:right="184"/>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left="132" w:right="184"/>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32" w:right="184"/>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left="132" w:right="184"/>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2" w:right="184"/>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32" w:right="184"/>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left="132" w:right="184"/>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type w:val="continuous"/>
          <w:pgSz w:w="11910" w:h="16840"/>
          <w:pgMar w:top="1060" w:bottom="1420" w:left="1000" w:right="98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64,939,837.06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34,344,830.41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23,298,590.02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122,583,257.49</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11,023,381.19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7,631,013.99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281,471.24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18,993,088.24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57,221.82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281,471.24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338,693.06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11,023,381.19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7,631,013.99</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18,654,395.18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64,997,058.88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45,368,211.60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7,631,013.99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23,580,061.26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141,576,345.73</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3,650,938.53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8,494,894.46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6,729,019.89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18,874,852.88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1,298,797.26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3,458,837.13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1,371,972.53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906,662.09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7,036,269.01</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1,298,797.26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3,458,837.13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1,371,972.53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906,662.09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7,036,269.01</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4,949,735.79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11,953,731.59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1,371,972.53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7,635,681.98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25,911,121.89</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60,047,323.09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33,414,480.01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6,259,041.46</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15,944,379.28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115,665,223.84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61,288,898.53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25,849,935.95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16,569,570.13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103,708,404.61</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16.13%</w:t>
      </w:r>
      <w:r>
        <w:rPr/>
        <w:t>。</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2" w:right="51" w:hanging="449"/>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聚酰亚胺纤 维生产工艺技 术</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12,561,898.58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12,614,278.23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11,023,381.19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1,173,181.25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435,304.24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12,544,310.13</w:t>
            </w: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聚酰亚胺树 脂生产工艺技 术</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6,683,160.99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5,296,878.13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5,861,719.54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3,989,930.29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567,298.37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1,561,090.92</w:t>
            </w: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纳米纤维材 料及制品生产 工艺技术</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2,818,179.72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2,818,179.72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氯代苯酐生 产工艺技术</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7,468,899.06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9,522,618.13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15,553,077.96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1,438,439.23</w:t>
            </w: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聚酰亚胺薄 膜生产工艺技 术</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1,787,927.95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2,140,430.82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1,769,294.45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43,765.16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2,115,299.16</w:t>
            </w: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聚酰亚胺泡 沫生产工艺技 术</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243,308.45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243,308.45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电气绝缘特 种纤维复合材 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及制 品项目</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3,341,124.11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3,341,124.11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高性能硅橡 胶电气绝缘制 品项目</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2,863,820.66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2,863,820.66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新型绝缘材 料跌落式熔断 器项目</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954,606.89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954,606.89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10.EPDM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橡胶</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715,955.17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715,955.17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绝缘项目</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新型复合材 料项目</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1,789,887.91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1,789,887.91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12.RTM</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复合</w:t>
            </w:r>
          </w:p>
          <w:p>
            <w:pPr>
              <w:pStyle w:val="TableParagraph"/>
              <w:spacing w:line="316" w:lineRule="auto" w:before="63"/>
              <w:ind w:left="22" w:right="80"/>
              <w:jc w:val="left"/>
              <w:rPr>
                <w:rFonts w:ascii="宋体" w:hAnsi="宋体" w:cs="宋体" w:eastAsia="宋体" w:hint="default"/>
                <w:sz w:val="18"/>
                <w:szCs w:val="18"/>
              </w:rPr>
            </w:pPr>
            <w:r>
              <w:rPr>
                <w:rFonts w:ascii="宋体" w:hAnsi="宋体" w:cs="宋体" w:eastAsia="宋体" w:hint="default"/>
                <w:sz w:val="18"/>
                <w:szCs w:val="18"/>
              </w:rPr>
              <w:t>材料新技术及 制品项目</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596,629.30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596,629.30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特种纤维增 强复合材料及 其制品项目</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1,670,562.05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1,670,562.05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28,501,886.58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44,568,279.57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18,654,395.18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35,754,028.92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4,556,341.00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14,105,401.05</w:t>
            </w:r>
          </w:p>
        </w:tc>
      </w:tr>
    </w:tbl>
    <w:p>
      <w:pPr>
        <w:pStyle w:val="BodyText"/>
        <w:spacing w:line="240" w:lineRule="auto" w:before="50"/>
        <w:ind w:left="132" w:right="138"/>
        <w:jc w:val="left"/>
      </w:pPr>
      <w:r>
        <w:rPr/>
        <w:t>其他说明</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827"/>
        <w:gridCol w:w="2119"/>
        <w:gridCol w:w="2357"/>
        <w:gridCol w:w="2355"/>
      </w:tblGrid>
      <w:tr>
        <w:trPr>
          <w:trHeight w:val="774"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1"/>
              <w:ind w:left="873" w:right="603" w:hanging="269"/>
              <w:jc w:val="left"/>
              <w:rPr>
                <w:rFonts w:ascii="宋体" w:hAnsi="宋体" w:cs="宋体" w:eastAsia="宋体" w:hint="default"/>
                <w:sz w:val="18"/>
                <w:szCs w:val="18"/>
              </w:rPr>
            </w:pPr>
            <w:r>
              <w:rPr>
                <w:rFonts w:ascii="宋体" w:hAnsi="宋体" w:cs="宋体" w:eastAsia="宋体" w:hint="default"/>
                <w:sz w:val="18"/>
                <w:szCs w:val="18"/>
              </w:rPr>
              <w:t>资本化开始 时点</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1"/>
              <w:ind w:left="993" w:right="723" w:hanging="272"/>
              <w:jc w:val="left"/>
              <w:rPr>
                <w:rFonts w:ascii="宋体" w:hAnsi="宋体" w:cs="宋体" w:eastAsia="宋体" w:hint="default"/>
                <w:sz w:val="18"/>
                <w:szCs w:val="18"/>
              </w:rPr>
            </w:pPr>
            <w:r>
              <w:rPr>
                <w:rFonts w:ascii="宋体" w:hAnsi="宋体" w:cs="宋体" w:eastAsia="宋体" w:hint="default"/>
                <w:sz w:val="18"/>
                <w:szCs w:val="18"/>
              </w:rPr>
              <w:t>资本化具体 依据</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32" w:right="0"/>
              <w:jc w:val="left"/>
              <w:rPr>
                <w:rFonts w:ascii="宋体" w:hAnsi="宋体" w:cs="宋体" w:eastAsia="宋体" w:hint="default"/>
                <w:sz w:val="18"/>
                <w:szCs w:val="18"/>
              </w:rPr>
            </w:pPr>
            <w:r>
              <w:rPr>
                <w:rFonts w:ascii="宋体" w:hAnsi="宋体" w:cs="宋体" w:eastAsia="宋体" w:hint="default"/>
                <w:sz w:val="18"/>
                <w:szCs w:val="18"/>
              </w:rPr>
              <w:t>年末研发进度</w:t>
            </w:r>
          </w:p>
        </w:tc>
      </w:tr>
      <w:tr>
        <w:trPr>
          <w:trHeight w:val="734"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聚酰亚胺纤维生产工艺技术</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进入开发阶段</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0"/>
              <w:ind w:left="4" w:right="1"/>
              <w:jc w:val="left"/>
              <w:rPr>
                <w:rFonts w:ascii="宋体" w:hAnsi="宋体" w:cs="宋体" w:eastAsia="宋体" w:hint="default"/>
                <w:sz w:val="18"/>
                <w:szCs w:val="18"/>
              </w:rPr>
            </w:pPr>
            <w:r>
              <w:rPr>
                <w:rFonts w:ascii="宋体" w:hAnsi="宋体" w:cs="宋体" w:eastAsia="宋体" w:hint="default"/>
                <w:sz w:val="18"/>
                <w:szCs w:val="18"/>
              </w:rPr>
              <w:t>分阶段进行，部分阶段完成， 仍需产业优化</w:t>
            </w:r>
          </w:p>
        </w:tc>
      </w:tr>
      <w:tr>
        <w:trPr>
          <w:trHeight w:val="734"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聚酰亚胺树脂生产工艺技术</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进入开发阶段</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0"/>
              <w:ind w:left="4" w:right="1"/>
              <w:jc w:val="left"/>
              <w:rPr>
                <w:rFonts w:ascii="宋体" w:hAnsi="宋体" w:cs="宋体" w:eastAsia="宋体" w:hint="default"/>
                <w:sz w:val="18"/>
                <w:szCs w:val="18"/>
              </w:rPr>
            </w:pPr>
            <w:r>
              <w:rPr>
                <w:rFonts w:ascii="宋体" w:hAnsi="宋体" w:cs="宋体" w:eastAsia="宋体" w:hint="default"/>
                <w:sz w:val="18"/>
                <w:szCs w:val="18"/>
              </w:rPr>
              <w:t>分阶段进行，部分阶段完成， 仍需产业优化</w:t>
            </w:r>
          </w:p>
        </w:tc>
      </w:tr>
    </w:tbl>
    <w:p>
      <w:pPr>
        <w:spacing w:line="240" w:lineRule="auto" w:before="4"/>
        <w:rPr>
          <w:rFonts w:ascii="宋体" w:hAnsi="宋体" w:cs="宋体" w:eastAsia="宋体" w:hint="default"/>
          <w:sz w:val="19"/>
          <w:szCs w:val="19"/>
        </w:rPr>
      </w:pPr>
    </w:p>
    <w:p>
      <w:pPr>
        <w:pStyle w:val="Heading5"/>
        <w:spacing w:line="240" w:lineRule="auto" w:before="34"/>
        <w:ind w:left="132" w:right="138"/>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2,850,049.14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2,850,049.14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2,850,049.14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2,850,049.14</w:t>
            </w:r>
          </w:p>
        </w:tc>
      </w:tr>
    </w:tbl>
    <w:p>
      <w:pPr>
        <w:spacing w:line="240" w:lineRule="auto" w:before="3"/>
        <w:rPr>
          <w:rFonts w:ascii="宋体" w:hAnsi="宋体" w:cs="宋体" w:eastAsia="宋体" w:hint="default"/>
          <w:sz w:val="19"/>
          <w:szCs w:val="19"/>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66"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0"/>
        <w:ind w:left="132" w:right="138"/>
        <w:jc w:val="left"/>
      </w:pPr>
      <w:r>
        <w:rPr/>
        <w:t>说明商誉减值测试过程、参数及商誉减值损失的确认方法：</w:t>
      </w:r>
    </w:p>
    <w:p>
      <w:pPr>
        <w:pStyle w:val="BodyText"/>
        <w:spacing w:line="319" w:lineRule="auto" w:before="117"/>
        <w:ind w:left="132" w:right="0" w:firstLine="16"/>
        <w:jc w:val="left"/>
      </w:pPr>
      <w:r>
        <w:rPr>
          <w:rFonts w:ascii="Times New Roman" w:hAnsi="Times New Roman" w:cs="Times New Roman" w:eastAsia="Times New Roman" w:hint="default"/>
          <w:b/>
          <w:bCs/>
        </w:rPr>
        <w:t>1</w:t>
      </w:r>
      <w:r>
        <w:rPr>
          <w:rFonts w:ascii="宋体" w:hAnsi="宋体" w:cs="宋体" w:eastAsia="宋体" w:hint="default"/>
          <w:b/>
          <w:bCs/>
        </w:rPr>
        <w:t>）商誉的计算过程</w:t>
      </w:r>
      <w:r>
        <w:rPr>
          <w:rFonts w:ascii="宋体" w:hAnsi="宋体" w:cs="宋体" w:eastAsia="宋体" w:hint="default"/>
          <w:b/>
          <w:bCs/>
          <w:w w:val="99"/>
        </w:rPr>
        <w:t> </w:t>
      </w:r>
      <w:r>
        <w:rPr>
          <w:spacing w:val="-2"/>
        </w:rPr>
        <w:t>本公司</w:t>
      </w:r>
      <w:r>
        <w:rPr>
          <w:rFonts w:ascii="Times New Roman" w:hAnsi="Times New Roman" w:cs="Times New Roman" w:eastAsia="Times New Roman" w:hint="default"/>
          <w:spacing w:val="-2"/>
        </w:rPr>
        <w:t>2008</w:t>
      </w:r>
      <w:r>
        <w:rPr>
          <w:spacing w:val="-2"/>
        </w:rPr>
        <w:t>年对非同一控制下子公司长春高琦合并时，合并成本与本公司按照所占份额持有的长春高琦可辨认净资产的公允</w:t>
      </w:r>
      <w:r>
        <w:rPr>
          <w:spacing w:val="-62"/>
        </w:rPr>
        <w:t> </w:t>
      </w:r>
      <w:r>
        <w:rPr>
          <w:spacing w:val="-62"/>
        </w:rPr>
      </w:r>
      <w:r>
        <w:rPr/>
        <w:t>价值之间的差额确认为商誉。</w:t>
      </w:r>
    </w:p>
    <w:p>
      <w:pPr>
        <w:pStyle w:val="Heading7"/>
        <w:spacing w:line="240" w:lineRule="auto" w:before="58"/>
        <w:ind w:left="132" w:right="138"/>
        <w:jc w:val="left"/>
        <w:rPr>
          <w:b w:val="0"/>
          <w:bCs w:val="0"/>
        </w:rPr>
      </w:pPr>
      <w:r>
        <w:rPr>
          <w:rFonts w:ascii="Times New Roman" w:hAnsi="Times New Roman" w:cs="Times New Roman" w:eastAsia="Times New Roman" w:hint="default"/>
        </w:rPr>
        <w:t>2</w:t>
      </w:r>
      <w:r>
        <w:rPr/>
        <w:t>）</w:t>
      </w:r>
      <w:r>
        <w:rPr>
          <w:spacing w:val="87"/>
        </w:rPr>
        <w:t> </w:t>
      </w:r>
      <w:r>
        <w:rPr/>
        <w:t>商誉的减值测试的方法</w:t>
      </w:r>
      <w:r>
        <w:rPr>
          <w:b w:val="0"/>
          <w:bCs w:val="0"/>
        </w:rPr>
      </w:r>
    </w:p>
    <w:p>
      <w:pPr>
        <w:spacing w:after="0" w:line="240" w:lineRule="auto"/>
        <w:jc w:val="left"/>
        <w:sectPr>
          <w:footerReference w:type="default" r:id="rId65"/>
          <w:pgSz w:w="11910" w:h="16840"/>
          <w:pgMar w:footer="1225" w:header="0" w:top="1100" w:bottom="1420" w:left="1000" w:right="1000"/>
          <w:pgNumType w:start="130"/>
        </w:sectPr>
      </w:pPr>
    </w:p>
    <w:p>
      <w:pPr>
        <w:spacing w:line="240" w:lineRule="auto" w:before="1"/>
        <w:rPr>
          <w:rFonts w:ascii="宋体" w:hAnsi="宋体" w:cs="宋体" w:eastAsia="宋体" w:hint="default"/>
          <w:b/>
          <w:bCs/>
          <w:sz w:val="22"/>
          <w:szCs w:val="22"/>
        </w:rPr>
      </w:pPr>
    </w:p>
    <w:p>
      <w:pPr>
        <w:pStyle w:val="BodyText"/>
        <w:spacing w:line="357" w:lineRule="auto" w:before="44"/>
        <w:ind w:right="1994"/>
        <w:jc w:val="left"/>
      </w:pPr>
      <w:r>
        <w:rPr/>
        <w:t>通过比较相关资产组组合的账面价值与可收回金额进行减值测试，经测试本公司商誉未发生减值。 其他说明：无。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证券信息服务费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1,679,245.02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1,799,245.02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房屋改造等</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2,299,597.70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1,305,644.75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1,166,240.03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2,439,002.42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194,615.38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43,247.84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151,367.54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2,599,597.70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3,179,505.15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3,098,732.89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2,680,369.96</w:t>
            </w:r>
          </w:p>
        </w:tc>
      </w:tr>
    </w:tbl>
    <w:p>
      <w:pPr>
        <w:pStyle w:val="BodyText"/>
        <w:spacing w:line="240" w:lineRule="auto" w:before="50"/>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40,414,605.67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6,062,190.85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30,686,238.40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4,838,205.61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39,123,001.90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5,868,450.29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28,594,634.79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6,539,294.24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988,337.60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148,250.64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80,525,945.17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12,078,891.78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59,280,873.19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11,377,499.85</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12,078,891.78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3" w:right="0"/>
              <w:jc w:val="left"/>
              <w:rPr>
                <w:rFonts w:ascii="Times New Roman" w:hAnsi="Times New Roman" w:cs="Times New Roman" w:eastAsia="Times New Roman" w:hint="default"/>
                <w:sz w:val="18"/>
                <w:szCs w:val="18"/>
              </w:rPr>
            </w:pPr>
            <w:r>
              <w:rPr>
                <w:rFonts w:ascii="Times New Roman"/>
                <w:sz w:val="18"/>
              </w:rPr>
              <w:t>11,377,499.85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16,278,597.37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7,229.24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92,824,549.47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7,694,972.70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109,103,146.84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7,702,201.94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245,235.46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4,281,190.85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1,322,151.38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6,769,302.93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1,510,488.09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6,967,993.14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1,522,935.13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13,255,757.61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658,149.89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58,813,718.35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2,736,586.59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2,436,012.75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92,824,549.47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7,694,972.70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3,944,307.41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1,745,937.10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预付国际专利申请费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189,549.02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2,021,749.02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5,690,244.51</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51"/>
        <w:ind w:right="0"/>
        <w:jc w:val="left"/>
      </w:pPr>
      <w:r>
        <w:rPr/>
        <w:t>短期借款分类的说明：无。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2"/>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23,865,203.38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10,550,000.00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23,865,203.38</w:t>
            </w:r>
          </w:p>
        </w:tc>
      </w:tr>
    </w:tbl>
    <w:p>
      <w:pPr>
        <w:pStyle w:val="BodyText"/>
        <w:spacing w:line="240" w:lineRule="auto" w:before="49"/>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39,659,096.24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78,174,513.79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14,563,591.45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7,969,141.98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3,032,029.69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1,474,690.61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2,420,899.81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128,376.06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59,675,617.19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87,746,722.44</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浙江群力电气有限公司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8,570,085.47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吉化集团吉林市北方建设有限责任公司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1,176,964.00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暂估工程款，尚未结算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9,747,049.47</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6,410,154.59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2,517,115.03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301,263.66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106,121.00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104,111.91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138,094.31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94,975.00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6,882,988.06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2,822,322.94</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4;height:397" coordorigin="13,13" coordsize="4774,397">
              <v:shape style="position:absolute;left:13;top:13;width:4774;height:397" coordorigin="13,13" coordsize="4774,397" path="m13,13l4787,13,4787,410,13,410,13,13xe" filled="true" fillcolor="#d3d3d3" stroked="false">
                <v:path arrowok="t"/>
                <v:fill type="solid"/>
              </v:shape>
            </v:group>
            <v:group style="position:absolute;left:4792;top:13;width:4784;height:397" coordorigin="4792,13" coordsize="4784,397">
              <v:shape style="position:absolute;left:4792;top:13;width:4784;height:397" coordorigin="4792,13" coordsize="4784,397" path="m4792,13l9576,13,9576,410,4792,410,4792,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6,176,858.45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63,728,336.54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65,152,247.40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4,752,947.59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82,135.24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5,875,116.37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5,848,343.69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108,907.92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4,049,082.65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4,049,082.65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6,258,993.69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73,652,535.56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75,049,673.74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4,861,855.51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6,080,833.64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52,849,980.12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54,355,960.55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4,574,853.21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6,514.12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5,417,168.40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5,417,168.40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6,514.12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30,269.82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1,968,070.57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1,923,227.40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75,112.99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1,584,145.30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1,555,753.30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28,392.00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59,240.87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1,908,972.15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1,900,137.75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68,075.27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6,176,858.45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63,728,336.54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65,152,247.40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4,752,947.59</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74,668.40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5,480,897.47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5,456,558.67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99,007.20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7,466.84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394,218.90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391,785.02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9,900.72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5,875,116.37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5,848,343.69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108,907.92</w:t>
            </w:r>
          </w:p>
        </w:tc>
      </w:tr>
    </w:tbl>
    <w:p>
      <w:pPr>
        <w:pStyle w:val="BodyText"/>
        <w:spacing w:line="240" w:lineRule="auto" w:before="50"/>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2,672,743.02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3,547,588.64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30,317.03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68,569.54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1,088,883.71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7,843,424.65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178,982.21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43,789.05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270,375.70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51,729.67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174,306.62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707,499.45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168,927.50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801,731.16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1,643,398.07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5,604,307.79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13,760,379.77</w:t>
            </w:r>
          </w:p>
        </w:tc>
      </w:tr>
    </w:tbl>
    <w:p>
      <w:pPr>
        <w:pStyle w:val="BodyText"/>
        <w:spacing w:line="240" w:lineRule="auto" w:before="50"/>
        <w:ind w:right="0"/>
        <w:jc w:val="left"/>
      </w:pPr>
      <w:r>
        <w:rPr/>
        <w:t>其他说明：无。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2"/>
        <w:ind w:right="0"/>
        <w:jc w:val="left"/>
      </w:pPr>
      <w:r>
        <w:rPr/>
        <w:t>重要的已逾期未支付的利息情况：无。</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年未支付的应付股利，应披露未支付原因：无。</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关联方股权转让款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146,569,600.00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520,353.67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655,581.47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683,199.53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419,155.97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1,824,249.62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603,249.39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149,597,402.82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1,677,986.83</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left="132" w:right="184"/>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2"/>
        <w:ind w:left="132" w:right="184"/>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left="132" w:right="184"/>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132" w:right="184"/>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84"/>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158"/>
        <w:gridCol w:w="1268"/>
        <w:gridCol w:w="1268"/>
      </w:tblGrid>
      <w:tr>
        <w:trPr>
          <w:trHeight w:val="401" w:hRule="exact"/>
        </w:trPr>
        <w:tc>
          <w:tcPr>
            <w:tcW w:w="7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、技术改造补助资金（</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、重点产业振兴和技术改造中央预算内投资计划</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、技术改造补助资金（</w:t>
            </w:r>
            <w:r>
              <w:rPr>
                <w:rFonts w:ascii="Times New Roman" w:hAnsi="Times New Roman" w:cs="Times New Roman" w:eastAsia="Times New Roman" w:hint="default"/>
                <w:sz w:val="18"/>
                <w:szCs w:val="18"/>
              </w:rPr>
              <w:t>1876 </w:t>
            </w:r>
            <w:r>
              <w:rPr>
                <w:rFonts w:ascii="宋体" w:hAnsi="宋体" w:cs="宋体" w:eastAsia="宋体" w:hint="default"/>
                <w:sz w:val="18"/>
                <w:szCs w:val="18"/>
              </w:rPr>
              <w:t>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1,876,000.00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1,876,000.00</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、战略性新兴产业科技创新专项资金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21,621.62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21,621.62</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（国家</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计划）科技计划项目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968,421.39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373,316.13</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、省校合作技术开发项目资金（</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53,333.33</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、省校合作技术开发项目资金（</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3"/>
                <w:sz w:val="18"/>
              </w:rPr>
              <w:t>311,111.11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3"/>
                <w:sz w:val="18"/>
              </w:rPr>
              <w:t>311,111.11</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、长春市科技计划项目（</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、技术改造和结构调整专项资金</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、科技型中小企业技术创新基金初创期企业创新项目</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110,526.32</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、区域发展类</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协同创新中心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项目资助资金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375,000.00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281,250.00</w:t>
            </w: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、长春市科技计划项目（</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年第四批</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w:t>
            </w: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年吉林市战略性新兴产业科技创新专项资金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116,869.57</w:t>
            </w: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、宽温度使用范围及高倍率充放电特性的动力电池技术专项资金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w:t>
            </w: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吨（一期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吨）聚酰亚胺及中间产品技改项目（</w:t>
            </w:r>
            <w:r>
              <w:rPr>
                <w:rFonts w:ascii="Times New Roman" w:hAnsi="Times New Roman" w:cs="Times New Roman" w:eastAsia="Times New Roman" w:hint="default"/>
                <w:sz w:val="18"/>
                <w:szCs w:val="18"/>
              </w:rPr>
              <w:t>150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153,419.05</w:t>
            </w: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、基础研究项目（高强度聚酰亚胺纤维结构性能与制备技术研究）</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119,165.83</w:t>
            </w: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、企业技术创新项目（高性能聚酰亚胺材料研究中心）</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514,285.72</w:t>
            </w: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7,654,894.29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5,396,158.51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00" w:right="980"/>
        </w:sectPr>
      </w:pPr>
    </w:p>
    <w:p>
      <w:pPr>
        <w:spacing w:line="240" w:lineRule="auto" w:before="1"/>
        <w:rPr>
          <w:rFonts w:ascii="宋体" w:hAnsi="宋体" w:cs="宋体" w:eastAsia="宋体" w:hint="default"/>
          <w:sz w:val="22"/>
          <w:szCs w:val="22"/>
        </w:rPr>
      </w:pPr>
    </w:p>
    <w:p>
      <w:pPr>
        <w:pStyle w:val="BodyText"/>
        <w:spacing w:line="240" w:lineRule="auto" w:before="44"/>
        <w:ind w:left="132" w:right="138"/>
        <w:jc w:val="left"/>
      </w:pPr>
      <w:r>
        <w:rPr/>
        <w:t>短期应付债券的增减变动：</w:t>
      </w:r>
    </w:p>
    <w:p>
      <w:pPr>
        <w:pStyle w:val="BodyText"/>
        <w:spacing w:line="240" w:lineRule="auto" w:before="115"/>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7"/>
        <w:gridCol w:w="797"/>
      </w:tblGrid>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left="132" w:right="138"/>
        <w:jc w:val="left"/>
      </w:pPr>
      <w:r>
        <w:rPr/>
        <w:t>其他说明：</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132"/>
        <w:gridCol w:w="965"/>
        <w:gridCol w:w="1894"/>
        <w:gridCol w:w="1132"/>
        <w:gridCol w:w="486"/>
        <w:gridCol w:w="965"/>
        <w:gridCol w:w="1084"/>
      </w:tblGrid>
      <w:tr>
        <w:trPr>
          <w:trHeight w:val="966"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91" w:right="40" w:hanging="449"/>
              <w:jc w:val="left"/>
              <w:rPr>
                <w:rFonts w:ascii="宋体" w:hAnsi="宋体" w:cs="宋体" w:eastAsia="宋体" w:hint="default"/>
                <w:sz w:val="18"/>
                <w:szCs w:val="18"/>
              </w:rPr>
            </w:pPr>
            <w:r>
              <w:rPr>
                <w:rFonts w:ascii="宋体" w:hAnsi="宋体" w:cs="宋体" w:eastAsia="宋体" w:hint="default"/>
                <w:sz w:val="18"/>
                <w:szCs w:val="18"/>
              </w:rPr>
              <w:t>递延收益未来一年内摊 销转入金额</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0" w:right="20"/>
              <w:jc w:val="center"/>
              <w:rPr>
                <w:rFonts w:ascii="宋体" w:hAnsi="宋体" w:cs="宋体" w:eastAsia="宋体" w:hint="default"/>
                <w:sz w:val="18"/>
                <w:szCs w:val="18"/>
              </w:rPr>
            </w:pPr>
            <w:r>
              <w:rPr>
                <w:rFonts w:ascii="宋体" w:hAnsi="宋体" w:cs="宋体" w:eastAsia="宋体" w:hint="default"/>
                <w:sz w:val="18"/>
                <w:szCs w:val="18"/>
              </w:rPr>
              <w:t>本年计入 营业外收入金 额</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6" w:right="57"/>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86" w:right="5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34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、技术改造补助资金（</w:t>
            </w:r>
            <w:r>
              <w:rPr>
                <w:rFonts w:ascii="Times New Roman" w:hAnsi="Times New Roman" w:cs="Times New Roman" w:eastAsia="Times New Roman" w:hint="default"/>
                <w:sz w:val="18"/>
                <w:szCs w:val="18"/>
              </w:rPr>
              <w:t>900</w:t>
            </w:r>
            <w:r>
              <w:rPr>
                <w:rFonts w:ascii="宋体" w:hAnsi="宋体" w:cs="宋体" w:eastAsia="宋体" w:hint="default"/>
                <w:sz w:val="18"/>
                <w:szCs w:val="18"/>
              </w:rPr>
              <w:t>万）</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900,000.00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900,000.00</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900,000.00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54"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、重点产业振兴和技术改造中央预算内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投资计划</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1,300,000.00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1,300,000.00</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1,300,000.00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、技术改造补助资金（</w:t>
            </w:r>
            <w:r>
              <w:rPr>
                <w:rFonts w:ascii="Times New Roman" w:hAnsi="Times New Roman" w:cs="Times New Roman" w:eastAsia="Times New Roman" w:hint="default"/>
                <w:sz w:val="18"/>
                <w:szCs w:val="18"/>
              </w:rPr>
              <w:t>1876</w:t>
            </w:r>
            <w:r>
              <w:rPr>
                <w:rFonts w:ascii="宋体" w:hAnsi="宋体" w:cs="宋体" w:eastAsia="宋体" w:hint="default"/>
                <w:sz w:val="18"/>
                <w:szCs w:val="18"/>
              </w:rPr>
              <w:t>万）</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1,876,000.00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1,876,000.00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1,876,000.00</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1,876,000.00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、战略性新兴产业科技创新专项资金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21,621.62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21,621.62</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21,621.62</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21,621.62</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、（国家</w:t>
            </w:r>
            <w:r>
              <w:rPr>
                <w:rFonts w:ascii="Times New Roman" w:hAnsi="Times New Roman" w:cs="Times New Roman" w:eastAsia="Times New Roman" w:hint="default"/>
                <w:sz w:val="18"/>
                <w:szCs w:val="18"/>
              </w:rPr>
              <w:t>863</w:t>
            </w:r>
            <w:r>
              <w:rPr>
                <w:rFonts w:ascii="宋体" w:hAnsi="宋体" w:cs="宋体" w:eastAsia="宋体" w:hint="default"/>
                <w:sz w:val="18"/>
                <w:szCs w:val="18"/>
              </w:rPr>
              <w:t>计划）科技计划项目</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373,316.13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968,421.39</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373,316.13</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968,421.39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34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、省校合作技术开发项目资金（</w:t>
            </w:r>
            <w:r>
              <w:rPr>
                <w:rFonts w:ascii="Times New Roman" w:hAnsi="Times New Roman" w:cs="Times New Roman" w:eastAsia="Times New Roman" w:hint="default"/>
                <w:sz w:val="18"/>
                <w:szCs w:val="18"/>
              </w:rPr>
              <w:t>40</w:t>
            </w:r>
            <w:r>
              <w:rPr>
                <w:rFonts w:ascii="宋体" w:hAnsi="宋体" w:cs="宋体" w:eastAsia="宋体" w:hint="default"/>
                <w:sz w:val="18"/>
                <w:szCs w:val="18"/>
              </w:rPr>
              <w:t>万）</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53,333.33</w:t>
            </w:r>
          </w:p>
        </w:tc>
        <w:tc>
          <w:tcPr>
            <w:tcW w:w="189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53,333.33</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34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、省校合作技术开发项目资金（</w:t>
            </w:r>
            <w:r>
              <w:rPr>
                <w:rFonts w:ascii="Times New Roman" w:hAnsi="Times New Roman" w:cs="Times New Roman" w:eastAsia="Times New Roman" w:hint="default"/>
                <w:sz w:val="18"/>
                <w:szCs w:val="18"/>
              </w:rPr>
              <w:t>70</w:t>
            </w:r>
            <w:r>
              <w:rPr>
                <w:rFonts w:ascii="宋体" w:hAnsi="宋体" w:cs="宋体" w:eastAsia="宋体" w:hint="default"/>
                <w:sz w:val="18"/>
                <w:szCs w:val="18"/>
              </w:rPr>
              <w:t>万）</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311,111.11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311,111.11</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311,111.11</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311,111.11</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34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、长春市科技计划项目（</w:t>
            </w:r>
            <w:r>
              <w:rPr>
                <w:rFonts w:ascii="Times New Roman" w:hAnsi="Times New Roman" w:cs="Times New Roman" w:eastAsia="Times New Roman" w:hint="default"/>
                <w:sz w:val="18"/>
                <w:szCs w:val="18"/>
              </w:rPr>
              <w:t>30</w:t>
            </w:r>
            <w:r>
              <w:rPr>
                <w:rFonts w:ascii="宋体" w:hAnsi="宋体" w:cs="宋体" w:eastAsia="宋体" w:hint="default"/>
                <w:sz w:val="18"/>
                <w:szCs w:val="18"/>
              </w:rPr>
              <w:t>万）</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144,000.00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144,000.00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144,000.00</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144,000.00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34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、技术改造和结构调整专项资金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25,000.00</w:t>
            </w:r>
          </w:p>
        </w:tc>
        <w:tc>
          <w:tcPr>
            <w:tcW w:w="189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25,000.00</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654"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、科技型中小企业技术创新基金初创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期企业创新项目</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110,526.32</w:t>
            </w:r>
          </w:p>
        </w:tc>
        <w:tc>
          <w:tcPr>
            <w:tcW w:w="189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110,526.32</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654"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3"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、区域发展类</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协同创新中心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w:t>
            </w:r>
            <w:r>
              <w:rPr>
                <w:rFonts w:ascii="宋体" w:hAnsi="宋体" w:cs="宋体" w:eastAsia="宋体" w:hint="default"/>
                <w:spacing w:val="-78"/>
                <w:sz w:val="18"/>
                <w:szCs w:val="18"/>
              </w:rPr>
              <w:t> </w:t>
            </w:r>
            <w:r>
              <w:rPr>
                <w:rFonts w:ascii="宋体" w:hAnsi="宋体" w:cs="宋体" w:eastAsia="宋体" w:hint="default"/>
                <w:sz w:val="18"/>
                <w:szCs w:val="18"/>
              </w:rPr>
              <w:t>目资助资金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281,250.00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375,000.00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281,250.00</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375,000.00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654"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、长春市科技计划项目（</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年第四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批）（</w:t>
            </w:r>
            <w:r>
              <w:rPr>
                <w:rFonts w:ascii="Times New Roman" w:hAnsi="Times New Roman" w:cs="Times New Roman" w:eastAsia="Times New Roman" w:hint="default"/>
                <w:sz w:val="18"/>
                <w:szCs w:val="18"/>
              </w:rPr>
              <w:t>21</w:t>
            </w:r>
            <w:r>
              <w:rPr>
                <w:rFonts w:ascii="宋体" w:hAnsi="宋体" w:cs="宋体" w:eastAsia="宋体" w:hint="default"/>
                <w:sz w:val="18"/>
                <w:szCs w:val="18"/>
              </w:rPr>
              <w:t>万）</w:t>
            </w:r>
          </w:p>
        </w:tc>
        <w:tc>
          <w:tcPr>
            <w:tcW w:w="96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105,000.00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105,000.00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654"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3" w:right="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年吉林市战略性新兴产业科技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创新专项资金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116,869.57</w:t>
            </w:r>
          </w:p>
        </w:tc>
        <w:tc>
          <w:tcPr>
            <w:tcW w:w="1132"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116,869.57</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654"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、宽温度使用范围及高倍率充放电特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性的动力电池技术专项资金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750,000.00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750,000.00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654"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3"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、年产</w:t>
            </w:r>
            <w:r>
              <w:rPr>
                <w:rFonts w:ascii="Times New Roman" w:hAnsi="Times New Roman" w:cs="Times New Roman" w:eastAsia="Times New Roman" w:hint="default"/>
                <w:sz w:val="18"/>
                <w:szCs w:val="18"/>
              </w:rPr>
              <w:t>250</w:t>
            </w:r>
            <w:r>
              <w:rPr>
                <w:rFonts w:ascii="宋体" w:hAnsi="宋体" w:cs="宋体" w:eastAsia="宋体" w:hint="default"/>
                <w:sz w:val="18"/>
                <w:szCs w:val="18"/>
              </w:rPr>
              <w:t>吨（一期</w:t>
            </w:r>
            <w:r>
              <w:rPr>
                <w:rFonts w:ascii="Times New Roman" w:hAnsi="Times New Roman" w:cs="Times New Roman" w:eastAsia="Times New Roman" w:hint="default"/>
                <w:sz w:val="18"/>
                <w:szCs w:val="18"/>
              </w:rPr>
              <w:t>100</w:t>
            </w:r>
            <w:r>
              <w:rPr>
                <w:rFonts w:ascii="宋体" w:hAnsi="宋体" w:cs="宋体" w:eastAsia="宋体" w:hint="default"/>
                <w:sz w:val="18"/>
                <w:szCs w:val="18"/>
              </w:rPr>
              <w:t>吨）聚酰亚胺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及中间产品技改项目（</w:t>
            </w:r>
            <w:r>
              <w:rPr>
                <w:rFonts w:ascii="Times New Roman" w:hAnsi="Times New Roman" w:cs="Times New Roman" w:eastAsia="Times New Roman" w:hint="default"/>
                <w:sz w:val="18"/>
                <w:szCs w:val="18"/>
              </w:rPr>
              <w:t>150</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p>
        </w:tc>
        <w:tc>
          <w:tcPr>
            <w:tcW w:w="96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153,419.05</w:t>
            </w:r>
          </w:p>
        </w:tc>
        <w:tc>
          <w:tcPr>
            <w:tcW w:w="1132"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153,419.05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54"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、基础研究项目（高强度聚酰亚胺纤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维结构性能与制备技术研究）</w:t>
            </w:r>
          </w:p>
        </w:tc>
        <w:tc>
          <w:tcPr>
            <w:tcW w:w="96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119,165.84</w:t>
            </w:r>
          </w:p>
        </w:tc>
        <w:tc>
          <w:tcPr>
            <w:tcW w:w="1132"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119,165.84</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654"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3" w:right="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、企业技术创新项目（高性能聚酰亚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胺材料研究中心）</w:t>
            </w:r>
          </w:p>
        </w:tc>
        <w:tc>
          <w:tcPr>
            <w:tcW w:w="96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514,285.71</w:t>
            </w:r>
          </w:p>
        </w:tc>
        <w:tc>
          <w:tcPr>
            <w:tcW w:w="1132"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514,285.71</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34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5,396,158.51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7,654,894.29</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5,396,158.51</w:t>
            </w:r>
          </w:p>
        </w:tc>
        <w:tc>
          <w:tcPr>
            <w:tcW w:w="48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7,654,894.29</w:t>
            </w:r>
          </w:p>
        </w:tc>
        <w:tc>
          <w:tcPr>
            <w:tcW w:w="10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5" w:top="1100" w:bottom="1420" w:left="1000" w:right="100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0"/>
        <w:ind w:right="7214"/>
        <w:jc w:val="left"/>
      </w:pPr>
      <w:r>
        <w:rPr/>
        <w:t>长期借款分类的说明：无。 其他说明，包括利率区间：无。</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7"/>
        <w:gridCol w:w="797"/>
      </w:tblGrid>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66"/>
          <w:pgSz w:w="11910" w:h="16840"/>
          <w:pgMar w:footer="1225" w:header="0" w:top="1100" w:bottom="1420" w:left="1020" w:right="1020"/>
          <w:pgNumType w:start="14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420" w:left="1020" w:right="1020"/>
          <w:cols w:num="2" w:equalWidth="0">
            <w:col w:w="4613" w:space="421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5954"/>
        <w:jc w:val="left"/>
      </w:pPr>
      <w:r>
        <w:rPr/>
        <w:t>其他金融工具划分为金融负债的依据说明：无。 其他说明：无。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after="0" w:line="240" w:lineRule="auto"/>
        <w:jc w:val="right"/>
        <w:sectPr>
          <w:type w:val="continuous"/>
          <w:pgSz w:w="11910" w:h="16840"/>
          <w:pgMar w:top="106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计划资产：</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0"/>
        <w:ind w:right="2174"/>
        <w:jc w:val="left"/>
      </w:pPr>
      <w:r>
        <w:rPr/>
        <w:t>设定受益计划的内容及与之相关风险、对公司未来现金流量、时间和不确定性的影响说明：无。 设定受益计划重大精算假设及敏感性分析结果说明：无。</w:t>
      </w:r>
    </w:p>
    <w:p>
      <w:pPr>
        <w:pStyle w:val="BodyText"/>
        <w:spacing w:line="240" w:lineRule="auto" w:before="25"/>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其他说明，包括重要预计负债的相关重要假设、估计说明：无。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r>
        <w:rPr/>
        <w:pict>
          <v:group style="position:absolute;margin-left:212.800003pt;margin-top:406.150024pt;width:56.45pt;height:39.75pt;mso-position-horizontal-relative:page;mso-position-vertical-relative:page;z-index:-1009000" coordorigin="4256,8123" coordsize="1129,795">
            <v:group style="position:absolute;left:4256;top:8123;width:1129;height:397" coordorigin="4256,8123" coordsize="1129,397">
              <v:shape style="position:absolute;left:4256;top:8123;width:1129;height:397" coordorigin="4256,8123" coordsize="1129,397" path="m4256,8123l5385,8123,5385,8520,4256,8520,4256,8123xe" filled="true" fillcolor="#ffffff" stroked="false">
                <v:path arrowok="t"/>
                <v:fill type="solid"/>
              </v:shape>
            </v:group>
            <v:group style="position:absolute;left:4256;top:8525;width:1129;height:393" coordorigin="4256,8525" coordsize="1129,393">
              <v:shape style="position:absolute;left:4256;top:8525;width:1129;height:393" coordorigin="4256,8525" coordsize="1129,393" path="m4256,8525l5385,8525,5385,8918,4256,8918,4256,8525xe" filled="true" fillcolor="#ffffff" stroked="false">
                <v:path arrowok="t"/>
                <v:fill type="solid"/>
              </v:shape>
            </v:group>
            <w10:wrap type="none"/>
          </v:group>
        </w:pict>
      </w:r>
    </w:p>
    <w:p>
      <w:pPr>
        <w:pStyle w:val="Heading5"/>
        <w:spacing w:line="240" w:lineRule="auto" w:before="34"/>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5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60,986,400.21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9,089,758.48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9,579,954.93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60,496,203.76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60,986,400.21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9,089,758.48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9,579,954.93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60,496,203.76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25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19"/>
        <w:gridCol w:w="1134"/>
        <w:gridCol w:w="1134"/>
        <w:gridCol w:w="1134"/>
        <w:gridCol w:w="1134"/>
        <w:gridCol w:w="1134"/>
        <w:gridCol w:w="992"/>
      </w:tblGrid>
      <w:tr>
        <w:trPr>
          <w:trHeight w:val="1025"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2" w:right="10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0" w:lineRule="auto" w:before="76"/>
              <w:ind w:left="401" w:right="103"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、技术改造补助资金（</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、重点产业振兴和技术改造中央预算内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、技术改造补助资金（</w:t>
            </w:r>
            <w:r>
              <w:rPr>
                <w:rFonts w:ascii="Times New Roman" w:hAnsi="Times New Roman" w:cs="Times New Roman" w:eastAsia="Times New Roman" w:hint="default"/>
                <w:sz w:val="18"/>
                <w:szCs w:val="18"/>
              </w:rPr>
              <w:t>1876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15,008,000.00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、战略性新兴产业科技创新专项资金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172,972.97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-21,621.62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151,351.35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、双十项目资金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（国家</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计划）科技计划项目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373,316.13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230,894.74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-968,421.39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、省校合作技术开发项目资金（</w:t>
            </w:r>
            <w:r>
              <w:rPr>
                <w:rFonts w:ascii="Times New Roman" w:hAnsi="Times New Roman" w:cs="Times New Roman" w:eastAsia="Times New Roman" w:hint="default"/>
                <w:spacing w:val="-3"/>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、省校合作技术开发项目资金（</w:t>
            </w:r>
            <w:r>
              <w:rPr>
                <w:rFonts w:ascii="Times New Roman" w:hAnsi="Times New Roman" w:cs="Times New Roman" w:eastAsia="Times New Roman" w:hint="default"/>
                <w:spacing w:val="-3"/>
                <w:sz w:val="18"/>
                <w:szCs w:val="18"/>
              </w:rPr>
              <w:t>70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tabs>
                <w:tab w:pos="318" w:val="left" w:leader="none"/>
              </w:tabs>
              <w:spacing w:line="240" w:lineRule="auto" w:before="50"/>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3"/>
                <w:sz w:val="18"/>
                <w:szCs w:val="18"/>
              </w:rPr>
              <w:t>311,111.11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3"/>
                <w:sz w:val="18"/>
              </w:rPr>
              <w:t>-311,111.11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、长春市科技计划项目（</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、中小企业技术创新基金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、技术改造和结构调整专项资金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、科技型中小企业技术创新基金初创 期企业创新项目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、科技研发资金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、新兴产业发展专项资金（</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、全面战略合作专项资金项目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、产学研合作项目资助资金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、新兴产业发展专项资金（</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、战略性新兴产业投资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20,389,500.00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20,389,500.00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、区域发展类</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协同创新中心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 目资助资金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375,000.00</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、长春市科技计划项目（</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w:t>
            </w:r>
            <w:r>
              <w:rPr>
                <w:rFonts w:ascii="宋体" w:hAnsi="宋体" w:cs="宋体" w:eastAsia="宋体" w:hint="default"/>
                <w:spacing w:val="-88"/>
                <w:sz w:val="18"/>
                <w:szCs w:val="18"/>
              </w:rPr>
              <w:t> </w:t>
            </w:r>
            <w:r>
              <w:rPr>
                <w:rFonts w:ascii="宋体" w:hAnsi="宋体" w:cs="宋体" w:eastAsia="宋体" w:hint="default"/>
                <w:spacing w:val="-18"/>
                <w:sz w:val="18"/>
                <w:szCs w:val="18"/>
              </w:rPr>
              <w:t>批）（</w:t>
            </w:r>
            <w:r>
              <w:rPr>
                <w:rFonts w:ascii="Times New Roman" w:hAnsi="Times New Roman" w:cs="Times New Roman" w:eastAsia="Times New Roman" w:hint="default"/>
                <w:spacing w:val="-18"/>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年吉林市战略性新兴产业科技</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38,956.52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-116,869.57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68,173.91</w:t>
            </w: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5" w:top="1100" w:bottom="1420" w:left="1020" w:right="88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19"/>
        <w:gridCol w:w="1134"/>
        <w:gridCol w:w="1134"/>
        <w:gridCol w:w="1134"/>
        <w:gridCol w:w="1134"/>
        <w:gridCol w:w="1134"/>
        <w:gridCol w:w="992"/>
      </w:tblGrid>
      <w:tr>
        <w:trPr>
          <w:trHeight w:val="36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创新专项资金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、新兴产业发展专项资金（</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、宽温度使用范围及高倍率充放电特 性的动力电池技术专项资金（</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吨（一期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吨）聚酰亚 胺及中间产品技改项目（</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29,734.07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-153,419.05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1,316,846.88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、基础研究项目（高强度聚酰亚胺纤 维结构性能与制备技术研究）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377,358.48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19,861.02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-119,165.84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238,331.62</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、企业技术创新项目（高性能聚酰亚 胺材料研究中心）</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85,714.29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-514,285.71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、国家高科技研究发展计划课题经费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left"/>
              <w:rPr>
                <w:rFonts w:ascii="Times New Roman" w:hAnsi="Times New Roman" w:cs="Times New Roman" w:eastAsia="Times New Roman" w:hint="default"/>
                <w:sz w:val="18"/>
                <w:szCs w:val="18"/>
              </w:rPr>
            </w:pPr>
            <w:r>
              <w:rPr>
                <w:rFonts w:ascii="Times New Roman"/>
                <w:sz w:val="18"/>
              </w:rPr>
              <w:t>60,986,400.21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9,089,758.48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1,925,060.64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-7,654,894.29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60,496,203.76</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其他说明：无。</w:t>
      </w:r>
    </w:p>
    <w:p>
      <w:pPr>
        <w:pStyle w:val="Heading5"/>
        <w:spacing w:line="240" w:lineRule="auto" w:before="92"/>
        <w:ind w:right="0"/>
        <w:jc w:val="left"/>
        <w:rPr>
          <w:b w:val="0"/>
          <w:bCs w:val="0"/>
        </w:rPr>
      </w:pPr>
      <w:r>
        <w:rPr/>
        <w:t>其他变动系转入未来一年内摊销转入其他流动负债的金额</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5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5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757,104,768.00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757,104,768.00</w:t>
            </w:r>
          </w:p>
        </w:tc>
      </w:tr>
    </w:tbl>
    <w:p>
      <w:pPr>
        <w:pStyle w:val="BodyText"/>
        <w:spacing w:line="240" w:lineRule="auto" w:before="50"/>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0"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0" w:footer="1225" w:top="1100" w:bottom="1420" w:left="1020" w:right="88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3254"/>
        <w:jc w:val="left"/>
      </w:pPr>
      <w:r>
        <w:rPr/>
        <w:t>其他权益工具本期增减变动情况、变动原因说明，以及相关会计处理的依据：无。 其他说明：无。</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投资者投入的资本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1,690,953.37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12,795,360.16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14,486,313.53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1,690,953.37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12,795,360.16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14,486,313.53</w:t>
            </w:r>
          </w:p>
        </w:tc>
      </w:tr>
    </w:tbl>
    <w:p>
      <w:pPr>
        <w:pStyle w:val="BodyText"/>
        <w:spacing w:line="240" w:lineRule="auto" w:before="51"/>
        <w:ind w:right="0"/>
        <w:jc w:val="both"/>
      </w:pPr>
      <w:r>
        <w:rPr/>
        <w:t>其他说明，包括本期增减变动情况、变动原因说明：</w:t>
      </w:r>
    </w:p>
    <w:p>
      <w:pPr>
        <w:pStyle w:val="BodyText"/>
        <w:spacing w:line="309" w:lineRule="auto" w:before="117"/>
        <w:ind w:right="112"/>
        <w:jc w:val="both"/>
      </w:pPr>
      <w:r>
        <w:rPr>
          <w:spacing w:val="-1"/>
        </w:rPr>
        <w:t>资本公积本年增加金额为</w:t>
      </w:r>
      <w:r>
        <w:rPr>
          <w:rFonts w:ascii="Times New Roman" w:hAnsi="Times New Roman" w:cs="Times New Roman" w:eastAsia="Times New Roman" w:hint="default"/>
          <w:spacing w:val="-1"/>
        </w:rPr>
        <w:t>12,795,360.16</w:t>
      </w:r>
      <w:r>
        <w:rPr>
          <w:spacing w:val="-1"/>
        </w:rPr>
        <w:t>元，系本公司转让长春高琦</w:t>
      </w:r>
      <w:r>
        <w:rPr>
          <w:rFonts w:ascii="Times New Roman" w:hAnsi="Times New Roman" w:cs="Times New Roman" w:eastAsia="Times New Roman" w:hint="default"/>
          <w:spacing w:val="-1"/>
        </w:rPr>
        <w:t>33.63%</w:t>
      </w:r>
      <w:r>
        <w:rPr>
          <w:spacing w:val="-1"/>
        </w:rPr>
        <w:t>的股权，在不丧失控制权的情况下部分处置对长春</w:t>
      </w:r>
      <w:r>
        <w:rPr>
          <w:spacing w:val="-88"/>
        </w:rPr>
        <w:t> </w:t>
      </w:r>
      <w:r>
        <w:rPr>
          <w:spacing w:val="-88"/>
        </w:rPr>
      </w:r>
      <w:r>
        <w:rPr>
          <w:spacing w:val="-2"/>
        </w:rPr>
        <w:t>高琦的长期股权投资，在合并财务报表中，处置价款与处置长期股权投资相对应享有长春高琦自购买日或合并日开始持续计</w:t>
      </w:r>
      <w:r>
        <w:rPr>
          <w:spacing w:val="-64"/>
        </w:rPr>
        <w:t> </w:t>
      </w:r>
      <w:r>
        <w:rPr>
          <w:spacing w:val="-64"/>
        </w:rPr>
      </w:r>
      <w:r>
        <w:rPr/>
        <w:t>算的净资产份额之间的差额，调增资本公积</w:t>
      </w:r>
      <w:r>
        <w:rPr>
          <w:rFonts w:ascii="Times New Roman" w:hAnsi="Times New Roman" w:cs="Times New Roman" w:eastAsia="Times New Roman" w:hint="default"/>
        </w:rPr>
        <w:t>12,795,360.16</w:t>
      </w:r>
      <w:r>
        <w:rPr/>
        <w:t>元。</w:t>
      </w:r>
    </w:p>
    <w:p>
      <w:pPr>
        <w:spacing w:line="240" w:lineRule="auto" w:before="5"/>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0"/>
        <w:jc w:val="left"/>
      </w:pPr>
      <w:r>
        <w:rPr/>
        <w:t>其他说明，包括本期增减变动情况、变动原因说明：无。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1134"/>
        <w:gridCol w:w="851"/>
        <w:gridCol w:w="1134"/>
        <w:gridCol w:w="804"/>
        <w:gridCol w:w="936"/>
        <w:gridCol w:w="811"/>
        <w:gridCol w:w="921"/>
      </w:tblGrid>
      <w:tr>
        <w:trPr>
          <w:trHeight w:val="402" w:hRule="exact"/>
        </w:trPr>
        <w:tc>
          <w:tcPr>
            <w:tcW w:w="29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3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2977"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0"/>
              <w:jc w:val="center"/>
              <w:rPr>
                <w:rFonts w:ascii="宋体" w:hAnsi="宋体" w:cs="宋体" w:eastAsia="宋体" w:hint="default"/>
                <w:sz w:val="18"/>
                <w:szCs w:val="18"/>
              </w:rPr>
            </w:pPr>
            <w:r>
              <w:rPr>
                <w:rFonts w:ascii="宋体" w:hAnsi="宋体" w:cs="宋体" w:eastAsia="宋体" w:hint="default"/>
                <w:sz w:val="18"/>
                <w:szCs w:val="18"/>
              </w:rPr>
              <w:t>减：前期计入 其他综合收 益当期转入 损益</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6" w:right="35"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9" w:right="3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92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 合收益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2"/>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其中：重新计算设定受益计划净负债 和净资产的变动</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2"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权益法下在被投资单位不能重 分类进损益的其他综合收益中享有的 份额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2"/>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 收益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-28,865.88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-3,072.85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-3,072.85</w:t>
            </w:r>
          </w:p>
        </w:tc>
        <w:tc>
          <w:tcPr>
            <w:tcW w:w="81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-31,938.73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77"/>
        <w:gridCol w:w="1134"/>
        <w:gridCol w:w="851"/>
        <w:gridCol w:w="1134"/>
        <w:gridCol w:w="804"/>
        <w:gridCol w:w="936"/>
        <w:gridCol w:w="811"/>
        <w:gridCol w:w="921"/>
      </w:tblGrid>
      <w:tr>
        <w:trPr>
          <w:trHeight w:val="1026"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2"/>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其中：权益法下在被投资单位以后将 重分类进损益的其他综合收益中享有 的份额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2"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可供出售金融资产公允价值变 动损益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2"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持有至到期投资重分类为可供 出售金融资产损益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现金流量套期损益的有效部分</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-28,865.88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-3,072.85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-3,072.85</w:t>
            </w:r>
          </w:p>
        </w:tc>
        <w:tc>
          <w:tcPr>
            <w:tcW w:w="81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-31,938.73</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-28,865.88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-3,072.85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-3,072.85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1" w:right="0"/>
              <w:jc w:val="left"/>
              <w:rPr>
                <w:rFonts w:ascii="Times New Roman" w:hAnsi="Times New Roman" w:cs="Times New Roman" w:eastAsia="Times New Roman" w:hint="default"/>
                <w:sz w:val="18"/>
                <w:szCs w:val="18"/>
              </w:rPr>
            </w:pPr>
            <w:r>
              <w:rPr>
                <w:rFonts w:ascii="Times New Roman"/>
                <w:sz w:val="18"/>
              </w:rPr>
              <w:t>0.00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-31,938.73</w:t>
            </w:r>
          </w:p>
        </w:tc>
      </w:tr>
    </w:tbl>
    <w:p>
      <w:pPr>
        <w:pStyle w:val="BodyText"/>
        <w:spacing w:line="240" w:lineRule="auto" w:before="50"/>
        <w:ind w:right="0"/>
        <w:jc w:val="left"/>
      </w:pPr>
      <w:r>
        <w:rPr/>
        <w:t>其他说明，包括对现金流量套期损益的有效部分转为被套期项目初始确认金额调整：无。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0"/>
        <w:ind w:right="0"/>
        <w:jc w:val="left"/>
      </w:pPr>
      <w:r>
        <w:rPr/>
        <w:t>其他说明，包括本期增减变动情况、变动原因说明：无。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58,669,273.30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58,669,273.30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12,154,775.66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12,154,775.66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70,824,048.96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70,824,048.96</w:t>
            </w:r>
          </w:p>
        </w:tc>
      </w:tr>
    </w:tbl>
    <w:p>
      <w:pPr>
        <w:pStyle w:val="BodyText"/>
        <w:spacing w:line="240" w:lineRule="auto" w:before="49"/>
        <w:ind w:right="0"/>
        <w:jc w:val="left"/>
      </w:pPr>
      <w:r>
        <w:rPr/>
        <w:t>盈余公积说明，包括本期增减变动情况、变动原因说明：无。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290,043,432.53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304,459,247.91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9"/>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290,043,432.53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304,459,247.91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-88,855,369.09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35,659,127.27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4,648,656.57</w:t>
            </w:r>
          </w:p>
        </w:tc>
      </w:tr>
      <w:tr>
        <w:trPr>
          <w:trHeight w:val="400"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45,426,286.08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5" w:right="0"/>
              <w:jc w:val="left"/>
              <w:rPr>
                <w:rFonts w:ascii="Times New Roman" w:hAnsi="Times New Roman" w:cs="Times New Roman" w:eastAsia="Times New Roman" w:hint="default"/>
                <w:sz w:val="18"/>
                <w:szCs w:val="18"/>
              </w:rPr>
            </w:pPr>
            <w:r>
              <w:rPr>
                <w:rFonts w:ascii="Times New Roman"/>
                <w:sz w:val="18"/>
              </w:rPr>
              <w:t>201,191,136.29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9" w:right="0"/>
              <w:jc w:val="left"/>
              <w:rPr>
                <w:rFonts w:ascii="Times New Roman" w:hAnsi="Times New Roman" w:cs="Times New Roman" w:eastAsia="Times New Roman" w:hint="default"/>
                <w:sz w:val="18"/>
                <w:szCs w:val="18"/>
              </w:rPr>
            </w:pPr>
            <w:r>
              <w:rPr>
                <w:rFonts w:ascii="Times New Roman"/>
                <w:sz w:val="18"/>
              </w:rPr>
              <w:t>290,043,432.53</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310,314,031.77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213,466,564.28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429,710,668.20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281,310,951.79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2,886,938.81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9,065,274.57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3,059,571.55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540,089.52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313,200,970.58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222,531,838.85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432,770,239.75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281,851,041.31</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61,979.36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1,201,553.81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2,033,274.08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535,836.85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892,765.84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341,234.78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595,186.60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2,087,883.59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3,583,205.88</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16,287,601.26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10,656,747.60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35,565,661.32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11,404,632.77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4,772,355.11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7,341,768.27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2,506,056.97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1,749,889.94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9,102,950.84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7,329,031.88</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1,510,202.47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1,545,432.47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5,082,576.35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1,779,146.31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188,594.50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58,163.68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1,654,166.07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2,924,428.69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1,590,072.42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79,594,593.58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43,454,885.34</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24,703,622.47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20,827,982.31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35,754,028.92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16,650,191.80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15,319,103.67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14,637,241.05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5,980,212.47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4,701,519.14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劳保用品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292,888.86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2,269,061.58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7,636,890.56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1,675,209.85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2,855,369.52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1,613,797.33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车辆交通费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2,103,096.19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1,602,582.82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478,451.01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1,548,252.06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1,203,154.65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1,151,404.93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882,072.49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513,624.55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503,408.54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367,538.80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1,243,478.67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120,840.00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3,894,523.89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7,033,854.96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5,351,638.48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109,884,156.87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73,030,884.70</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1,291,646.39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1,355,333.35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5,019,226.87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6,173,063.47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251,914.41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339,939.93</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126,360.80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127,788.31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-3,349,305.27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-4,350,001.88</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-561,429.77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5,795,638.34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13,768,849.83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3,196,934.29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4,839,268.68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8,531,096.60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26,577,785.34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8,992,572.63</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92"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1,210,111.00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权益法计算的长期股权投资收益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-30,889.62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5,034,861.54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6,214,082.92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1"/>
        <w:rPr>
          <w:rFonts w:ascii="宋体" w:hAnsi="宋体" w:cs="宋体" w:eastAsia="宋体" w:hint="default"/>
          <w:sz w:val="22"/>
          <w:szCs w:val="22"/>
        </w:rPr>
      </w:pPr>
    </w:p>
    <w:p>
      <w:pPr>
        <w:pStyle w:val="BodyText"/>
        <w:spacing w:line="240" w:lineRule="auto" w:before="44"/>
        <w:ind w:right="138"/>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138"/>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93,806.81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87,786.47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93,806.81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93,806.81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87,786.47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93,806.81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11,172,699.15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11,241,733.56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11,172,699.15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228,248.80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2,966.90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11,302,472.86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11,557,768.83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11,302,472.86</w:t>
            </w:r>
          </w:p>
        </w:tc>
      </w:tr>
    </w:tbl>
    <w:p>
      <w:pPr>
        <w:pStyle w:val="BodyText"/>
        <w:spacing w:line="240" w:lineRule="auto" w:before="51"/>
        <w:ind w:right="138"/>
        <w:jc w:val="left"/>
      </w:pPr>
      <w:r>
        <w:rPr/>
        <w:t>计入当期损益的政府补助：</w:t>
      </w:r>
    </w:p>
    <w:p>
      <w:pPr>
        <w:pStyle w:val="BodyText"/>
        <w:spacing w:line="240" w:lineRule="auto" w:before="117"/>
        <w:ind w:left="0" w:right="15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29"/>
        <w:gridCol w:w="1135"/>
        <w:gridCol w:w="1135"/>
        <w:gridCol w:w="1867"/>
      </w:tblGrid>
      <w:tr>
        <w:trPr>
          <w:trHeight w:val="714"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72" w:right="111"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72" w:right="111"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837" w:right="91" w:hanging="74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03"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、技术改造补助资金（</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、重点产业振兴和技术改造中央预算内投资计划</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、技术改造补助资金（</w:t>
            </w:r>
            <w:r>
              <w:rPr>
                <w:rFonts w:ascii="Times New Roman" w:hAnsi="Times New Roman" w:cs="Times New Roman" w:eastAsia="Times New Roman" w:hint="default"/>
                <w:sz w:val="18"/>
                <w:szCs w:val="18"/>
              </w:rPr>
              <w:t>1876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、战略性新兴产业科技创新专项资金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21,621.62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155,405.41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、人才开发资金资助</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、技术产业化专项资金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、就业见习补助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216,480.00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135,180.00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、双十项目资金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171,500.00</w:t>
            </w: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z w:val="18"/>
                <w:szCs w:val="18"/>
              </w:rPr>
              <w:t>（国家</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计划）科技计划项目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604,210.87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289,767.74</w:t>
            </w: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、省校合作技术开发项目资金（</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53,333.33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320,000.00</w:t>
            </w: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、省校合作技术开发项目资金（</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3"/>
                <w:sz w:val="18"/>
              </w:rPr>
              <w:t>311,111.11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77,777.78</w:t>
            </w: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、长春市科技计划项目（</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、财政贷款贴息</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、中小企业国际资金补贴</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129,600.00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、中小企业技术创新基金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、技术改造和结构调整专项资金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、科技型中小企业技术创新基金初创期企业创新项目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110,526.32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221,052.63</w:t>
            </w: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、区域发展类</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协同创新中心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项目资助资金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281,250.00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0"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、国家高科技研究发展计划课题经费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1225" w:top="1100" w:bottom="1420" w:left="1020" w:right="98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5529"/>
        <w:gridCol w:w="1135"/>
        <w:gridCol w:w="1135"/>
        <w:gridCol w:w="1867"/>
      </w:tblGrid>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、科技研发资金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、全面战略合作专项资金项目</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、创新创业专项资金补助</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2,161,200.00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、民营及中小企业专项资金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年度科技创新支持补助资金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、表彰奖励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年为全区经济发展做出突出贡献单位的决定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年吉林市战略性新兴产业科技创新专项资金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38,956.52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、市科技型中小企业技术创新基金（活性炭）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、参加国外展会补助款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、高新区创新基金项目资金（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、长春高新区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年度技术创新资金项目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、中小企业发展基金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宋体" w:hAnsi="宋体" w:cs="宋体" w:eastAsia="宋体" w:hint="default"/>
                <w:sz w:val="18"/>
                <w:szCs w:val="18"/>
              </w:rPr>
              <w:t>、深圳市坪山新区科学技术奖励</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、卫生管理示范企业创建活动补助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、坪山新区创新创业专项扶持资金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、宽温带范围和高倍率充放特性动力锂电池制备技术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36</w:t>
            </w:r>
            <w:r>
              <w:rPr>
                <w:rFonts w:ascii="宋体" w:hAnsi="宋体" w:cs="宋体" w:eastAsia="宋体" w:hint="default"/>
                <w:spacing w:val="-7"/>
                <w:sz w:val="18"/>
                <w:szCs w:val="18"/>
              </w:rPr>
              <w:t>、年产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吨（一期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吨）聚酰亚胺及中间产品技改项目（</w:t>
            </w:r>
            <w:r>
              <w:rPr>
                <w:rFonts w:ascii="Times New Roman" w:hAnsi="Times New Roman" w:cs="Times New Roman" w:eastAsia="Times New Roman" w:hint="default"/>
                <w:spacing w:val="-4"/>
                <w:sz w:val="18"/>
                <w:szCs w:val="18"/>
              </w:rPr>
              <w:t>150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29,734.07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、基础研究项目（高强度聚酰亚胺纤维结构性能与制备技术研究）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19,861.02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、企业技术创新项目（高性能聚酰亚胺材料研究中心）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85,714.29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、涉外发展服务补助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、科学技术部拨付的政策引导类项目资金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、专利补贴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11,172,699.15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11,241,733.56</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138"/>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5,084,345.29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511,383.54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5,084,345.29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5,084,345.29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511,383.54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5,084,345.29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57,032.17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57,032.17</w:t>
            </w:r>
          </w:p>
        </w:tc>
      </w:tr>
      <w:tr>
        <w:trPr>
          <w:trHeight w:val="40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在建工程停工损失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5,675,911.52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5,675,911.52</w:t>
            </w:r>
          </w:p>
        </w:tc>
      </w:tr>
    </w:tbl>
    <w:p>
      <w:pPr>
        <w:spacing w:after="0" w:line="240" w:lineRule="auto"/>
        <w:jc w:val="right"/>
        <w:rPr>
          <w:rFonts w:ascii="Times New Roman" w:hAnsi="Times New Roman" w:cs="Times New Roman" w:eastAsia="Times New Roman" w:hint="default"/>
          <w:sz w:val="18"/>
          <w:szCs w:val="18"/>
        </w:rPr>
        <w:sectPr>
          <w:footerReference w:type="default" r:id="rId67"/>
          <w:pgSz w:w="11910" w:h="16840"/>
          <w:pgMar w:footer="1225" w:header="0" w:top="1100" w:bottom="1420" w:left="1020" w:right="980"/>
          <w:pgNumType w:start="15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853,973.31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853,973.31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长期挂账预付账款转入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1,536,188.97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1,536,188.97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100,487.10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100,487.10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13,321,838.36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8" w:right="0"/>
              <w:jc w:val="left"/>
              <w:rPr>
                <w:rFonts w:ascii="Times New Roman" w:hAnsi="Times New Roman" w:cs="Times New Roman" w:eastAsia="Times New Roman" w:hint="default"/>
                <w:sz w:val="18"/>
                <w:szCs w:val="18"/>
              </w:rPr>
            </w:pPr>
            <w:r>
              <w:rPr>
                <w:rFonts w:ascii="Times New Roman"/>
                <w:sz w:val="18"/>
              </w:rPr>
              <w:t>583,383.54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13,321,838.36</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155,669.29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8,130,520.72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-701,391.93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-4,171,389.80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-545,722.64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3,959,130.92</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-119,931,264.96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17,150,296.74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1,037,795.27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9,113,798.73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61,634,199.45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-4,694,332.95</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4"/>
              <w:jc w:val="left"/>
              <w:rPr>
                <w:rFonts w:ascii="宋体" w:hAnsi="宋体" w:cs="宋体" w:eastAsia="宋体" w:hint="default"/>
                <w:sz w:val="18"/>
                <w:szCs w:val="18"/>
              </w:rPr>
            </w:pPr>
            <w:r>
              <w:rPr>
                <w:rFonts w:ascii="宋体" w:hAnsi="宋体" w:cs="宋体" w:eastAsia="宋体" w:hint="default"/>
                <w:sz w:val="18"/>
                <w:szCs w:val="18"/>
              </w:rPr>
              <w:t>以前年度确认的递延所得税资产的可抵扣暂时性差异或可抵 扣亏损本期转回的影响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32,051,129.99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-545,722.64</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详见附注</w:t>
      </w:r>
      <w:r>
        <w:rPr>
          <w:spacing w:val="-46"/>
        </w:rPr>
        <w:t> </w:t>
      </w:r>
      <w:r>
        <w:rPr>
          <w:rFonts w:ascii="Times New Roman" w:hAnsi="Times New Roman" w:cs="Times New Roman" w:eastAsia="Times New Roman" w:hint="default"/>
        </w:rPr>
        <w:t>57</w:t>
      </w:r>
      <w:r>
        <w:rPr/>
        <w:t>。</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收到收益性政府补助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8,441,238.48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6,805,580.00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违约金、其他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860,861.55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312,379.21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2,174,804.59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收回的投标保证金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38,073,261.64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40,597,331.36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5,457,928.26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5,734,362.08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998,709.15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1,368,958.18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53,831,999.08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56,993,415.42</w:t>
            </w:r>
          </w:p>
        </w:tc>
      </w:tr>
    </w:tbl>
    <w:p>
      <w:pPr>
        <w:pStyle w:val="BodyText"/>
        <w:spacing w:line="240" w:lineRule="auto" w:before="50"/>
        <w:ind w:right="0"/>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32,622,561.81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21,512,155.99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63,041,505.67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36,209,372.34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38,951,896.44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46,075,775.00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2,000,057.42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126,360.80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127,788.31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938,813.31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312,202.07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149,557.91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510,648.39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135,830,695.94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106,747,999.52</w:t>
            </w:r>
          </w:p>
        </w:tc>
      </w:tr>
    </w:tbl>
    <w:p>
      <w:pPr>
        <w:pStyle w:val="BodyText"/>
        <w:spacing w:line="240" w:lineRule="auto" w:before="49"/>
        <w:ind w:right="0"/>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w:t>
            </w:r>
          </w:p>
        </w:tc>
      </w:tr>
    </w:tbl>
    <w:p>
      <w:pPr>
        <w:pStyle w:val="BodyText"/>
        <w:spacing w:line="240" w:lineRule="auto" w:before="50"/>
        <w:ind w:right="0"/>
        <w:jc w:val="left"/>
      </w:pPr>
      <w:r>
        <w:rPr/>
        <w:t>收到的其他与投资活动有关的现金说明：无。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2"/>
        <w:ind w:right="0"/>
        <w:jc w:val="left"/>
      </w:pPr>
      <w:r>
        <w:rPr/>
        <w:t>支付的其他与投资活动有关的现金说明：无。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612,909.69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92,826.89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15,445,000.00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5,167,909.69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15,537,826.89</w:t>
            </w:r>
          </w:p>
        </w:tc>
      </w:tr>
    </w:tbl>
    <w:p>
      <w:pPr>
        <w:pStyle w:val="BodyText"/>
        <w:spacing w:line="240" w:lineRule="auto" w:before="49"/>
        <w:ind w:right="0"/>
        <w:jc w:val="left"/>
      </w:pPr>
      <w:r>
        <w:rPr/>
        <w:t>收到的其他与筹资活动有关的现金说明：无。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818,318.13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818,318.13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0"/>
        <w:jc w:val="left"/>
      </w:pPr>
      <w:r>
        <w:rPr/>
        <w:t>支付的其他与筹资活动有关的现金说明：无。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-119,385,542.32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33,222,906.14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26,577,785.34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8,992,572.63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37,215,553.45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35,294,881.29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6,278,769.07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3,898,427.53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3,098,732.89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1,421,875.98</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2,380,775.35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423,597.07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8"/>
        <w:rPr>
          <w:rFonts w:ascii="宋体" w:hAnsi="宋体" w:cs="宋体" w:eastAsia="宋体" w:hint="default"/>
          <w:sz w:val="24"/>
          <w:szCs w:val="24"/>
        </w:rPr>
      </w:pPr>
      <w:r>
        <w:rPr/>
        <w:pict>
          <v:group style="position:absolute;margin-left:223.199997pt;margin-top:150.800018pt;width:152.6pt;height:19.850pt;mso-position-horizontal-relative:page;mso-position-vertical-relative:page;z-index:-1008976" coordorigin="4464,3016" coordsize="3052,397">
            <v:shape style="position:absolute;left:4464;top:3016;width:3052;height:397" coordorigin="4464,3016" coordsize="3052,397" path="m4464,3016l7516,3016,7516,3413,4464,3413,4464,3016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6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2,609,763.13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1,196,891.63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1,355,333.35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-6,214,082.92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tabs>
                <w:tab w:pos="2155" w:val="left" w:leader="none"/>
              </w:tabs>
              <w:spacing w:line="240" w:lineRule="auto" w:before="51"/>
              <w:ind w:left="-12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-701,391.93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-4,171,389.80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30,816,313.73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-14,135,576.56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81,722,255.52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-75,540,629.93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-17,071,184.58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78,786,578.11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9,325,692.33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57,850,330.69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69,548,575.81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360,961,121.21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343,514,032.63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343,514,032.63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362,115,539.17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17,447,088.58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-18,601,506.54</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360,961,121.21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343,514,032.63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106,019.50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85,508.35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360,855,101.71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343,428,524.28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360,961,121.21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343,514,032.63</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62" w:hRule="exact"/>
        </w:trPr>
        <w:tc>
          <w:tcPr>
            <w:tcW w:w="3327" w:type="dxa"/>
            <w:tcBorders>
              <w:top w:val="single" w:sz="4" w:space="0" w:color="000000"/>
              <w:left w:val="single" w:sz="4" w:space="0" w:color="000000"/>
              <w:bottom w:val="nil" w:sz="6" w:space="0" w:color="auto"/>
              <w:right w:val="single" w:sz="4" w:space="0" w:color="000000"/>
            </w:tcBorders>
            <w:shd w:val="clear" w:color="auto" w:fill="D3D3D3"/>
          </w:tcPr>
          <w:p>
            <w:pPr/>
          </w:p>
        </w:tc>
        <w:tc>
          <w:tcPr>
            <w:tcW w:w="3057" w:type="dxa"/>
            <w:tcBorders>
              <w:top w:val="single" w:sz="4" w:space="0" w:color="000000"/>
              <w:left w:val="single" w:sz="4" w:space="0" w:color="000000"/>
              <w:bottom w:val="nil" w:sz="6" w:space="0" w:color="auto"/>
              <w:right w:val="single" w:sz="4" w:space="0" w:color="000000"/>
            </w:tcBorders>
          </w:tcPr>
          <w:p>
            <w:pPr/>
          </w:p>
        </w:tc>
        <w:tc>
          <w:tcPr>
            <w:tcW w:w="31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其他货币资金中人民币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924,361.76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元为</w:t>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941,960.77</w:t>
            </w: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本公司向银行申请开具无条件、不可撤</w:t>
            </w:r>
          </w:p>
        </w:tc>
      </w:tr>
      <w:tr>
        <w:trPr>
          <w:trHeight w:val="352" w:hRule="exact"/>
        </w:trPr>
        <w:tc>
          <w:tcPr>
            <w:tcW w:w="3327" w:type="dxa"/>
            <w:tcBorders>
              <w:top w:val="nil" w:sz="6" w:space="0" w:color="auto"/>
              <w:left w:val="single" w:sz="4" w:space="0" w:color="000000"/>
              <w:bottom w:val="single" w:sz="4" w:space="0" w:color="000000"/>
              <w:right w:val="single" w:sz="4" w:space="0" w:color="000000"/>
            </w:tcBorders>
            <w:shd w:val="clear" w:color="auto" w:fill="D3D3D3"/>
          </w:tcPr>
          <w:p>
            <w:pPr/>
          </w:p>
        </w:tc>
        <w:tc>
          <w:tcPr>
            <w:tcW w:w="3057" w:type="dxa"/>
            <w:tcBorders>
              <w:top w:val="nil" w:sz="6" w:space="0" w:color="auto"/>
              <w:left w:val="single" w:sz="4" w:space="0" w:color="000000"/>
              <w:bottom w:val="single" w:sz="4" w:space="0" w:color="000000"/>
              <w:right w:val="single" w:sz="4" w:space="0" w:color="000000"/>
            </w:tcBorders>
          </w:tcPr>
          <w:p>
            <w:pPr/>
          </w:p>
        </w:tc>
        <w:tc>
          <w:tcPr>
            <w:tcW w:w="3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销的担保函所存入的保证金存款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941,960.77</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19,295.18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118,069.40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320,841.39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2,392,773.24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9,822.12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7,748.38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138,208.77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845,699.47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209,109.56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7.4556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1,559,037.25</w:t>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5"/>
        <w:spacing w:line="259" w:lineRule="auto" w:before="118"/>
        <w:ind w:right="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79</w:t>
      </w:r>
      <w:r>
        <w:rPr/>
        <w:t>、其他</w:t>
      </w:r>
      <w:r>
        <w:rPr>
          <w:b w:val="0"/>
          <w:bCs w:val="0"/>
        </w:rPr>
      </w:r>
    </w:p>
    <w:p>
      <w:pPr>
        <w:spacing w:after="0" w:line="240" w:lineRule="auto"/>
        <w:jc w:val="left"/>
        <w:sectPr>
          <w:pgSz w:w="11910" w:h="16840"/>
          <w:pgMar w:header="0" w:footer="1225" w:top="1100" w:bottom="1420" w:left="1020" w:right="1000"/>
        </w:sectPr>
      </w:pPr>
    </w:p>
    <w:p>
      <w:pPr>
        <w:spacing w:line="240" w:lineRule="auto" w:before="10"/>
        <w:rPr>
          <w:rFonts w:ascii="宋体" w:hAnsi="宋体" w:cs="宋体" w:eastAsia="宋体" w:hint="default"/>
          <w:b/>
          <w:bCs/>
          <w:sz w:val="19"/>
          <w:szCs w:val="19"/>
        </w:rPr>
      </w:pPr>
    </w:p>
    <w:p>
      <w:pPr>
        <w:pStyle w:val="Heading4"/>
        <w:spacing w:line="240" w:lineRule="auto" w:before="26"/>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0"/>
        <w:ind w:right="0"/>
        <w:jc w:val="both"/>
      </w:pPr>
      <w:r>
        <w:rPr/>
        <w:t>其他说明</w:t>
      </w:r>
      <w:r>
        <w:rPr>
          <w:spacing w:val="-89"/>
        </w:rPr>
        <w:t>：</w:t>
      </w:r>
      <w:r>
        <w:rPr/>
        <w:t>。无</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694"/>
        <w:jc w:val="left"/>
      </w:pPr>
      <w:r>
        <w:rPr/>
        <w:t>合并成本公允价值的确定方法、或有对价及其变动的说明：无。 大额商誉形成的主要原因：无。</w:t>
      </w:r>
    </w:p>
    <w:p>
      <w:pPr>
        <w:pStyle w:val="BodyText"/>
        <w:spacing w:line="240" w:lineRule="auto" w:before="29"/>
        <w:ind w:right="0"/>
        <w:jc w:val="both"/>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151"/>
        <w:jc w:val="both"/>
      </w:pPr>
      <w:r>
        <w:rPr/>
        <w:t>可辨认资产、负债公允价值的确定方法：无。 企业合并中承担的被购买方的或有负债：无。 其他说明：无。</w:t>
      </w:r>
    </w:p>
    <w:p>
      <w:pPr>
        <w:spacing w:line="240" w:lineRule="auto" w:before="12"/>
        <w:rPr>
          <w:rFonts w:ascii="宋体" w:hAnsi="宋体" w:cs="宋体" w:eastAsia="宋体" w:hint="default"/>
          <w:sz w:val="19"/>
          <w:szCs w:val="19"/>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5"/>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7"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0"/>
        <w:ind w:right="0"/>
        <w:jc w:val="left"/>
      </w:pPr>
      <w:r>
        <w:rPr/>
        <w:t>其他说明：无。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394"/>
        <w:jc w:val="left"/>
      </w:pPr>
      <w:r>
        <w:rPr/>
        <w:t>或有对价及其变动的说明：无 其他说明：无。</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134"/>
        <w:jc w:val="left"/>
      </w:pPr>
      <w:r>
        <w:rPr/>
        <w:t>企业合并中承担的被合并方的或有负债：无。 其他说明：无。</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性交易处理时调整权益的金额及其计算：无。</w:t>
      </w:r>
    </w:p>
    <w:p>
      <w:pPr>
        <w:spacing w:line="240" w:lineRule="auto" w:before="8"/>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3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14"/>
        <w:jc w:val="left"/>
      </w:pPr>
      <w:r>
        <w:rPr/>
        <w:t>说明其他原因导致的合并范围变动（如，新设子公司、清算子公司等）及其相关情况： 报告期公司新设立子公司中汇联银投资管理（北京）有限公司（简称</w:t>
      </w:r>
      <w:r>
        <w:rPr>
          <w:rFonts w:ascii="Times New Roman" w:hAnsi="Times New Roman" w:cs="Times New Roman" w:eastAsia="Times New Roman" w:hint="default"/>
        </w:rPr>
        <w:t>“</w:t>
      </w:r>
      <w:r>
        <w:rPr/>
        <w:t>中汇联银</w:t>
      </w:r>
      <w:r>
        <w:rPr>
          <w:rFonts w:ascii="Times New Roman" w:hAnsi="Times New Roman" w:cs="Times New Roman" w:eastAsia="Times New Roman" w:hint="default"/>
        </w:rPr>
        <w:t>”</w:t>
      </w:r>
      <w:r>
        <w:rPr/>
        <w:t>），自该公司成立之日期纳入合并范围。</w:t>
      </w:r>
    </w:p>
    <w:p>
      <w:pPr>
        <w:spacing w:line="240" w:lineRule="auto" w:before="5"/>
        <w:rPr>
          <w:rFonts w:ascii="宋体" w:hAnsi="宋体" w:cs="宋体" w:eastAsia="宋体" w:hint="default"/>
          <w:sz w:val="18"/>
          <w:szCs w:val="18"/>
        </w:rPr>
      </w:pPr>
    </w:p>
    <w:p>
      <w:pPr>
        <w:spacing w:line="487" w:lineRule="auto" w:before="0"/>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1"/>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0" w:footer="1225" w:top="1100" w:bottom="142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right="1454"/>
        <w:jc w:val="left"/>
      </w:pP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360" w:lineRule="auto" w:before="29"/>
        <w:ind w:right="6314"/>
        <w:jc w:val="left"/>
      </w:pPr>
      <w:r>
        <w:rPr/>
        <w:t>确定公司是代理人还是委托人的依据：无。 其他说明：无。</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-3,177,843.88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23,139,504.46</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长春高琦（合并）</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-27,355,402.20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196,328,646.17</w:t>
            </w:r>
          </w:p>
        </w:tc>
      </w:tr>
    </w:tbl>
    <w:p>
      <w:pPr>
        <w:pStyle w:val="BodyText"/>
        <w:spacing w:line="360" w:lineRule="auto" w:before="51"/>
        <w:ind w:right="5054"/>
        <w:jc w:val="left"/>
      </w:pPr>
      <w:r>
        <w:rPr/>
        <w:t>子公司少数股东的持股比例不同于表决权比例的说明：无。 其他说明：无。</w:t>
      </w:r>
    </w:p>
    <w:p>
      <w:pPr>
        <w:spacing w:after="0" w:line="360" w:lineRule="auto"/>
        <w:jc w:val="left"/>
        <w:sectPr>
          <w:pgSz w:w="11910" w:h="16840"/>
          <w:pgMar w:header="0" w:footer="1225" w:top="1100" w:bottom="1420" w:left="1020" w:right="1020"/>
        </w:sectPr>
      </w:pPr>
    </w:p>
    <w:p>
      <w:pPr>
        <w:pStyle w:val="BodyText"/>
        <w:spacing w:line="240" w:lineRule="auto" w:before="16"/>
        <w:ind w:left="0" w:right="137"/>
        <w:jc w:val="righ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p>
      <w:pPr>
        <w:spacing w:line="240" w:lineRule="auto" w:before="6"/>
        <w:rPr>
          <w:rFonts w:ascii="宋体" w:hAnsi="宋体" w:cs="宋体" w:eastAsia="宋体" w:hint="default"/>
          <w:sz w:val="2"/>
          <w:szCs w:val="2"/>
        </w:rPr>
      </w:pPr>
    </w:p>
    <w:p>
      <w:pPr>
        <w:spacing w:line="20" w:lineRule="exact"/>
        <w:ind w:left="39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pStyle w:val="Heading5"/>
        <w:spacing w:line="240" w:lineRule="auto" w:before="34"/>
        <w:ind w:left="400"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7"/>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464"/>
        <w:gridCol w:w="1175"/>
        <w:gridCol w:w="1181"/>
        <w:gridCol w:w="1181"/>
        <w:gridCol w:w="1091"/>
        <w:gridCol w:w="1091"/>
        <w:gridCol w:w="1181"/>
        <w:gridCol w:w="1181"/>
        <w:gridCol w:w="1181"/>
        <w:gridCol w:w="1181"/>
        <w:gridCol w:w="1091"/>
        <w:gridCol w:w="1091"/>
        <w:gridCol w:w="1181"/>
      </w:tblGrid>
      <w:tr>
        <w:trPr>
          <w:trHeight w:val="402" w:hRule="exact"/>
        </w:trPr>
        <w:tc>
          <w:tcPr>
            <w:tcW w:w="4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46" w:right="46"/>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690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90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24" w:hRule="exact"/>
        </w:trPr>
        <w:tc>
          <w:tcPr>
            <w:tcW w:w="464" w:type="dxa"/>
            <w:vMerge/>
            <w:tcBorders>
              <w:left w:val="single" w:sz="4" w:space="0" w:color="000000"/>
              <w:bottom w:val="single" w:sz="4" w:space="0" w:color="000000"/>
              <w:right w:val="single" w:sz="4" w:space="0" w:color="000000"/>
            </w:tcBorders>
            <w:shd w:val="clear" w:color="auto" w:fill="D3D3D3"/>
          </w:tcPr>
          <w:p>
            <w:pP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8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89"/>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2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3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24"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4" w:hRule="exact"/>
        </w:trPr>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长春 高琦</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114,175,062.50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399,183,717.07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513,358,779.57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90,312,162.79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29,781,703.76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120,093,866.55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148,710,496.90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425,721,474.96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574,431,971.86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89,658,494.23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33,084,400.21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122,742,894.44</w:t>
            </w:r>
          </w:p>
        </w:tc>
      </w:tr>
      <w:tr>
        <w:trPr>
          <w:trHeight w:val="714" w:hRule="exact"/>
        </w:trPr>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江西 先材</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24,774,518.70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70,138,820.76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94,913,339.46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2,287,024.37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20,764,500.00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23,051,524.37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67,073,296.73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37,763,808.19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104,837,104.92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2,154,209.44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20,952,000.00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23,106,209.44</w:t>
            </w:r>
          </w:p>
        </w:tc>
      </w:tr>
    </w:tbl>
    <w:p>
      <w:pPr>
        <w:pStyle w:val="BodyText"/>
        <w:spacing w:line="240" w:lineRule="auto" w:before="51"/>
        <w:ind w:left="0" w:right="137"/>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810"/>
        <w:gridCol w:w="1553"/>
        <w:gridCol w:w="1555"/>
        <w:gridCol w:w="1558"/>
        <w:gridCol w:w="1561"/>
        <w:gridCol w:w="1555"/>
        <w:gridCol w:w="1555"/>
        <w:gridCol w:w="1555"/>
        <w:gridCol w:w="1567"/>
      </w:tblGrid>
      <w:tr>
        <w:trPr>
          <w:trHeight w:val="402" w:hRule="exact"/>
        </w:trPr>
        <w:tc>
          <w:tcPr>
            <w:tcW w:w="1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2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810" w:type="dxa"/>
            <w:vMerge/>
            <w:tcBorders>
              <w:left w:val="single" w:sz="4" w:space="0" w:color="000000"/>
              <w:bottom w:val="single" w:sz="4" w:space="0" w:color="000000"/>
              <w:right w:val="single" w:sz="4" w:space="0" w:color="000000"/>
            </w:tcBorders>
            <w:shd w:val="clear" w:color="auto" w:fill="D3D3D3"/>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8"/>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45,535,749.16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-58,424,164.40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-58,424,164.40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1,050,832.91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29,118,053.03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7" w:right="0"/>
              <w:jc w:val="left"/>
              <w:rPr>
                <w:rFonts w:ascii="Times New Roman" w:hAnsi="Times New Roman" w:cs="Times New Roman" w:eastAsia="Times New Roman" w:hint="default"/>
                <w:sz w:val="18"/>
                <w:szCs w:val="18"/>
              </w:rPr>
            </w:pPr>
            <w:r>
              <w:rPr>
                <w:rFonts w:ascii="Times New Roman"/>
                <w:sz w:val="18"/>
              </w:rPr>
              <w:t>-8,762,937.17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-8,762,937.17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-20,314,505.29</w:t>
            </w:r>
          </w:p>
        </w:tc>
      </w:tr>
      <w:tr>
        <w:trPr>
          <w:trHeight w:val="40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64,170.94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-9,869,080.39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-9,869,080.39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-4,895,262.43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62,179.54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7" w:right="0"/>
              <w:jc w:val="left"/>
              <w:rPr>
                <w:rFonts w:ascii="Times New Roman" w:hAnsi="Times New Roman" w:cs="Times New Roman" w:eastAsia="Times New Roman" w:hint="default"/>
                <w:sz w:val="18"/>
                <w:szCs w:val="18"/>
              </w:rPr>
            </w:pPr>
            <w:r>
              <w:rPr>
                <w:rFonts w:ascii="Times New Roman"/>
                <w:sz w:val="18"/>
              </w:rPr>
              <w:t>-3,670,936.89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-3,670,936.89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-1,518,161.39</w:t>
            </w:r>
          </w:p>
        </w:tc>
      </w:tr>
    </w:tbl>
    <w:p>
      <w:pPr>
        <w:pStyle w:val="BodyText"/>
        <w:spacing w:line="240" w:lineRule="auto" w:before="50"/>
        <w:ind w:left="400"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400"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400"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00" w:right="0"/>
        <w:jc w:val="left"/>
      </w:pPr>
      <w:r>
        <w:rPr/>
        <w:t>其他说明：无。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76"/>
        <w:ind w:left="7224" w:right="6963"/>
        <w:jc w:val="center"/>
        <w:rPr>
          <w:rFonts w:ascii="Times New Roman" w:hAnsi="Times New Roman" w:cs="Times New Roman" w:eastAsia="Times New Roman" w:hint="default"/>
        </w:rPr>
      </w:pPr>
      <w:r>
        <w:rPr>
          <w:rFonts w:ascii="Times New Roman"/>
        </w:rPr>
        <w:t>160</w:t>
      </w:r>
    </w:p>
    <w:p>
      <w:pPr>
        <w:spacing w:after="0" w:line="240" w:lineRule="auto"/>
        <w:jc w:val="center"/>
        <w:rPr>
          <w:rFonts w:ascii="Times New Roman" w:hAnsi="Times New Roman" w:cs="Times New Roman" w:eastAsia="Times New Roman" w:hint="default"/>
        </w:rPr>
        <w:sectPr>
          <w:headerReference w:type="default" r:id="rId68"/>
          <w:footerReference w:type="default" r:id="rId69"/>
          <w:pgSz w:w="16840" w:h="11910" w:orient="landscape"/>
          <w:pgMar w:header="0" w:footer="0" w:top="800" w:bottom="280" w:left="1040" w:right="13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5"/>
        <w:spacing w:line="240" w:lineRule="auto" w:before="34"/>
        <w:ind w:left="132" w:right="0"/>
        <w:jc w:val="both"/>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0"/>
        <w:jc w:val="both"/>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32" w:right="125"/>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日与控股股东吕晓义先生签订《股权转让协议》，公司将子公司长春高琦</w:t>
      </w:r>
      <w:r>
        <w:rPr>
          <w:rFonts w:ascii="Times New Roman" w:hAnsi="Times New Roman" w:cs="Times New Roman" w:eastAsia="Times New Roman" w:hint="default"/>
        </w:rPr>
        <w:t>33.63177%</w:t>
      </w:r>
      <w:r>
        <w:rPr/>
        <w:t>权益转让给吕晓义， </w:t>
      </w:r>
      <w:r>
        <w:rPr>
          <w:spacing w:val="-1"/>
        </w:rPr>
        <w:t>转让价格为每元注册资本</w:t>
      </w:r>
      <w:r>
        <w:rPr>
          <w:rFonts w:ascii="Times New Roman" w:hAnsi="Times New Roman" w:cs="Times New Roman" w:eastAsia="Times New Roman" w:hint="default"/>
          <w:spacing w:val="-1"/>
        </w:rPr>
        <w:t>4.90</w:t>
      </w:r>
      <w:r>
        <w:rPr>
          <w:spacing w:val="-1"/>
        </w:rPr>
        <w:t>元，转让总价款</w:t>
      </w:r>
      <w:r>
        <w:rPr>
          <w:rFonts w:ascii="Times New Roman" w:hAnsi="Times New Roman" w:cs="Times New Roman" w:eastAsia="Times New Roman" w:hint="default"/>
          <w:spacing w:val="-1"/>
        </w:rPr>
        <w:t>160,834,356</w:t>
      </w:r>
      <w:r>
        <w:rPr>
          <w:spacing w:val="-1"/>
        </w:rPr>
        <w:t>元。上述股权转让事项经本公司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8</w:t>
      </w:r>
      <w:r>
        <w:rPr>
          <w:spacing w:val="-1"/>
        </w:rPr>
        <w:t>日第四届董事会第二十</w:t>
      </w:r>
      <w:r>
        <w:rPr>
          <w:spacing w:val="-74"/>
        </w:rPr>
        <w:t> </w:t>
      </w:r>
      <w:r>
        <w:rPr/>
        <w:t>三次会议决议以及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日召开的</w:t>
      </w:r>
      <w:r>
        <w:rPr>
          <w:rFonts w:ascii="Times New Roman" w:hAnsi="Times New Roman" w:cs="Times New Roman" w:eastAsia="Times New Roman" w:hint="default"/>
        </w:rPr>
        <w:t>2013</w:t>
      </w:r>
      <w:r>
        <w:rPr/>
        <w:t>年年度股东大会决议通过。</w:t>
      </w:r>
    </w:p>
    <w:p>
      <w:pPr>
        <w:spacing w:line="240" w:lineRule="auto" w:before="13"/>
        <w:rPr>
          <w:rFonts w:ascii="宋体" w:hAnsi="宋体" w:cs="宋体" w:eastAsia="宋体" w:hint="default"/>
          <w:sz w:val="21"/>
          <w:szCs w:val="21"/>
        </w:rPr>
      </w:pPr>
    </w:p>
    <w:p>
      <w:pPr>
        <w:pStyle w:val="Heading5"/>
        <w:spacing w:line="240" w:lineRule="auto"/>
        <w:ind w:left="132" w:right="0"/>
        <w:jc w:val="both"/>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5403"/>
        <w:gridCol w:w="4255"/>
      </w:tblGrid>
      <w:tr>
        <w:trPr>
          <w:trHeight w:val="34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长春高琦</w:t>
            </w:r>
          </w:p>
        </w:tc>
      </w:tr>
      <w:tr>
        <w:trPr>
          <w:trHeight w:val="34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处置对价</w:t>
            </w:r>
          </w:p>
        </w:tc>
        <w:tc>
          <w:tcPr>
            <w:tcW w:w="42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160,834,356.00</w:t>
            </w:r>
          </w:p>
        </w:tc>
      </w:tr>
      <w:tr>
        <w:trPr>
          <w:trHeight w:val="34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148,038,995.84</w:t>
            </w:r>
          </w:p>
        </w:tc>
      </w:tr>
      <w:tr>
        <w:trPr>
          <w:trHeight w:val="34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12,795,360.16</w:t>
            </w:r>
          </w:p>
        </w:tc>
      </w:tr>
      <w:tr>
        <w:trPr>
          <w:trHeight w:val="34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12,795,360.16</w:t>
            </w:r>
          </w:p>
        </w:tc>
      </w:tr>
      <w:tr>
        <w:trPr>
          <w:trHeight w:val="34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2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2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left="132"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38"/>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北京金喜凯德科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781"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left="132" w:right="138"/>
        <w:jc w:val="left"/>
      </w:pPr>
      <w:r>
        <w:rPr/>
        <w:t>在合营企业或联营企业的持股比例不同于表决权比例的说明：无。</w:t>
      </w:r>
    </w:p>
    <w:p>
      <w:pPr>
        <w:pStyle w:val="BodyText"/>
        <w:spacing w:line="240" w:lineRule="auto" w:before="117"/>
        <w:ind w:left="132" w:right="13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或以上表决权但不具有重大影响的依据：无。</w:t>
      </w:r>
    </w:p>
    <w:p>
      <w:pPr>
        <w:spacing w:line="240" w:lineRule="auto" w:before="10"/>
        <w:rPr>
          <w:rFonts w:ascii="宋体" w:hAnsi="宋体" w:cs="宋体" w:eastAsia="宋体" w:hint="default"/>
          <w:sz w:val="25"/>
          <w:szCs w:val="25"/>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38"/>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604"/>
        <w:gridCol w:w="3274"/>
        <w:gridCol w:w="2780"/>
      </w:tblGrid>
      <w:tr>
        <w:trPr>
          <w:trHeight w:val="342" w:hRule="exact"/>
        </w:trPr>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51"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  </w:t>
            </w:r>
            <w:r>
              <w:rPr>
                <w:rFonts w:ascii="宋体" w:hAnsi="宋体" w:cs="宋体" w:eastAsia="宋体" w:hint="default"/>
                <w:sz w:val="18"/>
                <w:szCs w:val="18"/>
              </w:rPr>
              <w:t>本年发生额</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上年发生额</w:t>
            </w:r>
          </w:p>
        </w:tc>
      </w:tr>
      <w:tr>
        <w:trPr>
          <w:trHeight w:val="342" w:hRule="exact"/>
        </w:trPr>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投资账面价值</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119,110.38</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w:t>
            </w:r>
          </w:p>
        </w:tc>
        <w:tc>
          <w:tcPr>
            <w:tcW w:w="3274"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0"/>
          <w:pgSz w:w="11910" w:h="16840"/>
          <w:pgMar w:footer="1225" w:header="0" w:top="1100" w:bottom="1420" w:left="1000" w:right="1000"/>
          <w:pgNumType w:start="161"/>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3604"/>
        <w:gridCol w:w="3274"/>
        <w:gridCol w:w="2780"/>
      </w:tblGrid>
      <w:tr>
        <w:trPr>
          <w:trHeight w:val="342" w:hRule="exact"/>
        </w:trPr>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-30,889.62</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274"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-30,889.62</w:t>
            </w:r>
          </w:p>
        </w:tc>
        <w:tc>
          <w:tcPr>
            <w:tcW w:w="27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32"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38"/>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left="132"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38"/>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left="132"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38"/>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38"/>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0"/>
        <w:ind w:left="132" w:right="4174"/>
        <w:jc w:val="left"/>
      </w:pPr>
      <w:r>
        <w:rPr/>
        <w:t>在共同经营中的持股比例或享有的份额不同于表决权比例的说明：无。 共同经营为单独主体的，分类为共同经营的依据：无。</w:t>
      </w:r>
    </w:p>
    <w:p>
      <w:pPr>
        <w:pStyle w:val="BodyText"/>
        <w:spacing w:line="240" w:lineRule="auto" w:before="29"/>
        <w:ind w:left="132" w:right="138"/>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left="132" w:right="138"/>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38"/>
        <w:jc w:val="left"/>
      </w:pPr>
      <w:r>
        <w:rPr/>
        <w:t>未纳入合并财务报表范围的结构化主体的相关说明：无。</w:t>
      </w:r>
    </w:p>
    <w:p>
      <w:pPr>
        <w:spacing w:after="0" w:line="240" w:lineRule="auto"/>
        <w:jc w:val="left"/>
        <w:sectPr>
          <w:pgSz w:w="11910" w:h="16840"/>
          <w:pgMar w:header="0" w:footer="1225" w:top="1100" w:bottom="1420" w:left="1000" w:right="1000"/>
        </w:sectPr>
      </w:pPr>
    </w:p>
    <w:p>
      <w:pPr>
        <w:spacing w:line="240" w:lineRule="auto" w:before="12"/>
        <w:rPr>
          <w:rFonts w:ascii="宋体" w:hAnsi="宋体" w:cs="宋体" w:eastAsia="宋体" w:hint="default"/>
          <w:sz w:val="20"/>
          <w:szCs w:val="20"/>
        </w:rPr>
      </w:pPr>
    </w:p>
    <w:p>
      <w:pPr>
        <w:pStyle w:val="Heading5"/>
        <w:spacing w:line="240" w:lineRule="auto" w:before="34"/>
        <w:ind w:left="132" w:right="18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left="132" w:right="184"/>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tabs>
          <w:tab w:pos="1356" w:val="left" w:leader="none"/>
        </w:tabs>
        <w:spacing w:line="314" w:lineRule="auto"/>
        <w:ind w:left="852" w:right="111"/>
        <w:jc w:val="left"/>
      </w:pPr>
      <w:r>
        <w:rPr>
          <w:spacing w:val="-2"/>
        </w:rPr>
        <w:t>本公司在经营过程中面临各种金融风险：信用风险、市场风险和流动性风险。公司董事会全面负责风险管理目标和</w:t>
      </w:r>
      <w:r>
        <w:rPr>
          <w:spacing w:val="-72"/>
        </w:rPr>
        <w:t> </w:t>
      </w:r>
      <w:r>
        <w:rPr>
          <w:spacing w:val="-72"/>
        </w:rPr>
      </w:r>
      <w:r>
        <w:rPr>
          <w:spacing w:val="-2"/>
        </w:rPr>
        <w:t>政策的确定，并对风险管理目标和政策承担最终责任，但是董事会已授权本公司战略部门设计和实施能确保风险管</w:t>
      </w:r>
      <w:r>
        <w:rPr>
          <w:spacing w:val="-72"/>
        </w:rPr>
        <w:t> </w:t>
      </w:r>
      <w:r>
        <w:rPr>
          <w:spacing w:val="-72"/>
        </w:rPr>
      </w:r>
      <w:r>
        <w:rPr>
          <w:spacing w:val="-2"/>
        </w:rPr>
        <w:t>理目标和政策得以有效执行的程序。本公司的内部审计师也会审计风险管理的政策和程序，并且将有关发现汇报给</w:t>
      </w:r>
      <w:r>
        <w:rPr>
          <w:spacing w:val="-72"/>
        </w:rPr>
        <w:t> </w:t>
      </w:r>
      <w:r>
        <w:rPr>
          <w:spacing w:val="-72"/>
        </w:rPr>
      </w:r>
      <w:r>
        <w:rPr/>
        <w:t>审计委员会。 本公司风险管理的总体目标是在不过度影响公司竞争力和应变力的情况下，制定尽可能降低风险的风险管理政策。 </w:t>
      </w:r>
      <w:r>
        <w:rPr>
          <w:rFonts w:ascii="Times New Roman" w:hAnsi="Times New Roman" w:cs="Times New Roman" w:eastAsia="Times New Roman" w:hint="default"/>
          <w:b/>
          <w:bCs/>
          <w:w w:val="95"/>
        </w:rPr>
        <w:t>(</w:t>
      </w:r>
      <w:r>
        <w:rPr>
          <w:rFonts w:ascii="宋体" w:hAnsi="宋体" w:cs="宋体" w:eastAsia="宋体" w:hint="default"/>
          <w:b/>
          <w:bCs/>
          <w:w w:val="95"/>
        </w:rPr>
        <w:t>一</w:t>
      </w:r>
      <w:r>
        <w:rPr>
          <w:rFonts w:ascii="Times New Roman" w:hAnsi="Times New Roman" w:cs="Times New Roman" w:eastAsia="Times New Roman" w:hint="default"/>
          <w:b/>
          <w:bCs/>
          <w:w w:val="95"/>
        </w:rPr>
        <w:t>)</w:t>
        <w:tab/>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信用风险是指金融工具的一方不履行义务，造成另一方发生财务损失的风险。本公司主要面临赊销导致的客户信用</w:t>
      </w:r>
      <w:r>
        <w:rPr>
          <w:spacing w:val="-72"/>
        </w:rPr>
        <w:t> </w:t>
      </w:r>
      <w:r>
        <w:rPr>
          <w:spacing w:val="-72"/>
        </w:rPr>
      </w:r>
      <w:r>
        <w:rPr>
          <w:spacing w:val="-2"/>
        </w:rPr>
        <w:t>风险。在签订新合同之前，本公司会对新客户的信用风险进行评估，包括外部信用评级和在某些情况下的银行资信</w:t>
      </w:r>
      <w:r>
        <w:rPr>
          <w:spacing w:val="-73"/>
        </w:rPr>
        <w:t> </w:t>
      </w:r>
      <w:r>
        <w:rPr>
          <w:spacing w:val="-73"/>
        </w:rPr>
      </w:r>
      <w:r>
        <w:rPr/>
        <w:t>证明（当此信息可获取时）。 公司通过对已有客户信用评级的季度监控以及应收账款账龄分析的月度审核来确保公司的整体信用风险在可控的</w:t>
      </w:r>
      <w:r>
        <w:rPr>
          <w:spacing w:val="-7"/>
        </w:rPr>
        <w:t> </w:t>
      </w:r>
      <w:r>
        <w:rPr>
          <w:spacing w:val="-7"/>
        </w:rPr>
      </w:r>
      <w:r>
        <w:rPr>
          <w:spacing w:val="-2"/>
        </w:rPr>
        <w:t>范围内。在监控客户的信用风险时，按照客户的信用特征对其分组。被评为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w:t>
      </w:r>
      <w:r>
        <w:rPr>
          <w:spacing w:val="-51"/>
        </w:rPr>
        <w:t> </w:t>
      </w:r>
      <w:r>
        <w:rPr/>
        <w:t>名单里，并且只有在额外批准的前提下，公司才可在未来期间内对其赊销，否则必须要求其提前支付相应款项。</w:t>
      </w:r>
    </w:p>
    <w:p>
      <w:pPr>
        <w:spacing w:line="240" w:lineRule="auto" w:before="5"/>
        <w:rPr>
          <w:rFonts w:ascii="宋体" w:hAnsi="宋体" w:cs="宋体" w:eastAsia="宋体" w:hint="default"/>
          <w:sz w:val="25"/>
          <w:szCs w:val="25"/>
        </w:rPr>
      </w:pPr>
    </w:p>
    <w:p>
      <w:pPr>
        <w:pStyle w:val="BodyText"/>
        <w:tabs>
          <w:tab w:pos="1392" w:val="left" w:leader="none"/>
        </w:tabs>
        <w:spacing w:line="309" w:lineRule="auto"/>
        <w:ind w:left="852" w:right="101" w:firstLine="36"/>
        <w:jc w:val="left"/>
      </w:pPr>
      <w:r>
        <w:rPr>
          <w:rFonts w:ascii="Times New Roman" w:hAnsi="Times New Roman" w:cs="Times New Roman" w:eastAsia="Times New Roman" w:hint="default"/>
          <w:b/>
          <w:bCs/>
          <w:w w:val="95"/>
        </w:rPr>
        <w:t>(</w:t>
      </w:r>
      <w:r>
        <w:rPr>
          <w:rFonts w:ascii="宋体" w:hAnsi="宋体" w:cs="宋体" w:eastAsia="宋体" w:hint="default"/>
          <w:b/>
          <w:bCs/>
          <w:w w:val="95"/>
        </w:rPr>
        <w:t>二</w:t>
      </w:r>
      <w:r>
        <w:rPr>
          <w:rFonts w:ascii="Times New Roman" w:hAnsi="Times New Roman" w:cs="Times New Roman" w:eastAsia="Times New Roman" w:hint="default"/>
          <w:b/>
          <w:bCs/>
          <w:w w:val="95"/>
        </w:rPr>
        <w:t>)</w:t>
        <w:tab/>
      </w:r>
      <w:r>
        <w:rPr>
          <w:rFonts w:ascii="宋体" w:hAnsi="宋体" w:cs="宋体" w:eastAsia="宋体" w:hint="default"/>
          <w:b/>
          <w:bCs/>
        </w:rPr>
        <w:t>市场风险</w:t>
      </w:r>
      <w:r>
        <w:rPr>
          <w:rFonts w:ascii="宋体" w:hAnsi="宋体" w:cs="宋体" w:eastAsia="宋体" w:hint="default"/>
          <w:b/>
          <w:bCs/>
          <w:w w:val="99"/>
        </w:rPr>
        <w:t> </w:t>
      </w:r>
      <w:r>
        <w:rPr>
          <w:spacing w:val="-4"/>
        </w:rPr>
        <w:t>金融工具的市场风险，是指金融工具的公允价值或未来现金流量因市场价格变动而发生波动的风险，包括汇率风险、</w:t>
      </w:r>
      <w:r>
        <w:rPr>
          <w:spacing w:val="-57"/>
        </w:rPr>
        <w:t> </w:t>
      </w:r>
      <w:r>
        <w:rPr>
          <w:spacing w:val="-57"/>
        </w:rPr>
      </w:r>
      <w:r>
        <w:rPr/>
        <w:t>利率风险和其他价格风险。</w:t>
      </w:r>
    </w:p>
    <w:p>
      <w:pPr>
        <w:pStyle w:val="BodyText"/>
        <w:spacing w:line="309" w:lineRule="auto" w:before="24"/>
        <w:ind w:left="852" w:right="184"/>
        <w:jc w:val="left"/>
      </w:pP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w:t>
      </w:r>
      <w:r>
        <w:rPr>
          <w:spacing w:val="-72"/>
        </w:rPr>
        <w:t> </w:t>
      </w:r>
      <w:r>
        <w:rPr>
          <w:spacing w:val="-72"/>
        </w:rPr>
      </w:r>
      <w:r>
        <w:rPr/>
        <w:t>要来源于银行短期借款。公司目前短期借款是固定利率借款，因此不存在利率风险。</w:t>
      </w:r>
    </w:p>
    <w:p>
      <w:pPr>
        <w:pStyle w:val="BodyText"/>
        <w:spacing w:line="314" w:lineRule="auto" w:before="24"/>
        <w:ind w:left="852" w:right="184"/>
        <w:jc w:val="left"/>
      </w:pP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w:t>
      </w:r>
      <w:r>
        <w:rPr>
          <w:spacing w:val="-72"/>
        </w:rPr>
        <w:t> </w:t>
      </w:r>
      <w:r>
        <w:rPr>
          <w:spacing w:val="-72"/>
        </w:rPr>
      </w:r>
      <w:r>
        <w:rPr>
          <w:spacing w:val="-2"/>
        </w:rPr>
        <w:t>与外币支出相匹配以降低汇率风险。本公司未签署任何远期外汇合约或货币互换合约。本公司以美元计价的金融资</w:t>
      </w:r>
      <w:r>
        <w:rPr>
          <w:spacing w:val="-72"/>
        </w:rPr>
        <w:t> </w:t>
      </w:r>
      <w:r>
        <w:rPr>
          <w:spacing w:val="-72"/>
        </w:rPr>
      </w:r>
      <w:r>
        <w:rPr/>
        <w:t>产和金融负债金额较小，因此不存在重大汇率风险。 本公司外币金融资产和外币金融负债折算成人民币的金额列示如下：</w:t>
      </w:r>
    </w:p>
    <w:tbl>
      <w:tblPr>
        <w:tblW w:w="0" w:type="auto"/>
        <w:jc w:val="left"/>
        <w:tblInd w:w="119" w:type="dxa"/>
        <w:tblLayout w:type="fixed"/>
        <w:tblCellMar>
          <w:top w:w="0" w:type="dxa"/>
          <w:left w:w="0" w:type="dxa"/>
          <w:bottom w:w="0" w:type="dxa"/>
          <w:right w:w="0" w:type="dxa"/>
        </w:tblCellMar>
        <w:tblLook w:val="01E0"/>
      </w:tblPr>
      <w:tblGrid>
        <w:gridCol w:w="955"/>
        <w:gridCol w:w="1091"/>
        <w:gridCol w:w="1290"/>
        <w:gridCol w:w="819"/>
        <w:gridCol w:w="1194"/>
        <w:gridCol w:w="1151"/>
        <w:gridCol w:w="1126"/>
        <w:gridCol w:w="759"/>
        <w:gridCol w:w="1273"/>
      </w:tblGrid>
      <w:tr>
        <w:trPr>
          <w:trHeight w:val="342" w:hRule="exact"/>
        </w:trPr>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3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955" w:type="dxa"/>
            <w:vMerge/>
            <w:tcBorders>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5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118,069.40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2,392,773.24</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7,748.38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2,518,591.02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21,536.59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69,849.05</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840.7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92,226.34</w:t>
            </w:r>
          </w:p>
        </w:tc>
      </w:tr>
      <w:tr>
        <w:trPr>
          <w:trHeight w:val="3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845,699.47</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1,559,037.25</w:t>
            </w:r>
          </w:p>
        </w:tc>
        <w:tc>
          <w:tcPr>
            <w:tcW w:w="81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2,404,736.72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1,330,457.17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1,210,751.52</w:t>
            </w:r>
          </w:p>
        </w:tc>
        <w:tc>
          <w:tcPr>
            <w:tcW w:w="75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2,541,208.69</w:t>
            </w:r>
          </w:p>
        </w:tc>
      </w:tr>
      <w:tr>
        <w:trPr>
          <w:trHeight w:val="3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963,768.87</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3,951,810.49</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7,748.38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4,923,327.74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1,351,993.76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1,280,600.57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840.70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2,633,435.03</w:t>
            </w:r>
          </w:p>
        </w:tc>
      </w:tr>
    </w:tbl>
    <w:p>
      <w:pPr>
        <w:pStyle w:val="BodyText"/>
        <w:spacing w:line="314" w:lineRule="auto" w:before="22"/>
        <w:ind w:left="852" w:right="184" w:firstLine="127"/>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宋体" w:hAnsi="宋体" w:cs="宋体" w:eastAsia="宋体" w:hint="default"/>
          <w:b/>
          <w:bCs/>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流动风险，是指企业在履行以交付现金或其他金融资产的方式结算的义务时发生资金短缺的风险。本公司的政策是</w:t>
      </w:r>
      <w:r>
        <w:rPr>
          <w:spacing w:val="-72"/>
        </w:rPr>
        <w:t> </w:t>
      </w:r>
      <w:r>
        <w:rPr>
          <w:spacing w:val="-72"/>
        </w:rPr>
      </w:r>
      <w:r>
        <w:rPr>
          <w:spacing w:val="-2"/>
        </w:rPr>
        <w:t>确保拥有充足的现金以偿还到期债务。流动性风险由本公司的财务部门集中控制。财务部门通过监控现金余额、可</w:t>
      </w:r>
      <w:r>
        <w:rPr>
          <w:spacing w:val="-71"/>
        </w:rPr>
        <w:t> </w:t>
      </w:r>
      <w:r>
        <w:rPr>
          <w:spacing w:val="-71"/>
        </w:rPr>
      </w:r>
      <w:r>
        <w:rPr/>
        <w:t>随时变现的有价证券以及对未来现金流量的滚动预测，确保公司在所有合理预测的情况下拥有充足的资金偿还债</w:t>
      </w:r>
      <w:r>
        <w:rPr>
          <w:spacing w:val="-7"/>
        </w:rPr>
        <w:t> </w:t>
      </w:r>
      <w:r>
        <w:rPr>
          <w:spacing w:val="-7"/>
        </w:rPr>
      </w:r>
      <w:r>
        <w:rPr/>
        <w:t>务。</w:t>
      </w:r>
    </w:p>
    <w:p>
      <w:pPr>
        <w:pStyle w:val="BodyText"/>
        <w:spacing w:line="240" w:lineRule="auto" w:before="20"/>
        <w:ind w:left="852" w:right="184"/>
        <w:jc w:val="left"/>
      </w:pPr>
      <w:r>
        <w:rPr/>
        <w:t>本公司各项金融负债以未折现的合同现金流量按到期日列示如下：</w:t>
      </w:r>
    </w:p>
    <w:p>
      <w:pPr>
        <w:spacing w:line="240" w:lineRule="auto" w:before="2"/>
        <w:rPr>
          <w:rFonts w:ascii="宋体" w:hAnsi="宋体" w:cs="宋体" w:eastAsia="宋体" w:hint="default"/>
          <w:sz w:val="5"/>
          <w:szCs w:val="5"/>
        </w:rPr>
      </w:pPr>
    </w:p>
    <w:tbl>
      <w:tblPr>
        <w:tblW w:w="0" w:type="auto"/>
        <w:jc w:val="left"/>
        <w:tblInd w:w="838" w:type="dxa"/>
        <w:tblLayout w:type="fixed"/>
        <w:tblCellMar>
          <w:top w:w="0" w:type="dxa"/>
          <w:left w:w="0" w:type="dxa"/>
          <w:bottom w:w="0" w:type="dxa"/>
          <w:right w:w="0" w:type="dxa"/>
        </w:tblCellMar>
        <w:tblLook w:val="01E0"/>
      </w:tblPr>
      <w:tblGrid>
        <w:gridCol w:w="1277"/>
        <w:gridCol w:w="1584"/>
        <w:gridCol w:w="1609"/>
        <w:gridCol w:w="1251"/>
        <w:gridCol w:w="1251"/>
        <w:gridCol w:w="1967"/>
      </w:tblGrid>
      <w:tr>
        <w:trPr>
          <w:trHeight w:val="342"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1277" w:type="dxa"/>
            <w:vMerge/>
            <w:tcBorders>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20,000,000.00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20,000,000.00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25" w:top="1100" w:bottom="1420" w:left="1000" w:right="940"/>
        </w:sectPr>
      </w:pPr>
    </w:p>
    <w:p>
      <w:pPr>
        <w:spacing w:line="240" w:lineRule="auto" w:before="8"/>
        <w:rPr>
          <w:rFonts w:ascii="宋体" w:hAnsi="宋体" w:cs="宋体" w:eastAsia="宋体" w:hint="default"/>
          <w:sz w:val="24"/>
          <w:szCs w:val="24"/>
        </w:rPr>
      </w:pPr>
    </w:p>
    <w:tbl>
      <w:tblPr>
        <w:tblW w:w="0" w:type="auto"/>
        <w:jc w:val="left"/>
        <w:tblInd w:w="818" w:type="dxa"/>
        <w:tblLayout w:type="fixed"/>
        <w:tblCellMar>
          <w:top w:w="0" w:type="dxa"/>
          <w:left w:w="0" w:type="dxa"/>
          <w:bottom w:w="0" w:type="dxa"/>
          <w:right w:w="0" w:type="dxa"/>
        </w:tblCellMar>
        <w:tblLook w:val="01E0"/>
      </w:tblPr>
      <w:tblGrid>
        <w:gridCol w:w="1277"/>
        <w:gridCol w:w="1584"/>
        <w:gridCol w:w="1609"/>
        <w:gridCol w:w="1251"/>
        <w:gridCol w:w="1251"/>
        <w:gridCol w:w="1967"/>
      </w:tblGrid>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10,550,000.00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10,550,000.00</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59,675,617.19</w:t>
            </w:r>
          </w:p>
        </w:tc>
        <w:tc>
          <w:tcPr>
            <w:tcW w:w="1609"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59,675,617.19</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4,861,855.51</w:t>
            </w:r>
          </w:p>
        </w:tc>
        <w:tc>
          <w:tcPr>
            <w:tcW w:w="1609"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4,861,855.51</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3,027,802.82</w:t>
            </w:r>
          </w:p>
        </w:tc>
        <w:tc>
          <w:tcPr>
            <w:tcW w:w="1609"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3,027,802.82</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98,115,275.52</w:t>
            </w:r>
          </w:p>
        </w:tc>
        <w:tc>
          <w:tcPr>
            <w:tcW w:w="1609"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98,115,275.52</w:t>
            </w:r>
          </w:p>
        </w:tc>
      </w:tr>
    </w:tbl>
    <w:p>
      <w:pPr>
        <w:spacing w:line="240" w:lineRule="auto" w:before="11"/>
        <w:rPr>
          <w:rFonts w:ascii="宋体" w:hAnsi="宋体" w:cs="宋体" w:eastAsia="宋体" w:hint="default"/>
          <w:sz w:val="23"/>
          <w:szCs w:val="23"/>
        </w:rPr>
      </w:pPr>
    </w:p>
    <w:tbl>
      <w:tblPr>
        <w:tblW w:w="0" w:type="auto"/>
        <w:jc w:val="left"/>
        <w:tblInd w:w="818" w:type="dxa"/>
        <w:tblLayout w:type="fixed"/>
        <w:tblCellMar>
          <w:top w:w="0" w:type="dxa"/>
          <w:left w:w="0" w:type="dxa"/>
          <w:bottom w:w="0" w:type="dxa"/>
          <w:right w:w="0" w:type="dxa"/>
        </w:tblCellMar>
        <w:tblLook w:val="01E0"/>
      </w:tblPr>
      <w:tblGrid>
        <w:gridCol w:w="1277"/>
        <w:gridCol w:w="1641"/>
        <w:gridCol w:w="1552"/>
        <w:gridCol w:w="1251"/>
        <w:gridCol w:w="1251"/>
        <w:gridCol w:w="1967"/>
      </w:tblGrid>
      <w:tr>
        <w:trPr>
          <w:trHeight w:val="342"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1277" w:type="dxa"/>
            <w:vMerge/>
            <w:tcBorders>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1552"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23,865,203.38</w:t>
            </w:r>
          </w:p>
        </w:tc>
        <w:tc>
          <w:tcPr>
            <w:tcW w:w="1552"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23,865,203.38</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87,746,722.44</w:t>
            </w:r>
          </w:p>
        </w:tc>
        <w:tc>
          <w:tcPr>
            <w:tcW w:w="1552"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87,746,722.44</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6,258,993.69</w:t>
            </w:r>
          </w:p>
        </w:tc>
        <w:tc>
          <w:tcPr>
            <w:tcW w:w="1552"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6,258,993.69</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1,677,986.83</w:t>
            </w:r>
          </w:p>
        </w:tc>
        <w:tc>
          <w:tcPr>
            <w:tcW w:w="1552"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1,677,986.83</w:t>
            </w:r>
          </w:p>
        </w:tc>
      </w:tr>
      <w:tr>
        <w:trPr>
          <w:trHeight w:val="3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139,548,906.34</w:t>
            </w:r>
          </w:p>
        </w:tc>
        <w:tc>
          <w:tcPr>
            <w:tcW w:w="1552"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139,548,906.34</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十一、公允价值的披露</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25" w:top="1100" w:bottom="1420" w:left="1020" w:right="100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3"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0"/>
        <w:ind w:right="7034"/>
        <w:jc w:val="left"/>
      </w:pPr>
      <w:r>
        <w:rPr/>
        <w:t>本企业的母公司情况的说明：无。 本企业最终控制方是：无。 其他说明：无。</w:t>
      </w:r>
    </w:p>
    <w:p>
      <w:pPr>
        <w:spacing w:line="240" w:lineRule="auto" w:before="12"/>
        <w:rPr>
          <w:rFonts w:ascii="宋体" w:hAnsi="宋体" w:cs="宋体" w:eastAsia="宋体" w:hint="default"/>
          <w:sz w:val="19"/>
          <w:szCs w:val="19"/>
        </w:rPr>
      </w:pPr>
    </w:p>
    <w:p>
      <w:pPr>
        <w:spacing w:line="547" w:lineRule="auto" w:before="0"/>
        <w:ind w:left="112" w:right="35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49"/>
        <w:ind w:right="1274"/>
        <w:jc w:val="left"/>
      </w:pPr>
      <w:r>
        <w:rPr/>
        <w:t>本企业重要的合营或联营企业详见附注七、在其他主体中的权益。 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3d3d3"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64"/>
        <w:ind w:right="0"/>
        <w:jc w:val="left"/>
      </w:pPr>
      <w:r>
        <w:rPr/>
        <w:t>其他说明：无。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许为宁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副总裁、董秘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吕凤华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吕晓义之亲属、总工程师</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谢战军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本公司之子公司长春高琦股东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深圳市微纳先材商贸有限公司（简称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深圳微纳先材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本公司实际控制人吕晓义之亲属吕琳控制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北京金轮沃德科技有限公司（简称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北京金轮沃德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本公司之子公司长春高琦股东杨艳控制的公司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济南惠程电气有限公司（简称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济南惠程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本公司原高管冯海元控制的公司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桑玉贵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原董事、原总经理、原副总经理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原董事、原副总经理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赵勇敏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原财务总监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原董事会秘书、原副总经理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冯海元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吕敬民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杨耀宇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r>
    </w:tbl>
    <w:p>
      <w:pPr>
        <w:pStyle w:val="BodyText"/>
        <w:spacing w:line="240" w:lineRule="auto" w:before="51"/>
        <w:ind w:right="0"/>
        <w:jc w:val="left"/>
      </w:pPr>
      <w:r>
        <w:rPr/>
        <w:t>其他说明：无。</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济南惠程</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5" w:right="0"/>
              <w:jc w:val="left"/>
              <w:rPr>
                <w:rFonts w:ascii="Times New Roman" w:hAnsi="Times New Roman" w:cs="Times New Roman" w:eastAsia="Times New Roman" w:hint="default"/>
                <w:sz w:val="18"/>
                <w:szCs w:val="18"/>
              </w:rPr>
            </w:pPr>
            <w:r>
              <w:rPr>
                <w:rFonts w:ascii="Times New Roman"/>
                <w:sz w:val="18"/>
              </w:rPr>
              <w:t>1,900,000.00</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采购聚酰亚胺纤维长丝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289,848.72</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采购纱线</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98,683.74</w:t>
            </w:r>
          </w:p>
        </w:tc>
        <w:tc>
          <w:tcPr>
            <w:tcW w:w="26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销售聚酰亚胺纤维短丝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5,405,983.00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2,999,572.58</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北京金轮沃德</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销售聚酰亚胺纤维短丝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358,094.02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8,414,957.31</w:t>
            </w:r>
          </w:p>
        </w:tc>
      </w:tr>
    </w:tbl>
    <w:p>
      <w:pPr>
        <w:pStyle w:val="BodyText"/>
        <w:spacing w:line="240" w:lineRule="auto" w:before="49"/>
        <w:ind w:right="0"/>
        <w:jc w:val="left"/>
      </w:pPr>
      <w:r>
        <w:rPr/>
        <w:t>购销商品、提供和接受劳务的关联交易说明：济南惠程由于冯海元辞职，仅为</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月数据。</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90" w:right="22"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3"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0" w:footer="1225" w:top="1100" w:bottom="1420" w:left="1020" w:right="102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承包情况说明：无。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420" w:left="1020" w:right="1020"/>
          <w:cols w:num="2" w:equalWidth="0">
            <w:col w:w="2504" w:space="6326"/>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22"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93"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0"/>
        <w:ind w:right="0"/>
        <w:jc w:val="left"/>
      </w:pPr>
      <w:r>
        <w:rPr/>
        <w:t>关联管理</w:t>
      </w:r>
      <w:r>
        <w:rPr>
          <w:rFonts w:ascii="Times New Roman" w:hAnsi="Times New Roman" w:cs="Times New Roman" w:eastAsia="Times New Roman" w:hint="default"/>
        </w:rPr>
        <w:t>/</w:t>
      </w:r>
      <w:r>
        <w:rPr/>
        <w:t>出包情况说明：无。</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243,848.00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7,744.00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420" w:left="1020" w:right="1020"/>
        </w:sectPr>
      </w:pPr>
    </w:p>
    <w:p>
      <w:pPr>
        <w:spacing w:line="240" w:lineRule="auto" w:before="1"/>
        <w:rPr>
          <w:rFonts w:ascii="宋体" w:hAnsi="宋体" w:cs="宋体" w:eastAsia="宋体" w:hint="default"/>
          <w:sz w:val="22"/>
          <w:szCs w:val="22"/>
        </w:rPr>
      </w:pPr>
    </w:p>
    <w:p>
      <w:pPr>
        <w:pStyle w:val="BodyText"/>
        <w:spacing w:line="240" w:lineRule="auto" w:before="44"/>
        <w:ind w:right="0"/>
        <w:jc w:val="left"/>
      </w:pPr>
      <w:r>
        <w:rPr/>
        <w:t>本公司作为承租方：</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0"/>
        <w:ind w:right="0"/>
        <w:jc w:val="left"/>
      </w:pPr>
      <w:r>
        <w:rPr/>
        <w:t>关联租赁情况说明：无。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0"/>
        <w:ind w:right="0"/>
        <w:jc w:val="left"/>
      </w:pPr>
      <w:r>
        <w:rPr/>
        <w:t>本公司作为被担保方</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关联担保情况说明：本公司担保责任期间为借款履行期届满之日起另加两年。</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39"/>
              <w:jc w:val="left"/>
              <w:rPr>
                <w:rFonts w:ascii="宋体" w:hAnsi="宋体" w:cs="宋体" w:eastAsia="宋体" w:hint="default"/>
                <w:sz w:val="18"/>
                <w:szCs w:val="18"/>
              </w:rPr>
            </w:pPr>
            <w:r>
              <w:rPr>
                <w:rFonts w:ascii="宋体" w:hAnsi="宋体" w:cs="宋体" w:eastAsia="宋体" w:hint="default"/>
                <w:sz w:val="18"/>
                <w:szCs w:val="18"/>
              </w:rPr>
              <w:t>长春高琦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33.63%</w:t>
            </w:r>
            <w:r>
              <w:rPr>
                <w:rFonts w:ascii="宋体" w:hAnsi="宋体" w:cs="宋体" w:eastAsia="宋体" w:hint="default"/>
                <w:sz w:val="18"/>
                <w:szCs w:val="18"/>
              </w:rPr>
              <w:t>的股权转让 给吕晓义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4" w:right="0"/>
              <w:jc w:val="left"/>
              <w:rPr>
                <w:rFonts w:ascii="Times New Roman" w:hAnsi="Times New Roman" w:cs="Times New Roman" w:eastAsia="Times New Roman" w:hint="default"/>
                <w:sz w:val="18"/>
                <w:szCs w:val="18"/>
              </w:rPr>
            </w:pPr>
            <w:r>
              <w:rPr>
                <w:rFonts w:ascii="Times New Roman"/>
                <w:sz w:val="18"/>
              </w:rPr>
              <w:t>160,834,356.00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5,221,287.98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北京金轮沃德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123,284,800.00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23,284,800.00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7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left="132" w:right="138"/>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32" w:right="73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12"/>
        <w:ind w:left="132" w:right="138"/>
        <w:jc w:val="left"/>
      </w:pPr>
      <w:r>
        <w:rPr/>
        <w:t>资产负债表日存在的重要承诺</w:t>
      </w:r>
    </w:p>
    <w:p>
      <w:pPr>
        <w:tabs>
          <w:tab w:pos="972" w:val="left" w:leader="none"/>
        </w:tabs>
        <w:spacing w:line="300" w:lineRule="auto" w:before="115"/>
        <w:ind w:left="1388" w:right="132" w:hanging="1256"/>
        <w:jc w:val="lef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w:t>
        <w:tab/>
      </w:r>
      <w:r>
        <w:rPr>
          <w:rFonts w:ascii="宋体" w:hAnsi="宋体" w:cs="宋体" w:eastAsia="宋体" w:hint="default"/>
          <w:b/>
          <w:bCs/>
          <w:sz w:val="18"/>
          <w:szCs w:val="18"/>
        </w:rPr>
        <w:t>已签订的正在或准备履行的大额发包合同及财务影响</w:t>
      </w:r>
      <w:r>
        <w:rPr>
          <w:rFonts w:ascii="宋体" w:hAnsi="宋体" w:cs="宋体" w:eastAsia="宋体" w:hint="default"/>
          <w:b/>
          <w:bCs/>
          <w:w w:val="99"/>
          <w:sz w:val="18"/>
          <w:szCs w:val="18"/>
        </w:rPr>
        <w:t> </w:t>
      </w:r>
      <w:r>
        <w:rPr>
          <w:rFonts w:ascii="宋体" w:hAnsi="宋体" w:cs="宋体" w:eastAsia="宋体" w:hint="default"/>
          <w:spacing w:val="-2"/>
          <w:sz w:val="18"/>
          <w:szCs w:val="18"/>
        </w:rPr>
        <w:t>截至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日，根据本公司已签订的正在或准备履行的大额工程或设备采购合同，本公司尚未支付的</w:t>
      </w:r>
      <w:r>
        <w:rPr>
          <w:rFonts w:ascii="宋体" w:hAnsi="宋体" w:cs="宋体" w:eastAsia="宋体" w:hint="default"/>
          <w:sz w:val="18"/>
          <w:szCs w:val="18"/>
        </w:rPr>
        <w:t> 金额约为</w:t>
      </w:r>
      <w:r>
        <w:rPr>
          <w:rFonts w:ascii="Times New Roman" w:hAnsi="Times New Roman" w:cs="Times New Roman" w:eastAsia="Times New Roman" w:hint="default"/>
          <w:sz w:val="18"/>
          <w:szCs w:val="18"/>
        </w:rPr>
        <w:t>573.88</w:t>
      </w:r>
      <w:r>
        <w:rPr>
          <w:rFonts w:ascii="宋体" w:hAnsi="宋体" w:cs="宋体" w:eastAsia="宋体" w:hint="default"/>
          <w:sz w:val="18"/>
          <w:szCs w:val="18"/>
        </w:rPr>
        <w:t>万元。</w:t>
      </w:r>
    </w:p>
    <w:p>
      <w:pPr>
        <w:spacing w:line="240" w:lineRule="auto" w:before="11"/>
        <w:rPr>
          <w:rFonts w:ascii="宋体" w:hAnsi="宋体" w:cs="宋体" w:eastAsia="宋体" w:hint="default"/>
          <w:sz w:val="24"/>
          <w:szCs w:val="24"/>
        </w:rPr>
      </w:pPr>
    </w:p>
    <w:p>
      <w:pPr>
        <w:tabs>
          <w:tab w:pos="972" w:val="left" w:leader="none"/>
        </w:tabs>
        <w:spacing w:line="300" w:lineRule="auto" w:before="0"/>
        <w:ind w:left="1392" w:right="133" w:hanging="1140"/>
        <w:jc w:val="left"/>
        <w:rPr>
          <w:rFonts w:ascii="宋体" w:hAnsi="宋体" w:cs="宋体" w:eastAsia="宋体" w:hint="default"/>
          <w:sz w:val="18"/>
          <w:szCs w:val="18"/>
        </w:rPr>
      </w:pPr>
      <w:r>
        <w:rPr>
          <w:rFonts w:ascii="宋体" w:hAnsi="宋体" w:cs="宋体" w:eastAsia="宋体" w:hint="default"/>
          <w:b/>
          <w:bCs/>
          <w:spacing w:val="-1"/>
          <w:w w:val="95"/>
          <w:sz w:val="18"/>
          <w:szCs w:val="18"/>
        </w:rPr>
        <w:t>（</w:t>
      </w:r>
      <w:r>
        <w:rPr>
          <w:rFonts w:ascii="Times New Roman" w:hAnsi="Times New Roman" w:cs="Times New Roman" w:eastAsia="Times New Roman" w:hint="default"/>
          <w:b/>
          <w:bCs/>
          <w:spacing w:val="-1"/>
          <w:w w:val="95"/>
          <w:sz w:val="18"/>
          <w:szCs w:val="18"/>
        </w:rPr>
        <w:t>2</w:t>
      </w:r>
      <w:r>
        <w:rPr>
          <w:rFonts w:ascii="宋体" w:hAnsi="宋体" w:cs="宋体" w:eastAsia="宋体" w:hint="default"/>
          <w:b/>
          <w:bCs/>
          <w:spacing w:val="-1"/>
          <w:w w:val="95"/>
          <w:sz w:val="18"/>
          <w:szCs w:val="18"/>
        </w:rPr>
        <w:t>）</w:t>
        <w:tab/>
      </w:r>
      <w:r>
        <w:rPr>
          <w:rFonts w:ascii="宋体" w:hAnsi="宋体" w:cs="宋体" w:eastAsia="宋体" w:hint="default"/>
          <w:b/>
          <w:bCs/>
          <w:sz w:val="18"/>
          <w:szCs w:val="18"/>
        </w:rPr>
        <w:t>已签订的正在或准备履行的租赁合同及财务影响</w:t>
      </w:r>
      <w:r>
        <w:rPr>
          <w:rFonts w:ascii="宋体" w:hAnsi="宋体" w:cs="宋体" w:eastAsia="宋体" w:hint="default"/>
          <w:b/>
          <w:bCs/>
          <w:w w:val="99"/>
          <w:sz w:val="18"/>
          <w:szCs w:val="18"/>
        </w:rPr>
        <w:t> </w:t>
      </w:r>
      <w:r>
        <w:rPr>
          <w:rFonts w:ascii="宋体" w:hAnsi="宋体" w:cs="宋体" w:eastAsia="宋体" w:hint="default"/>
          <w:spacing w:val="5"/>
          <w:sz w:val="18"/>
          <w:szCs w:val="18"/>
        </w:rPr>
        <w:t>截至</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31</w:t>
      </w:r>
      <w:r>
        <w:rPr>
          <w:rFonts w:ascii="宋体" w:hAnsi="宋体" w:cs="宋体" w:eastAsia="宋体" w:hint="default"/>
          <w:spacing w:val="5"/>
          <w:sz w:val="18"/>
          <w:szCs w:val="18"/>
        </w:rPr>
        <w:t>日，本公司以及下属子公司与出租方签订经营场所租赁合同，未来应支付租金金额为</w:t>
      </w:r>
      <w:r>
        <w:rPr>
          <w:rFonts w:ascii="宋体" w:hAnsi="宋体" w:cs="宋体" w:eastAsia="宋体" w:hint="default"/>
          <w:sz w:val="18"/>
          <w:szCs w:val="18"/>
        </w:rPr>
        <w:t> </w:t>
      </w:r>
      <w:r>
        <w:rPr>
          <w:rFonts w:ascii="Times New Roman" w:hAnsi="Times New Roman" w:cs="Times New Roman" w:eastAsia="Times New Roman" w:hint="default"/>
          <w:sz w:val="18"/>
          <w:szCs w:val="18"/>
        </w:rPr>
        <w:t>16,081,145.24</w:t>
      </w:r>
      <w:r>
        <w:rPr>
          <w:rFonts w:ascii="宋体" w:hAnsi="宋体" w:cs="宋体" w:eastAsia="宋体" w:hint="default"/>
          <w:sz w:val="18"/>
          <w:szCs w:val="18"/>
        </w:rPr>
        <w:t>元，详细情况如下：</w:t>
      </w:r>
    </w:p>
    <w:tbl>
      <w:tblPr>
        <w:tblW w:w="0" w:type="auto"/>
        <w:jc w:val="left"/>
        <w:tblInd w:w="119" w:type="dxa"/>
        <w:tblLayout w:type="fixed"/>
        <w:tblCellMar>
          <w:top w:w="0" w:type="dxa"/>
          <w:left w:w="0" w:type="dxa"/>
          <w:bottom w:w="0" w:type="dxa"/>
          <w:right w:w="0" w:type="dxa"/>
        </w:tblCellMar>
        <w:tblLook w:val="01E0"/>
      </w:tblPr>
      <w:tblGrid>
        <w:gridCol w:w="5074"/>
        <w:gridCol w:w="4584"/>
      </w:tblGrid>
      <w:tr>
        <w:trPr>
          <w:trHeight w:val="342" w:hRule="exact"/>
        </w:trPr>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42" w:hRule="exact"/>
        </w:trPr>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6,115,709.84</w:t>
            </w:r>
          </w:p>
        </w:tc>
      </w:tr>
      <w:tr>
        <w:trPr>
          <w:trHeight w:val="342" w:hRule="exact"/>
        </w:trPr>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6,024,411.84</w:t>
            </w:r>
          </w:p>
        </w:tc>
      </w:tr>
      <w:tr>
        <w:trPr>
          <w:trHeight w:val="342" w:hRule="exact"/>
        </w:trPr>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3,941,023.56</w:t>
            </w:r>
          </w:p>
        </w:tc>
      </w:tr>
      <w:tr>
        <w:trPr>
          <w:trHeight w:val="342" w:hRule="exact"/>
        </w:trPr>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16,081,145.24</w:t>
            </w:r>
          </w:p>
        </w:tc>
      </w:tr>
    </w:tbl>
    <w:p>
      <w:pPr>
        <w:spacing w:line="240" w:lineRule="auto" w:before="8"/>
        <w:rPr>
          <w:rFonts w:ascii="宋体" w:hAnsi="宋体" w:cs="宋体" w:eastAsia="宋体" w:hint="default"/>
          <w:sz w:val="19"/>
          <w:szCs w:val="19"/>
        </w:rPr>
      </w:pPr>
    </w:p>
    <w:p>
      <w:pPr>
        <w:pStyle w:val="Heading5"/>
        <w:spacing w:line="240" w:lineRule="auto" w:before="34"/>
        <w:ind w:left="132" w:right="138"/>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38"/>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日，本公司需披露的或有事项详见附注九、关联方及其关联方交易</w:t>
      </w:r>
      <w:r>
        <w:rPr>
          <w:rFonts w:ascii="Times New Roman" w:hAnsi="Times New Roman" w:cs="Times New Roman" w:eastAsia="Times New Roman" w:hint="default"/>
        </w:rPr>
        <w:t>3</w:t>
      </w:r>
      <w:r>
        <w:rPr/>
        <w:t>、关联方担保。</w:t>
      </w:r>
    </w:p>
    <w:p>
      <w:pPr>
        <w:spacing w:line="240" w:lineRule="auto" w:before="10"/>
        <w:rPr>
          <w:rFonts w:ascii="宋体" w:hAnsi="宋体" w:cs="宋体" w:eastAsia="宋体" w:hint="default"/>
          <w:sz w:val="25"/>
          <w:szCs w:val="25"/>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2" w:right="138"/>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32" w:right="68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7"/>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footerReference w:type="default" r:id="rId71"/>
          <w:pgSz w:w="11910" w:h="16840"/>
          <w:pgMar w:footer="1225" w:header="0" w:top="1100" w:bottom="1420" w:left="1000" w:right="1000"/>
          <w:pgNumType w:start="17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3;height:402"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9234;top:130;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5"/>
        <w:spacing w:line="240" w:lineRule="auto" w:before="34"/>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日，本公司之子公司吉林高琦与中国工商银行股份有限公司深圳龙华支行签订编号为</w:t>
      </w:r>
      <w:r>
        <w:rPr>
          <w:rFonts w:ascii="Times New Roman" w:hAnsi="Times New Roman" w:cs="Times New Roman" w:eastAsia="Times New Roman" w:hint="default"/>
        </w:rPr>
        <w:t>0400000014-2015</w:t>
      </w:r>
      <w:r>
        <w:rPr/>
        <w:t>（龙华）</w:t>
      </w:r>
      <w:r>
        <w:rPr>
          <w:spacing w:val="-68"/>
        </w:rPr>
        <w:t> </w:t>
      </w:r>
      <w:r>
        <w:rPr>
          <w:spacing w:val="-68"/>
        </w:rPr>
      </w:r>
      <w:r>
        <w:rPr/>
        <w:t>字</w:t>
      </w:r>
      <w:r>
        <w:rPr>
          <w:rFonts w:ascii="Times New Roman" w:hAnsi="Times New Roman" w:cs="Times New Roman" w:eastAsia="Times New Roman" w:hint="default"/>
        </w:rPr>
        <w:t>0001</w:t>
      </w:r>
      <w:r>
        <w:rPr/>
        <w:t>号的流动资金借款合同，借入短期借款</w:t>
      </w:r>
      <w:r>
        <w:rPr>
          <w:rFonts w:ascii="Times New Roman" w:hAnsi="Times New Roman" w:cs="Times New Roman" w:eastAsia="Times New Roman" w:hint="default"/>
        </w:rPr>
        <w:t>2,500</w:t>
      </w:r>
      <w:r>
        <w:rPr/>
        <w:t>万元，期限为十二个月。本公司为该笔贷款以账面价值</w:t>
      </w:r>
      <w:r>
        <w:rPr>
          <w:rFonts w:ascii="Times New Roman" w:hAnsi="Times New Roman" w:cs="Times New Roman" w:eastAsia="Times New Roman" w:hint="default"/>
        </w:rPr>
        <w:t>2,500</w:t>
      </w:r>
      <w:r>
        <w:rPr/>
        <w:t>万的定期存 单提供质押担保。</w:t>
      </w:r>
    </w:p>
    <w:p>
      <w:pPr>
        <w:spacing w:line="240" w:lineRule="auto" w:before="8"/>
        <w:rPr>
          <w:rFonts w:ascii="宋体" w:hAnsi="宋体" w:cs="宋体" w:eastAsia="宋体" w:hint="default"/>
          <w:sz w:val="21"/>
          <w:szCs w:val="21"/>
        </w:rPr>
      </w:pPr>
    </w:p>
    <w:p>
      <w:pPr>
        <w:pStyle w:val="Heading4"/>
        <w:spacing w:line="240" w:lineRule="auto"/>
        <w:ind w:right="0"/>
        <w:jc w:val="both"/>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利润</w:t>
            </w:r>
          </w:p>
        </w:tc>
      </w:tr>
    </w:tbl>
    <w:p>
      <w:pPr>
        <w:spacing w:after="0" w:line="240" w:lineRule="auto"/>
        <w:jc w:val="center"/>
        <w:rPr>
          <w:rFonts w:ascii="宋体" w:hAnsi="宋体" w:cs="宋体" w:eastAsia="宋体" w:hint="default"/>
          <w:sz w:val="18"/>
          <w:szCs w:val="18"/>
        </w:rPr>
        <w:sectPr>
          <w:pgSz w:w="11910" w:h="16840"/>
          <w:pgMar w:header="0" w:footer="1225" w:top="1100" w:bottom="1420" w:left="1020" w:right="1020"/>
        </w:sectPr>
      </w:pPr>
    </w:p>
    <w:p>
      <w:pPr>
        <w:spacing w:line="240" w:lineRule="auto" w:before="1"/>
        <w:rPr>
          <w:rFonts w:ascii="宋体" w:hAnsi="宋体" w:cs="宋体" w:eastAsia="宋体" w:hint="default"/>
          <w:sz w:val="22"/>
          <w:szCs w:val="22"/>
        </w:rPr>
      </w:pPr>
    </w:p>
    <w:p>
      <w:pPr>
        <w:pStyle w:val="BodyText"/>
        <w:spacing w:line="240" w:lineRule="auto" w:before="44"/>
        <w:ind w:left="132" w:right="184"/>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left="132" w:right="184"/>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2" w:right="184"/>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left="132" w:right="94"/>
        <w:jc w:val="left"/>
      </w:pPr>
      <w:r>
        <w:rPr/>
        <w:t>根据本公司的内部组织结构、管理要求及内部报告制度确定了</w:t>
      </w:r>
      <w:r>
        <w:rPr>
          <w:rFonts w:ascii="Times New Roman" w:hAnsi="Times New Roman" w:cs="Times New Roman" w:eastAsia="Times New Roman" w:hint="default"/>
        </w:rPr>
        <w:t>2</w:t>
      </w:r>
      <w:r>
        <w:rPr/>
        <w:t>个报告分部，分别为：电力设备业务、聚酰亚胺业务。本公</w:t>
      </w:r>
      <w:r>
        <w:rPr>
          <w:spacing w:val="-82"/>
        </w:rPr>
        <w:t> </w:t>
      </w:r>
      <w:r>
        <w:rPr>
          <w:spacing w:val="-82"/>
        </w:rPr>
      </w:r>
      <w:r>
        <w:rPr>
          <w:spacing w:val="-2"/>
        </w:rPr>
        <w:t>司的各个报告分部分别提供不同的产品或服务，或在不同地区从事经营活动。由于每个分部需要不同的技术或市场策略，本</w:t>
      </w:r>
      <w:r>
        <w:rPr>
          <w:spacing w:val="-63"/>
        </w:rPr>
        <w:t> </w:t>
      </w:r>
      <w:r>
        <w:rPr>
          <w:spacing w:val="-63"/>
        </w:rPr>
      </w:r>
      <w:r>
        <w:rPr>
          <w:spacing w:val="-4"/>
        </w:rPr>
        <w:t>公司管理层分别单独管理各个报告分部的经营活动，定期评价这些报告分部的经营成果，以决定向其分配资源及评价其业绩。</w:t>
      </w:r>
      <w:r>
        <w:rPr>
          <w:spacing w:val="-41"/>
        </w:rPr>
        <w:t> </w:t>
      </w:r>
      <w:r>
        <w:rPr>
          <w:spacing w:val="-41"/>
        </w:rPr>
      </w:r>
      <w:r>
        <w:rPr/>
        <w:t>公司的经营分部是指同时满足下列条件的组成部分：</w:t>
      </w:r>
    </w:p>
    <w:p>
      <w:pPr>
        <w:pStyle w:val="BodyText"/>
        <w:spacing w:line="240" w:lineRule="auto" w:before="22"/>
        <w:ind w:left="132" w:right="1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该组成部分能够在日常活动中产生收入、发生费用；</w:t>
      </w:r>
    </w:p>
    <w:p>
      <w:pPr>
        <w:pStyle w:val="BodyText"/>
        <w:spacing w:line="240" w:lineRule="auto" w:before="63"/>
        <w:ind w:left="132" w:right="18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管理层能够定期评价该组成部分的经营成果，以决定向其配置资源、评价其业绩；</w:t>
      </w:r>
    </w:p>
    <w:p>
      <w:pPr>
        <w:pStyle w:val="BodyText"/>
        <w:spacing w:line="300" w:lineRule="auto" w:before="63"/>
        <w:ind w:left="132" w:right="22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能够通过分析取得该组成部分的财务状况、经营成果和现金流量等有关会计信息。 本公司以行业分部</w:t>
      </w:r>
      <w:r>
        <w:rPr>
          <w:rFonts w:ascii="Times New Roman" w:hAnsi="Times New Roman" w:cs="Times New Roman" w:eastAsia="Times New Roman" w:hint="default"/>
        </w:rPr>
        <w:t>/</w:t>
      </w:r>
      <w:r>
        <w:rPr/>
        <w:t>产品分部为基础确定报告分部，与各分部共同使用的资产、负债按照规模比例在不同的分部之间分配。</w:t>
      </w:r>
    </w:p>
    <w:p>
      <w:pPr>
        <w:spacing w:line="240" w:lineRule="auto" w:before="2"/>
        <w:rPr>
          <w:rFonts w:ascii="宋体" w:hAnsi="宋体" w:cs="宋体" w:eastAsia="宋体" w:hint="default"/>
          <w:sz w:val="22"/>
          <w:szCs w:val="22"/>
        </w:rPr>
      </w:pPr>
    </w:p>
    <w:p>
      <w:pPr>
        <w:pStyle w:val="Heading5"/>
        <w:spacing w:line="240" w:lineRule="auto"/>
        <w:ind w:left="132" w:right="184"/>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679"/>
        <w:gridCol w:w="2100"/>
        <w:gridCol w:w="2100"/>
        <w:gridCol w:w="1820"/>
        <w:gridCol w:w="1959"/>
      </w:tblGrid>
      <w:tr>
        <w:trPr>
          <w:trHeight w:val="342" w:hRule="exact"/>
        </w:trPr>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
              <w:jc w:val="center"/>
              <w:rPr>
                <w:rFonts w:ascii="宋体" w:hAnsi="宋体" w:cs="宋体" w:eastAsia="宋体" w:hint="default"/>
                <w:sz w:val="18"/>
                <w:szCs w:val="18"/>
              </w:rPr>
            </w:pPr>
            <w:r>
              <w:rPr>
                <w:rFonts w:ascii="宋体" w:hAnsi="宋体" w:cs="宋体" w:eastAsia="宋体" w:hint="default"/>
                <w:sz w:val="18"/>
                <w:szCs w:val="18"/>
              </w:rPr>
              <w:t>项目</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5" w:right="0"/>
              <w:jc w:val="left"/>
              <w:rPr>
                <w:rFonts w:ascii="宋体" w:hAnsi="宋体" w:cs="宋体" w:eastAsia="宋体" w:hint="default"/>
                <w:sz w:val="18"/>
                <w:szCs w:val="18"/>
              </w:rPr>
            </w:pPr>
            <w:r>
              <w:rPr>
                <w:rFonts w:ascii="宋体" w:hAnsi="宋体" w:cs="宋体" w:eastAsia="宋体" w:hint="default"/>
                <w:sz w:val="18"/>
                <w:szCs w:val="18"/>
              </w:rPr>
              <w:t>电力设备业务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5" w:right="0"/>
              <w:jc w:val="left"/>
              <w:rPr>
                <w:rFonts w:ascii="宋体" w:hAnsi="宋体" w:cs="宋体" w:eastAsia="宋体" w:hint="default"/>
                <w:sz w:val="18"/>
                <w:szCs w:val="18"/>
              </w:rPr>
            </w:pPr>
            <w:r>
              <w:rPr>
                <w:rFonts w:ascii="宋体" w:hAnsi="宋体" w:cs="宋体" w:eastAsia="宋体" w:hint="default"/>
                <w:sz w:val="18"/>
                <w:szCs w:val="18"/>
              </w:rPr>
              <w:t>聚酰亚胺业务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1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264,876,766.37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45,507,504.71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-70,239.31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310,314,031.77</w:t>
            </w:r>
          </w:p>
        </w:tc>
      </w:tr>
      <w:tr>
        <w:trPr>
          <w:trHeight w:val="342" w:hRule="exact"/>
        </w:trPr>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168,273,152.41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45,263,651.18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-70,239.31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213,466,564.28</w:t>
            </w:r>
          </w:p>
        </w:tc>
      </w:tr>
      <w:tr>
        <w:trPr>
          <w:trHeight w:val="342" w:hRule="exact"/>
        </w:trPr>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1,041,838,927.32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594,772,119.03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-48,245,298.25</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1,588,365,748.10</w:t>
            </w:r>
          </w:p>
        </w:tc>
      </w:tr>
      <w:tr>
        <w:trPr>
          <w:trHeight w:val="342" w:hRule="exact"/>
        </w:trPr>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230,931,398.34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143,145,390.92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-48,753,519.84</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325,323,269.42</w:t>
            </w:r>
          </w:p>
        </w:tc>
      </w:tr>
    </w:tbl>
    <w:p>
      <w:pPr>
        <w:spacing w:line="240" w:lineRule="auto" w:before="3"/>
        <w:rPr>
          <w:rFonts w:ascii="宋体" w:hAnsi="宋体" w:cs="宋体" w:eastAsia="宋体" w:hint="default"/>
          <w:b/>
          <w:bCs/>
          <w:sz w:val="19"/>
          <w:szCs w:val="19"/>
        </w:rPr>
      </w:pPr>
    </w:p>
    <w:p>
      <w:pPr>
        <w:pStyle w:val="Heading5"/>
        <w:spacing w:line="240" w:lineRule="auto" w:before="34"/>
        <w:ind w:left="132" w:right="184"/>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2" w:right="184"/>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2" w:right="184"/>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2" w:right="184"/>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spacing w:line="309" w:lineRule="auto" w:before="0"/>
        <w:ind w:left="1392"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）转让控股子公司长春高琦和江西先材股权</w:t>
      </w:r>
      <w:r>
        <w:rPr>
          <w:rFonts w:ascii="宋体" w:hAnsi="宋体" w:cs="宋体" w:eastAsia="宋体" w:hint="default"/>
          <w:b/>
          <w:bCs/>
          <w:w w:val="99"/>
          <w:sz w:val="18"/>
          <w:szCs w:val="18"/>
        </w:rPr>
        <w:t> </w:t>
      </w:r>
      <w:r>
        <w:rPr>
          <w:rFonts w:ascii="宋体" w:hAnsi="宋体" w:cs="宋体" w:eastAsia="宋体" w:hint="default"/>
          <w:spacing w:val="-4"/>
          <w:sz w:val="18"/>
          <w:szCs w:val="18"/>
        </w:rPr>
        <w:t>由于长春高琦和江西先材持续亏损，董事会为了保证公司资产的安全和保值，回避经营风险，优化资产质量，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决定转让长春高琦和江西先材的全部股权。</w:t>
      </w:r>
    </w:p>
    <w:p>
      <w:pPr>
        <w:pStyle w:val="BodyText"/>
        <w:spacing w:line="240" w:lineRule="auto" w:before="24"/>
        <w:ind w:left="1844" w:right="184"/>
        <w:jc w:val="left"/>
      </w:pPr>
      <w:r>
        <w:rPr>
          <w:rFonts w:ascii="Times New Roman" w:hAnsi="Times New Roman" w:cs="Times New Roman" w:eastAsia="Times New Roman" w:hint="default"/>
        </w:rPr>
        <w:t>1</w:t>
      </w:r>
      <w:r>
        <w:rPr/>
        <w:t>）转让长春高琦</w:t>
      </w:r>
    </w:p>
    <w:p>
      <w:pPr>
        <w:pStyle w:val="BodyText"/>
        <w:spacing w:line="300" w:lineRule="auto" w:before="63"/>
        <w:ind w:left="1392" w:right="192"/>
        <w:jc w:val="both"/>
      </w:pPr>
      <w:r>
        <w:rPr/>
        <w:t>①本公司于</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日与实际控制人之一吕晓义先生签订了</w:t>
      </w:r>
      <w:r>
        <w:rPr>
          <w:rFonts w:ascii="Times New Roman" w:hAnsi="Times New Roman" w:cs="Times New Roman" w:eastAsia="Times New Roman" w:hint="default"/>
        </w:rPr>
        <w:t>2014-003</w:t>
      </w:r>
      <w:r>
        <w:rPr/>
        <w:t>号《股权转让协议》，公司将持</w:t>
      </w:r>
      <w:r>
        <w:rPr>
          <w:spacing w:val="-86"/>
        </w:rPr>
        <w:t> </w:t>
      </w:r>
      <w:r>
        <w:rPr>
          <w:spacing w:val="-86"/>
        </w:rPr>
      </w:r>
      <w:r>
        <w:rPr>
          <w:spacing w:val="14"/>
        </w:rPr>
        <w:t>有的长春高琦</w:t>
      </w:r>
      <w:r>
        <w:rPr>
          <w:spacing w:val="-70"/>
        </w:rPr>
        <w:t> </w:t>
      </w:r>
      <w:r>
        <w:rPr>
          <w:rFonts w:ascii="Times New Roman" w:hAnsi="Times New Roman" w:cs="Times New Roman" w:eastAsia="Times New Roman" w:hint="default"/>
        </w:rPr>
        <w:t>33%</w:t>
      </w:r>
      <w:r>
        <w:rPr>
          <w:rFonts w:ascii="Times New Roman" w:hAnsi="Times New Roman" w:cs="Times New Roman" w:eastAsia="Times New Roman" w:hint="default"/>
          <w:spacing w:val="-26"/>
        </w:rPr>
        <w:t> </w:t>
      </w:r>
      <w:r>
        <w:rPr>
          <w:spacing w:val="16"/>
        </w:rPr>
        <w:t>的股权转让给股东吕晓义先生，</w:t>
      </w:r>
      <w:r>
        <w:rPr>
          <w:spacing w:val="-73"/>
        </w:rPr>
        <w:t> </w:t>
      </w:r>
      <w:r>
        <w:rPr>
          <w:spacing w:val="15"/>
        </w:rPr>
        <w:t>转让价格为每元注册资本</w:t>
      </w:r>
      <w:r>
        <w:rPr>
          <w:spacing w:val="-70"/>
        </w:rPr>
        <w:t> </w:t>
      </w:r>
      <w:r>
        <w:rPr>
          <w:rFonts w:ascii="Times New Roman" w:hAnsi="Times New Roman" w:cs="Times New Roman" w:eastAsia="Times New Roman" w:hint="default"/>
          <w:spacing w:val="5"/>
        </w:rPr>
        <w:t>4.90</w:t>
      </w:r>
      <w:r>
        <w:rPr>
          <w:spacing w:val="5"/>
        </w:rPr>
        <w:t>元，</w:t>
      </w:r>
      <w:r>
        <w:rPr>
          <w:spacing w:val="-70"/>
        </w:rPr>
        <w:t> </w:t>
      </w:r>
      <w:r>
        <w:rPr>
          <w:spacing w:val="14"/>
        </w:rPr>
        <w:t>转让总价款为</w:t>
      </w:r>
      <w:r>
        <w:rPr>
          <w:spacing w:val="-87"/>
        </w:rPr>
        <w:t> </w:t>
      </w:r>
      <w:r>
        <w:rPr>
          <w:spacing w:val="-87"/>
        </w:rPr>
      </w:r>
      <w:r>
        <w:rPr>
          <w:rFonts w:ascii="Times New Roman" w:hAnsi="Times New Roman" w:cs="Times New Roman" w:eastAsia="Times New Roman" w:hint="default"/>
        </w:rPr>
        <w:t>157,813,055.40</w:t>
      </w:r>
      <w:r>
        <w:rPr/>
        <w:t>元。</w:t>
      </w:r>
    </w:p>
    <w:p>
      <w:pPr>
        <w:pStyle w:val="BodyText"/>
        <w:spacing w:line="300" w:lineRule="auto" w:before="13"/>
        <w:ind w:left="1392" w:right="19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日，上述股权转让事项经本公司</w:t>
      </w:r>
      <w:r>
        <w:rPr>
          <w:rFonts w:ascii="Times New Roman" w:hAnsi="Times New Roman" w:cs="Times New Roman" w:eastAsia="Times New Roman" w:hint="default"/>
          <w:spacing w:val="-2"/>
        </w:rPr>
        <w:t>2014</w:t>
      </w:r>
      <w:r>
        <w:rPr>
          <w:spacing w:val="-2"/>
        </w:rPr>
        <w:t>年第七次临时股东大会审议通过；</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日，本公</w:t>
      </w:r>
      <w:r>
        <w:rPr>
          <w:spacing w:val="-67"/>
        </w:rPr>
        <w:t> </w:t>
      </w:r>
      <w:r>
        <w:rPr>
          <w:spacing w:val="-67"/>
        </w:rPr>
      </w:r>
      <w:r>
        <w:rPr>
          <w:spacing w:val="-2"/>
        </w:rPr>
        <w:t>司收到吕晓义先生的部分股权转让款共计</w:t>
      </w:r>
      <w:r>
        <w:rPr>
          <w:rFonts w:ascii="Times New Roman" w:hAnsi="Times New Roman" w:cs="Times New Roman" w:eastAsia="Times New Roman" w:hint="default"/>
          <w:spacing w:val="-2"/>
        </w:rPr>
        <w:t>10,000.00</w:t>
      </w:r>
      <w:r>
        <w:rPr>
          <w:spacing w:val="-2"/>
        </w:rPr>
        <w:t>万元，尚有</w:t>
      </w:r>
      <w:r>
        <w:rPr>
          <w:rFonts w:ascii="Times New Roman" w:hAnsi="Times New Roman" w:cs="Times New Roman" w:eastAsia="Times New Roman" w:hint="default"/>
          <w:spacing w:val="-2"/>
        </w:rPr>
        <w:t>5,781.306</w:t>
      </w:r>
      <w:r>
        <w:rPr>
          <w:spacing w:val="-2"/>
        </w:rPr>
        <w:t>万元余款未收到。由于转让款尚未收</w:t>
      </w:r>
      <w:r>
        <w:rPr>
          <w:spacing w:val="-67"/>
        </w:rPr>
        <w:t> </w:t>
      </w:r>
      <w:r>
        <w:rPr>
          <w:spacing w:val="-67"/>
        </w:rPr>
      </w:r>
      <w:r>
        <w:rPr/>
        <w:t>齐，上述股权转让事项还需经长春高琦股东会审议通过，截止报告日，股权转让尚未完成。</w:t>
      </w:r>
    </w:p>
    <w:p>
      <w:pPr>
        <w:pStyle w:val="BodyText"/>
        <w:spacing w:line="300" w:lineRule="auto" w:before="31"/>
        <w:ind w:left="1392" w:right="190"/>
        <w:jc w:val="both"/>
      </w:pPr>
      <w:r>
        <w:rPr/>
        <w:t>②本公司于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日与实际控制人之一吕晓义先生签订了</w:t>
      </w:r>
      <w:r>
        <w:rPr>
          <w:rFonts w:ascii="Times New Roman" w:hAnsi="Times New Roman" w:cs="Times New Roman" w:eastAsia="Times New Roman" w:hint="default"/>
        </w:rPr>
        <w:t>2015-001</w:t>
      </w:r>
      <w:r>
        <w:rPr/>
        <w:t>号《股权转让协议》，公司拟将所</w:t>
      </w:r>
      <w:r>
        <w:rPr>
          <w:spacing w:val="-63"/>
        </w:rPr>
        <w:t> </w:t>
      </w:r>
      <w:r>
        <w:rPr>
          <w:spacing w:val="-63"/>
        </w:rPr>
      </w:r>
      <w:r>
        <w:rPr/>
        <w:t>持长春高琦</w:t>
      </w:r>
      <w:r>
        <w:rPr>
          <w:rFonts w:ascii="Times New Roman" w:hAnsi="Times New Roman" w:cs="Times New Roman" w:eastAsia="Times New Roman" w:hint="default"/>
        </w:rPr>
        <w:t>18%</w:t>
      </w:r>
      <w:r>
        <w:rPr/>
        <w:t>的股权转让给吕晓义先生，转让价格为每元注册资本</w:t>
      </w:r>
      <w:r>
        <w:rPr>
          <w:rFonts w:ascii="Times New Roman" w:hAnsi="Times New Roman" w:cs="Times New Roman" w:eastAsia="Times New Roman" w:hint="default"/>
        </w:rPr>
        <w:t>4.46</w:t>
      </w:r>
      <w:r>
        <w:rPr/>
        <w:t>元，转让总价款为</w:t>
      </w:r>
      <w:r>
        <w:rPr>
          <w:rFonts w:ascii="Times New Roman" w:hAnsi="Times New Roman" w:cs="Times New Roman" w:eastAsia="Times New Roman" w:hint="default"/>
        </w:rPr>
        <w:t>7,835.02</w:t>
      </w:r>
      <w:r>
        <w:rPr/>
        <w:t>万元。</w:t>
      </w:r>
      <w:r>
        <w:rPr>
          <w:spacing w:val="-25"/>
        </w:rPr>
        <w:t> </w:t>
      </w:r>
      <w:r>
        <w:rPr>
          <w:spacing w:val="-25"/>
        </w:rPr>
      </w:r>
      <w:r>
        <w:rPr/>
        <w:t>股权转让协议尚需公司董事会、股东大会审议通过。</w:t>
      </w:r>
    </w:p>
    <w:p>
      <w:pPr>
        <w:spacing w:after="0" w:line="300" w:lineRule="auto"/>
        <w:jc w:val="both"/>
        <w:sectPr>
          <w:pgSz w:w="11910" w:h="16840"/>
          <w:pgMar w:header="0" w:footer="1225" w:top="1100" w:bottom="1420" w:left="1000" w:right="940"/>
        </w:sectPr>
      </w:pPr>
    </w:p>
    <w:p>
      <w:pPr>
        <w:spacing w:line="240" w:lineRule="auto" w:before="1"/>
        <w:rPr>
          <w:rFonts w:ascii="宋体" w:hAnsi="宋体" w:cs="宋体" w:eastAsia="宋体" w:hint="default"/>
          <w:sz w:val="22"/>
          <w:szCs w:val="22"/>
        </w:rPr>
      </w:pPr>
    </w:p>
    <w:p>
      <w:pPr>
        <w:pStyle w:val="BodyText"/>
        <w:spacing w:line="240" w:lineRule="auto" w:before="44"/>
        <w:ind w:left="1372" w:right="86"/>
        <w:jc w:val="left"/>
      </w:pPr>
      <w:r>
        <w:rPr>
          <w:rFonts w:ascii="Times New Roman" w:hAnsi="Times New Roman" w:cs="Times New Roman" w:eastAsia="Times New Roman" w:hint="default"/>
        </w:rPr>
        <w:t>2</w:t>
      </w:r>
      <w:r>
        <w:rPr/>
        <w:t>）转让江西先材</w:t>
      </w:r>
    </w:p>
    <w:p>
      <w:pPr>
        <w:pStyle w:val="BodyText"/>
        <w:spacing w:line="300" w:lineRule="auto" w:before="63"/>
        <w:ind w:left="1372" w:right="94"/>
        <w:jc w:val="left"/>
      </w:pPr>
      <w:r>
        <w:rPr/>
        <w:t>本公司于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日分别与深圳惠程实际控制人吕晓义先生、何平女士签订了</w:t>
      </w:r>
      <w:r>
        <w:rPr>
          <w:rFonts w:ascii="Times New Roman" w:hAnsi="Times New Roman" w:cs="Times New Roman" w:eastAsia="Times New Roman" w:hint="default"/>
        </w:rPr>
        <w:t>2014-005</w:t>
      </w:r>
      <w:r>
        <w:rPr/>
        <w:t>号、</w:t>
      </w:r>
      <w:r>
        <w:rPr>
          <w:rFonts w:ascii="Times New Roman" w:hAnsi="Times New Roman" w:cs="Times New Roman" w:eastAsia="Times New Roman" w:hint="default"/>
        </w:rPr>
        <w:t>2014-006</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3"/>
        </w:rPr>
        <w:t>号《股权转让协议》，本公司将持有的江西先材全部股权分别转让给吕晓义先生</w:t>
      </w:r>
      <w:r>
        <w:rPr>
          <w:rFonts w:ascii="Times New Roman" w:hAnsi="Times New Roman" w:cs="Times New Roman" w:eastAsia="Times New Roman" w:hint="default"/>
          <w:spacing w:val="3"/>
        </w:rPr>
        <w:t>26.4%</w:t>
      </w:r>
      <w:r>
        <w:rPr>
          <w:spacing w:val="3"/>
        </w:rPr>
        <w:t>、转让给何平女士</w:t>
      </w:r>
      <w:r>
        <w:rPr/>
        <w:t> </w:t>
      </w:r>
      <w:r>
        <w:rPr>
          <w:rFonts w:ascii="Times New Roman" w:hAnsi="Times New Roman" w:cs="Times New Roman" w:eastAsia="Times New Roman" w:hint="default"/>
        </w:rPr>
        <w:t>26.4%</w:t>
      </w:r>
      <w:r>
        <w:rPr/>
        <w:t>，转让价为每元注册资本</w:t>
      </w:r>
      <w:r>
        <w:rPr>
          <w:rFonts w:ascii="Times New Roman" w:hAnsi="Times New Roman" w:cs="Times New Roman" w:eastAsia="Times New Roman" w:hint="default"/>
        </w:rPr>
        <w:t>0.98</w:t>
      </w:r>
      <w:r>
        <w:rPr/>
        <w:t>元（经银信资产评估有限公司评估的每元注册资本评估值为</w:t>
      </w:r>
      <w:r>
        <w:rPr>
          <w:rFonts w:ascii="Times New Roman" w:hAnsi="Times New Roman" w:cs="Times New Roman" w:eastAsia="Times New Roman" w:hint="default"/>
        </w:rPr>
        <w:t>0.978</w:t>
      </w:r>
      <w:r>
        <w:rPr/>
        <w:t>元）， 转让总价款为</w:t>
      </w:r>
      <w:r>
        <w:rPr>
          <w:rFonts w:ascii="Times New Roman" w:hAnsi="Times New Roman" w:cs="Times New Roman" w:eastAsia="Times New Roman" w:hint="default"/>
        </w:rPr>
        <w:t>46,569,600.00</w:t>
      </w:r>
      <w:r>
        <w:rPr/>
        <w:t>元。 上述股权转让事项经本公司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2014</w:t>
      </w:r>
      <w:r>
        <w:rPr/>
        <w:t>年第七次临时股东大会审议通过；</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 本公司收到吕晓义先生的全部股权转让款共计</w:t>
      </w:r>
      <w:r>
        <w:rPr>
          <w:rFonts w:ascii="Times New Roman" w:hAnsi="Times New Roman" w:cs="Times New Roman" w:eastAsia="Times New Roman" w:hint="default"/>
        </w:rPr>
        <w:t>2,328.48</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日，本公司收到何平女士的全部 </w:t>
      </w:r>
      <w:r>
        <w:rPr>
          <w:spacing w:val="-2"/>
        </w:rPr>
        <w:t>股权转让款共计</w:t>
      </w:r>
      <w:r>
        <w:rPr>
          <w:rFonts w:ascii="Times New Roman" w:hAnsi="Times New Roman" w:cs="Times New Roman" w:eastAsia="Times New Roman" w:hint="default"/>
          <w:spacing w:val="-2"/>
        </w:rPr>
        <w:t>2,328.48</w:t>
      </w:r>
      <w:r>
        <w:rPr>
          <w:spacing w:val="-2"/>
        </w:rPr>
        <w:t>万元；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日，上述股权转让事项经江西先材股东会审议通过，其他股东放</w:t>
      </w:r>
      <w:r>
        <w:rPr>
          <w:spacing w:val="-69"/>
        </w:rPr>
        <w:t> </w:t>
      </w:r>
      <w:r>
        <w:rPr>
          <w:spacing w:val="-69"/>
        </w:rPr>
      </w:r>
      <w:r>
        <w:rPr/>
        <w:t>弃优先购买权；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日，办理了股权转让的工商变更登记手续。</w:t>
      </w:r>
    </w:p>
    <w:p>
      <w:pPr>
        <w:pStyle w:val="BodyText"/>
        <w:spacing w:line="304" w:lineRule="auto" w:before="13"/>
        <w:ind w:left="1372" w:right="18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）回收长春高琦</w:t>
      </w:r>
      <w:r>
        <w:rPr>
          <w:rFonts w:ascii="Times New Roman" w:hAnsi="Times New Roman" w:cs="Times New Roman" w:eastAsia="Times New Roman" w:hint="default"/>
          <w:b/>
          <w:bCs/>
        </w:rPr>
        <w:t>4,000</w:t>
      </w:r>
      <w:r>
        <w:rPr>
          <w:rFonts w:ascii="宋体" w:hAnsi="宋体" w:cs="宋体" w:eastAsia="宋体" w:hint="default"/>
          <w:b/>
          <w:bCs/>
        </w:rPr>
        <w:t>万元财务资助的进展</w:t>
      </w:r>
      <w:r>
        <w:rPr>
          <w:rFonts w:ascii="宋体" w:hAnsi="宋体" w:cs="宋体" w:eastAsia="宋体" w:hint="default"/>
          <w:b/>
          <w:bCs/>
          <w:w w:val="99"/>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日，深圳惠程第四届董事会第五次会议审议通过了公司向长春高琦提供财务资助的议案，公司</w:t>
      </w:r>
      <w:r>
        <w:rPr>
          <w:spacing w:val="-74"/>
        </w:rPr>
        <w:t> </w:t>
      </w:r>
      <w:r>
        <w:rPr>
          <w:spacing w:val="-74"/>
        </w:rPr>
      </w:r>
      <w:r>
        <w:rPr>
          <w:spacing w:val="-1"/>
        </w:rPr>
        <w:t>委托中国光大银行深圳华强支行向长春高琦提供金额为</w:t>
      </w:r>
      <w:r>
        <w:rPr>
          <w:rFonts w:ascii="Times New Roman" w:hAnsi="Times New Roman" w:cs="Times New Roman" w:eastAsia="Times New Roman" w:hint="default"/>
          <w:spacing w:val="-1"/>
        </w:rPr>
        <w:t>4,000</w:t>
      </w:r>
      <w:r>
        <w:rPr>
          <w:spacing w:val="-1"/>
        </w:rPr>
        <w:t>万元的委托贷款，贷款期限</w:t>
      </w:r>
      <w:r>
        <w:rPr>
          <w:rFonts w:ascii="Times New Roman" w:hAnsi="Times New Roman" w:cs="Times New Roman" w:eastAsia="Times New Roman" w:hint="default"/>
          <w:spacing w:val="-1"/>
        </w:rPr>
        <w:t>2</w:t>
      </w:r>
      <w:r>
        <w:rPr>
          <w:spacing w:val="-1"/>
        </w:rPr>
        <w:t>年。本年</w:t>
      </w:r>
      <w:r>
        <w:rPr>
          <w:rFonts w:ascii="Times New Roman" w:hAnsi="Times New Roman" w:cs="Times New Roman" w:eastAsia="Times New Roman" w:hint="default"/>
          <w:spacing w:val="-1"/>
        </w:rPr>
        <w:t>4000</w:t>
      </w:r>
      <w:r>
        <w:rPr>
          <w:spacing w:val="-1"/>
        </w:rPr>
        <w:t>万元</w:t>
      </w:r>
      <w:r>
        <w:rPr>
          <w:spacing w:val="-81"/>
        </w:rPr>
        <w:t> </w:t>
      </w:r>
      <w:r>
        <w:rPr>
          <w:spacing w:val="-2"/>
        </w:rPr>
        <w:t>财务资助到期后，长春高琦未能及时履行还款义务，主要原因是长春高琦虽然生产经营一切正常，但聚酰亚</w:t>
      </w:r>
      <w:r>
        <w:rPr>
          <w:spacing w:val="-77"/>
        </w:rPr>
        <w:t> </w:t>
      </w:r>
      <w:r>
        <w:rPr>
          <w:spacing w:val="-77"/>
        </w:rPr>
      </w:r>
      <w:r>
        <w:rPr/>
        <w:t>胺产品产销工作不及预期，致使长春高琦出现较大幅度亏损，资金周转非常困难。</w:t>
      </w:r>
    </w:p>
    <w:p>
      <w:pPr>
        <w:spacing w:after="0" w:line="304" w:lineRule="auto"/>
        <w:jc w:val="left"/>
        <w:sectPr>
          <w:pgSz w:w="11910" w:h="16840"/>
          <w:pgMar w:header="0" w:footer="1225" w:top="1100" w:bottom="1420" w:left="1020" w:right="940"/>
        </w:sectPr>
      </w:pPr>
    </w:p>
    <w:p>
      <w:pPr>
        <w:spacing w:line="240" w:lineRule="auto" w:before="10"/>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pStyle w:val="Heading4"/>
        <w:spacing w:line="240" w:lineRule="auto" w:before="26"/>
        <w:ind w:left="140" w:right="132"/>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40" w:right="13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40" w:right="13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7"/>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55"/>
        <w:gridCol w:w="1181"/>
        <w:gridCol w:w="1077"/>
        <w:gridCol w:w="1091"/>
        <w:gridCol w:w="1065"/>
        <w:gridCol w:w="1181"/>
        <w:gridCol w:w="1181"/>
        <w:gridCol w:w="1077"/>
        <w:gridCol w:w="1152"/>
        <w:gridCol w:w="1327"/>
        <w:gridCol w:w="1327"/>
      </w:tblGrid>
      <w:tr>
        <w:trPr>
          <w:trHeight w:val="402" w:hRule="exact"/>
        </w:trPr>
        <w:tc>
          <w:tcPr>
            <w:tcW w:w="2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59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6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55" w:type="dxa"/>
            <w:vMerge/>
            <w:tcBorders>
              <w:left w:val="single" w:sz="4" w:space="0" w:color="000000"/>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7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355"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5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7"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60"/>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7,143,460.82</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3,184,919.48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3,958,541.34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60"/>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130,875,480.26</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13,518,918.86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117,356,561.40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228,432,573.82</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18,390,873.42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210,041,700.40</w:t>
            </w:r>
          </w:p>
        </w:tc>
      </w:tr>
      <w:tr>
        <w:trPr>
          <w:trHeight w:val="714" w:hRule="exact"/>
        </w:trPr>
        <w:tc>
          <w:tcPr>
            <w:tcW w:w="2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60"/>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3,079,673.00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2,572,097.33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507,575.67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141,098,614.08</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19,275,935.67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121,822,678.41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228,432,573.82</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00" w:right="0"/>
              <w:jc w:val="left"/>
              <w:rPr>
                <w:rFonts w:ascii="Times New Roman" w:hAnsi="Times New Roman" w:cs="Times New Roman" w:eastAsia="Times New Roman" w:hint="default"/>
                <w:sz w:val="18"/>
                <w:szCs w:val="18"/>
              </w:rPr>
            </w:pPr>
            <w:r>
              <w:rPr>
                <w:rFonts w:ascii="Times New Roman"/>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2" w:right="0"/>
              <w:jc w:val="center"/>
              <w:rPr>
                <w:rFonts w:ascii="Times New Roman" w:hAnsi="Times New Roman" w:cs="Times New Roman" w:eastAsia="Times New Roman" w:hint="default"/>
                <w:sz w:val="18"/>
                <w:szCs w:val="18"/>
              </w:rPr>
            </w:pPr>
            <w:r>
              <w:rPr>
                <w:rFonts w:ascii="Times New Roman"/>
                <w:sz w:val="18"/>
              </w:rPr>
              <w:t>18,390,873.42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210,041,700.40</w:t>
            </w:r>
          </w:p>
        </w:tc>
      </w:tr>
    </w:tbl>
    <w:p>
      <w:pPr>
        <w:spacing w:after="0" w:line="240" w:lineRule="auto"/>
        <w:jc w:val="right"/>
        <w:rPr>
          <w:rFonts w:ascii="Times New Roman" w:hAnsi="Times New Roman" w:cs="Times New Roman" w:eastAsia="Times New Roman" w:hint="default"/>
          <w:sz w:val="18"/>
          <w:szCs w:val="18"/>
        </w:rPr>
        <w:sectPr>
          <w:headerReference w:type="default" r:id="rId72"/>
          <w:footerReference w:type="default" r:id="rId73"/>
          <w:pgSz w:w="16840" w:h="11910" w:orient="landscape"/>
          <w:pgMar w:header="868" w:footer="1225" w:top="1060" w:bottom="1420" w:left="1300" w:right="1300"/>
          <w:pgNumType w:start="174"/>
        </w:sectPr>
      </w:pPr>
    </w:p>
    <w:p>
      <w:pPr>
        <w:pStyle w:val="BodyText"/>
        <w:spacing w:line="240" w:lineRule="auto" w:before="49"/>
        <w:ind w:left="140" w:right="-20"/>
        <w:jc w:val="left"/>
      </w:pPr>
      <w:r>
        <w:rPr/>
        <w:t>期末单项金额重大并单项计提坏账准备的应收账款：</w:t>
      </w:r>
    </w:p>
    <w:p>
      <w:pPr>
        <w:pStyle w:val="BodyText"/>
        <w:spacing w:line="240" w:lineRule="auto" w:before="11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420" w:left="1300" w:right="1300"/>
          <w:cols w:num="2" w:equalWidth="0">
            <w:col w:w="4281" w:space="8867"/>
            <w:col w:w="1092"/>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920"/>
        <w:gridCol w:w="2691"/>
        <w:gridCol w:w="2800"/>
        <w:gridCol w:w="2800"/>
        <w:gridCol w:w="2803"/>
      </w:tblGrid>
      <w:tr>
        <w:trPr>
          <w:trHeight w:val="402" w:hRule="exact"/>
        </w:trPr>
        <w:tc>
          <w:tcPr>
            <w:tcW w:w="29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110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20" w:type="dxa"/>
            <w:vMerge/>
            <w:tcBorders>
              <w:left w:val="single" w:sz="4" w:space="0" w:color="000000"/>
              <w:bottom w:val="single" w:sz="4" w:space="0" w:color="000000"/>
              <w:right w:val="single" w:sz="4" w:space="0" w:color="000000"/>
            </w:tcBorders>
            <w:shd w:val="clear" w:color="auto" w:fill="D3D3D3"/>
          </w:tcPr>
          <w:p>
            <w:pPr/>
          </w:p>
        </w:tc>
        <w:tc>
          <w:tcPr>
            <w:tcW w:w="2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成都惠程电气有限公司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1,016,627.81</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612,042.81</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60.20%</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催款困难，全部收回的可能性很小</w:t>
            </w:r>
          </w:p>
        </w:tc>
      </w:tr>
      <w:tr>
        <w:trPr>
          <w:trHeight w:val="400"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吉林省吉诚电气有限公司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2,978,384.00</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998,652.16</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33.53%</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6"/>
              <w:jc w:val="center"/>
              <w:rPr>
                <w:rFonts w:ascii="宋体" w:hAnsi="宋体" w:cs="宋体" w:eastAsia="宋体" w:hint="default"/>
                <w:sz w:val="18"/>
                <w:szCs w:val="18"/>
              </w:rPr>
            </w:pPr>
            <w:r>
              <w:rPr>
                <w:rFonts w:ascii="宋体" w:hAnsi="宋体" w:cs="宋体" w:eastAsia="宋体" w:hint="default"/>
                <w:sz w:val="18"/>
                <w:szCs w:val="18"/>
              </w:rPr>
              <w:t>催款困难，全部收回的可能性很小</w:t>
            </w:r>
          </w:p>
        </w:tc>
      </w:tr>
    </w:tbl>
    <w:p>
      <w:pPr>
        <w:spacing w:after="0" w:line="240" w:lineRule="auto"/>
        <w:jc w:val="center"/>
        <w:rPr>
          <w:rFonts w:ascii="宋体" w:hAnsi="宋体" w:cs="宋体" w:eastAsia="宋体" w:hint="default"/>
          <w:sz w:val="18"/>
          <w:szCs w:val="18"/>
        </w:rPr>
        <w:sectPr>
          <w:type w:val="continuous"/>
          <w:pgSz w:w="16840" w:h="11910" w:orient="landscape"/>
          <w:pgMar w:top="1060" w:bottom="1420" w:left="1300" w:right="1300"/>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20"/>
        <w:gridCol w:w="2691"/>
        <w:gridCol w:w="2800"/>
        <w:gridCol w:w="2800"/>
        <w:gridCol w:w="2803"/>
      </w:tblGrid>
      <w:tr>
        <w:trPr>
          <w:trHeight w:val="417" w:hRule="exact"/>
        </w:trPr>
        <w:tc>
          <w:tcPr>
            <w:tcW w:w="292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269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3,148,449.01</w:t>
            </w:r>
          </w:p>
        </w:tc>
        <w:tc>
          <w:tcPr>
            <w:tcW w:w="280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1,574,224.51</w:t>
            </w:r>
          </w:p>
        </w:tc>
        <w:tc>
          <w:tcPr>
            <w:tcW w:w="280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2803"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sz w:val="18"/>
                <w:szCs w:val="18"/>
              </w:rPr>
              <w:t>催款困难，全部收回的可能性很小</w:t>
            </w:r>
          </w:p>
        </w:tc>
      </w:tr>
      <w:tr>
        <w:trPr>
          <w:trHeight w:val="402" w:hRule="exact"/>
        </w:trPr>
        <w:tc>
          <w:tcPr>
            <w:tcW w:w="2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7,143,460.82</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3,184,919.48</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8" w:footer="1225" w:top="1060" w:bottom="1420" w:left="1300" w:right="1300"/>
        </w:sectPr>
      </w:pPr>
    </w:p>
    <w:p>
      <w:pPr>
        <w:pStyle w:val="BodyText"/>
        <w:spacing w:line="240" w:lineRule="auto" w:before="51"/>
        <w:ind w:left="140" w:right="-20"/>
        <w:jc w:val="left"/>
      </w:pPr>
      <w:r>
        <w:rPr/>
        <w:t>组合中，按账龄分析法计提坏账准备的应收账款：</w:t>
      </w:r>
    </w:p>
    <w:p>
      <w:pPr>
        <w:pStyle w:val="BodyText"/>
        <w:spacing w:line="240" w:lineRule="auto" w:before="11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420" w:left="1300" w:right="1300"/>
          <w:cols w:num="2" w:equalWidth="0">
            <w:col w:w="4101" w:space="9047"/>
            <w:col w:w="1092"/>
          </w:cols>
        </w:sectPr>
      </w:pP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651"/>
        <w:gridCol w:w="3361"/>
        <w:gridCol w:w="3501"/>
        <w:gridCol w:w="3501"/>
      </w:tblGrid>
      <w:tr>
        <w:trPr>
          <w:trHeight w:val="402" w:hRule="exact"/>
        </w:trPr>
        <w:tc>
          <w:tcPr>
            <w:tcW w:w="36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036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651" w:type="dxa"/>
            <w:vMerge/>
            <w:tcBorders>
              <w:left w:val="single" w:sz="4" w:space="0" w:color="000000"/>
              <w:bottom w:val="single" w:sz="4" w:space="0" w:color="000000"/>
              <w:right w:val="single" w:sz="4" w:space="0" w:color="000000"/>
            </w:tcBorders>
            <w:shd w:val="clear" w:color="auto" w:fill="D3D3D3"/>
          </w:tcPr>
          <w:p>
            <w:pPr/>
          </w:p>
        </w:tc>
        <w:tc>
          <w:tcPr>
            <w:tcW w:w="3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1401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86,539,735.53</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4,326,986.78</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29,189,578.24</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2,918,957.82</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7,828,367.45</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1,565,673.49</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6,236,346.01</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4,707,300.77</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75.48%</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1,323,359.70</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397,007.91</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1,004,489.08</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401,795.63</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3,908,497.23</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3,908,497.23</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129,794,027.23</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13,518,918.86</w:t>
            </w:r>
          </w:p>
        </w:tc>
        <w:tc>
          <w:tcPr>
            <w:tcW w:w="35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left="140" w:right="9758"/>
        <w:jc w:val="left"/>
      </w:pPr>
      <w:r>
        <w:rPr/>
        <w:t>确定该组合依据的说明：无。 组合中，采用余额百分比法计提坏账准备的应收账款：</w:t>
      </w:r>
    </w:p>
    <w:p>
      <w:pPr>
        <w:pStyle w:val="BodyText"/>
        <w:spacing w:line="338" w:lineRule="auto" w:before="27"/>
        <w:ind w:left="140" w:right="10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90"/>
        <w:gridCol w:w="3556"/>
        <w:gridCol w:w="3316"/>
        <w:gridCol w:w="3316"/>
      </w:tblGrid>
      <w:tr>
        <w:trPr>
          <w:trHeight w:val="342" w:hRule="exact"/>
        </w:trPr>
        <w:tc>
          <w:tcPr>
            <w:tcW w:w="3790"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0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3790" w:type="dxa"/>
            <w:vMerge/>
            <w:tcBorders>
              <w:left w:val="single" w:sz="4" w:space="0" w:color="000000"/>
              <w:bottom w:val="single" w:sz="4" w:space="0" w:color="000000"/>
              <w:right w:val="single" w:sz="4" w:space="0" w:color="000000"/>
            </w:tcBorders>
          </w:tcPr>
          <w:p>
            <w:pPr/>
          </w:p>
        </w:tc>
        <w:tc>
          <w:tcPr>
            <w:tcW w:w="3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2"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1,081,453.03</w:t>
            </w:r>
          </w:p>
        </w:tc>
        <w:tc>
          <w:tcPr>
            <w:tcW w:w="3316" w:type="dxa"/>
            <w:tcBorders>
              <w:top w:val="single" w:sz="4" w:space="0" w:color="000000"/>
              <w:left w:val="single" w:sz="4" w:space="0" w:color="000000"/>
              <w:bottom w:val="single" w:sz="4" w:space="0" w:color="000000"/>
              <w:right w:val="single" w:sz="4" w:space="0" w:color="000000"/>
            </w:tcBorders>
          </w:tcPr>
          <w:p>
            <w:pPr/>
          </w:p>
        </w:tc>
        <w:tc>
          <w:tcPr>
            <w:tcW w:w="33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1,081,453.03</w:t>
            </w:r>
          </w:p>
        </w:tc>
        <w:tc>
          <w:tcPr>
            <w:tcW w:w="3316" w:type="dxa"/>
            <w:tcBorders>
              <w:top w:val="single" w:sz="4" w:space="0" w:color="000000"/>
              <w:left w:val="single" w:sz="4" w:space="0" w:color="000000"/>
              <w:bottom w:val="single" w:sz="4" w:space="0" w:color="000000"/>
              <w:right w:val="single" w:sz="4" w:space="0" w:color="000000"/>
            </w:tcBorders>
          </w:tcPr>
          <w:p>
            <w:pPr/>
          </w:p>
        </w:tc>
        <w:tc>
          <w:tcPr>
            <w:tcW w:w="33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420" w:left="1300" w:right="1300"/>
        </w:sectPr>
      </w:pPr>
    </w:p>
    <w:p>
      <w:pPr>
        <w:spacing w:line="240" w:lineRule="auto" w:before="12"/>
        <w:rPr>
          <w:rFonts w:ascii="宋体" w:hAnsi="宋体" w:cs="宋体" w:eastAsia="宋体" w:hint="default"/>
          <w:sz w:val="20"/>
          <w:szCs w:val="20"/>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74"/>
          <w:footerReference w:type="default" r:id="rId75"/>
          <w:pgSz w:w="11910" w:h="16840"/>
          <w:pgMar w:header="878" w:footer="0" w:top="1100" w:bottom="280" w:left="1000" w:right="1000"/>
        </w:sectPr>
      </w:pPr>
    </w:p>
    <w:p>
      <w:pPr>
        <w:pStyle w:val="BodyText"/>
        <w:spacing w:line="340" w:lineRule="auto" w:before="44"/>
        <w:ind w:left="132" w:right="-9"/>
        <w:jc w:val="left"/>
      </w:pPr>
      <w:r>
        <w:rPr/>
        <w:t>本期计提坏账准备金额</w:t>
      </w:r>
      <w:r>
        <w:rPr>
          <w:spacing w:val="-47"/>
        </w:rPr>
        <w:t> </w:t>
      </w:r>
      <w:r>
        <w:rPr>
          <w:rFonts w:ascii="Times New Roman" w:hAnsi="Times New Roman" w:cs="Times New Roman" w:eastAsia="Times New Roman" w:hint="default"/>
        </w:rPr>
        <w:t>885,062.25</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32" w:right="0"/>
        <w:jc w:val="left"/>
      </w:pPr>
      <w:r>
        <w:rPr/>
        <w:t>单位：</w:t>
      </w:r>
      <w:r>
        <w:rPr>
          <w:spacing w:val="-2"/>
        </w:rPr>
        <w:t> </w:t>
      </w:r>
      <w:r>
        <w:rPr/>
        <w:t>元</w:t>
      </w:r>
    </w:p>
    <w:p>
      <w:pPr>
        <w:spacing w:after="0" w:line="240" w:lineRule="auto"/>
        <w:jc w:val="left"/>
        <w:sectPr>
          <w:type w:val="continuous"/>
          <w:pgSz w:w="11910" w:h="16840"/>
          <w:pgMar w:top="1060" w:bottom="1420" w:left="1000" w:right="1000"/>
          <w:cols w:num="2" w:equalWidth="0">
            <w:col w:w="6299" w:space="2531"/>
            <w:col w:w="1080"/>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3d3d3"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left="132" w:right="138"/>
        <w:jc w:val="left"/>
      </w:pPr>
      <w:r>
        <w:rPr/>
        <w:t>其中重要的应收账款核销情况：</w:t>
      </w:r>
    </w:p>
    <w:p>
      <w:pPr>
        <w:pStyle w:val="BodyText"/>
        <w:spacing w:line="240" w:lineRule="auto" w:before="117"/>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left="132" w:right="138"/>
        <w:jc w:val="left"/>
      </w:pPr>
      <w:r>
        <w:rPr/>
        <w:t>应收账款核销说明：无。</w:t>
      </w:r>
    </w:p>
    <w:p>
      <w:pPr>
        <w:spacing w:line="240" w:lineRule="auto" w:before="11"/>
        <w:rPr>
          <w:rFonts w:ascii="宋体" w:hAnsi="宋体" w:cs="宋体" w:eastAsia="宋体" w:hint="default"/>
          <w:sz w:val="26"/>
          <w:szCs w:val="26"/>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538"/>
        <w:gridCol w:w="1930"/>
        <w:gridCol w:w="2573"/>
        <w:gridCol w:w="1617"/>
      </w:tblGrid>
      <w:tr>
        <w:trPr>
          <w:trHeight w:val="342" w:hRule="exact"/>
        </w:trPr>
        <w:tc>
          <w:tcPr>
            <w:tcW w:w="3538" w:type="dxa"/>
            <w:vMerge w:val="restart"/>
            <w:tcBorders>
              <w:top w:val="single" w:sz="4" w:space="0" w:color="000000"/>
              <w:left w:val="single" w:sz="4" w:space="0" w:color="000000"/>
              <w:right w:val="single" w:sz="4" w:space="0" w:color="000000"/>
            </w:tcBorders>
          </w:tcPr>
          <w:p>
            <w:pPr>
              <w:pStyle w:val="TableParagraph"/>
              <w:spacing w:line="240" w:lineRule="auto" w:before="21"/>
              <w:ind w:left="15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6"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3538" w:type="dxa"/>
            <w:vMerge/>
            <w:tcBorders>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21,668,953.37</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15.36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1,691,050.85</w:t>
            </w:r>
          </w:p>
        </w:tc>
      </w:tr>
      <w:tr>
        <w:trPr>
          <w:trHeight w:val="342"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10,689,020.00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7.58</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534,451.00</w:t>
            </w:r>
          </w:p>
        </w:tc>
      </w:tr>
      <w:tr>
        <w:trPr>
          <w:trHeight w:val="342"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10,667,871.00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7.56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1,066,787.10</w:t>
            </w:r>
          </w:p>
        </w:tc>
      </w:tr>
      <w:tr>
        <w:trPr>
          <w:trHeight w:val="342"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10,277,731.79</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7.28</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661,800.73</w:t>
            </w:r>
          </w:p>
        </w:tc>
      </w:tr>
      <w:tr>
        <w:trPr>
          <w:trHeight w:val="342"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9,506,006.80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6.74</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475,300.34</w:t>
            </w:r>
          </w:p>
        </w:tc>
      </w:tr>
      <w:tr>
        <w:trPr>
          <w:trHeight w:val="342"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62,809,582.96</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44.52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4,429,390.02</w:t>
            </w:r>
          </w:p>
        </w:tc>
      </w:tr>
    </w:tbl>
    <w:p>
      <w:pPr>
        <w:spacing w:line="240" w:lineRule="auto" w:before="3"/>
        <w:rPr>
          <w:rFonts w:ascii="宋体" w:hAnsi="宋体" w:cs="宋体" w:eastAsia="宋体" w:hint="default"/>
          <w:b/>
          <w:bCs/>
          <w:sz w:val="19"/>
          <w:szCs w:val="19"/>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32" w:right="138"/>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38"/>
        <w:jc w:val="left"/>
      </w:pPr>
      <w:r>
        <w:rPr/>
        <w:t>其他说明：无。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76"/>
        <w:ind w:left="4798" w:right="4798"/>
        <w:jc w:val="center"/>
        <w:rPr>
          <w:rFonts w:ascii="Times New Roman" w:hAnsi="Times New Roman" w:cs="Times New Roman" w:eastAsia="Times New Roman" w:hint="default"/>
        </w:rPr>
      </w:pPr>
      <w:r>
        <w:rPr>
          <w:rFonts w:ascii="Times New Roman"/>
        </w:rPr>
        <w:t>176</w:t>
      </w:r>
    </w:p>
    <w:p>
      <w:pPr>
        <w:spacing w:after="0" w:line="240" w:lineRule="auto"/>
        <w:jc w:val="center"/>
        <w:rPr>
          <w:rFonts w:ascii="Times New Roman" w:hAnsi="Times New Roman" w:cs="Times New Roman" w:eastAsia="Times New Roman" w:hint="default"/>
        </w:rPr>
        <w:sectPr>
          <w:type w:val="continuous"/>
          <w:pgSz w:w="11910" w:h="16840"/>
          <w:pgMar w:top="1060" w:bottom="1420" w:left="1000" w:right="1000"/>
        </w:sectPr>
      </w:pPr>
    </w:p>
    <w:p>
      <w:pPr>
        <w:pStyle w:val="BodyText"/>
        <w:spacing w:line="240" w:lineRule="auto" w:before="16"/>
        <w:ind w:left="0" w:right="137"/>
        <w:jc w:val="righ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p>
      <w:pPr>
        <w:spacing w:line="240" w:lineRule="auto" w:before="6"/>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pStyle w:val="Heading5"/>
        <w:spacing w:line="240" w:lineRule="auto" w:before="34"/>
        <w:ind w:left="140" w:right="13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0" w:right="132"/>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7"/>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80"/>
        <w:gridCol w:w="1104"/>
        <w:gridCol w:w="1102"/>
        <w:gridCol w:w="1102"/>
        <w:gridCol w:w="1105"/>
        <w:gridCol w:w="1145"/>
        <w:gridCol w:w="1091"/>
        <w:gridCol w:w="1103"/>
        <w:gridCol w:w="1178"/>
        <w:gridCol w:w="1352"/>
        <w:gridCol w:w="1352"/>
      </w:tblGrid>
      <w:tr>
        <w:trPr>
          <w:trHeight w:val="402" w:hRule="exact"/>
        </w:trPr>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55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7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80" w:type="dxa"/>
            <w:vMerge/>
            <w:tcBorders>
              <w:left w:val="single" w:sz="4" w:space="0" w:color="000000"/>
              <w:right w:val="single" w:sz="4" w:space="0" w:color="000000"/>
            </w:tcBorders>
            <w:shd w:val="clear" w:color="auto" w:fill="D3D3D3"/>
          </w:tcPr>
          <w:p>
            <w:pPr/>
          </w:p>
        </w:tc>
        <w:tc>
          <w:tcPr>
            <w:tcW w:w="22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380" w:type="dxa"/>
            <w:vMerge/>
            <w:tcBorders>
              <w:left w:val="single" w:sz="4" w:space="0" w:color="000000"/>
              <w:bottom w:val="single" w:sz="4" w:space="0" w:color="000000"/>
              <w:right w:val="single" w:sz="4" w:space="0" w:color="000000"/>
            </w:tcBorders>
            <w:shd w:val="clear" w:color="auto" w:fill="D3D3D3"/>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45"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5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331,180.00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331,180.00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85"/>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22,258,205.60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98.53%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5,800,396.04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16,457,809.56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27,536,958.19</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7,851,810.49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19,685,147.70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22,589,385.60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6,131,576.04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16,457,809.56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27,536,958.19</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6" w:right="0"/>
              <w:jc w:val="left"/>
              <w:rPr>
                <w:rFonts w:ascii="Times New Roman" w:hAnsi="Times New Roman" w:cs="Times New Roman" w:eastAsia="Times New Roman" w:hint="default"/>
                <w:sz w:val="18"/>
                <w:szCs w:val="18"/>
              </w:rPr>
            </w:pPr>
            <w:r>
              <w:rPr>
                <w:rFonts w:ascii="Times New Roman"/>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7,851,810.49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28.51%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19,685,147.70</w:t>
            </w:r>
          </w:p>
        </w:tc>
      </w:tr>
    </w:tbl>
    <w:p>
      <w:pPr>
        <w:spacing w:after="0" w:line="240" w:lineRule="auto"/>
        <w:jc w:val="right"/>
        <w:rPr>
          <w:rFonts w:ascii="Times New Roman" w:hAnsi="Times New Roman" w:cs="Times New Roman" w:eastAsia="Times New Roman" w:hint="default"/>
          <w:sz w:val="18"/>
          <w:szCs w:val="18"/>
        </w:rPr>
        <w:sectPr>
          <w:headerReference w:type="default" r:id="rId76"/>
          <w:footerReference w:type="default" r:id="rId77"/>
          <w:pgSz w:w="16840" w:h="11910" w:orient="landscape"/>
          <w:pgMar w:header="0" w:footer="0" w:top="800" w:bottom="280" w:left="1300" w:right="1300"/>
        </w:sectPr>
      </w:pPr>
    </w:p>
    <w:p>
      <w:pPr>
        <w:pStyle w:val="BodyText"/>
        <w:spacing w:line="240" w:lineRule="auto" w:before="50"/>
        <w:ind w:left="140" w:right="-20"/>
        <w:jc w:val="left"/>
      </w:pPr>
      <w:r>
        <w:rPr/>
        <w:t>期末单项金额重大并单项计提坏账准备的其他应收款：</w:t>
      </w:r>
    </w:p>
    <w:p>
      <w:pPr>
        <w:pStyle w:val="BodyText"/>
        <w:spacing w:line="240" w:lineRule="auto" w:before="115"/>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420" w:left="1300" w:right="1300"/>
          <w:cols w:num="2" w:equalWidth="0">
            <w:col w:w="4461" w:space="8687"/>
            <w:col w:w="1092"/>
          </w:cols>
        </w:sectPr>
      </w:pP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920"/>
        <w:gridCol w:w="2691"/>
        <w:gridCol w:w="2800"/>
        <w:gridCol w:w="2800"/>
        <w:gridCol w:w="2803"/>
      </w:tblGrid>
      <w:tr>
        <w:trPr>
          <w:trHeight w:val="402" w:hRule="exact"/>
        </w:trPr>
        <w:tc>
          <w:tcPr>
            <w:tcW w:w="29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110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20" w:type="dxa"/>
            <w:vMerge/>
            <w:tcBorders>
              <w:left w:val="single" w:sz="4" w:space="0" w:color="000000"/>
              <w:bottom w:val="single" w:sz="4" w:space="0" w:color="000000"/>
              <w:right w:val="single" w:sz="4" w:space="0" w:color="000000"/>
            </w:tcBorders>
            <w:shd w:val="clear" w:color="auto" w:fill="D3D3D3"/>
          </w:tcPr>
          <w:p>
            <w:pPr/>
          </w:p>
        </w:tc>
        <w:tc>
          <w:tcPr>
            <w:tcW w:w="2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艾科达（深圳）光电有限公司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331,180.00</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331,180.00</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对方已破产，款项难以收回</w:t>
            </w:r>
          </w:p>
        </w:tc>
      </w:tr>
      <w:tr>
        <w:trPr>
          <w:trHeight w:val="402" w:hRule="exact"/>
        </w:trPr>
        <w:tc>
          <w:tcPr>
            <w:tcW w:w="2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331,180.00</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331,180.00</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before="76"/>
        <w:ind w:left="6964" w:right="6963"/>
        <w:jc w:val="center"/>
        <w:rPr>
          <w:rFonts w:ascii="Times New Roman" w:hAnsi="Times New Roman" w:cs="Times New Roman" w:eastAsia="Times New Roman" w:hint="default"/>
        </w:rPr>
      </w:pPr>
      <w:r>
        <w:rPr>
          <w:rFonts w:ascii="Times New Roman"/>
        </w:rPr>
        <w:t>177</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420" w:left="1300" w:right="1300"/>
        </w:sectPr>
      </w:pPr>
    </w:p>
    <w:p>
      <w:pPr>
        <w:spacing w:line="240" w:lineRule="auto" w:before="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78"/>
          <w:pgSz w:w="11910" w:h="16840"/>
          <w:pgMar w:footer="1225" w:header="0" w:top="1100" w:bottom="1420" w:left="1000" w:right="1000"/>
          <w:pgNumType w:start="178"/>
        </w:sectPr>
      </w:pPr>
    </w:p>
    <w:p>
      <w:pPr>
        <w:pStyle w:val="BodyText"/>
        <w:spacing w:line="240" w:lineRule="auto" w:before="44"/>
        <w:ind w:left="132" w:right="-20"/>
        <w:jc w:val="left"/>
      </w:pPr>
      <w:r>
        <w:rPr/>
        <w:t>组合中，按账龄分析法计提坏账准备的其他应收款：</w:t>
      </w:r>
    </w:p>
    <w:p>
      <w:pPr>
        <w:pStyle w:val="BodyText"/>
        <w:spacing w:line="240" w:lineRule="auto" w:before="115"/>
        <w:ind w:left="1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32" w:right="0"/>
        <w:jc w:val="left"/>
      </w:pPr>
      <w:r>
        <w:rPr/>
        <w:t>单位：</w:t>
      </w:r>
      <w:r>
        <w:rPr>
          <w:spacing w:val="-2"/>
        </w:rPr>
        <w:t> </w:t>
      </w:r>
      <w:r>
        <w:rPr/>
        <w:t>元</w:t>
      </w:r>
    </w:p>
    <w:p>
      <w:pPr>
        <w:spacing w:after="0" w:line="240" w:lineRule="auto"/>
        <w:jc w:val="left"/>
        <w:sectPr>
          <w:type w:val="continuous"/>
          <w:pgSz w:w="11910" w:h="16840"/>
          <w:pgMar w:top="1060" w:bottom="1420" w:left="1000" w:right="1000"/>
          <w:cols w:num="2" w:equalWidth="0">
            <w:col w:w="4273" w:space="4556"/>
            <w:col w:w="1081"/>
          </w:cols>
        </w:sectPr>
      </w:pP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11,789,019.78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589,450.98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3,317,812.36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331,781.24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230,058.00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46,011.60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526,183.22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309,669.48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58.85%</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298,162.49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89,448.75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215,020.73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215,020.73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15,863,073.36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1,276,913.30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32" w:right="5254"/>
        <w:jc w:val="left"/>
      </w:pPr>
      <w:r>
        <w:rPr/>
        <w:t>确定该组合依据的说明： 组合中，采用余额百分比法计提坏账准备的其他应收款：</w:t>
      </w:r>
    </w:p>
    <w:p>
      <w:pPr>
        <w:pStyle w:val="BodyText"/>
        <w:spacing w:line="340" w:lineRule="auto" w:before="25"/>
        <w:ind w:left="132" w:right="5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1"/>
        <w:ind w:left="132"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947"/>
        <w:gridCol w:w="2455"/>
        <w:gridCol w:w="2129"/>
        <w:gridCol w:w="2127"/>
      </w:tblGrid>
      <w:tr>
        <w:trPr>
          <w:trHeight w:val="342" w:hRule="exact"/>
        </w:trPr>
        <w:tc>
          <w:tcPr>
            <w:tcW w:w="2947" w:type="dxa"/>
            <w:vMerge w:val="restart"/>
            <w:tcBorders>
              <w:top w:val="single" w:sz="4" w:space="0" w:color="000000"/>
              <w:left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2947" w:type="dxa"/>
            <w:vMerge/>
            <w:tcBorders>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1,871,649.50</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4,523,482.74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4,523,482.74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6,395,132.24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4,523,482.74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70.73</w:t>
            </w:r>
          </w:p>
        </w:tc>
      </w:tr>
    </w:tbl>
    <w:p>
      <w:pPr>
        <w:spacing w:line="240" w:lineRule="auto" w:before="5"/>
        <w:rPr>
          <w:rFonts w:ascii="宋体" w:hAnsi="宋体" w:cs="宋体" w:eastAsia="宋体" w:hint="default"/>
          <w:sz w:val="19"/>
          <w:szCs w:val="19"/>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420" w:left="1000" w:right="1000"/>
        </w:sectPr>
      </w:pPr>
    </w:p>
    <w:p>
      <w:pPr>
        <w:pStyle w:val="BodyText"/>
        <w:spacing w:line="340" w:lineRule="auto" w:before="44"/>
        <w:ind w:left="132" w:right="-6"/>
        <w:jc w:val="left"/>
      </w:pPr>
      <w:r>
        <w:rPr/>
        <w:t>本期计提坏账准备金额</w:t>
      </w:r>
      <w:r>
        <w:rPr>
          <w:spacing w:val="-47"/>
        </w:rPr>
        <w:t> </w:t>
      </w:r>
      <w:r>
        <w:rPr>
          <w:rFonts w:ascii="Times New Roman" w:hAnsi="Times New Roman" w:cs="Times New Roman" w:eastAsia="Times New Roman" w:hint="default"/>
        </w:rPr>
        <w:t>4,785,969.44</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6,506,203.89</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32" w:right="0"/>
        <w:jc w:val="left"/>
      </w:pPr>
      <w:r>
        <w:rPr/>
        <w:t>单位：</w:t>
      </w:r>
      <w:r>
        <w:rPr>
          <w:spacing w:val="-2"/>
        </w:rPr>
        <w:t> </w:t>
      </w:r>
      <w:r>
        <w:rPr/>
        <w:t>元</w:t>
      </w:r>
    </w:p>
    <w:p>
      <w:pPr>
        <w:spacing w:after="0" w:line="240" w:lineRule="auto"/>
        <w:jc w:val="left"/>
        <w:sectPr>
          <w:type w:val="continuous"/>
          <w:pgSz w:w="11910" w:h="16840"/>
          <w:pgMar w:top="1060" w:bottom="1420" w:left="1000" w:right="1000"/>
          <w:cols w:num="2" w:equalWidth="0">
            <w:col w:w="7065" w:space="1765"/>
            <w:col w:w="1080"/>
          </w:cols>
        </w:sectPr>
      </w:pP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暂未取得发票的业务费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6,506,203.89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收到发票后冲销款项</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6,506,203.89</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5"/>
        <w:spacing w:line="240" w:lineRule="auto" w:before="34"/>
        <w:ind w:left="132" w:right="138"/>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3d3d3"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type w:val="continuous"/>
          <w:pgSz w:w="11910" w:h="16840"/>
          <w:pgMar w:top="1060" w:bottom="1420" w:left="1000" w:right="1000"/>
        </w:sectPr>
      </w:pPr>
    </w:p>
    <w:p>
      <w:pPr>
        <w:spacing w:line="240" w:lineRule="auto" w:before="1"/>
        <w:rPr>
          <w:rFonts w:ascii="宋体" w:hAnsi="宋体" w:cs="宋体" w:eastAsia="宋体" w:hint="default"/>
          <w:sz w:val="22"/>
          <w:szCs w:val="22"/>
        </w:rPr>
      </w:pPr>
    </w:p>
    <w:p>
      <w:pPr>
        <w:pStyle w:val="BodyText"/>
        <w:spacing w:line="240" w:lineRule="auto" w:before="44"/>
        <w:ind w:right="0"/>
        <w:jc w:val="left"/>
      </w:pPr>
      <w:r>
        <w:rPr/>
        <w:t>其中重要的其他应收款核销情况：</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其他应收款核销说明：无。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投标保证金、履约保证金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12,572,273.00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11,925,420.00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1,793,586.68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174,305.49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2,600,288.43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2,683,484.61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4,853,167.78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10,116,086.09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员工个人借支</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516,380.65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2,553,814.32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253,689.06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83,847.68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22,589,385.60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27,536,958.19</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1,179,808.19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58,990.41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8,986,808.19</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563,340.41</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6"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0" w:footer="1225" w:top="1100" w:bottom="142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302,441,834.68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302,441,834.68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451,189,525.00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451,189,525.00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119,110.38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119,110.38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302,560,945.06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302,560,945.06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451,189,525.00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451,189,525.00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1,709,525.00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1,709,525.00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396,960,000.00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157,747,690.32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239,212,309.68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47,520,000.00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451,189,525.00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7" w:right="0"/>
              <w:jc w:val="left"/>
              <w:rPr>
                <w:rFonts w:ascii="Times New Roman" w:hAnsi="Times New Roman" w:cs="Times New Roman" w:eastAsia="Times New Roman" w:hint="default"/>
                <w:sz w:val="18"/>
                <w:szCs w:val="18"/>
              </w:rPr>
            </w:pPr>
            <w:r>
              <w:rPr>
                <w:rFonts w:ascii="Times New Roman"/>
                <w:sz w:val="18"/>
              </w:rPr>
              <w:t>9,000,000.00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157,747,690.32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302,441,834.68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600"/>
        <w:gridCol w:w="959"/>
        <w:gridCol w:w="636"/>
        <w:gridCol w:w="923"/>
        <w:gridCol w:w="673"/>
        <w:gridCol w:w="798"/>
        <w:gridCol w:w="798"/>
        <w:gridCol w:w="798"/>
        <w:gridCol w:w="798"/>
        <w:gridCol w:w="955"/>
        <w:gridCol w:w="641"/>
      </w:tblGrid>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6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05" w:right="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46"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993" w:type="dxa"/>
            <w:vMerge/>
            <w:tcBorders>
              <w:left w:val="single" w:sz="4" w:space="0" w:color="000000"/>
              <w:bottom w:val="single" w:sz="4" w:space="0" w:color="000000"/>
              <w:right w:val="single" w:sz="4" w:space="0" w:color="000000"/>
            </w:tcBorders>
            <w:shd w:val="clear" w:color="auto" w:fill="D3D3D3"/>
          </w:tcPr>
          <w:p>
            <w:pPr/>
          </w:p>
        </w:tc>
        <w:tc>
          <w:tcPr>
            <w:tcW w:w="600" w:type="dxa"/>
            <w:vMerge/>
            <w:tcBorders>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3" w:right="40"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6" w:right="9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5" w:type="dxa"/>
            <w:vMerge/>
            <w:tcBorders>
              <w:left w:val="single" w:sz="4" w:space="0" w:color="000000"/>
              <w:bottom w:val="single" w:sz="4" w:space="0" w:color="000000"/>
              <w:right w:val="single" w:sz="4" w:space="0" w:color="000000"/>
            </w:tcBorders>
            <w:shd w:val="clear" w:color="auto" w:fill="D3D3D3"/>
          </w:tcPr>
          <w:p>
            <w:pPr/>
          </w:p>
        </w:tc>
        <w:tc>
          <w:tcPr>
            <w:tcW w:w="64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8"/>
              <w:jc w:val="left"/>
              <w:rPr>
                <w:rFonts w:ascii="宋体" w:hAnsi="宋体" w:cs="宋体" w:eastAsia="宋体" w:hint="default"/>
                <w:sz w:val="18"/>
                <w:szCs w:val="18"/>
              </w:rPr>
            </w:pPr>
            <w:r>
              <w:rPr>
                <w:rFonts w:ascii="宋体" w:hAnsi="宋体" w:cs="宋体" w:eastAsia="宋体" w:hint="default"/>
                <w:sz w:val="18"/>
                <w:szCs w:val="18"/>
              </w:rPr>
              <w:t>北京金喜凯 德有限公司</w:t>
            </w:r>
          </w:p>
        </w:tc>
        <w:tc>
          <w:tcPr>
            <w:tcW w:w="600"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150,000.00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-30,889.62</w:t>
            </w:r>
          </w:p>
        </w:tc>
        <w:tc>
          <w:tcPr>
            <w:tcW w:w="67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119,110.38</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9"/>
          <w:pgSz w:w="11910" w:h="16840"/>
          <w:pgMar w:footer="1225" w:header="0" w:top="1100" w:bottom="1420" w:left="1020" w:right="1020"/>
          <w:pgNumType w:start="18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993"/>
        <w:gridCol w:w="600"/>
        <w:gridCol w:w="959"/>
        <w:gridCol w:w="636"/>
        <w:gridCol w:w="923"/>
        <w:gridCol w:w="673"/>
        <w:gridCol w:w="798"/>
        <w:gridCol w:w="798"/>
        <w:gridCol w:w="798"/>
        <w:gridCol w:w="798"/>
        <w:gridCol w:w="955"/>
        <w:gridCol w:w="641"/>
      </w:tblGrid>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00"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-30,889.62</w:t>
            </w:r>
          </w:p>
        </w:tc>
        <w:tc>
          <w:tcPr>
            <w:tcW w:w="67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119,110.38</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00"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-30,889.62</w:t>
            </w:r>
          </w:p>
        </w:tc>
        <w:tc>
          <w:tcPr>
            <w:tcW w:w="67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119,110.38</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264,876,766.37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168,273,152.41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400,635,717.74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261,520,236.83</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2,847,386.68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9,093,009.80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3,040,571.55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544,443.45</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267,724,153.05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177,366,162.21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403,676,289.29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262,064,680.28</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-30,889.62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3,086,665.68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1,210,111.00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5,006,344.04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9,272,231.10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4"/>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-4,990,538.48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11,172,699.15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5"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56"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6,244,972.54</w:t>
            </w:r>
          </w:p>
        </w:tc>
        <w:tc>
          <w:tcPr>
            <w:tcW w:w="3186" w:type="dxa"/>
            <w:vMerge/>
            <w:tcBorders>
              <w:left w:val="single" w:sz="4" w:space="0" w:color="000000"/>
              <w:right w:val="single" w:sz="4" w:space="0" w:color="000000"/>
            </w:tcBorders>
          </w:tcPr>
          <w:p>
            <w:pPr/>
          </w:p>
        </w:tc>
      </w:tr>
      <w:tr>
        <w:trPr>
          <w:trHeight w:val="307"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58"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-8,201,526.17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-179,112.47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1,917,801.10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2,486,918.41</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51"/>
        <w:ind w:right="132"/>
        <w:jc w:val="both"/>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t> 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r>
    </w:tbl>
    <w:p>
      <w:pPr>
        <w:spacing w:line="240" w:lineRule="auto" w:before="5"/>
        <w:rPr>
          <w:rFonts w:ascii="宋体" w:hAnsi="宋体" w:cs="宋体" w:eastAsia="宋体" w:hint="default"/>
          <w:b/>
          <w:bCs/>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59" w:lineRule="auto"/>
        <w:ind w:right="0"/>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after="0" w:line="259" w:lineRule="auto"/>
        <w:jc w:val="left"/>
        <w:sectPr>
          <w:pgSz w:w="11910" w:h="16840"/>
          <w:pgMar w:header="0" w:footer="1225" w:top="1100" w:bottom="1420" w:left="1020" w:right="1000"/>
        </w:sectPr>
      </w:pPr>
    </w:p>
    <w:p>
      <w:pPr>
        <w:spacing w:line="240" w:lineRule="auto" w:before="12"/>
        <w:rPr>
          <w:rFonts w:ascii="宋体" w:hAnsi="宋体" w:cs="宋体" w:eastAsia="宋体" w:hint="default"/>
          <w:b/>
          <w:bCs/>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06"/>
        <w:jc w:val="left"/>
      </w:pPr>
      <w:r>
        <w:rPr/>
        <w:t>公司根据财政部</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 务报表进行了追溯重述，重述后的</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51"/>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382,944,918.39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348,805,584.96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361,903,081.98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2,790,888.74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8,504,750.00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4,601,040.50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185,975,182.95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213,045,985.62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130,024,537.39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34,301,039.81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23,388,291.82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11,315,321.66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438,701.39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16,697,001.80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19,383,109.99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14,976,641.42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144,131,031.84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155,211,226.40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115,066,625.93</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28,231,694.56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317,039,216.88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766,840,063.53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797,009,344.74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954,926,465.76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119,110.38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7,220,261.65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6,719,796.25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6,219,330.85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478,977,704.77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456,622,188.61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431,355,322.57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20,192,000.19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29,031,893.63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46,343,833.75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84,799,509.87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103,708,404.61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115,665,223.84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27,023,909.71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28,501,886.58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14,105,401.05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2,850,049.14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2,850,049.14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2,850,049.14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2,228,324.66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2,599,597.70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2,680,369.96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7,206,110.05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11,377,499.85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12,078,891.78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5,690,244.51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2,021,749.02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630,497,870.04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647,101,560.88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633,439,282.34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1,397,337,933.57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1,444,110,905.62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1,588,365,748.10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9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7,046,000.00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23,865,203.38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64,822,394.05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87,746,722.44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59,675,617.19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1,761,924.15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2,822,322.94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6,882,988.06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5,751,552.54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6,258,993.69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4,861,855.51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-10,957,258.81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13,760,379.77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5,604,307.79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2,885,832.65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1,677,986.83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149,597,402.82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5,396,158.51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7,654,894.29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91,310,444.58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161,527,767.56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264,827,065.66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69,244,312.28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60,986,400.21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60,496,203.76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69,244,312.28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60,986,400.21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60,496,203.76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160,554,756.86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222,514,167.77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325,323,269.42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757,104,768.00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757,104,768.00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757,104,768.00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2,063,306.54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1,690,953.37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14,486,313.53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-45,806.96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-28,865.88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-31,938.73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66,175,392.39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70,824,048.96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70,824,048.96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5"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304,459,247.91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290,043,432.53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201,191,136.29</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1,129,756,907.88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1,119,634,336.98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1,043,574,328.05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107,026,268.83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101,962,400.87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219,468,150.63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1,236,783,176.71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1,221,596,737.85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1,263,042,478.68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1,397,337,933.57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1,444,110,905.62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1,588,365,748.10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0" w:footer="1225" w:top="1100" w:bottom="142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247" w:right="0"/>
        <w:jc w:val="left"/>
        <w:rPr>
          <w:b w:val="0"/>
          <w:bCs w:val="0"/>
        </w:rPr>
      </w:pPr>
      <w:bookmarkStart w:name="_bookmark11" w:id="12"/>
      <w:bookmarkEnd w:id="12"/>
      <w:r>
        <w:rPr>
          <w:b w:val="0"/>
          <w:bCs w:val="0"/>
        </w:rPr>
      </w:r>
      <w:r>
        <w:rPr/>
        <w:t>第十二节</w:t>
      </w:r>
      <w:r>
        <w:rPr>
          <w:spacing w:val="-10"/>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（一）载有公司法定代表人、主管会计负责人、会计机构负责人签名并盖章的会计报表。</w:t>
      </w:r>
    </w:p>
    <w:p>
      <w:pPr>
        <w:pStyle w:val="BodyText"/>
        <w:spacing w:line="240" w:lineRule="auto" w:before="76"/>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（三）报告期内在中国证监会指定报纸上公开披露过的所有公司文件的正本及公告的原稿。</w:t>
      </w:r>
    </w:p>
    <w:p>
      <w:pPr>
        <w:pStyle w:val="BodyText"/>
        <w:spacing w:line="240" w:lineRule="auto" w:before="76"/>
        <w:ind w:right="0"/>
        <w:jc w:val="left"/>
      </w:pPr>
      <w:r>
        <w:rPr/>
        <w:t>（四）载有董事长纪晓文先生签名的</w:t>
      </w:r>
      <w:r>
        <w:rPr>
          <w:rFonts w:ascii="Times New Roman" w:hAnsi="Times New Roman" w:cs="Times New Roman" w:eastAsia="Times New Roman" w:hint="default"/>
        </w:rPr>
        <w:t>2014</w:t>
      </w:r>
      <w:r>
        <w:rPr/>
        <w:t>年年度报告全文。</w:t>
      </w:r>
    </w:p>
    <w:p>
      <w:pPr>
        <w:pStyle w:val="BodyText"/>
        <w:spacing w:line="240" w:lineRule="auto" w:before="63"/>
        <w:ind w:right="0"/>
        <w:jc w:val="left"/>
      </w:pPr>
      <w:r>
        <w:rPr/>
        <w:t>（五）以上备查文件的置放地点：公司董事会办公室。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tabs>
          <w:tab w:pos="9696" w:val="left" w:leader="none"/>
        </w:tabs>
        <w:spacing w:line="636" w:lineRule="auto"/>
        <w:ind w:left="7224" w:right="112" w:hanging="353"/>
        <w:jc w:val="right"/>
        <w:rPr>
          <w:rFonts w:ascii="Times New Roman" w:hAnsi="Times New Roman" w:cs="Times New Roman" w:eastAsia="Times New Roman" w:hint="default"/>
        </w:rPr>
      </w:pPr>
      <w:r>
        <w:rPr/>
        <w:t>深圳市惠程电气股份有限公司董事会 董事长：纪晓文</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240" w:lineRule="auto" w:before="91"/>
        <w:ind w:left="0" w:right="571"/>
        <w:jc w:val="right"/>
      </w:pPr>
      <w:r>
        <w:rPr/>
        <w:t>二零一五年三月二日</w:t>
      </w:r>
    </w:p>
    <w:sectPr>
      <w:pgSz w:w="11910" w:h="16840"/>
      <w:pgMar w:header="0" w:footer="1225" w:top="1100" w:bottom="142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83.327454pt;width:6.5pt;height:11pt;mso-position-horizontal-relative:page;mso-position-vertical-relative:page;z-index:-10104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23.047913pt;width:13.1pt;height:11pt;mso-position-horizontal-relative:page;mso-position-vertical-relative:page;z-index:-1010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10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10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23.047913pt;width:13.1pt;height:11pt;mso-position-horizontal-relative:page;mso-position-vertical-relative:page;z-index:-1010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23.047913pt;width:13.1pt;height:11pt;mso-position-horizontal-relative:page;mso-position-vertical-relative:page;z-index:-1009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69.647949pt;width:8.5pt;height:11pt;mso-position-horizontal-relative:page;mso-position-vertical-relative:page;z-index:-1010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23.047913pt;width:13.1pt;height:11pt;mso-position-horizontal-relative:page;mso-position-vertical-relative:page;z-index:-1009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23.047913pt;width:13.1pt;height:11pt;mso-position-horizontal-relative:page;mso-position-vertical-relative:page;z-index:-1009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09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69.647949pt;width:17.3pt;height:11pt;mso-position-horizontal-relative:page;mso-position-vertical-relative:page;z-index:-1009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10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69.647949pt;width:17.3pt;height:11pt;mso-position-horizontal-relative:page;mso-position-vertical-relative:page;z-index:-1009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69.647949pt;width:17.3pt;height:11pt;mso-position-horizontal-relative:page;mso-position-vertical-relative:page;z-index:-1009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116</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127</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10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23.047913pt;width:17.5pt;height:11pt;mso-position-horizontal-relative:page;mso-position-vertical-relative:page;z-index:-1009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174</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178</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69.647949pt;width:17.5pt;height:11pt;mso-position-horizontal-relative:page;mso-position-vertical-relative:page;z-index:-1009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10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69.647949pt;width:13.1pt;height:11pt;mso-position-horizontal-relative:page;mso-position-vertical-relative:page;z-index:-1010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507pt;margin-top:36.315651pt;width:204.45pt;height:11.5pt;mso-position-horizontal-relative:page;mso-position-vertical-relative:page;z-index:-1010440"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09pt;width:481.9pt;height:.1pt;mso-position-horizontal-relative:page;mso-position-vertical-relative:page;z-index:-1009840" coordorigin="1134,1111" coordsize="9638,2">
          <v:shape style="position:absolute;left:1134;top:1111;width:9638;height:2" coordorigin="1134,1111" coordsize="9638,0" path="m1134,1111l10772,1111e" filled="false" stroked="true" strokeweight=".719971pt" strokecolor="#000000">
            <v:path arrowok="t"/>
          </v:shape>
          <w10:wrap type="none"/>
        </v:group>
      </w:pict>
    </w:r>
    <w:r>
      <w:rPr/>
      <w:pict>
        <v:shape style="position:absolute;margin-left:335.119507pt;margin-top:42.915649pt;width:204.45pt;height:11.5pt;mso-position-horizontal-relative:page;mso-position-vertical-relative:page;z-index:-1009816"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59985pt;margin-top:42.915611pt;width:204.6pt;height:11.5pt;mso-position-horizontal-relative:page;mso-position-vertical-relative:page;z-index:-1009720"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09pt;width:481.9pt;height:.1pt;mso-position-horizontal-relative:page;mso-position-vertical-relative:page;z-index:-1009648" coordorigin="1134,1111" coordsize="9638,2">
          <v:shape style="position:absolute;left:1134;top:1111;width:9638;height:2" coordorigin="1134,1111" coordsize="9638,0" path="m1134,1111l10772,1111e" filled="false" stroked="true" strokeweight=".719971pt" strokecolor="#000000">
            <v:path arrowok="t"/>
          </v:shape>
          <w10:wrap type="none"/>
        </v:group>
      </w:pict>
    </w:r>
    <w:r>
      <w:rPr/>
      <w:pict>
        <v:shape style="position:absolute;margin-left:335.119507pt;margin-top:42.915649pt;width:204.45pt;height:11.5pt;mso-position-horizontal-relative:page;mso-position-vertical-relative:page;z-index:-1009624"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59985pt;margin-top:42.915611pt;width:204.6pt;height:11.5pt;mso-position-horizontal-relative:page;mso-position-vertical-relative:page;z-index:-1009264"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09pt;width:481.9pt;height:.1pt;mso-position-horizontal-relative:page;mso-position-vertical-relative:page;z-index:-1009216" coordorigin="1134,1111" coordsize="9638,2">
          <v:shape style="position:absolute;left:1134;top:1111;width:9638;height:2" coordorigin="1134,1111" coordsize="9638,0" path="m1134,1111l10772,1111e" filled="false" stroked="true" strokeweight=".719971pt" strokecolor="#000000">
            <v:path arrowok="t"/>
          </v:shape>
          <w10:wrap type="none"/>
        </v:group>
      </w:pict>
    </w:r>
    <w:r>
      <w:rPr/>
      <w:pict>
        <v:shape style="position:absolute;margin-left:335.119507pt;margin-top:42.915649pt;width:204.45pt;height:11.5pt;mso-position-horizontal-relative:page;mso-position-vertical-relative:page;z-index:-1009192"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6.700001pt;margin-top:55.560009pt;width:481.9pt;height:.1pt;mso-position-horizontal-relative:page;mso-position-vertical-relative:page;z-index:-1010272" coordorigin="1134,1111" coordsize="9638,2">
          <v:shape style="position:absolute;left:1134;top:1111;width:9638;height:2" coordorigin="1134,1111" coordsize="9638,0" path="m1134,1111l10772,1111e" filled="false" stroked="true" strokeweight=".719971pt" strokecolor="#000000">
            <v:path arrowok="t"/>
          </v:shape>
          <w10:wrap type="none"/>
        </v:group>
      </w:pict>
    </w:r>
    <w:r>
      <w:rPr/>
      <w:pict>
        <v:shape style="position:absolute;margin-left:335.119507pt;margin-top:42.915649pt;width:204.45pt;height:11.5pt;mso-position-horizontal-relative:page;mso-position-vertical-relative:page;z-index:-1010248"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59985pt;margin-top:42.915611pt;width:204.6pt;height:11.5pt;mso-position-horizontal-relative:page;mso-position-vertical-relative:page;z-index:-1010224"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09pt;width:481.9pt;height:.1pt;mso-position-horizontal-relative:page;mso-position-vertical-relative:page;z-index:-1010176" coordorigin="1134,1111" coordsize="9638,2">
          <v:shape style="position:absolute;left:1134;top:1111;width:9638;height:2" coordorigin="1134,1111" coordsize="9638,0" path="m1134,1111l10772,1111e" filled="false" stroked="true" strokeweight=".719971pt" strokecolor="#000000">
            <v:path arrowok="t"/>
          </v:shape>
          <w10:wrap type="none"/>
        </v:group>
      </w:pict>
    </w:r>
    <w:r>
      <w:rPr/>
      <w:pict>
        <v:shape style="position:absolute;margin-left:335.119507pt;margin-top:42.915649pt;width:204.45pt;height:11.5pt;mso-position-horizontal-relative:page;mso-position-vertical-relative:page;z-index:-1010152"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59985pt;margin-top:42.915611pt;width:204.6pt;height:11.5pt;mso-position-horizontal-relative:page;mso-position-vertical-relative:page;z-index:-1010080"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09pt;width:481.9pt;height:.1pt;mso-position-horizontal-relative:page;mso-position-vertical-relative:page;z-index:-1010032" coordorigin="1134,1111" coordsize="9638,2">
          <v:shape style="position:absolute;left:1134;top:1111;width:9638;height:2" coordorigin="1134,1111" coordsize="9638,0" path="m1134,1111l10772,1111e" filled="false" stroked="true" strokeweight=".719971pt" strokecolor="#000000">
            <v:path arrowok="t"/>
          </v:shape>
          <w10:wrap type="none"/>
        </v:group>
      </w:pict>
    </w:r>
    <w:r>
      <w:rPr/>
      <w:pict>
        <v:shape style="position:absolute;margin-left:335.119507pt;margin-top:42.915649pt;width:204.45pt;height:11.5pt;mso-position-horizontal-relative:page;mso-position-vertical-relative:page;z-index:-1010008"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59985pt;margin-top:42.915611pt;width:204.6pt;height:11.5pt;mso-position-horizontal-relative:page;mso-position-vertical-relative:page;z-index:-1009888" type="#_x0000_t202" filled="false" stroked="false">
          <v:textbox inset="0,0,0,0">
            <w:txbxContent>
              <w:p>
                <w:pPr>
                  <w:pStyle w:val="BodyText"/>
                  <w:spacing w:line="214" w:lineRule="exact"/>
                  <w:ind w:left="20" w:right="0"/>
                  <w:jc w:val="left"/>
                </w:pPr>
                <w:r>
                  <w:rPr/>
                  <w:t>深圳市惠程电气股份有限公司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994"/>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ind w:left="112" w:firstLine="561"/>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4"/>
      <w:szCs w:val="24"/>
    </w:rPr>
  </w:style>
  <w:style w:styleId="Heading5" w:type="paragraph">
    <w:name w:val="Heading 5"/>
    <w:basedOn w:val="Normal"/>
    <w:uiPriority w:val="1"/>
    <w:qFormat/>
    <w:pPr>
      <w:ind w:left="112"/>
      <w:outlineLvl w:val="5"/>
    </w:pPr>
    <w:rPr>
      <w:rFonts w:ascii="宋体" w:hAnsi="宋体" w:eastAsia="宋体"/>
      <w:b/>
      <w:bCs/>
      <w:sz w:val="21"/>
      <w:szCs w:val="21"/>
    </w:rPr>
  </w:style>
  <w:style w:styleId="Heading6" w:type="paragraph">
    <w:name w:val="Heading 6"/>
    <w:basedOn w:val="Normal"/>
    <w:uiPriority w:val="1"/>
    <w:qFormat/>
    <w:pPr>
      <w:ind w:left="852"/>
      <w:outlineLvl w:val="6"/>
    </w:pPr>
    <w:rPr>
      <w:rFonts w:ascii="宋体" w:hAnsi="宋体" w:eastAsia="宋体"/>
      <w:sz w:val="21"/>
      <w:szCs w:val="21"/>
    </w:rPr>
  </w:style>
  <w:style w:styleId="Heading7" w:type="paragraph">
    <w:name w:val="Heading 7"/>
    <w:basedOn w:val="Normal"/>
    <w:uiPriority w:val="1"/>
    <w:qFormat/>
    <w:pPr>
      <w:ind w:left="1370"/>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hifuture.com/" TargetMode="External"/><Relationship Id="rId9" Type="http://schemas.openxmlformats.org/officeDocument/2006/relationships/hyperlink" Target="mailto:info@hifuture.com" TargetMode="External"/><Relationship Id="rId10" Type="http://schemas.openxmlformats.org/officeDocument/2006/relationships/hyperlink" Target="mailto:fangli@hifuture.com" TargetMode="External"/><Relationship Id="rId11" Type="http://schemas.openxmlformats.org/officeDocument/2006/relationships/hyperlink" Target="mailto:wenqiuping@hifuture.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yperlink" Target="http://www.cinfo.com/" TargetMode="External"/><Relationship Id="rId19" Type="http://schemas.openxmlformats.org/officeDocument/2006/relationships/footer" Target="footer7.xml"/><Relationship Id="rId20" Type="http://schemas.openxmlformats.org/officeDocument/2006/relationships/header" Target="header3.xml"/><Relationship Id="rId21" Type="http://schemas.openxmlformats.org/officeDocument/2006/relationships/footer" Target="footer8.xml"/><Relationship Id="rId22" Type="http://schemas.openxmlformats.org/officeDocument/2006/relationships/header" Target="header4.xml"/><Relationship Id="rId23" Type="http://schemas.openxmlformats.org/officeDocument/2006/relationships/footer" Target="footer9.xml"/><Relationship Id="rId24" Type="http://schemas.openxmlformats.org/officeDocument/2006/relationships/header" Target="header5.xml"/><Relationship Id="rId25" Type="http://schemas.openxmlformats.org/officeDocument/2006/relationships/footer" Target="footer10.xml"/><Relationship Id="rId26" Type="http://schemas.openxmlformats.org/officeDocument/2006/relationships/header" Target="header6.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7.xml"/><Relationship Id="rId30" Type="http://schemas.openxmlformats.org/officeDocument/2006/relationships/footer" Target="footer13.xml"/><Relationship Id="rId31" Type="http://schemas.openxmlformats.org/officeDocument/2006/relationships/header" Target="header8.xml"/><Relationship Id="rId32" Type="http://schemas.openxmlformats.org/officeDocument/2006/relationships/footer" Target="footer14.xml"/><Relationship Id="rId33" Type="http://schemas.openxmlformats.org/officeDocument/2006/relationships/image" Target="media/image1.jpeg"/><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image" Target="media/image2.jpeg"/><Relationship Id="rId37" Type="http://schemas.openxmlformats.org/officeDocument/2006/relationships/image" Target="media/image3.jpeg"/><Relationship Id="rId38" Type="http://schemas.openxmlformats.org/officeDocument/2006/relationships/footer" Target="footer17.xml"/><Relationship Id="rId39" Type="http://schemas.openxmlformats.org/officeDocument/2006/relationships/header" Target="header9.xml"/><Relationship Id="rId40" Type="http://schemas.openxmlformats.org/officeDocument/2006/relationships/footer" Target="footer18.xml"/><Relationship Id="rId41" Type="http://schemas.openxmlformats.org/officeDocument/2006/relationships/hyperlink" Target="http://www.cninfo.co/" TargetMode="External"/><Relationship Id="rId42" Type="http://schemas.openxmlformats.org/officeDocument/2006/relationships/header" Target="header10.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1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header" Target="header12.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header" Target="header13.xml"/><Relationship Id="rId56" Type="http://schemas.openxmlformats.org/officeDocument/2006/relationships/footer" Target="footer29.xml"/><Relationship Id="rId57" Type="http://schemas.openxmlformats.org/officeDocument/2006/relationships/footer" Target="footer30.xml"/><Relationship Id="rId58" Type="http://schemas.openxmlformats.org/officeDocument/2006/relationships/header" Target="header14.xml"/><Relationship Id="rId59" Type="http://schemas.openxmlformats.org/officeDocument/2006/relationships/footer" Target="footer31.xml"/><Relationship Id="rId60" Type="http://schemas.openxmlformats.org/officeDocument/2006/relationships/footer" Target="footer32.xml"/><Relationship Id="rId61" Type="http://schemas.openxmlformats.org/officeDocument/2006/relationships/footer" Target="footer33.xml"/><Relationship Id="rId62" Type="http://schemas.openxmlformats.org/officeDocument/2006/relationships/header" Target="header15.xml"/><Relationship Id="rId63" Type="http://schemas.openxmlformats.org/officeDocument/2006/relationships/footer" Target="footer34.xml"/><Relationship Id="rId64" Type="http://schemas.openxmlformats.org/officeDocument/2006/relationships/footer" Target="footer35.xml"/><Relationship Id="rId65" Type="http://schemas.openxmlformats.org/officeDocument/2006/relationships/footer" Target="footer36.xml"/><Relationship Id="rId66" Type="http://schemas.openxmlformats.org/officeDocument/2006/relationships/footer" Target="footer37.xml"/><Relationship Id="rId67" Type="http://schemas.openxmlformats.org/officeDocument/2006/relationships/footer" Target="footer38.xml"/><Relationship Id="rId68" Type="http://schemas.openxmlformats.org/officeDocument/2006/relationships/header" Target="header16.xml"/><Relationship Id="rId69" Type="http://schemas.openxmlformats.org/officeDocument/2006/relationships/footer" Target="footer39.xml"/><Relationship Id="rId70" Type="http://schemas.openxmlformats.org/officeDocument/2006/relationships/footer" Target="footer40.xml"/><Relationship Id="rId71" Type="http://schemas.openxmlformats.org/officeDocument/2006/relationships/footer" Target="footer41.xml"/><Relationship Id="rId72" Type="http://schemas.openxmlformats.org/officeDocument/2006/relationships/header" Target="header17.xml"/><Relationship Id="rId73" Type="http://schemas.openxmlformats.org/officeDocument/2006/relationships/footer" Target="footer42.xml"/><Relationship Id="rId74" Type="http://schemas.openxmlformats.org/officeDocument/2006/relationships/header" Target="header18.xml"/><Relationship Id="rId75" Type="http://schemas.openxmlformats.org/officeDocument/2006/relationships/footer" Target="footer43.xml"/><Relationship Id="rId76" Type="http://schemas.openxmlformats.org/officeDocument/2006/relationships/header" Target="header19.xml"/><Relationship Id="rId77" Type="http://schemas.openxmlformats.org/officeDocument/2006/relationships/footer" Target="footer44.xml"/><Relationship Id="rId78" Type="http://schemas.openxmlformats.org/officeDocument/2006/relationships/footer" Target="footer45.xml"/><Relationship Id="rId79" Type="http://schemas.openxmlformats.org/officeDocument/2006/relationships/footer" Target="foot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2020-05-06T16:12:14Z</dcterms:created>
  <dcterms:modified xsi:type="dcterms:W3CDTF">2020-05-06T16:12:14Z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2015-03-03T00:00:00Z</vt:filetime>
  </property>
  <property fmtid="{D5CDD505-2E9C-101B-9397-08002B2CF9AE}" pid="3" name="Creator">
    <vt:lpwstr>WPS Office 个人版</vt:lpwstr>
  </property>
  <property fmtid="{D5CDD505-2E9C-101B-9397-08002B2CF9AE}" pid="4" name="LastSaved">
    <vt:filetime>2020-05-06T00:00:00Z</vt:filetime>
  </property>
</Properties>
</file>