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header18.xml" ContentType="application/vnd.openxmlformats-officedocument.wordprocessingml.header+xml"/>
  <Override PartName="/word/footer28.xml" ContentType="application/vnd.openxmlformats-officedocument.wordprocessingml.footer+xml"/>
  <Override PartName="/word/header19.xml" ContentType="application/vnd.openxmlformats-officedocument.wordprocessingml.header+xml"/>
  <Override PartName="/word/footer29.xml" ContentType="application/vnd.openxmlformats-officedocument.wordprocessingml.footer+xml"/>
  <Override PartName="/word/header20.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spacing w:line="272"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413327" cy="17316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3327" cy="173164"/>
                    </a:xfrm>
                    <a:prstGeom prst="rect">
                      <a:avLst/>
                    </a:prstGeom>
                  </pic:spPr>
                </pic:pic>
              </a:graphicData>
            </a:graphic>
          </wp:inline>
        </w:drawing>
      </w:r>
      <w:r>
        <w:rPr>
          <w:rFonts w:ascii="Times New Roman" w:hAnsi="Times New Roman" w:cs="Times New Roman" w:eastAsia="Times New Roman" w:hint="default"/>
          <w:position w:val="-4"/>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601" w:right="2607" w:firstLine="0"/>
        <w:jc w:val="center"/>
        <w:rPr>
          <w:rFonts w:ascii="宋体" w:hAnsi="宋体" w:cs="宋体" w:eastAsia="宋体" w:hint="default"/>
          <w:sz w:val="36"/>
          <w:szCs w:val="36"/>
        </w:rPr>
      </w:pPr>
      <w:r>
        <w:rPr>
          <w:rFonts w:ascii="宋体" w:hAnsi="宋体" w:cs="宋体" w:eastAsia="宋体" w:hint="default"/>
          <w:b/>
          <w:bCs/>
          <w:sz w:val="36"/>
          <w:szCs w:val="36"/>
        </w:rPr>
        <w:t>深圳市惠程电气股份有限公司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1" w:right="2600"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601" w:right="2601" w:firstLine="0"/>
        <w:jc w:val="center"/>
        <w:rPr>
          <w:rFonts w:ascii="宋体" w:hAnsi="宋体" w:cs="宋体" w:eastAsia="宋体" w:hint="default"/>
          <w:sz w:val="32"/>
          <w:szCs w:val="32"/>
        </w:rPr>
      </w:pPr>
      <w:r>
        <w:rPr>
          <w:rFonts w:ascii="宋体" w:hAnsi="宋体" w:cs="宋体" w:eastAsia="宋体" w:hint="default"/>
          <w:b/>
          <w:bCs/>
          <w:sz w:val="32"/>
          <w:szCs w:val="32"/>
        </w:rPr>
        <w:t>2016</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01</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186" w:top="1060" w:bottom="13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08" w:lineRule="auto" w:before="163"/>
        <w:ind w:left="152" w:right="1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公司负责人纪晓文、主管会计工作负责人田青及会计机构负责人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程昭霞声明：保证年度报告中财务报告的真实、准确、完整。</w:t>
      </w:r>
      <w:r>
        <w:rPr>
          <w:rFonts w:ascii="宋体" w:hAnsi="宋体" w:cs="宋体" w:eastAsia="宋体" w:hint="default"/>
          <w:sz w:val="28"/>
          <w:szCs w:val="28"/>
        </w:rPr>
      </w:r>
    </w:p>
    <w:p>
      <w:pPr>
        <w:spacing w:line="472" w:lineRule="auto" w:before="162"/>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本报告所涉公司未来计划等前瞻性陈述，不构成公司对任何投资者及相关</w:t>
      </w:r>
      <w:r>
        <w:rPr>
          <w:rFonts w:ascii="宋体" w:hAnsi="宋体" w:cs="宋体" w:eastAsia="宋体" w:hint="default"/>
          <w:spacing w:val="2"/>
          <w:sz w:val="28"/>
          <w:szCs w:val="28"/>
        </w:rPr>
      </w:r>
    </w:p>
    <w:p>
      <w:pPr>
        <w:spacing w:line="475" w:lineRule="auto" w:before="0"/>
        <w:ind w:left="714" w:right="0" w:hanging="563"/>
        <w:jc w:val="left"/>
        <w:rPr>
          <w:rFonts w:ascii="宋体" w:hAnsi="宋体" w:cs="宋体" w:eastAsia="宋体" w:hint="default"/>
          <w:sz w:val="28"/>
          <w:szCs w:val="28"/>
        </w:rPr>
      </w:pPr>
      <w:r>
        <w:rPr>
          <w:rFonts w:ascii="宋体" w:hAnsi="宋体" w:cs="宋体" w:eastAsia="宋体" w:hint="default"/>
          <w:b/>
          <w:bCs/>
          <w:sz w:val="28"/>
          <w:szCs w:val="28"/>
        </w:rPr>
        <w:t>人士的实质承诺，敬请广大投资者注意投资风险。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公司在本报告第四节“管理层讨论与分析”中公司未来发展的展望部分描</w:t>
      </w:r>
      <w:r>
        <w:rPr>
          <w:rFonts w:ascii="宋体" w:hAnsi="宋体" w:cs="宋体" w:eastAsia="宋体" w:hint="default"/>
          <w:spacing w:val="2"/>
          <w:sz w:val="28"/>
          <w:szCs w:val="28"/>
        </w:rPr>
      </w:r>
    </w:p>
    <w:p>
      <w:pPr>
        <w:spacing w:line="35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述了公司未来经营中可能面临的风险以及</w:t>
      </w:r>
      <w:r>
        <w:rPr>
          <w:rFonts w:ascii="宋体" w:hAnsi="宋体" w:cs="宋体" w:eastAsia="宋体" w:hint="default"/>
          <w:b/>
          <w:bCs/>
          <w:spacing w:val="-69"/>
          <w:sz w:val="28"/>
          <w:szCs w:val="28"/>
        </w:rPr>
        <w:t> </w:t>
      </w:r>
      <w:r>
        <w:rPr>
          <w:rFonts w:ascii="宋体" w:hAnsi="宋体" w:cs="宋体" w:eastAsia="宋体" w:hint="default"/>
          <w:b/>
          <w:bCs/>
          <w:sz w:val="28"/>
          <w:szCs w:val="28"/>
        </w:rPr>
        <w:t>2016</w:t>
      </w:r>
      <w:r>
        <w:rPr>
          <w:rFonts w:ascii="宋体" w:hAnsi="宋体" w:cs="宋体" w:eastAsia="宋体" w:hint="default"/>
          <w:b/>
          <w:bCs/>
          <w:spacing w:val="-68"/>
          <w:sz w:val="28"/>
          <w:szCs w:val="28"/>
        </w:rPr>
        <w:t> </w:t>
      </w:r>
      <w:r>
        <w:rPr>
          <w:rFonts w:ascii="宋体" w:hAnsi="宋体" w:cs="宋体" w:eastAsia="宋体" w:hint="default"/>
          <w:b/>
          <w:bCs/>
          <w:spacing w:val="-5"/>
          <w:sz w:val="28"/>
          <w:szCs w:val="28"/>
        </w:rPr>
        <w:t>年度经营计划，敬请广大投资者</w:t>
      </w:r>
      <w:r>
        <w:rPr>
          <w:rFonts w:ascii="宋体" w:hAnsi="宋体" w:cs="宋体" w:eastAsia="宋体" w:hint="default"/>
          <w:spacing w:val="-5"/>
          <w:sz w:val="28"/>
          <w:szCs w:val="28"/>
        </w:rPr>
      </w:r>
    </w:p>
    <w:p>
      <w:pPr>
        <w:spacing w:line="240" w:lineRule="auto" w:before="9"/>
        <w:rPr>
          <w:rFonts w:ascii="宋体" w:hAnsi="宋体" w:cs="宋体" w:eastAsia="宋体" w:hint="default"/>
          <w:b/>
          <w:bCs/>
          <w:sz w:val="19"/>
          <w:szCs w:val="19"/>
        </w:rPr>
      </w:pPr>
    </w:p>
    <w:p>
      <w:pPr>
        <w:spacing w:before="0"/>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注意查阅。</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186" w:header="745" w:top="1060" w:bottom="13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26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9">
            <w:r>
              <w:rPr/>
              <w:t>第二节</w:t>
            </w:r>
            <w:r>
              <w:rPr>
                <w:spacing w:val="1"/>
              </w:rPr>
              <w:t> </w:t>
            </w:r>
            <w:r>
              <w:rPr/>
              <w:t>公司简介和主要财务指标</w:t>
            </w:r>
            <w:r>
              <w:rPr>
                <w:rFonts w:ascii="宋体" w:hAnsi="宋体" w:cs="宋体" w:eastAsia="宋体" w:hint="default"/>
              </w:rPr>
              <w:tab/>
              <w:t>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8">
            <w:r>
              <w:rPr/>
              <w:t>第三节</w:t>
            </w:r>
            <w:r>
              <w:rPr>
                <w:spacing w:val="2"/>
              </w:rPr>
              <w:t> </w:t>
            </w:r>
            <w:r>
              <w:rPr/>
              <w:t>公司业务概要</w:t>
            </w:r>
            <w:r>
              <w:rPr>
                <w:rFonts w:ascii="宋体" w:hAnsi="宋体" w:cs="宋体" w:eastAsia="宋体" w:hint="default"/>
              </w:rPr>
              <w:tab/>
              <w:t>10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7">
            <w:r>
              <w:rPr/>
              <w:t>第四节</w:t>
            </w:r>
            <w:r>
              <w:rPr>
                <w:spacing w:val="2"/>
              </w:rPr>
              <w:t> </w:t>
            </w:r>
            <w:r>
              <w:rPr/>
              <w:t>管理层讨论与分析</w:t>
            </w:r>
            <w:r>
              <w:rPr>
                <w:rFonts w:ascii="宋体" w:hAnsi="宋体" w:cs="宋体" w:eastAsia="宋体" w:hint="default"/>
              </w:rPr>
              <w:tab/>
              <w:t>12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6">
            <w:r>
              <w:rPr/>
              <w:t>第五节</w:t>
            </w:r>
            <w:r>
              <w:rPr>
                <w:spacing w:val="2"/>
              </w:rPr>
              <w:t> </w:t>
            </w:r>
            <w:r>
              <w:rPr/>
              <w:t>重要事项</w:t>
            </w:r>
            <w:r>
              <w:rPr>
                <w:rFonts w:ascii="宋体" w:hAnsi="宋体" w:cs="宋体" w:eastAsia="宋体" w:hint="default"/>
              </w:rPr>
              <w:tab/>
              <w:t>34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5">
            <w:r>
              <w:rPr/>
              <w:t>第六节</w:t>
            </w:r>
            <w:r>
              <w:rPr>
                <w:spacing w:val="1"/>
              </w:rPr>
              <w:t> </w:t>
            </w:r>
            <w:r>
              <w:rPr/>
              <w:t>股份变动及股东情况</w:t>
            </w:r>
            <w:r>
              <w:rPr>
                <w:rFonts w:ascii="宋体" w:hAnsi="宋体" w:cs="宋体" w:eastAsia="宋体" w:hint="default"/>
              </w:rPr>
              <w:tab/>
              <w:t>50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4">
            <w:r>
              <w:rPr/>
              <w:t>第七节</w:t>
            </w:r>
            <w:r>
              <w:rPr>
                <w:spacing w:val="1"/>
              </w:rPr>
              <w:t> </w:t>
            </w:r>
            <w:r>
              <w:rPr/>
              <w:t>优先股相关情况</w:t>
            </w:r>
            <w:r>
              <w:rPr>
                <w:rFonts w:ascii="宋体" w:hAnsi="宋体" w:cs="宋体" w:eastAsia="宋体" w:hint="default"/>
              </w:rPr>
              <w:tab/>
              <w:t>57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3">
            <w:r>
              <w:rPr/>
              <w:t>第八节</w:t>
            </w:r>
            <w:r>
              <w:rPr>
                <w:spacing w:val="1"/>
              </w:rPr>
              <w:t> </w:t>
            </w:r>
            <w:r>
              <w:rPr/>
              <w:t>董事、监事、高级管理人员和员工情况</w:t>
            </w:r>
            <w:r>
              <w:rPr>
                <w:rFonts w:ascii="宋体" w:hAnsi="宋体" w:cs="宋体" w:eastAsia="宋体" w:hint="default"/>
              </w:rPr>
              <w:tab/>
              <w:t>58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2">
            <w:r>
              <w:rPr/>
              <w:t>第九节</w:t>
            </w:r>
            <w:r>
              <w:rPr>
                <w:spacing w:val="2"/>
              </w:rPr>
              <w:t> </w:t>
            </w:r>
            <w:r>
              <w:rPr/>
              <w:t>公司治理</w:t>
            </w:r>
            <w:r>
              <w:rPr>
                <w:rFonts w:ascii="宋体" w:hAnsi="宋体" w:cs="宋体" w:eastAsia="宋体" w:hint="default"/>
              </w:rPr>
              <w:tab/>
              <w:t>64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1">
            <w:r>
              <w:rPr/>
              <w:t>第十节</w:t>
            </w:r>
            <w:r>
              <w:rPr>
                <w:spacing w:val="2"/>
              </w:rPr>
              <w:t> </w:t>
            </w:r>
            <w:r>
              <w:rPr/>
              <w:t>财务报告</w:t>
            </w:r>
            <w:r>
              <w:rPr>
                <w:rFonts w:ascii="宋体" w:hAnsi="宋体" w:cs="宋体" w:eastAsia="宋体" w:hint="default"/>
              </w:rPr>
              <w:tab/>
              <w:t>72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0">
            <w:r>
              <w:rPr/>
              <w:t>第十一节</w:t>
            </w:r>
            <w:r>
              <w:rPr>
                <w:spacing w:val="-2"/>
              </w:rPr>
              <w:t> </w:t>
            </w:r>
            <w:r>
              <w:rPr/>
              <w:t>备查文件目录</w:t>
            </w:r>
            <w:r>
              <w:rPr>
                <w:rFonts w:ascii="宋体" w:hAnsi="宋体" w:cs="宋体" w:eastAsia="宋体" w:hint="default"/>
              </w:rPr>
              <w:tab/>
              <w:t>177</w:t>
            </w:r>
            <w:r>
              <w:rPr>
                <w:rFonts w:ascii="宋体" w:hAnsi="宋体" w:cs="宋体" w:eastAsia="宋体" w:hint="default"/>
                <w:b w:val="0"/>
                <w:bCs w:val="0"/>
              </w:rPr>
            </w:r>
          </w:hyperlink>
        </w:p>
        <w:p>
          <w:pPr/>
          <w:r>
            <w:fldChar w:fldCharType="end"/>
          </w:r>
        </w:p>
      </w:sdtContent>
    </w:sdt>
    <w:p>
      <w:pPr>
        <w:spacing w:after="0"/>
        <w:sectPr>
          <w:pgSz w:w="11910" w:h="16840"/>
          <w:pgMar w:header="745" w:footer="1186" w:top="1060" w:bottom="1380" w:left="980" w:right="980"/>
        </w:sectPr>
      </w:pPr>
    </w:p>
    <w:p>
      <w:pPr>
        <w:spacing w:before="945"/>
        <w:ind w:left="2601" w:right="26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0"/>
        <w:gridCol w:w="686"/>
        <w:gridCol w:w="6605"/>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公司、本公司、深圳惠程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深圳市惠程电气股份有限公司董事会</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深圳市惠程电气股份有限公司监事会</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聚酰亚胺</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综合性能最佳的一种有机高分子材料</w:t>
            </w:r>
          </w:p>
        </w:tc>
      </w:tr>
      <w:tr>
        <w:trPr>
          <w:trHeight w:val="161" w:hRule="exact"/>
        </w:trPr>
        <w:tc>
          <w:tcPr>
            <w:tcW w:w="2280"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5" w:type="dxa"/>
            <w:vMerge w:val="restart"/>
            <w:tcBorders>
              <w:top w:val="single" w:sz="4" w:space="0" w:color="000000"/>
              <w:left w:val="single" w:sz="10" w:space="0" w:color="D2D2D2"/>
              <w:right w:val="single" w:sz="4" w:space="0" w:color="000000"/>
            </w:tcBorders>
          </w:tcPr>
          <w:p>
            <w:pPr>
              <w:pStyle w:val="TableParagraph"/>
              <w:spacing w:line="316" w:lineRule="auto" w:before="49"/>
              <w:ind w:left="30" w:right="72"/>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长春高琦聚酰亚胺材料有限公司，本公司原控股子公司，截止</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 公司已将所持有的长春高琦全部股权对外转让</w:t>
            </w:r>
          </w:p>
        </w:tc>
      </w:tr>
      <w:tr>
        <w:trPr>
          <w:trHeight w:val="391" w:hRule="exact"/>
        </w:trPr>
        <w:tc>
          <w:tcPr>
            <w:tcW w:w="2280" w:type="dxa"/>
            <w:vMerge/>
            <w:tcBorders>
              <w:left w:val="single" w:sz="4" w:space="0" w:color="000000"/>
              <w:right w:val="single" w:sz="9"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vMerge/>
            <w:tcBorders>
              <w:left w:val="single" w:sz="10" w:space="0" w:color="D2D2D2"/>
              <w:right w:val="single" w:sz="4" w:space="0" w:color="000000"/>
            </w:tcBorders>
          </w:tcPr>
          <w:p>
            <w:pPr/>
          </w:p>
        </w:tc>
      </w:tr>
      <w:tr>
        <w:trPr>
          <w:trHeight w:val="161" w:hRule="exact"/>
        </w:trPr>
        <w:tc>
          <w:tcPr>
            <w:tcW w:w="2280" w:type="dxa"/>
            <w:vMerge/>
            <w:tcBorders>
              <w:left w:val="single" w:sz="4" w:space="0" w:color="000000"/>
              <w:bottom w:val="single" w:sz="4" w:space="0" w:color="000000"/>
              <w:right w:val="single" w:sz="9"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5" w:type="dxa"/>
            <w:vMerge/>
            <w:tcBorders>
              <w:left w:val="single" w:sz="10" w:space="0" w:color="D2D2D2"/>
              <w:bottom w:val="single" w:sz="4" w:space="0" w:color="000000"/>
              <w:right w:val="single" w:sz="4" w:space="0" w:color="000000"/>
            </w:tcBorders>
          </w:tcPr>
          <w:p>
            <w:pPr/>
          </w:p>
        </w:tc>
      </w:tr>
      <w:tr>
        <w:trPr>
          <w:trHeight w:val="161" w:hRule="exact"/>
        </w:trPr>
        <w:tc>
          <w:tcPr>
            <w:tcW w:w="2280"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5" w:type="dxa"/>
            <w:vMerge w:val="restart"/>
            <w:tcBorders>
              <w:top w:val="single" w:sz="4" w:space="0" w:color="000000"/>
              <w:left w:val="single" w:sz="10" w:space="0" w:color="D2D2D2"/>
              <w:right w:val="single" w:sz="4" w:space="0" w:color="000000"/>
            </w:tcBorders>
          </w:tcPr>
          <w:p>
            <w:pPr>
              <w:pStyle w:val="TableParagraph"/>
              <w:spacing w:line="316" w:lineRule="auto" w:before="49"/>
              <w:ind w:left="30" w:right="75"/>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吉林高琦聚酰亚胺材料有限公司，为长春高琦全资控股子公司，本公司原间接控股 子公司</w:t>
            </w:r>
          </w:p>
        </w:tc>
      </w:tr>
      <w:tr>
        <w:trPr>
          <w:trHeight w:val="394" w:hRule="exact"/>
        </w:trPr>
        <w:tc>
          <w:tcPr>
            <w:tcW w:w="2280" w:type="dxa"/>
            <w:vMerge/>
            <w:tcBorders>
              <w:left w:val="single" w:sz="4" w:space="0" w:color="000000"/>
              <w:right w:val="single" w:sz="9"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vMerge/>
            <w:tcBorders>
              <w:left w:val="single" w:sz="10" w:space="0" w:color="D2D2D2"/>
              <w:right w:val="single" w:sz="4" w:space="0" w:color="000000"/>
            </w:tcBorders>
          </w:tcPr>
          <w:p>
            <w:pPr/>
          </w:p>
        </w:tc>
      </w:tr>
      <w:tr>
        <w:trPr>
          <w:trHeight w:val="161" w:hRule="exact"/>
        </w:trPr>
        <w:tc>
          <w:tcPr>
            <w:tcW w:w="2280" w:type="dxa"/>
            <w:vMerge/>
            <w:tcBorders>
              <w:left w:val="single" w:sz="4" w:space="0" w:color="000000"/>
              <w:bottom w:val="single" w:sz="4" w:space="0" w:color="000000"/>
              <w:right w:val="single" w:sz="9"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5" w:type="dxa"/>
            <w:vMerge/>
            <w:tcBorders>
              <w:left w:val="single" w:sz="10" w:space="0" w:color="D2D2D2"/>
              <w:bottom w:val="single" w:sz="4" w:space="0" w:color="000000"/>
              <w:right w:val="single" w:sz="4" w:space="0" w:color="000000"/>
            </w:tcBorders>
          </w:tcPr>
          <w:p>
            <w:pP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长春聚明光电材料有限公司，为长春高琦控股子公司，本公司原间接控股子公司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吉林高航复合材料有限公司，为长春高琦控股子公司，本公司原间接控股子公司</w:t>
            </w:r>
          </w:p>
        </w:tc>
      </w:tr>
      <w:tr>
        <w:trPr>
          <w:trHeight w:val="161" w:hRule="exact"/>
        </w:trPr>
        <w:tc>
          <w:tcPr>
            <w:tcW w:w="2280"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5" w:type="dxa"/>
            <w:vMerge w:val="restart"/>
            <w:tcBorders>
              <w:top w:val="single" w:sz="4" w:space="0" w:color="000000"/>
              <w:left w:val="single" w:sz="10" w:space="0" w:color="D2D2D2"/>
              <w:right w:val="single" w:sz="4" w:space="0" w:color="000000"/>
            </w:tcBorders>
          </w:tcPr>
          <w:p>
            <w:pPr>
              <w:pStyle w:val="TableParagraph"/>
              <w:spacing w:line="316" w:lineRule="auto" w:before="49"/>
              <w:ind w:left="30" w:right="72"/>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江西先材纳米纤维科技有限公司，本公司原控股子公司，截止</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 公司已将所持有的江西先材全部股权对外转让</w:t>
            </w:r>
          </w:p>
        </w:tc>
      </w:tr>
      <w:tr>
        <w:trPr>
          <w:trHeight w:val="391" w:hRule="exact"/>
        </w:trPr>
        <w:tc>
          <w:tcPr>
            <w:tcW w:w="2280" w:type="dxa"/>
            <w:vMerge/>
            <w:tcBorders>
              <w:left w:val="single" w:sz="4" w:space="0" w:color="000000"/>
              <w:right w:val="single" w:sz="9"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vMerge/>
            <w:tcBorders>
              <w:left w:val="single" w:sz="10" w:space="0" w:color="D2D2D2"/>
              <w:right w:val="single" w:sz="4" w:space="0" w:color="000000"/>
            </w:tcBorders>
          </w:tcPr>
          <w:p>
            <w:pPr/>
          </w:p>
        </w:tc>
      </w:tr>
      <w:tr>
        <w:trPr>
          <w:trHeight w:val="161" w:hRule="exact"/>
        </w:trPr>
        <w:tc>
          <w:tcPr>
            <w:tcW w:w="2280" w:type="dxa"/>
            <w:vMerge/>
            <w:tcBorders>
              <w:left w:val="single" w:sz="4" w:space="0" w:color="000000"/>
              <w:bottom w:val="single" w:sz="4" w:space="0" w:color="000000"/>
              <w:right w:val="single" w:sz="9"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5" w:type="dxa"/>
            <w:vMerge/>
            <w:tcBorders>
              <w:left w:val="single" w:sz="10" w:space="0" w:color="D2D2D2"/>
              <w:bottom w:val="single" w:sz="4" w:space="0" w:color="000000"/>
              <w:right w:val="single" w:sz="4" w:space="0" w:color="000000"/>
            </w:tcBorders>
          </w:tcPr>
          <w:p>
            <w:pP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香港惠程有限公司，本公司全资子公司</w:t>
            </w:r>
          </w:p>
        </w:tc>
      </w:tr>
      <w:tr>
        <w:trPr>
          <w:trHeight w:val="161" w:hRule="exact"/>
        </w:trPr>
        <w:tc>
          <w:tcPr>
            <w:tcW w:w="2280"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5" w:type="dxa"/>
            <w:vMerge w:val="restart"/>
            <w:tcBorders>
              <w:top w:val="single" w:sz="4" w:space="0" w:color="000000"/>
              <w:left w:val="single" w:sz="10" w:space="0" w:color="D2D2D2"/>
              <w:right w:val="single" w:sz="4" w:space="0" w:color="000000"/>
            </w:tcBorders>
          </w:tcPr>
          <w:p>
            <w:pPr>
              <w:pStyle w:val="TableParagraph"/>
              <w:spacing w:line="316" w:lineRule="auto" w:before="49"/>
              <w:ind w:left="30" w:right="75"/>
              <w:jc w:val="left"/>
              <w:rPr>
                <w:rFonts w:ascii="宋体" w:hAnsi="宋体" w:cs="宋体" w:eastAsia="宋体" w:hint="default"/>
                <w:sz w:val="18"/>
                <w:szCs w:val="18"/>
              </w:rPr>
            </w:pPr>
            <w:r>
              <w:rPr>
                <w:rFonts w:ascii="宋体" w:hAnsi="宋体" w:cs="宋体" w:eastAsia="宋体" w:hint="default"/>
                <w:sz w:val="18"/>
                <w:szCs w:val="18"/>
              </w:rPr>
              <w:t>深圳市惠程智能电力设备有限公司，本公司全资子公司，原名深圳市惠程高能能源 科技有限公司</w:t>
            </w:r>
          </w:p>
        </w:tc>
      </w:tr>
      <w:tr>
        <w:trPr>
          <w:trHeight w:val="391" w:hRule="exact"/>
        </w:trPr>
        <w:tc>
          <w:tcPr>
            <w:tcW w:w="2280" w:type="dxa"/>
            <w:vMerge/>
            <w:tcBorders>
              <w:left w:val="single" w:sz="4" w:space="0" w:color="000000"/>
              <w:right w:val="single" w:sz="9"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vMerge/>
            <w:tcBorders>
              <w:left w:val="single" w:sz="10" w:space="0" w:color="D2D2D2"/>
              <w:right w:val="single" w:sz="4" w:space="0" w:color="000000"/>
            </w:tcBorders>
          </w:tcPr>
          <w:p>
            <w:pPr/>
          </w:p>
        </w:tc>
      </w:tr>
      <w:tr>
        <w:trPr>
          <w:trHeight w:val="161" w:hRule="exact"/>
        </w:trPr>
        <w:tc>
          <w:tcPr>
            <w:tcW w:w="2280" w:type="dxa"/>
            <w:vMerge/>
            <w:tcBorders>
              <w:left w:val="single" w:sz="4" w:space="0" w:color="000000"/>
              <w:bottom w:val="single" w:sz="4" w:space="0" w:color="000000"/>
              <w:right w:val="single" w:sz="9"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5" w:type="dxa"/>
            <w:vMerge/>
            <w:tcBorders>
              <w:left w:val="single" w:sz="10" w:space="0" w:color="D2D2D2"/>
              <w:bottom w:val="single" w:sz="4" w:space="0" w:color="000000"/>
              <w:right w:val="single" w:sz="4" w:space="0" w:color="000000"/>
            </w:tcBorders>
          </w:tcPr>
          <w:p>
            <w:pP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中汇联银投资管理（北京）有限公司，本公司全资子公司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喀什中汇联银创业投资有限公司，本公司全资子公司</w:t>
            </w:r>
          </w:p>
        </w:tc>
      </w:tr>
      <w:tr>
        <w:trPr>
          <w:trHeight w:val="161" w:hRule="exact"/>
        </w:trPr>
        <w:tc>
          <w:tcPr>
            <w:tcW w:w="2280"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5" w:type="dxa"/>
            <w:vMerge w:val="restart"/>
            <w:tcBorders>
              <w:top w:val="single" w:sz="4" w:space="0" w:color="000000"/>
              <w:left w:val="single" w:sz="10" w:space="0" w:color="D2D2D2"/>
              <w:right w:val="single" w:sz="4" w:space="0" w:color="000000"/>
            </w:tcBorders>
          </w:tcPr>
          <w:p>
            <w:pPr>
              <w:pStyle w:val="TableParagraph"/>
              <w:spacing w:line="316" w:lineRule="auto" w:before="49"/>
              <w:ind w:left="30" w:right="75"/>
              <w:jc w:val="left"/>
              <w:rPr>
                <w:rFonts w:ascii="宋体" w:hAnsi="宋体" w:cs="宋体" w:eastAsia="宋体" w:hint="default"/>
                <w:sz w:val="18"/>
                <w:szCs w:val="18"/>
              </w:rPr>
            </w:pPr>
            <w:r>
              <w:rPr>
                <w:rFonts w:ascii="宋体" w:hAnsi="宋体" w:cs="宋体" w:eastAsia="宋体" w:hint="default"/>
                <w:sz w:val="18"/>
                <w:szCs w:val="18"/>
              </w:rPr>
              <w:t>中行置盛投资（北京）有限公司，为中汇联银投资管理（北京）有限公司全资控股 子公司，本公司间接控股子公司</w:t>
            </w:r>
          </w:p>
        </w:tc>
      </w:tr>
      <w:tr>
        <w:trPr>
          <w:trHeight w:val="394" w:hRule="exact"/>
        </w:trPr>
        <w:tc>
          <w:tcPr>
            <w:tcW w:w="2280" w:type="dxa"/>
            <w:vMerge/>
            <w:tcBorders>
              <w:left w:val="single" w:sz="4" w:space="0" w:color="000000"/>
              <w:right w:val="single" w:sz="9"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vMerge/>
            <w:tcBorders>
              <w:left w:val="single" w:sz="10" w:space="0" w:color="D2D2D2"/>
              <w:right w:val="single" w:sz="4" w:space="0" w:color="000000"/>
            </w:tcBorders>
          </w:tcPr>
          <w:p>
            <w:pPr/>
          </w:p>
        </w:tc>
      </w:tr>
      <w:tr>
        <w:trPr>
          <w:trHeight w:val="161" w:hRule="exact"/>
        </w:trPr>
        <w:tc>
          <w:tcPr>
            <w:tcW w:w="2280" w:type="dxa"/>
            <w:vMerge/>
            <w:tcBorders>
              <w:left w:val="single" w:sz="4" w:space="0" w:color="000000"/>
              <w:bottom w:val="single" w:sz="4" w:space="0" w:color="000000"/>
              <w:right w:val="single" w:sz="9"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5" w:type="dxa"/>
            <w:vMerge/>
            <w:tcBorders>
              <w:left w:val="single" w:sz="10" w:space="0" w:color="D2D2D2"/>
              <w:bottom w:val="single" w:sz="4" w:space="0" w:color="000000"/>
              <w:right w:val="single" w:sz="4" w:space="0" w:color="000000"/>
            </w:tcBorders>
          </w:tcPr>
          <w:p>
            <w:pPr/>
          </w:p>
        </w:tc>
      </w:tr>
      <w:tr>
        <w:trPr>
          <w:trHeight w:val="161" w:hRule="exact"/>
        </w:trPr>
        <w:tc>
          <w:tcPr>
            <w:tcW w:w="2280"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5" w:type="dxa"/>
            <w:vMerge w:val="restart"/>
            <w:tcBorders>
              <w:top w:val="single" w:sz="4" w:space="0" w:color="000000"/>
              <w:left w:val="single" w:sz="10" w:space="0" w:color="D2D2D2"/>
              <w:right w:val="single" w:sz="4" w:space="0" w:color="000000"/>
            </w:tcBorders>
          </w:tcPr>
          <w:p>
            <w:pPr>
              <w:pStyle w:val="TableParagraph"/>
              <w:spacing w:line="319" w:lineRule="auto" w:before="49"/>
              <w:ind w:left="30" w:right="75"/>
              <w:jc w:val="left"/>
              <w:rPr>
                <w:rFonts w:ascii="宋体" w:hAnsi="宋体" w:cs="宋体" w:eastAsia="宋体" w:hint="default"/>
                <w:sz w:val="18"/>
                <w:szCs w:val="18"/>
              </w:rPr>
            </w:pPr>
            <w:r>
              <w:rPr>
                <w:rFonts w:ascii="宋体" w:hAnsi="宋体" w:cs="宋体" w:eastAsia="宋体" w:hint="default"/>
                <w:sz w:val="18"/>
                <w:szCs w:val="18"/>
              </w:rPr>
              <w:t>中融建银投资（北京）有限公司，为中汇联银投资管理（北京）有限公司全资控股 子公司，本公司间接控股子公司</w:t>
            </w:r>
          </w:p>
        </w:tc>
      </w:tr>
      <w:tr>
        <w:trPr>
          <w:trHeight w:val="391" w:hRule="exact"/>
        </w:trPr>
        <w:tc>
          <w:tcPr>
            <w:tcW w:w="2280" w:type="dxa"/>
            <w:vMerge/>
            <w:tcBorders>
              <w:left w:val="single" w:sz="4" w:space="0" w:color="000000"/>
              <w:right w:val="single" w:sz="9"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vMerge/>
            <w:tcBorders>
              <w:left w:val="single" w:sz="10" w:space="0" w:color="D2D2D2"/>
              <w:right w:val="single" w:sz="4" w:space="0" w:color="000000"/>
            </w:tcBorders>
          </w:tcPr>
          <w:p>
            <w:pPr/>
          </w:p>
        </w:tc>
      </w:tr>
      <w:tr>
        <w:trPr>
          <w:trHeight w:val="161" w:hRule="exact"/>
        </w:trPr>
        <w:tc>
          <w:tcPr>
            <w:tcW w:w="2280" w:type="dxa"/>
            <w:vMerge/>
            <w:tcBorders>
              <w:left w:val="single" w:sz="4" w:space="0" w:color="000000"/>
              <w:bottom w:val="single" w:sz="4" w:space="0" w:color="000000"/>
              <w:right w:val="single" w:sz="9"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5" w:type="dxa"/>
            <w:vMerge/>
            <w:tcBorders>
              <w:left w:val="single" w:sz="10" w:space="0" w:color="D2D2D2"/>
              <w:bottom w:val="single" w:sz="4" w:space="0" w:color="000000"/>
              <w:right w:val="single" w:sz="4" w:space="0" w:color="000000"/>
            </w:tcBorders>
          </w:tcPr>
          <w:p>
            <w:pP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金喜凯德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北京金喜凯德科技有限公司，本公司持股</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的参股公司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r>
              <w:rPr>
                <w:rFonts w:ascii="宋体" w:hAnsi="宋体" w:cs="宋体" w:eastAsia="宋体" w:hint="default"/>
                <w:spacing w:val="-92"/>
                <w:sz w:val="18"/>
                <w:szCs w:val="18"/>
              </w:rPr>
              <w:t>）</w:t>
            </w:r>
            <w:r>
              <w:rPr>
                <w:rFonts w:ascii="宋体" w:hAnsi="宋体" w:cs="宋体" w:eastAsia="宋体" w:hint="default"/>
                <w:sz w:val="18"/>
                <w:szCs w:val="18"/>
              </w:rPr>
              <w:t>，本公司所聘年审会计</w:t>
            </w:r>
            <w:r>
              <w:rPr>
                <w:rFonts w:ascii="宋体" w:hAnsi="宋体" w:cs="宋体" w:eastAsia="宋体" w:hint="default"/>
                <w:spacing w:val="2"/>
                <w:sz w:val="18"/>
                <w:szCs w:val="18"/>
              </w:rPr>
              <w:t>师</w:t>
            </w:r>
            <w:r>
              <w:rPr>
                <w:rFonts w:ascii="宋体" w:hAnsi="宋体" w:cs="宋体" w:eastAsia="宋体" w:hint="default"/>
                <w:sz w:val="18"/>
                <w:szCs w:val="18"/>
              </w:rPr>
              <w:t>事务所</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《规范运作指引》</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《深圳证券交易所中小企业板上市公司规范运作指引》</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70"/>
        <w:gridCol w:w="697"/>
        <w:gridCol w:w="6605"/>
      </w:tblGrid>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1060960"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53"/>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深圳惠程</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sz w:val="18"/>
              </w:rPr>
              <w:t>002168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深圳惠程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SHENZHEN HIFUTURE ELECTRIC CO.,</w:t>
            </w:r>
            <w:r>
              <w:rPr>
                <w:rFonts w:ascii="宋体"/>
                <w:spacing w:val="-14"/>
                <w:sz w:val="18"/>
              </w:rPr>
              <w:t> </w:t>
            </w:r>
            <w:r>
              <w:rPr>
                <w:rFonts w:ascii="宋体"/>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sz w:val="18"/>
              </w:rPr>
              <w:t>HIFUTURE</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纪晓文</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518118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518118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www.hifuture.com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10">
              <w:r>
                <w:rPr>
                  <w:rFonts w:ascii="宋体"/>
                  <w:sz w:val="18"/>
                </w:rPr>
                <w:t>info@hifuture.com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温秋萍</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 锦绣路以南惠程科技工业厂区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 锦绣路以南惠程科技工业厂区</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sz w:val="18"/>
              </w:rPr>
              <w:t>0755-82763639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0755-82767767</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sz w:val="18"/>
              </w:rPr>
              <w:t>0755-82767036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0755-82767036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hyperlink r:id="rId11">
              <w:r>
                <w:rPr>
                  <w:rFonts w:ascii="宋体"/>
                  <w:sz w:val="18"/>
                </w:rPr>
                <w:t>fangli@hifuture.com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wenqiuping@hifuture.com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深圳市惠程电气股份有限公司董事会办公室</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四、注册变更情况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61"/>
        <w:jc w:val="right"/>
      </w:pPr>
      <w:r>
        <w:rPr/>
        <w:pict>
          <v:shape style="position:absolute;margin-left:56.459999pt;margin-top:-136.27829pt;width:479.2pt;height:207.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0"/>
                    <w:gridCol w:w="7019"/>
                  </w:tblGrid>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914403007152119019</w:t>
                        </w:r>
                      </w:p>
                    </w:tc>
                  </w:tr>
                  <w:tr>
                    <w:trPr>
                      <w:trHeight w:val="2979"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22" w:right="177"/>
                          <w:jc w:val="left"/>
                          <w:rPr>
                            <w:rFonts w:ascii="宋体" w:hAnsi="宋体" w:cs="宋体" w:eastAsia="宋体" w:hint="default"/>
                            <w:sz w:val="18"/>
                            <w:szCs w:val="18"/>
                          </w:rPr>
                        </w:pPr>
                        <w:r>
                          <w:rPr>
                            <w:rFonts w:ascii="宋体" w:hAnsi="宋体" w:cs="宋体" w:eastAsia="宋体" w:hint="default"/>
                            <w:sz w:val="18"/>
                            <w:szCs w:val="18"/>
                          </w:rPr>
                          <w:t>公司上市以来主营业务的变化 情况（如有）</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firstLine="360"/>
                          <w:jc w:val="both"/>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日，公司主营业务为“电缆分支箱、环网柜等相关电力配网设备、电 </w:t>
                        </w:r>
                        <w:r>
                          <w:rPr>
                            <w:rFonts w:ascii="宋体" w:hAnsi="宋体" w:cs="宋体" w:eastAsia="宋体" w:hint="default"/>
                            <w:spacing w:val="-2"/>
                            <w:sz w:val="18"/>
                            <w:szCs w:val="18"/>
                          </w:rPr>
                          <w:t>力电缆附件等高分子绝缘材料及相关制品的生产；高分子绝缘材料，电工器材的购销；经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营进口业务；自有产品的售后服务”；</w:t>
                        </w:r>
                      </w:p>
                      <w:p>
                        <w:pPr>
                          <w:pStyle w:val="TableParagraph"/>
                          <w:spacing w:line="319" w:lineRule="auto" w:before="57"/>
                          <w:ind w:left="24" w:right="22"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日，公司主营业务增加“高低压电器、高低压成套开关设备、箱式变 </w:t>
                        </w:r>
                        <w:r>
                          <w:rPr>
                            <w:rFonts w:ascii="宋体" w:hAnsi="宋体" w:cs="宋体" w:eastAsia="宋体" w:hint="default"/>
                            <w:spacing w:val="-2"/>
                            <w:sz w:val="18"/>
                            <w:szCs w:val="18"/>
                          </w:rPr>
                          <w:t>电站、电力自动化产品、跌落式熔断器、柱上开关、柱上断路器、管母线等相关电力配网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设备的生产、销售及施工服务；聚酰亚胺纤维、纳米纤维、薄膜、树脂及复合材料的综合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研究开发及相关材料购销”；</w:t>
                        </w:r>
                      </w:p>
                      <w:p>
                        <w:pPr>
                          <w:pStyle w:val="TableParagraph"/>
                          <w:spacing w:line="316" w:lineRule="auto" w:before="58"/>
                          <w:ind w:left="24" w:right="114" w:firstLine="36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日，公司主营业务增加“股权投资、资产管理、投资咨询；物业投资 物业经营、物业管理”。</w:t>
                        </w:r>
                      </w:p>
                    </w:tc>
                  </w:tr>
                  <w:tr>
                    <w:trPr>
                      <w:trHeight w:val="75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2" w:right="177"/>
                          <w:jc w:val="left"/>
                          <w:rPr>
                            <w:rFonts w:ascii="宋体" w:hAnsi="宋体" w:cs="宋体" w:eastAsia="宋体" w:hint="default"/>
                            <w:sz w:val="18"/>
                            <w:szCs w:val="18"/>
                          </w:rPr>
                        </w:pPr>
                        <w:r>
                          <w:rPr>
                            <w:rFonts w:ascii="宋体" w:hAnsi="宋体" w:cs="宋体" w:eastAsia="宋体" w:hint="default"/>
                            <w:sz w:val="18"/>
                            <w:szCs w:val="18"/>
                          </w:rPr>
                          <w:t>历次控股股东的变更情况（如 有）</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7"/>
                            <w:sz w:val="18"/>
                            <w:szCs w:val="18"/>
                          </w:rPr>
                          <w:t> </w:t>
                        </w:r>
                        <w:r>
                          <w:rPr>
                            <w:rFonts w:ascii="宋体" w:hAnsi="宋体" w:cs="宋体" w:eastAsia="宋体" w:hint="default"/>
                            <w:sz w:val="18"/>
                            <w:szCs w:val="18"/>
                          </w:rPr>
                          <w:t>年至</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日，公司控股股东兼实际控制人为吕晓义、何平、任金生</w:t>
                        </w:r>
                      </w:p>
                      <w:p>
                        <w:pPr>
                          <w:pStyle w:val="TableParagraph"/>
                          <w:spacing w:line="240" w:lineRule="auto" w:before="115"/>
                          <w:ind w:left="38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日至今，公司控股股东兼实际控制人为何平、任金生。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26"/>
        <w:ind w:right="153"/>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深圳市福田区香梅路中投国际商务中心</w:t>
            </w:r>
            <w:r>
              <w:rPr>
                <w:rFonts w:ascii="宋体" w:hAnsi="宋体" w:cs="宋体" w:eastAsia="宋体" w:hint="default"/>
                <w:spacing w:val="-44"/>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陈琼、钟宇</w:t>
            </w:r>
          </w:p>
        </w:tc>
      </w:tr>
    </w:tbl>
    <w:p>
      <w:pPr>
        <w:pStyle w:val="BodyText"/>
        <w:spacing w:line="240" w:lineRule="auto" w:before="49"/>
        <w:ind w:right="153"/>
        <w:jc w:val="left"/>
      </w:pPr>
      <w:r>
        <w:rPr/>
        <w:t>公司聘请的报告期内履行持续督导职责的保荐机构</w:t>
      </w:r>
    </w:p>
    <w:p>
      <w:pPr>
        <w:pStyle w:val="BodyText"/>
        <w:spacing w:line="360" w:lineRule="auto" w:before="115"/>
        <w:ind w:right="5814"/>
        <w:jc w:val="left"/>
      </w:pPr>
      <w:r>
        <w:rPr/>
        <w:t>□ 适用 √</w:t>
      </w:r>
      <w:r>
        <w:rPr>
          <w:spacing w:val="3"/>
        </w:rPr>
        <w:t> </w:t>
      </w:r>
      <w:r>
        <w:rPr/>
        <w:t>不适用</w:t>
      </w:r>
      <w:r>
        <w:rPr/>
        <w:t> 公司聘请的报告期内履行持续督导职责的财务顾问</w:t>
      </w:r>
    </w:p>
    <w:p>
      <w:pPr>
        <w:pStyle w:val="BodyText"/>
        <w:spacing w:line="240" w:lineRule="auto" w:before="25"/>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公司是否因会计政策变更及会计差错更正等追溯调整或重述以前年度会计数据</w:t>
      </w:r>
    </w:p>
    <w:p>
      <w:pPr>
        <w:pStyle w:val="BodyText"/>
        <w:spacing w:line="240" w:lineRule="auto" w:before="117"/>
        <w:ind w:right="153"/>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209,370,332.34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313,200,970.58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-33.15%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432,770,239.75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128,331,538.12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-88,852,296.24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244.43%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35,659,127.27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26,708,461.83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-91,339,214.65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129.24%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27,915,594.21</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2,863,725.58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57,850,330.69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-95.05%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69,548,575.81</w:t>
            </w:r>
          </w:p>
        </w:tc>
      </w:tr>
    </w:tbl>
    <w:p>
      <w:pPr>
        <w:spacing w:after="0" w:line="240" w:lineRule="auto"/>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241.67%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-8.21%</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1,387,554,348.21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1,588,365,748.10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-12.64%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1,444,110,905.62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1,160,617,682.91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1,043,574,328.05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1,119,634,336.98</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234"/>
        <w:jc w:val="left"/>
      </w:pPr>
      <w:r>
        <w:rPr/>
        <w:t>□ 适用 √</w:t>
      </w:r>
      <w:r>
        <w:rPr>
          <w:spacing w:val="3"/>
        </w:rPr>
        <w:t> </w:t>
      </w:r>
      <w:r>
        <w:rPr/>
        <w:t>不适用</w:t>
      </w:r>
      <w:r>
        <w:rPr/>
        <w:t> 公司报告期不存在按照国际会计准则与按照中国会计准则披露的财务报告中净利润和净资产差异情况。</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1674"/>
        <w:jc w:val="left"/>
      </w:pPr>
      <w:r>
        <w:rPr/>
        <w:t>□ 适用 √</w:t>
      </w:r>
      <w:r>
        <w:rPr>
          <w:spacing w:val="3"/>
        </w:rPr>
        <w:t> </w:t>
      </w:r>
      <w:r>
        <w:rPr/>
        <w:t>不适用</w:t>
      </w:r>
      <w:r>
        <w:rPr/>
        <w:t> 公司报告期不存在按照境外会计准则与按照中国会计准则披露的财务报告中净利润和净资产差异情况。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2"/>
        <w:spacing w:line="240" w:lineRule="auto"/>
        <w:ind w:right="15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41" w:right="0"/>
              <w:jc w:val="left"/>
              <w:rPr>
                <w:rFonts w:ascii="宋体" w:hAnsi="宋体" w:cs="宋体" w:eastAsia="宋体" w:hint="default"/>
                <w:sz w:val="18"/>
                <w:szCs w:val="18"/>
              </w:rPr>
            </w:pPr>
            <w:r>
              <w:rPr>
                <w:rFonts w:ascii="宋体"/>
                <w:sz w:val="18"/>
              </w:rPr>
              <w:t>32,904,867.64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45,575,666.81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56,636,580.02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sz w:val="18"/>
              </w:rPr>
              <w:t>74,253,217.87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41" w:right="0"/>
              <w:jc w:val="left"/>
              <w:rPr>
                <w:rFonts w:ascii="宋体" w:hAnsi="宋体" w:cs="宋体" w:eastAsia="宋体" w:hint="default"/>
                <w:sz w:val="18"/>
                <w:szCs w:val="18"/>
              </w:rPr>
            </w:pPr>
            <w:r>
              <w:rPr>
                <w:rFonts w:ascii="宋体"/>
                <w:sz w:val="18"/>
              </w:rPr>
              <w:t>19,859,131.38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89,223,188.49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2,721,111.82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sz w:val="18"/>
              </w:rPr>
              <w:t>16,528,106.43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sz w:val="18"/>
              </w:rPr>
              <w:t>-15,090,692.92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-25,332,459.07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-4,388,824.39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sz w:val="18"/>
              </w:rPr>
              <w:t>71,520,438.21</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41" w:right="0"/>
              <w:jc w:val="left"/>
              <w:rPr>
                <w:rFonts w:ascii="宋体" w:hAnsi="宋体" w:cs="宋体" w:eastAsia="宋体" w:hint="default"/>
                <w:sz w:val="18"/>
                <w:szCs w:val="18"/>
              </w:rPr>
            </w:pPr>
            <w:r>
              <w:rPr>
                <w:rFonts w:ascii="宋体"/>
                <w:sz w:val="18"/>
              </w:rPr>
              <w:t>11,326,009.17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-2,703,093.85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-1,382,282.31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sz w:val="18"/>
              </w:rPr>
              <w:t>-4,376,907.43</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5"/>
        <w:ind w:right="153"/>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4"/>
        <w:gridCol w:w="1522"/>
        <w:gridCol w:w="1520"/>
        <w:gridCol w:w="1522"/>
        <w:gridCol w:w="1711"/>
      </w:tblGrid>
      <w:tr>
        <w:trPr>
          <w:trHeight w:val="40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42" w:hRule="exact"/>
        </w:trPr>
        <w:tc>
          <w:tcPr>
            <w:tcW w:w="3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9" w:right="0"/>
              <w:jc w:val="left"/>
              <w:rPr>
                <w:rFonts w:ascii="宋体" w:hAnsi="宋体" w:cs="宋体" w:eastAsia="宋体" w:hint="default"/>
                <w:sz w:val="18"/>
                <w:szCs w:val="18"/>
              </w:rPr>
            </w:pPr>
            <w:r>
              <w:rPr>
                <w:rFonts w:ascii="宋体"/>
                <w:sz w:val="18"/>
              </w:rPr>
              <w:t>60,144,474.29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16" w:right="0"/>
              <w:jc w:val="left"/>
              <w:rPr>
                <w:rFonts w:ascii="宋体" w:hAnsi="宋体" w:cs="宋体" w:eastAsia="宋体" w:hint="default"/>
                <w:sz w:val="18"/>
                <w:szCs w:val="18"/>
              </w:rPr>
            </w:pPr>
            <w:r>
              <w:rPr>
                <w:rFonts w:ascii="宋体"/>
                <w:sz w:val="18"/>
              </w:rPr>
              <w:t>-4,990,538.48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99" w:right="0"/>
              <w:jc w:val="left"/>
              <w:rPr>
                <w:rFonts w:ascii="宋体" w:hAnsi="宋体" w:cs="宋体" w:eastAsia="宋体" w:hint="default"/>
                <w:sz w:val="18"/>
                <w:szCs w:val="18"/>
              </w:rPr>
            </w:pPr>
            <w:r>
              <w:rPr>
                <w:rFonts w:ascii="宋体"/>
                <w:sz w:val="18"/>
              </w:rPr>
              <w:t>-423,597.07</w:t>
            </w:r>
          </w:p>
        </w:tc>
        <w:tc>
          <w:tcPr>
            <w:tcW w:w="1711"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包含处置子公司江西 先材与长春高琦股权 形成的投资收益</w:t>
            </w:r>
          </w:p>
        </w:tc>
      </w:tr>
      <w:tr>
        <w:trPr>
          <w:trHeight w:val="704" w:hRule="exact"/>
        </w:trPr>
        <w:tc>
          <w:tcPr>
            <w:tcW w:w="3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42" w:hRule="exact"/>
        </w:trPr>
        <w:tc>
          <w:tcPr>
            <w:tcW w:w="3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98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60,993,562.81</w:t>
            </w:r>
            <w:r>
              <w:rPr>
                <w:rFonts w:ascii="宋体" w:hAnsi="宋体" w:cs="宋体" w:eastAsia="宋体" w:hint="default"/>
                <w:spacing w:val="-49"/>
                <w:sz w:val="18"/>
                <w:szCs w:val="18"/>
              </w:rPr>
              <w:t> </w:t>
            </w:r>
            <w:r>
              <w:rPr>
                <w:rFonts w:ascii="宋体" w:hAnsi="宋体" w:cs="宋体" w:eastAsia="宋体" w:hint="default"/>
                <w:sz w:val="18"/>
                <w:szCs w:val="18"/>
              </w:rPr>
              <w:t>元及</w:t>
            </w:r>
          </w:p>
          <w:p>
            <w:pPr>
              <w:pStyle w:val="TableParagraph"/>
              <w:spacing w:line="316" w:lineRule="auto" w:before="76"/>
              <w:ind w:left="23" w:right="55"/>
              <w:jc w:val="left"/>
              <w:rPr>
                <w:rFonts w:ascii="宋体" w:hAnsi="宋体" w:cs="宋体" w:eastAsia="宋体" w:hint="default"/>
                <w:sz w:val="18"/>
                <w:szCs w:val="18"/>
              </w:rPr>
            </w:pPr>
            <w:r>
              <w:rPr>
                <w:rFonts w:ascii="宋体" w:hAnsi="宋体" w:cs="宋体" w:eastAsia="宋体" w:hint="default"/>
                <w:sz w:val="18"/>
                <w:szCs w:val="18"/>
              </w:rPr>
              <w:t>处置资产形成的净损 失</w:t>
            </w:r>
            <w:r>
              <w:rPr>
                <w:rFonts w:ascii="宋体" w:hAnsi="宋体" w:cs="宋体" w:eastAsia="宋体" w:hint="default"/>
                <w:spacing w:val="-47"/>
                <w:sz w:val="18"/>
                <w:szCs w:val="18"/>
              </w:rPr>
              <w:t> </w:t>
            </w:r>
            <w:r>
              <w:rPr>
                <w:rFonts w:ascii="宋体" w:hAnsi="宋体" w:cs="宋体" w:eastAsia="宋体" w:hint="default"/>
                <w:sz w:val="18"/>
                <w:szCs w:val="18"/>
              </w:rPr>
              <w:t>849,088.52</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7,621,921.92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11,172,699.15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11,241,733.56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r>
      <w:tr>
        <w:trPr>
          <w:trHeight w:val="165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41,183,900.95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6,244,972.54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母公司进行证券投资 取得的收益</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-269,248.40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-8,201,526.17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156,248.80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6,211,269.30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-179,112.47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2,267,604.19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846,703.17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1,917,801.10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963,248.04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101,623,076.29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2,486,918.41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7,743,533.06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6"/>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57"/>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6308"/>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北京中汇联银、喀什中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汇联银证券、理财投资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81,608,046.86</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2"/>
                <w:sz w:val="18"/>
                <w:szCs w:val="18"/>
              </w:rPr>
              <w:t>北京中汇联银、喀什中汇联银作为公司设立的专门投资业务平台，主要从事投资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类业务，证券、理财投资系两家子公司经常性发生的业务，具有持续性，不符合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非经常性损益的与主营业务无关且偶发性特性。</w:t>
            </w:r>
          </w:p>
        </w:tc>
      </w:tr>
      <w:tr>
        <w:trPr>
          <w:trHeight w:val="106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24" w:right="189"/>
              <w:jc w:val="left"/>
              <w:rPr>
                <w:rFonts w:ascii="宋体" w:hAnsi="宋体" w:cs="宋体" w:eastAsia="宋体" w:hint="default"/>
                <w:sz w:val="18"/>
                <w:szCs w:val="18"/>
              </w:rPr>
            </w:pPr>
            <w:r>
              <w:rPr>
                <w:rFonts w:ascii="宋体" w:hAnsi="宋体" w:cs="宋体" w:eastAsia="宋体" w:hint="default"/>
                <w:sz w:val="18"/>
                <w:szCs w:val="18"/>
              </w:rPr>
              <w:t>惠程本部理财产品收 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宋体" w:hAnsi="宋体" w:cs="宋体" w:eastAsia="宋体" w:hint="default"/>
                <w:sz w:val="18"/>
                <w:szCs w:val="18"/>
              </w:rPr>
            </w:pPr>
            <w:r>
              <w:rPr>
                <w:rFonts w:ascii="宋体"/>
                <w:spacing w:val="-1"/>
                <w:sz w:val="18"/>
              </w:rPr>
              <w:t>17,658,094.09</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、公司报告期内新增投资业务作为主营业务之一；</w:t>
            </w:r>
          </w:p>
          <w:p>
            <w:pPr>
              <w:pStyle w:val="TableParagraph"/>
              <w:spacing w:line="316" w:lineRule="auto" w:before="115"/>
              <w:ind w:left="24" w:right="6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、公司的理财业务属于经常性业务，未来将持续进行，且均投资于保本产品， 收益可持续且稳定；符合经常性损益与主营业务相关且持续稳定的特性。</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5748"/>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16" w:lineRule="auto" w:before="0"/>
        <w:ind w:left="438" w:right="5748"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、主要业务及经营模式</w:t>
      </w:r>
      <w:r>
        <w:rPr>
          <w:rFonts w:ascii="宋体" w:hAnsi="宋体" w:cs="宋体" w:eastAsia="宋体" w:hint="default"/>
          <w:b/>
          <w:bCs/>
          <w:w w:val="99"/>
          <w:sz w:val="18"/>
          <w:szCs w:val="18"/>
        </w:rPr>
        <w:t> </w:t>
      </w:r>
      <w:r>
        <w:rPr>
          <w:rFonts w:ascii="宋体" w:hAnsi="宋体" w:cs="宋体" w:eastAsia="宋体" w:hint="default"/>
          <w:sz w:val="18"/>
          <w:szCs w:val="18"/>
        </w:rPr>
        <w:t>报告期内公司主营业务为电气业务和投资业务。</w:t>
      </w:r>
    </w:p>
    <w:p>
      <w:pPr>
        <w:pStyle w:val="BodyText"/>
        <w:spacing w:line="319" w:lineRule="auto" w:before="19"/>
        <w:ind w:right="94" w:firstLine="274"/>
        <w:jc w:val="left"/>
      </w:pPr>
      <w:r>
        <w:rPr/>
        <w:t>公司电气业务以新型高分子电气绝缘材料技术为特色核心优势，致力于提供专业配网装备及综合解决方案，专业从事高 可靠、全密闭、全绝缘、小型化新一代电气装备的研发、生产、销售、安装及配网综合解决方案。产品包括成套开关设备、 </w:t>
      </w:r>
      <w:r>
        <w:rPr>
          <w:spacing w:val="-2"/>
        </w:rPr>
        <w:t>全密闭绝缘中低压电缆分接箱、电缆对接箱、硅橡胶电缆附件、可分离连接器、外置母线连接器、避雷器、电气接点防护罩</w:t>
      </w:r>
      <w:r>
        <w:rPr>
          <w:spacing w:val="-67"/>
        </w:rPr>
        <w:t> </w:t>
      </w:r>
      <w:r>
        <w:rPr>
          <w:spacing w:val="-67"/>
        </w:rPr>
      </w:r>
      <w:r>
        <w:rPr/>
        <w:t>等硅橡胶绝缘制品、</w:t>
      </w:r>
      <w:r>
        <w:rPr>
          <w:rFonts w:ascii="宋体" w:hAnsi="宋体" w:cs="宋体" w:eastAsia="宋体" w:hint="default"/>
        </w:rPr>
        <w:t>APG</w:t>
      </w:r>
      <w:r>
        <w:rPr/>
        <w:t>环氧树脂产品、管型母线、</w:t>
      </w:r>
      <w:r>
        <w:rPr>
          <w:rFonts w:ascii="宋体" w:hAnsi="宋体" w:cs="宋体" w:eastAsia="宋体" w:hint="default"/>
        </w:rPr>
        <w:t>SMC</w:t>
      </w:r>
      <w:r>
        <w:rPr/>
        <w:t>电气设备箱体等。</w:t>
      </w:r>
    </w:p>
    <w:p>
      <w:pPr>
        <w:pStyle w:val="BodyText"/>
        <w:spacing w:line="316" w:lineRule="auto" w:before="17"/>
        <w:ind w:right="94" w:firstLine="274"/>
        <w:jc w:val="left"/>
      </w:pPr>
      <w:r>
        <w:rPr/>
        <w:t>报告期内公司明确了产业经营与资本运营协同发展的双主业经营发展方向，确定投资业务作为主营业务之一，主要包括 </w:t>
      </w:r>
      <w:r>
        <w:rPr>
          <w:spacing w:val="-2"/>
        </w:rPr>
        <w:t>资金管理和运用为主的理财产品投资、证券投资和股权投资，公司通过购买证券交易品种和理财产品、对非上市公司进行股</w:t>
      </w:r>
      <w:r>
        <w:rPr>
          <w:spacing w:val="-63"/>
        </w:rPr>
        <w:t> </w:t>
      </w:r>
      <w:r>
        <w:rPr>
          <w:spacing w:val="-63"/>
        </w:rPr>
      </w:r>
      <w:r>
        <w:rPr/>
        <w:t>权投资并择机卖出来获取投资收益。公司依靠产业研究能力、投资管理能力和风控体系建设，在投资业务方面取得了成绩， 积累了经验。</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、行业发展情况</w:t>
      </w:r>
      <w:r>
        <w:rPr>
          <w:rFonts w:ascii="宋体" w:hAnsi="宋体" w:cs="宋体" w:eastAsia="宋体" w:hint="default"/>
          <w:b/>
          <w:bCs/>
          <w:w w:val="99"/>
          <w:sz w:val="18"/>
          <w:szCs w:val="18"/>
        </w:rPr>
        <w:t> </w:t>
      </w:r>
      <w:r>
        <w:rPr>
          <w:rFonts w:ascii="宋体" w:hAnsi="宋体" w:cs="宋体" w:eastAsia="宋体" w:hint="default"/>
          <w:b/>
          <w:bCs/>
          <w:spacing w:val="-2"/>
          <w:sz w:val="18"/>
          <w:szCs w:val="18"/>
        </w:rPr>
        <w:t>电气行业：</w:t>
      </w:r>
      <w:r>
        <w:rPr>
          <w:rFonts w:ascii="宋体" w:hAnsi="宋体" w:cs="宋体" w:eastAsia="宋体" w:hint="default"/>
          <w:spacing w:val="-2"/>
          <w:sz w:val="18"/>
          <w:szCs w:val="18"/>
        </w:rPr>
        <w:t>电气设备行业受国家电力投资周期影响，近</w:t>
      </w:r>
      <w:r>
        <w:rPr>
          <w:rFonts w:ascii="宋体" w:hAnsi="宋体" w:cs="宋体" w:eastAsia="宋体" w:hint="default"/>
          <w:spacing w:val="-2"/>
          <w:sz w:val="18"/>
          <w:szCs w:val="18"/>
        </w:rPr>
        <w:t>10</w:t>
      </w:r>
      <w:r>
        <w:rPr>
          <w:rFonts w:ascii="宋体" w:hAnsi="宋体" w:cs="宋体" w:eastAsia="宋体" w:hint="default"/>
          <w:spacing w:val="-2"/>
          <w:sz w:val="18"/>
          <w:szCs w:val="18"/>
        </w:rPr>
        <w:t>年来，我国电气行业在推动行业规模、体量快速发展膨胀的同</w:t>
      </w:r>
    </w:p>
    <w:p>
      <w:pPr>
        <w:pStyle w:val="BodyText"/>
        <w:spacing w:line="316" w:lineRule="auto" w:before="19"/>
        <w:ind w:right="94"/>
        <w:jc w:val="left"/>
      </w:pPr>
      <w:r>
        <w:rPr>
          <w:spacing w:val="-2"/>
        </w:rPr>
        <w:t>时，吸引了众多企业进入本行业，造成了全行业普遍的产能过剩，导致市场竞争加剧，行业盈利能力大幅度下降。电力设备</w:t>
      </w:r>
      <w:r>
        <w:rPr>
          <w:spacing w:val="-66"/>
        </w:rPr>
        <w:t> </w:t>
      </w:r>
      <w:r>
        <w:rPr>
          <w:spacing w:val="-66"/>
        </w:rPr>
      </w:r>
      <w:r>
        <w:rPr/>
        <w:t>企业已经步入中速发展期。</w:t>
      </w:r>
    </w:p>
    <w:p>
      <w:pPr>
        <w:pStyle w:val="BodyText"/>
        <w:spacing w:line="319" w:lineRule="auto" w:before="59"/>
        <w:ind w:right="191" w:firstLine="362"/>
        <w:jc w:val="both"/>
      </w:pPr>
      <w:r>
        <w:rPr>
          <w:rFonts w:ascii="宋体" w:hAnsi="宋体" w:cs="宋体" w:eastAsia="宋体" w:hint="default"/>
          <w:b/>
          <w:bCs/>
        </w:rPr>
        <w:t>投资行业：</w:t>
      </w:r>
      <w:r>
        <w:rPr>
          <w:rFonts w:ascii="宋体" w:hAnsi="宋体" w:cs="宋体" w:eastAsia="宋体" w:hint="default"/>
        </w:rPr>
        <w:t>2015</w:t>
      </w:r>
      <w:r>
        <w:rPr/>
        <w:t>年我国实体经济增长乏力，资本市场剧烈波动，公司投资业务发展面临严峻挑战。</w:t>
      </w:r>
      <w:r>
        <w:rPr>
          <w:rFonts w:ascii="宋体" w:hAnsi="宋体" w:cs="宋体" w:eastAsia="宋体" w:hint="default"/>
        </w:rPr>
        <w:t>2015</w:t>
      </w:r>
      <w:r>
        <w:rPr/>
        <w:t>年由于</w:t>
      </w:r>
      <w:r>
        <w:rPr>
          <w:rFonts w:ascii="宋体" w:hAnsi="宋体" w:cs="宋体" w:eastAsia="宋体" w:hint="default"/>
        </w:rPr>
        <w:t>IPO</w:t>
      </w:r>
      <w:r>
        <w:rPr/>
        <w:t>审批</w:t>
      </w:r>
      <w:r>
        <w:rPr>
          <w:spacing w:val="-3"/>
        </w:rPr>
        <w:t> </w:t>
      </w:r>
      <w:r>
        <w:rPr>
          <w:spacing w:val="-2"/>
        </w:rPr>
        <w:t>加速，注册制预期加强，新三板快速发展，在大众创业、万众创新背景新推动下，天使投资、</w:t>
      </w:r>
      <w:r>
        <w:rPr>
          <w:rFonts w:ascii="宋体" w:hAnsi="宋体" w:cs="宋体" w:eastAsia="宋体" w:hint="default"/>
          <w:spacing w:val="-2"/>
        </w:rPr>
        <w:t>PE</w:t>
      </w:r>
      <w:r>
        <w:rPr>
          <w:spacing w:val="-2"/>
        </w:rPr>
        <w:t>投资呈现持续爆发趋势；我</w:t>
      </w:r>
      <w:r>
        <w:rPr>
          <w:spacing w:val="-70"/>
        </w:rPr>
        <w:t> </w:t>
      </w:r>
      <w:r>
        <w:rPr>
          <w:spacing w:val="-70"/>
        </w:rPr>
      </w:r>
      <w:r>
        <w:rPr/>
        <w:t>国政府简政放权，通过多种措施鼓励市场化并购重组，为资本市场活跃、发展提供动力。</w:t>
      </w:r>
    </w:p>
    <w:p>
      <w:pPr>
        <w:spacing w:line="240" w:lineRule="auto" w:before="7"/>
        <w:rPr>
          <w:rFonts w:ascii="宋体" w:hAnsi="宋体" w:cs="宋体" w:eastAsia="宋体" w:hint="default"/>
          <w:sz w:val="20"/>
          <w:szCs w:val="20"/>
        </w:rPr>
      </w:pPr>
    </w:p>
    <w:p>
      <w:pPr>
        <w:pStyle w:val="Heading2"/>
        <w:spacing w:line="240" w:lineRule="auto"/>
        <w:ind w:right="5748"/>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5748"/>
        <w:jc w:val="left"/>
        <w:rPr>
          <w:b w:val="0"/>
          <w:bCs w:val="0"/>
        </w:rPr>
      </w:pPr>
      <w:r>
        <w:rPr>
          <w:rFonts w:ascii="宋体" w:hAnsi="宋体" w:cs="宋体" w:eastAsia="宋体"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548"/>
        <w:gridCol w:w="8010"/>
      </w:tblGrid>
      <w:tr>
        <w:trPr>
          <w:trHeight w:val="185"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179"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1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日，公司已将所持江西先材</w:t>
            </w:r>
            <w:r>
              <w:rPr>
                <w:rFonts w:ascii="宋体" w:hAnsi="宋体" w:cs="宋体" w:eastAsia="宋体" w:hint="default"/>
                <w:spacing w:val="-46"/>
                <w:sz w:val="18"/>
                <w:szCs w:val="18"/>
              </w:rPr>
              <w:t> </w:t>
            </w:r>
            <w:r>
              <w:rPr>
                <w:rFonts w:ascii="宋体" w:hAnsi="宋体" w:cs="宋体" w:eastAsia="宋体" w:hint="default"/>
                <w:sz w:val="18"/>
                <w:szCs w:val="18"/>
              </w:rPr>
              <w:t>52.8%</w:t>
            </w:r>
            <w:r>
              <w:rPr>
                <w:rFonts w:ascii="宋体" w:hAnsi="宋体" w:cs="宋体" w:eastAsia="宋体" w:hint="default"/>
                <w:sz w:val="18"/>
                <w:szCs w:val="18"/>
              </w:rPr>
              <w:t>股权全部对外转让；</w:t>
            </w:r>
          </w:p>
          <w:p>
            <w:pPr>
              <w:pStyle w:val="TableParagraph"/>
              <w:spacing w:line="316" w:lineRule="auto" w:before="118"/>
              <w:ind w:left="17" w:right="2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日，公司已将所持长春高琦</w:t>
            </w:r>
            <w:r>
              <w:rPr>
                <w:rFonts w:ascii="宋体" w:hAnsi="宋体" w:cs="宋体" w:eastAsia="宋体" w:hint="default"/>
                <w:spacing w:val="-48"/>
                <w:sz w:val="18"/>
                <w:szCs w:val="18"/>
              </w:rPr>
              <w:t> </w:t>
            </w:r>
            <w:r>
              <w:rPr>
                <w:rFonts w:ascii="宋体" w:hAnsi="宋体" w:cs="宋体" w:eastAsia="宋体" w:hint="default"/>
                <w:sz w:val="18"/>
                <w:szCs w:val="18"/>
              </w:rPr>
              <w:t>84.63177%</w:t>
            </w:r>
            <w:r>
              <w:rPr>
                <w:rFonts w:ascii="宋体" w:hAnsi="宋体" w:cs="宋体" w:eastAsia="宋体" w:hint="default"/>
                <w:sz w:val="18"/>
                <w:szCs w:val="18"/>
              </w:rPr>
              <w:t>股权全部对外转让，公司不再间接持有 长春高琦旗下吉林高琦、长春聚明、吉林高航等公司任何股权；</w:t>
            </w:r>
          </w:p>
          <w:p>
            <w:pPr>
              <w:pStyle w:val="TableParagraph"/>
              <w:spacing w:line="240" w:lineRule="auto" w:before="57"/>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日，公司投资设立喀什中汇联银，持有喀什中汇联银</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p>
            <w:pPr>
              <w:pStyle w:val="TableParagraph"/>
              <w:spacing w:line="240" w:lineRule="auto" w:before="117"/>
              <w:ind w:left="17"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、截止</w:t>
            </w:r>
            <w:r>
              <w:rPr>
                <w:rFonts w:ascii="宋体" w:hAnsi="宋体" w:cs="宋体" w:eastAsia="宋体" w:hint="default"/>
                <w:spacing w:val="-53"/>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14</w:t>
            </w:r>
            <w:r>
              <w:rPr>
                <w:rFonts w:ascii="宋体" w:hAnsi="宋体" w:cs="宋体" w:eastAsia="宋体" w:hint="default"/>
                <w:spacing w:val="-52"/>
                <w:sz w:val="18"/>
                <w:szCs w:val="18"/>
              </w:rPr>
              <w:t> </w:t>
            </w:r>
            <w:r>
              <w:rPr>
                <w:rFonts w:ascii="宋体" w:hAnsi="宋体" w:cs="宋体" w:eastAsia="宋体" w:hint="default"/>
                <w:sz w:val="18"/>
                <w:szCs w:val="18"/>
              </w:rPr>
              <w:t>日，公司全资子公司北京中汇联银投资设立中行置盛，公司间接持有中行置盛</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股权；</w:t>
            </w:r>
          </w:p>
          <w:p>
            <w:pPr>
              <w:pStyle w:val="TableParagraph"/>
              <w:spacing w:line="240" w:lineRule="auto" w:before="117"/>
              <w:ind w:left="17"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、截止</w:t>
            </w:r>
            <w:r>
              <w:rPr>
                <w:rFonts w:ascii="宋体" w:hAnsi="宋体" w:cs="宋体" w:eastAsia="宋体" w:hint="default"/>
                <w:spacing w:val="-53"/>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2"/>
                <w:sz w:val="18"/>
                <w:szCs w:val="18"/>
              </w:rPr>
              <w:t> </w:t>
            </w:r>
            <w:r>
              <w:rPr>
                <w:rFonts w:ascii="宋体" w:hAnsi="宋体" w:cs="宋体" w:eastAsia="宋体" w:hint="default"/>
                <w:sz w:val="18"/>
                <w:szCs w:val="18"/>
              </w:rPr>
              <w:t>日，公司全资子公司北京中汇联银投资设立中融建银，公司间接持有中融建银</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391"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10" w:type="dxa"/>
            <w:vMerge/>
            <w:tcBorders>
              <w:left w:val="single" w:sz="9" w:space="0" w:color="D2D2D2"/>
              <w:right w:val="single" w:sz="4" w:space="0" w:color="000000"/>
            </w:tcBorders>
          </w:tcPr>
          <w:p>
            <w:pPr/>
          </w:p>
        </w:tc>
      </w:tr>
      <w:tr>
        <w:trPr>
          <w:trHeight w:val="1176"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10" w:type="dxa"/>
            <w:vMerge/>
            <w:tcBorders>
              <w:left w:val="single" w:sz="9" w:space="0" w:color="D2D2D2"/>
              <w:bottom w:val="single" w:sz="4" w:space="0" w:color="000000"/>
              <w:right w:val="single" w:sz="4" w:space="0" w:color="000000"/>
            </w:tcBorders>
          </w:tcPr>
          <w:p>
            <w:pP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固定资产较年初数减少</w:t>
            </w:r>
            <w:r>
              <w:rPr>
                <w:rFonts w:ascii="宋体" w:hAnsi="宋体" w:cs="宋体" w:eastAsia="宋体" w:hint="default"/>
                <w:spacing w:val="-48"/>
                <w:sz w:val="18"/>
                <w:szCs w:val="18"/>
              </w:rPr>
              <w:t> </w:t>
            </w:r>
            <w:r>
              <w:rPr>
                <w:rFonts w:ascii="宋体" w:hAnsi="宋体" w:cs="宋体" w:eastAsia="宋体" w:hint="default"/>
                <w:sz w:val="18"/>
                <w:szCs w:val="18"/>
              </w:rPr>
              <w:t>31,398.57</w:t>
            </w:r>
            <w:r>
              <w:rPr>
                <w:rFonts w:ascii="宋体" w:hAnsi="宋体" w:cs="宋体" w:eastAsia="宋体" w:hint="default"/>
                <w:spacing w:val="-47"/>
                <w:sz w:val="18"/>
                <w:szCs w:val="18"/>
              </w:rPr>
              <w:t> </w:t>
            </w:r>
            <w:r>
              <w:rPr>
                <w:rFonts w:ascii="宋体" w:hAnsi="宋体" w:cs="宋体" w:eastAsia="宋体" w:hint="default"/>
                <w:sz w:val="18"/>
                <w:szCs w:val="18"/>
              </w:rPr>
              <w:t>万元系本期处置子公司所致。</w:t>
            </w: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无形资产较年初数减少</w:t>
            </w:r>
            <w:r>
              <w:rPr>
                <w:rFonts w:ascii="宋体" w:hAnsi="宋体" w:cs="宋体" w:eastAsia="宋体" w:hint="default"/>
                <w:spacing w:val="-48"/>
                <w:sz w:val="18"/>
                <w:szCs w:val="18"/>
              </w:rPr>
              <w:t> </w:t>
            </w:r>
            <w:r>
              <w:rPr>
                <w:rFonts w:ascii="宋体" w:hAnsi="宋体" w:cs="宋体" w:eastAsia="宋体" w:hint="default"/>
                <w:sz w:val="18"/>
                <w:szCs w:val="18"/>
              </w:rPr>
              <w:t>10,437.71</w:t>
            </w:r>
            <w:r>
              <w:rPr>
                <w:rFonts w:ascii="宋体" w:hAnsi="宋体" w:cs="宋体" w:eastAsia="宋体" w:hint="default"/>
                <w:spacing w:val="-47"/>
                <w:sz w:val="18"/>
                <w:szCs w:val="18"/>
              </w:rPr>
              <w:t> </w:t>
            </w:r>
            <w:r>
              <w:rPr>
                <w:rFonts w:ascii="宋体" w:hAnsi="宋体" w:cs="宋体" w:eastAsia="宋体" w:hint="default"/>
                <w:sz w:val="18"/>
                <w:szCs w:val="18"/>
              </w:rPr>
              <w:t>万元系本期处置子公司所致。</w:t>
            </w:r>
          </w:p>
        </w:tc>
      </w:tr>
      <w:tr>
        <w:trPr>
          <w:trHeight w:val="164"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10" w:type="dxa"/>
            <w:vMerge w:val="restart"/>
            <w:tcBorders>
              <w:top w:val="single" w:sz="4" w:space="0" w:color="000000"/>
              <w:left w:val="single" w:sz="9" w:space="0" w:color="D2D2D2"/>
              <w:right w:val="single" w:sz="4" w:space="0" w:color="000000"/>
            </w:tcBorders>
          </w:tcPr>
          <w:p>
            <w:pPr>
              <w:pStyle w:val="TableParagraph"/>
              <w:spacing w:line="314" w:lineRule="auto" w:before="51"/>
              <w:ind w:left="17" w:right="19"/>
              <w:jc w:val="left"/>
              <w:rPr>
                <w:rFonts w:ascii="宋体" w:hAnsi="宋体" w:cs="宋体" w:eastAsia="宋体" w:hint="default"/>
                <w:sz w:val="18"/>
                <w:szCs w:val="18"/>
              </w:rPr>
            </w:pPr>
            <w:r>
              <w:rPr>
                <w:rFonts w:ascii="宋体" w:hAnsi="宋体" w:cs="宋体" w:eastAsia="宋体" w:hint="default"/>
                <w:sz w:val="18"/>
                <w:szCs w:val="18"/>
              </w:rPr>
              <w:t>本期公司孙公司中融建银、中行置盛签署了办公场所购买合同，由此增加在建工程</w:t>
            </w:r>
            <w:r>
              <w:rPr>
                <w:rFonts w:ascii="宋体" w:hAnsi="宋体" w:cs="宋体" w:eastAsia="宋体" w:hint="default"/>
                <w:spacing w:val="-62"/>
                <w:sz w:val="18"/>
                <w:szCs w:val="18"/>
              </w:rPr>
              <w:t> </w:t>
            </w:r>
            <w:r>
              <w:rPr>
                <w:rFonts w:ascii="宋体" w:hAnsi="宋体" w:cs="宋体" w:eastAsia="宋体" w:hint="default"/>
                <w:sz w:val="18"/>
                <w:szCs w:val="18"/>
              </w:rPr>
              <w:t>8,196.91</w:t>
            </w:r>
            <w:r>
              <w:rPr>
                <w:rFonts w:ascii="宋体" w:hAnsi="宋体" w:cs="宋体" w:eastAsia="宋体" w:hint="default"/>
                <w:spacing w:val="-61"/>
                <w:sz w:val="18"/>
                <w:szCs w:val="18"/>
              </w:rPr>
              <w:t> </w:t>
            </w:r>
            <w:r>
              <w:rPr>
                <w:rFonts w:ascii="宋体" w:hAnsi="宋体" w:cs="宋体" w:eastAsia="宋体" w:hint="default"/>
                <w:spacing w:val="-5"/>
                <w:sz w:val="18"/>
                <w:szCs w:val="18"/>
              </w:rPr>
              <w:t>万元，因</w:t>
            </w:r>
            <w:r>
              <w:rPr>
                <w:rFonts w:ascii="宋体" w:hAnsi="宋体" w:cs="宋体" w:eastAsia="宋体" w:hint="default"/>
                <w:sz w:val="18"/>
                <w:szCs w:val="18"/>
              </w:rPr>
              <w:t> 办公场所尚未达到预定可使用状态，纳入在建工程核算。</w:t>
            </w:r>
          </w:p>
        </w:tc>
      </w:tr>
      <w:tr>
        <w:trPr>
          <w:trHeight w:val="391"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10" w:type="dxa"/>
            <w:vMerge/>
            <w:tcBorders>
              <w:left w:val="single" w:sz="9" w:space="0" w:color="D2D2D2"/>
              <w:right w:val="single" w:sz="4" w:space="0" w:color="000000"/>
            </w:tcBorders>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10"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1186" w:top="1060" w:bottom="13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8010"/>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较期初数减少</w:t>
            </w:r>
            <w:r>
              <w:rPr>
                <w:rFonts w:ascii="宋体" w:hAnsi="宋体" w:cs="宋体" w:eastAsia="宋体" w:hint="default"/>
                <w:spacing w:val="-46"/>
                <w:sz w:val="18"/>
                <w:szCs w:val="18"/>
              </w:rPr>
              <w:t> </w:t>
            </w:r>
            <w:r>
              <w:rPr>
                <w:rFonts w:ascii="宋体" w:hAnsi="宋体" w:cs="宋体" w:eastAsia="宋体" w:hint="default"/>
                <w:sz w:val="18"/>
                <w:szCs w:val="18"/>
              </w:rPr>
              <w:t>374</w:t>
            </w:r>
            <w:r>
              <w:rPr>
                <w:rFonts w:ascii="宋体" w:hAnsi="宋体" w:cs="宋体" w:eastAsia="宋体" w:hint="default"/>
                <w:spacing w:val="-46"/>
                <w:sz w:val="18"/>
                <w:szCs w:val="18"/>
              </w:rPr>
              <w:t> </w:t>
            </w:r>
            <w:r>
              <w:rPr>
                <w:rFonts w:ascii="宋体" w:hAnsi="宋体" w:cs="宋体" w:eastAsia="宋体" w:hint="default"/>
                <w:sz w:val="18"/>
                <w:szCs w:val="18"/>
              </w:rPr>
              <w:t>万元，主要为票据背书转让及到期解付所致。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预付账款较期初数减少</w:t>
            </w:r>
            <w:r>
              <w:rPr>
                <w:rFonts w:ascii="宋体" w:hAnsi="宋体" w:cs="宋体" w:eastAsia="宋体" w:hint="default"/>
                <w:spacing w:val="-46"/>
                <w:sz w:val="18"/>
                <w:szCs w:val="18"/>
              </w:rPr>
              <w:t> </w:t>
            </w:r>
            <w:r>
              <w:rPr>
                <w:rFonts w:ascii="宋体" w:hAnsi="宋体" w:cs="宋体" w:eastAsia="宋体" w:hint="default"/>
                <w:sz w:val="18"/>
                <w:szCs w:val="18"/>
              </w:rPr>
              <w:t>935</w:t>
            </w:r>
            <w:r>
              <w:rPr>
                <w:rFonts w:ascii="宋体" w:hAnsi="宋体" w:cs="宋体" w:eastAsia="宋体" w:hint="default"/>
                <w:spacing w:val="-46"/>
                <w:sz w:val="18"/>
                <w:szCs w:val="18"/>
              </w:rPr>
              <w:t> </w:t>
            </w:r>
            <w:r>
              <w:rPr>
                <w:rFonts w:ascii="宋体" w:hAnsi="宋体" w:cs="宋体" w:eastAsia="宋体" w:hint="default"/>
                <w:sz w:val="18"/>
                <w:szCs w:val="18"/>
              </w:rPr>
              <w:t>万元，主要为货款结算所致。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较期初数减少</w:t>
            </w:r>
            <w:r>
              <w:rPr>
                <w:rFonts w:ascii="宋体" w:hAnsi="宋体" w:cs="宋体" w:eastAsia="宋体" w:hint="default"/>
                <w:spacing w:val="-46"/>
                <w:sz w:val="18"/>
                <w:szCs w:val="18"/>
              </w:rPr>
              <w:t> </w:t>
            </w:r>
            <w:r>
              <w:rPr>
                <w:rFonts w:ascii="宋体" w:hAnsi="宋体" w:cs="宋体" w:eastAsia="宋体" w:hint="default"/>
                <w:sz w:val="18"/>
                <w:szCs w:val="18"/>
              </w:rPr>
              <w:t>621.27</w:t>
            </w:r>
            <w:r>
              <w:rPr>
                <w:rFonts w:ascii="宋体" w:hAnsi="宋体" w:cs="宋体" w:eastAsia="宋体" w:hint="default"/>
                <w:spacing w:val="-45"/>
                <w:sz w:val="18"/>
                <w:szCs w:val="18"/>
              </w:rPr>
              <w:t> </w:t>
            </w:r>
            <w:r>
              <w:rPr>
                <w:rFonts w:ascii="宋体" w:hAnsi="宋体" w:cs="宋体" w:eastAsia="宋体" w:hint="default"/>
                <w:sz w:val="18"/>
                <w:szCs w:val="18"/>
              </w:rPr>
              <w:t>万元，主要为处置子公司以及本期投标保证金及业务类备用金支出减少所致。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较期初数增加</w:t>
            </w:r>
            <w:r>
              <w:rPr>
                <w:rFonts w:ascii="宋体" w:hAnsi="宋体" w:cs="宋体" w:eastAsia="宋体" w:hint="default"/>
                <w:spacing w:val="-47"/>
                <w:sz w:val="18"/>
                <w:szCs w:val="18"/>
              </w:rPr>
              <w:t> </w:t>
            </w:r>
            <w:r>
              <w:rPr>
                <w:rFonts w:ascii="宋体" w:hAnsi="宋体" w:cs="宋体" w:eastAsia="宋体" w:hint="default"/>
                <w:sz w:val="18"/>
                <w:szCs w:val="18"/>
              </w:rPr>
              <w:t>22637.01</w:t>
            </w:r>
            <w:r>
              <w:rPr>
                <w:rFonts w:ascii="宋体" w:hAnsi="宋体" w:cs="宋体" w:eastAsia="宋体" w:hint="default"/>
                <w:spacing w:val="-46"/>
                <w:sz w:val="18"/>
                <w:szCs w:val="18"/>
              </w:rPr>
              <w:t> </w:t>
            </w:r>
            <w:r>
              <w:rPr>
                <w:rFonts w:ascii="宋体" w:hAnsi="宋体" w:cs="宋体" w:eastAsia="宋体" w:hint="default"/>
                <w:sz w:val="18"/>
                <w:szCs w:val="18"/>
              </w:rPr>
              <w:t>万元，主要为增加理财产品投资所致。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较期初数减少</w:t>
            </w:r>
            <w:r>
              <w:rPr>
                <w:rFonts w:ascii="宋体" w:hAnsi="宋体" w:cs="宋体" w:eastAsia="宋体" w:hint="default"/>
                <w:spacing w:val="-47"/>
                <w:sz w:val="18"/>
                <w:szCs w:val="18"/>
              </w:rPr>
              <w:t> </w:t>
            </w:r>
            <w:r>
              <w:rPr>
                <w:rFonts w:ascii="宋体" w:hAnsi="宋体" w:cs="宋体" w:eastAsia="宋体" w:hint="default"/>
                <w:sz w:val="18"/>
                <w:szCs w:val="18"/>
              </w:rPr>
              <w:t>1410.54</w:t>
            </w:r>
            <w:r>
              <w:rPr>
                <w:rFonts w:ascii="宋体" w:hAnsi="宋体" w:cs="宋体" w:eastAsia="宋体" w:hint="default"/>
                <w:spacing w:val="-46"/>
                <w:sz w:val="18"/>
                <w:szCs w:val="18"/>
              </w:rPr>
              <w:t> </w:t>
            </w:r>
            <w:r>
              <w:rPr>
                <w:rFonts w:ascii="宋体" w:hAnsi="宋体" w:cs="宋体" w:eastAsia="宋体" w:hint="default"/>
                <w:sz w:val="18"/>
                <w:szCs w:val="18"/>
              </w:rPr>
              <w:t>万元，主要为处置子公司所致。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较期初数减少</w:t>
            </w:r>
            <w:r>
              <w:rPr>
                <w:rFonts w:ascii="宋体" w:hAnsi="宋体" w:cs="宋体" w:eastAsia="宋体" w:hint="default"/>
                <w:spacing w:val="-46"/>
                <w:sz w:val="18"/>
                <w:szCs w:val="18"/>
              </w:rPr>
              <w:t> </w:t>
            </w:r>
            <w:r>
              <w:rPr>
                <w:rFonts w:ascii="宋体" w:hAnsi="宋体" w:cs="宋体" w:eastAsia="宋体" w:hint="default"/>
                <w:sz w:val="18"/>
                <w:szCs w:val="18"/>
              </w:rPr>
              <w:t>285</w:t>
            </w:r>
            <w:r>
              <w:rPr>
                <w:rFonts w:ascii="宋体" w:hAnsi="宋体" w:cs="宋体" w:eastAsia="宋体" w:hint="default"/>
                <w:spacing w:val="-46"/>
                <w:sz w:val="18"/>
                <w:szCs w:val="18"/>
              </w:rPr>
              <w:t> </w:t>
            </w:r>
            <w:r>
              <w:rPr>
                <w:rFonts w:ascii="宋体" w:hAnsi="宋体" w:cs="宋体" w:eastAsia="宋体" w:hint="default"/>
                <w:sz w:val="18"/>
                <w:szCs w:val="18"/>
              </w:rPr>
              <w:t>万元，主要为处置子公司所致。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较期初数减少</w:t>
            </w:r>
            <w:r>
              <w:rPr>
                <w:rFonts w:ascii="宋体" w:hAnsi="宋体" w:cs="宋体" w:eastAsia="宋体" w:hint="default"/>
                <w:spacing w:val="-46"/>
                <w:sz w:val="18"/>
                <w:szCs w:val="18"/>
              </w:rPr>
              <w:t> </w:t>
            </w:r>
            <w:r>
              <w:rPr>
                <w:rFonts w:ascii="宋体" w:hAnsi="宋体" w:cs="宋体" w:eastAsia="宋体" w:hint="default"/>
                <w:sz w:val="18"/>
                <w:szCs w:val="18"/>
              </w:rPr>
              <w:t>146.43</w:t>
            </w:r>
            <w:r>
              <w:rPr>
                <w:rFonts w:ascii="宋体" w:hAnsi="宋体" w:cs="宋体" w:eastAsia="宋体" w:hint="default"/>
                <w:spacing w:val="-45"/>
                <w:sz w:val="18"/>
                <w:szCs w:val="18"/>
              </w:rPr>
              <w:t> </w:t>
            </w:r>
            <w:r>
              <w:rPr>
                <w:rFonts w:ascii="宋体" w:hAnsi="宋体" w:cs="宋体" w:eastAsia="宋体" w:hint="default"/>
                <w:sz w:val="18"/>
                <w:szCs w:val="18"/>
              </w:rPr>
              <w:t>万元，主要为本期摊销以及处置子公司所致。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较期初数增加</w:t>
            </w:r>
            <w:r>
              <w:rPr>
                <w:rFonts w:ascii="宋体" w:hAnsi="宋体" w:cs="宋体" w:eastAsia="宋体" w:hint="default"/>
                <w:spacing w:val="-47"/>
                <w:sz w:val="18"/>
                <w:szCs w:val="18"/>
              </w:rPr>
              <w:t> </w:t>
            </w:r>
            <w:r>
              <w:rPr>
                <w:rFonts w:ascii="宋体" w:hAnsi="宋体" w:cs="宋体" w:eastAsia="宋体" w:hint="default"/>
                <w:sz w:val="18"/>
                <w:szCs w:val="18"/>
              </w:rPr>
              <w:t>4148.18</w:t>
            </w:r>
            <w:r>
              <w:rPr>
                <w:rFonts w:ascii="宋体" w:hAnsi="宋体" w:cs="宋体" w:eastAsia="宋体" w:hint="default"/>
                <w:spacing w:val="-46"/>
                <w:sz w:val="18"/>
                <w:szCs w:val="18"/>
              </w:rPr>
              <w:t> </w:t>
            </w:r>
            <w:r>
              <w:rPr>
                <w:rFonts w:ascii="宋体" w:hAnsi="宋体" w:cs="宋体" w:eastAsia="宋体" w:hint="default"/>
                <w:sz w:val="18"/>
                <w:szCs w:val="18"/>
              </w:rPr>
              <w:t>万元，主要为子公司购置办公场所预付款项所致。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5748"/>
        <w:jc w:val="left"/>
        <w:rPr>
          <w:b w:val="0"/>
          <w:bCs w:val="0"/>
        </w:rPr>
      </w:pPr>
      <w:r>
        <w:rPr>
          <w:rFonts w:ascii="宋体" w:hAnsi="宋体" w:cs="宋体" w:eastAsia="宋体" w:hint="default"/>
        </w:rPr>
        <w:t>2</w:t>
      </w:r>
      <w:r>
        <w:rPr/>
        <w:t>、主要境外资产情况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5748"/>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5748"/>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3" w:firstLine="353"/>
        <w:jc w:val="both"/>
      </w:pPr>
      <w:r>
        <w:rPr>
          <w:rFonts w:ascii="宋体" w:hAnsi="宋体" w:cs="宋体" w:eastAsia="宋体" w:hint="default"/>
          <w:b/>
          <w:bCs/>
        </w:rPr>
        <w:t>1</w:t>
      </w:r>
      <w:r>
        <w:rPr>
          <w:rFonts w:ascii="宋体" w:hAnsi="宋体" w:cs="宋体" w:eastAsia="宋体" w:hint="default"/>
          <w:b/>
          <w:bCs/>
        </w:rPr>
        <w:t>、技术竞争优势：</w:t>
      </w:r>
      <w:r>
        <w:rPr/>
        <w:t>公司在材料科学和电气科学相结合方面处于国内优势地位，在人才、设备与技术方面具有一定的竞 </w:t>
      </w:r>
      <w:r>
        <w:rPr>
          <w:spacing w:val="-2"/>
        </w:rPr>
        <w:t>争优势，公司的产品研发思路注重细分领域差异化竞争，公司的技术领先性主要体现在绝缘材料在电力行业的前瞻性研究和</w:t>
      </w:r>
      <w:r>
        <w:rPr>
          <w:spacing w:val="-64"/>
        </w:rPr>
        <w:t> </w:t>
      </w:r>
      <w:r>
        <w:rPr>
          <w:spacing w:val="-64"/>
        </w:rPr>
      </w:r>
      <w:r>
        <w:rPr/>
        <w:t>应用，通过不断创新构建的产品一直深受国网、南网用户好评。</w:t>
      </w:r>
    </w:p>
    <w:p>
      <w:pPr>
        <w:pStyle w:val="BodyText"/>
        <w:spacing w:line="319" w:lineRule="auto" w:before="19"/>
        <w:ind w:right="111" w:firstLine="353"/>
        <w:jc w:val="both"/>
      </w:pPr>
      <w:r>
        <w:rPr>
          <w:rFonts w:ascii="宋体" w:hAnsi="宋体" w:cs="宋体" w:eastAsia="宋体" w:hint="default"/>
          <w:b/>
          <w:bCs/>
        </w:rPr>
        <w:t>2</w:t>
      </w:r>
      <w:r>
        <w:rPr>
          <w:rFonts w:ascii="宋体" w:hAnsi="宋体" w:cs="宋体" w:eastAsia="宋体" w:hint="default"/>
          <w:b/>
          <w:bCs/>
        </w:rPr>
        <w:t>、管理优势：</w:t>
      </w:r>
      <w:r>
        <w:rPr/>
        <w:t>公司自上市以来，经过多年精益生产管理提升，公司不断完善内部管理体系、提升内部运营效率；公司 职业经理人团队持续改善公司在生产、管理、营销方面的薄弱环节，全面提升竞争力，为公司持续稳定发展提供有力保障。</w:t>
      </w:r>
    </w:p>
    <w:p>
      <w:pPr>
        <w:pStyle w:val="BodyText"/>
        <w:spacing w:line="316" w:lineRule="auto" w:before="17"/>
        <w:ind w:right="194" w:firstLine="353"/>
        <w:jc w:val="both"/>
      </w:pPr>
      <w:r>
        <w:rPr>
          <w:rFonts w:ascii="宋体" w:hAnsi="宋体" w:cs="宋体" w:eastAsia="宋体" w:hint="default"/>
          <w:b/>
          <w:bCs/>
        </w:rPr>
        <w:t>3</w:t>
      </w:r>
      <w:r>
        <w:rPr>
          <w:rFonts w:ascii="宋体" w:hAnsi="宋体" w:cs="宋体" w:eastAsia="宋体" w:hint="default"/>
          <w:b/>
          <w:bCs/>
        </w:rPr>
        <w:t>、营销优势：</w:t>
      </w:r>
      <w:r>
        <w:rPr/>
        <w:t>经过多年经营，公司营销网络覆盖中国大部分除西藏以外的各省、直辖省和自治区，一方面有利于巩固 传统市场地区的业务，另一方面为今后其他市场领域开拓奠定基础。</w:t>
      </w:r>
    </w:p>
    <w:p>
      <w:pPr>
        <w:spacing w:after="0" w:line="316" w:lineRule="auto"/>
        <w:jc w:val="both"/>
        <w:sectPr>
          <w:pgSz w:w="11910" w:h="16840"/>
          <w:pgMar w:header="745" w:footer="1186" w:top="106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4"/>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5748"/>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0" w:firstLine="362"/>
        <w:jc w:val="both"/>
      </w:pPr>
      <w:r>
        <w:rPr>
          <w:rFonts w:ascii="宋体" w:hAnsi="宋体" w:cs="宋体" w:eastAsia="宋体" w:hint="default"/>
          <w:spacing w:val="-2"/>
        </w:rPr>
        <w:t>2015</w:t>
      </w:r>
      <w:r>
        <w:rPr>
          <w:spacing w:val="-2"/>
        </w:rPr>
        <w:t>年面对世界经济复苏放缓、国内经济下行，特别是传统行业去产能、去库存、去杠杆压力加大的复杂形势，公司经</w:t>
      </w:r>
      <w:r>
        <w:rPr/>
        <w:t> </w:t>
      </w:r>
      <w:r>
        <w:rPr>
          <w:spacing w:val="-2"/>
        </w:rPr>
        <w:t>营遇到的困难与挑战增多。公司主营的电气业务受市场竞争加剧、产品毛利率和产品价格下降等不利因素影响，营业收入同</w:t>
      </w:r>
      <w:r>
        <w:rPr>
          <w:spacing w:val="-63"/>
        </w:rPr>
        <w:t> </w:t>
      </w:r>
      <w:r>
        <w:rPr>
          <w:spacing w:val="-63"/>
        </w:rPr>
      </w:r>
      <w:r>
        <w:rPr>
          <w:spacing w:val="-2"/>
        </w:rPr>
        <w:t>比下降。在董事会领导下，公司紧紧围绕年度经营计划，不断加强电气业务生产经营、运营管理，稳固销售，降本增效；梳</w:t>
      </w:r>
      <w:r>
        <w:rPr>
          <w:spacing w:val="-73"/>
        </w:rPr>
        <w:t> </w:t>
      </w:r>
      <w:r>
        <w:rPr>
          <w:spacing w:val="-73"/>
        </w:rPr>
      </w:r>
      <w:r>
        <w:rPr>
          <w:spacing w:val="-2"/>
        </w:rPr>
        <w:t>理、盘活资产，优化产业结构，提高资金使用效率，实现效益提升。报告期内公司剥离聚酰亚胺相关新材料资产，以变现资</w:t>
      </w:r>
      <w:r>
        <w:rPr>
          <w:spacing w:val="-68"/>
        </w:rPr>
        <w:t> </w:t>
      </w:r>
      <w:r>
        <w:rPr>
          <w:spacing w:val="-68"/>
        </w:rPr>
      </w:r>
      <w:r>
        <w:rPr/>
        <w:t>金和账面资金从事理财产品、证券、股权等投资业务，明确了产业经营与资本运营协同发展的双主业经营发展方向。</w:t>
      </w:r>
      <w:r>
        <w:rPr>
          <w:rFonts w:ascii="宋体" w:hAnsi="宋体" w:cs="宋体" w:eastAsia="宋体" w:hint="default"/>
        </w:rPr>
        <w:t>2015</w:t>
      </w:r>
      <w:r>
        <w:rPr>
          <w:rFonts w:ascii="宋体" w:hAnsi="宋体" w:cs="宋体" w:eastAsia="宋体" w:hint="default"/>
          <w:spacing w:val="-3"/>
        </w:rPr>
        <w:t> </w:t>
      </w:r>
      <w:r>
        <w:rPr>
          <w:rFonts w:ascii="宋体" w:hAnsi="宋体" w:cs="宋体" w:eastAsia="宋体" w:hint="default"/>
          <w:spacing w:val="-3"/>
        </w:rPr>
      </w:r>
      <w:r>
        <w:rPr>
          <w:spacing w:val="-2"/>
        </w:rPr>
        <w:t>年公司主要从生产销售、经营管理、投资运作、员工激励四个方面进行改善和提高，确保各项业务持续发展、不断挖掘新的</w:t>
      </w:r>
      <w:r>
        <w:rPr>
          <w:spacing w:val="-67"/>
        </w:rPr>
        <w:t> </w:t>
      </w:r>
      <w:r>
        <w:rPr>
          <w:spacing w:val="-67"/>
        </w:rPr>
      </w:r>
      <w:r>
        <w:rPr/>
        <w:t>利润增长点。</w:t>
      </w:r>
    </w:p>
    <w:p>
      <w:pPr>
        <w:pStyle w:val="BodyText"/>
        <w:spacing w:line="316" w:lineRule="auto" w:before="17"/>
        <w:ind w:right="102" w:firstLine="360"/>
        <w:jc w:val="both"/>
      </w:pPr>
      <w:r>
        <w:rPr>
          <w:rFonts w:ascii="宋体" w:hAnsi="宋体" w:cs="宋体" w:eastAsia="宋体" w:hint="default"/>
          <w:b/>
          <w:bCs/>
          <w:spacing w:val="-2"/>
        </w:rPr>
        <w:t>生产销售方面：</w:t>
      </w:r>
      <w:r>
        <w:rPr>
          <w:spacing w:val="-2"/>
        </w:rPr>
        <w:t>在激烈的市场竞争下，公司十分重视传统电网公司投标市场，注重客户关系的建立、维护，扩大销售网</w:t>
      </w:r>
      <w:r>
        <w:rPr/>
        <w:t> </w:t>
      </w:r>
      <w:r>
        <w:rPr>
          <w:spacing w:val="-2"/>
        </w:rPr>
        <w:t>络建设，不断优化投标工作；同时精选优质行业客户，注重销售质量，放弃部分风险较大的销售客户和销售合同，虽然</w:t>
      </w:r>
      <w:r>
        <w:rPr>
          <w:rFonts w:ascii="宋体" w:hAnsi="宋体" w:cs="宋体" w:eastAsia="宋体" w:hint="default"/>
          <w:spacing w:val="-2"/>
        </w:rPr>
        <w:t>2015</w:t>
      </w:r>
      <w:r>
        <w:rPr>
          <w:rFonts w:ascii="宋体" w:hAnsi="宋体" w:cs="宋体" w:eastAsia="宋体" w:hint="default"/>
          <w:spacing w:val="-59"/>
        </w:rPr>
        <w:t> </w:t>
      </w:r>
      <w:r>
        <w:rPr>
          <w:spacing w:val="-2"/>
        </w:rPr>
        <w:t>年电力产品销售收入不及</w:t>
      </w:r>
      <w:r>
        <w:rPr>
          <w:rFonts w:ascii="宋体" w:hAnsi="宋体" w:cs="宋体" w:eastAsia="宋体" w:hint="default"/>
          <w:spacing w:val="-2"/>
        </w:rPr>
        <w:t>2014</w:t>
      </w:r>
      <w:r>
        <w:rPr>
          <w:spacing w:val="-2"/>
        </w:rPr>
        <w:t>年，但是销售合同完成率好于往年，</w:t>
      </w:r>
      <w:r>
        <w:rPr>
          <w:rFonts w:ascii="宋体" w:hAnsi="宋体" w:cs="宋体" w:eastAsia="宋体" w:hint="default"/>
          <w:spacing w:val="-2"/>
        </w:rPr>
        <w:t>2015</w:t>
      </w:r>
      <w:r>
        <w:rPr>
          <w:spacing w:val="-2"/>
        </w:rPr>
        <w:t>年分季度的销售收入呈现同比增长态势。公司通过微</w:t>
      </w:r>
      <w:r>
        <w:rPr>
          <w:spacing w:val="-57"/>
        </w:rPr>
        <w:t> </w:t>
      </w:r>
      <w:r>
        <w:rPr>
          <w:spacing w:val="-57"/>
        </w:rPr>
      </w:r>
      <w:r>
        <w:rPr>
          <w:spacing w:val="-2"/>
        </w:rPr>
        <w:t>信平台、电商平台、外贸网站等多渠道扩大公司和产品宣传，重点突出产品特点和优势，树立企业品牌形象，扩大销售渠道</w:t>
      </w:r>
      <w:r>
        <w:rPr>
          <w:spacing w:val="-67"/>
        </w:rPr>
        <w:t> </w:t>
      </w:r>
      <w:r>
        <w:rPr>
          <w:spacing w:val="-67"/>
        </w:rPr>
      </w:r>
      <w:r>
        <w:rPr>
          <w:spacing w:val="-4"/>
        </w:rPr>
        <w:t>和销售规模。公司利用技术方案革新，优化采购流程，规范生产流程、精简岗位人员等各种措施降本增效，提升产品竞争力。</w:t>
      </w:r>
    </w:p>
    <w:p>
      <w:pPr>
        <w:pStyle w:val="BodyText"/>
        <w:spacing w:line="316" w:lineRule="auto" w:before="19"/>
        <w:ind w:right="190" w:firstLine="362"/>
        <w:jc w:val="both"/>
      </w:pPr>
      <w:r>
        <w:rPr>
          <w:rFonts w:ascii="宋体" w:hAnsi="宋体" w:cs="宋体" w:eastAsia="宋体" w:hint="default"/>
          <w:b/>
          <w:bCs/>
          <w:spacing w:val="-2"/>
        </w:rPr>
        <w:t>经营管理方面：</w:t>
      </w:r>
      <w:r>
        <w:rPr>
          <w:spacing w:val="-2"/>
        </w:rPr>
        <w:t>公司围绕战略目标持续完善法人治理结构，不断优化组织机构设置、管理流程关系及岗位职责分工，不</w:t>
      </w:r>
      <w:r>
        <w:rPr/>
        <w:t> </w:t>
      </w:r>
      <w:r>
        <w:rPr>
          <w:spacing w:val="-2"/>
        </w:rPr>
        <w:t>断加强内部制度建设，进一步明确细化各项管理制度，促进各项流程和制度有效运行，在业务各个环节加强法务审核，公司</w:t>
      </w:r>
      <w:r>
        <w:rPr>
          <w:spacing w:val="-64"/>
        </w:rPr>
        <w:t> </w:t>
      </w:r>
      <w:r>
        <w:rPr>
          <w:spacing w:val="-64"/>
        </w:rPr>
      </w:r>
      <w:r>
        <w:rPr/>
        <w:t>内部控制体系更加健全，内部运营效率有效提高。</w:t>
      </w:r>
    </w:p>
    <w:p>
      <w:pPr>
        <w:pStyle w:val="BodyText"/>
        <w:spacing w:line="316" w:lineRule="auto" w:before="19"/>
        <w:ind w:right="94" w:firstLine="360"/>
        <w:jc w:val="left"/>
      </w:pPr>
      <w:r>
        <w:rPr>
          <w:rFonts w:ascii="宋体" w:hAnsi="宋体" w:cs="宋体" w:eastAsia="宋体" w:hint="default"/>
          <w:b/>
          <w:bCs/>
          <w:spacing w:val="-2"/>
        </w:rPr>
        <w:t>投资运作方面：</w:t>
      </w:r>
      <w:r>
        <w:rPr>
          <w:spacing w:val="-2"/>
        </w:rPr>
        <w:t>公司证券投资实现投资收益</w:t>
      </w:r>
      <w:r>
        <w:rPr>
          <w:rFonts w:ascii="宋体" w:hAnsi="宋体" w:cs="宋体" w:eastAsia="宋体" w:hint="default"/>
          <w:spacing w:val="-2"/>
        </w:rPr>
        <w:t>11,527.96</w:t>
      </w:r>
      <w:r>
        <w:rPr>
          <w:spacing w:val="-2"/>
        </w:rPr>
        <w:t>万元，</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日，证券投资账面余额为</w:t>
      </w:r>
      <w:r>
        <w:rPr>
          <w:rFonts w:ascii="宋体" w:hAnsi="宋体" w:cs="宋体" w:eastAsia="宋体" w:hint="default"/>
          <w:spacing w:val="-2"/>
        </w:rPr>
        <w:t>0</w:t>
      </w:r>
      <w:r>
        <w:rPr>
          <w:spacing w:val="-2"/>
        </w:rPr>
        <w:t>，规避了证券市场</w:t>
      </w:r>
      <w:r>
        <w:rPr/>
        <w:t> 的调整和非理性下跌风险。公司在投资方面建立了完善、科学的运营机制和风险管控机制，经过一年的运营，经受了考验， </w:t>
      </w:r>
      <w:r>
        <w:rPr>
          <w:spacing w:val="-2"/>
        </w:rPr>
        <w:t>取得了收益，积累了经验。公司围绕电气、节能环保、军工、健康医疗、移动智能终端、互联网数据等领域进行了大量的调</w:t>
      </w:r>
      <w:r>
        <w:rPr>
          <w:spacing w:val="-73"/>
        </w:rPr>
        <w:t> </w:t>
      </w:r>
      <w:r>
        <w:rPr>
          <w:spacing w:val="-73"/>
        </w:rPr>
      </w:r>
      <w:r>
        <w:rPr>
          <w:spacing w:val="-2"/>
        </w:rPr>
        <w:t>研和论证工作，从谨慎性角度出发在报告期内并未投资具体项目，为下一步运作奠定了基础。</w:t>
      </w:r>
      <w:r>
        <w:rPr>
          <w:rFonts w:ascii="宋体" w:hAnsi="宋体" w:cs="宋体" w:eastAsia="宋体" w:hint="default"/>
          <w:spacing w:val="-2"/>
        </w:rPr>
        <w:t>2015</w:t>
      </w:r>
      <w:r>
        <w:rPr>
          <w:spacing w:val="-2"/>
        </w:rPr>
        <w:t>年公司在新疆、北京等地</w:t>
      </w:r>
      <w:r>
        <w:rPr>
          <w:spacing w:val="-59"/>
        </w:rPr>
        <w:t> </w:t>
      </w:r>
      <w:r>
        <w:rPr>
          <w:spacing w:val="-59"/>
        </w:rPr>
      </w:r>
      <w:r>
        <w:rPr/>
        <w:t>新设投资平台，利用各地区政策优势、地域优势有序布局公司各项投资业务的开展。</w:t>
      </w:r>
    </w:p>
    <w:p>
      <w:pPr>
        <w:pStyle w:val="BodyText"/>
        <w:spacing w:line="316" w:lineRule="auto" w:before="59"/>
        <w:ind w:right="190" w:firstLine="360"/>
        <w:jc w:val="both"/>
      </w:pPr>
      <w:r>
        <w:rPr>
          <w:rFonts w:ascii="宋体" w:hAnsi="宋体" w:cs="宋体" w:eastAsia="宋体" w:hint="default"/>
          <w:b/>
          <w:bCs/>
          <w:spacing w:val="-2"/>
        </w:rPr>
        <w:t>员工激励方面：</w:t>
      </w:r>
      <w:r>
        <w:rPr>
          <w:spacing w:val="-2"/>
        </w:rPr>
        <w:t>为进一步完善公司法人治理结构，建全公司中长期激励约束机制，形成良好均衡的价值分配体系。有效</w:t>
      </w:r>
      <w:r>
        <w:rPr/>
        <w:t> </w:t>
      </w:r>
      <w:r>
        <w:rPr>
          <w:spacing w:val="-2"/>
        </w:rPr>
        <w:t>调动公司中高层业务骨干的积极性和创造性，吸引和保留各项人才，确保公司发展战略和经营目标实现。公司董事会根据法</w:t>
      </w:r>
      <w:r>
        <w:rPr>
          <w:spacing w:val="-63"/>
        </w:rPr>
        <w:t> </w:t>
      </w:r>
      <w:r>
        <w:rPr>
          <w:spacing w:val="-63"/>
        </w:rPr>
      </w:r>
      <w:r>
        <w:rPr>
          <w:spacing w:val="-2"/>
        </w:rPr>
        <w:t>律法规的规定，制定并推出了《限制性股票与股票期权激励计划》、《第二期限制性股票与股票期权激励计划》。将有利于</w:t>
      </w:r>
      <w:r>
        <w:rPr>
          <w:spacing w:val="-71"/>
        </w:rPr>
        <w:t> </w:t>
      </w:r>
      <w:r>
        <w:rPr>
          <w:spacing w:val="-71"/>
        </w:rPr>
      </w:r>
      <w:r>
        <w:rPr>
          <w:spacing w:val="-2"/>
        </w:rPr>
        <w:t>公司研究和建立员工与企业共同发展的激励机制。未来，公司将在员工激励方面积极探索，不断为员工创造新型激励和分享</w:t>
      </w:r>
      <w:r>
        <w:rPr>
          <w:spacing w:val="-65"/>
        </w:rPr>
        <w:t> </w:t>
      </w:r>
      <w:r>
        <w:rPr>
          <w:spacing w:val="-65"/>
        </w:rPr>
      </w:r>
      <w:r>
        <w:rPr/>
        <w:t>机制，提升团队凝聚力和竞争力。</w:t>
      </w:r>
    </w:p>
    <w:p>
      <w:pPr>
        <w:spacing w:line="240" w:lineRule="auto" w:before="12"/>
        <w:rPr>
          <w:rFonts w:ascii="宋体" w:hAnsi="宋体" w:cs="宋体" w:eastAsia="宋体" w:hint="default"/>
          <w:sz w:val="20"/>
          <w:szCs w:val="20"/>
        </w:rPr>
      </w:pPr>
    </w:p>
    <w:p>
      <w:pPr>
        <w:pStyle w:val="Heading2"/>
        <w:spacing w:line="240" w:lineRule="auto"/>
        <w:ind w:right="5748"/>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5748"/>
        <w:jc w:val="left"/>
        <w:rPr>
          <w:b w:val="0"/>
          <w:bCs w:val="0"/>
        </w:rPr>
      </w:pPr>
      <w:r>
        <w:rPr>
          <w:rFonts w:ascii="宋体" w:hAnsi="宋体" w:cs="宋体" w:eastAsia="宋体" w:hint="default"/>
        </w:rPr>
        <w:t>1</w:t>
      </w:r>
      <w:r>
        <w:rPr/>
        <w:t>、概述</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92" w:firstLine="360"/>
        <w:jc w:val="both"/>
      </w:pPr>
      <w:r>
        <w:rPr>
          <w:rFonts w:ascii="宋体" w:hAnsi="宋体" w:cs="宋体" w:eastAsia="宋体" w:hint="default"/>
        </w:rPr>
        <w:t>2015</w:t>
      </w:r>
      <w:r>
        <w:rPr/>
        <w:t>年，公司实现营业收入</w:t>
      </w:r>
      <w:r>
        <w:rPr>
          <w:rFonts w:ascii="宋体" w:hAnsi="宋体" w:cs="宋体" w:eastAsia="宋体" w:hint="default"/>
        </w:rPr>
        <w:t>20,937.03</w:t>
      </w:r>
      <w:r>
        <w:rPr/>
        <w:t>万元，营业利润</w:t>
      </w:r>
      <w:r>
        <w:rPr>
          <w:rFonts w:ascii="宋体" w:hAnsi="宋体" w:cs="宋体" w:eastAsia="宋体" w:hint="default"/>
        </w:rPr>
        <w:t>12,879.40</w:t>
      </w:r>
      <w:r>
        <w:rPr/>
        <w:t>万元，同比增长</w:t>
      </w:r>
      <w:r>
        <w:rPr>
          <w:rFonts w:ascii="宋体" w:hAnsi="宋体" w:cs="宋体" w:eastAsia="宋体" w:hint="default"/>
        </w:rPr>
        <w:t>209.23%</w:t>
      </w:r>
      <w:r>
        <w:rPr/>
        <w:t>，归属于上市公司股东的净利 </w:t>
      </w:r>
      <w:r>
        <w:rPr>
          <w:spacing w:val="-2"/>
        </w:rPr>
        <w:t>润为</w:t>
      </w:r>
      <w:r>
        <w:rPr>
          <w:rFonts w:ascii="宋体" w:hAnsi="宋体" w:cs="宋体" w:eastAsia="宋体" w:hint="default"/>
          <w:spacing w:val="-2"/>
        </w:rPr>
        <w:t>12,833.15</w:t>
      </w:r>
      <w:r>
        <w:rPr>
          <w:spacing w:val="-2"/>
        </w:rPr>
        <w:t>万元，同比增长</w:t>
      </w:r>
      <w:r>
        <w:rPr>
          <w:rFonts w:ascii="宋体" w:hAnsi="宋体" w:cs="宋体" w:eastAsia="宋体" w:hint="default"/>
          <w:spacing w:val="-2"/>
        </w:rPr>
        <w:t>244.43%</w:t>
      </w:r>
      <w:r>
        <w:rPr>
          <w:spacing w:val="-2"/>
        </w:rPr>
        <w:t>，同比实现扭亏为盈。报告期内实现扭亏为盈主要原因是公司在剥离聚酰亚胺新材料</w:t>
      </w:r>
      <w:r>
        <w:rPr>
          <w:spacing w:val="-55"/>
        </w:rPr>
        <w:t> </w:t>
      </w:r>
      <w:r>
        <w:rPr>
          <w:spacing w:val="-55"/>
        </w:rPr>
      </w:r>
      <w:r>
        <w:rPr/>
        <w:t>资产和业务后新增投资业务取得了较大数额的收益。</w:t>
      </w:r>
    </w:p>
    <w:p>
      <w:pPr>
        <w:pStyle w:val="BodyText"/>
        <w:spacing w:line="316" w:lineRule="auto" w:before="16"/>
        <w:ind w:left="513" w:right="94"/>
        <w:jc w:val="left"/>
      </w:pPr>
      <w:r>
        <w:rPr/>
        <w:t>报告期内，公司实现证券投资收益</w:t>
      </w:r>
      <w:r>
        <w:rPr>
          <w:rFonts w:ascii="宋体" w:hAnsi="宋体" w:cs="宋体" w:eastAsia="宋体" w:hint="default"/>
        </w:rPr>
        <w:t>11,527.96</w:t>
      </w:r>
      <w:r>
        <w:rPr/>
        <w:t>万元，理财产品投资收益</w:t>
      </w:r>
      <w:r>
        <w:rPr>
          <w:rFonts w:ascii="宋体" w:hAnsi="宋体" w:cs="宋体" w:eastAsia="宋体" w:hint="default"/>
        </w:rPr>
        <w:t>2,517.05</w:t>
      </w:r>
      <w:r>
        <w:rPr/>
        <w:t>万元。 </w:t>
      </w:r>
      <w:r>
        <w:rPr>
          <w:spacing w:val="-2"/>
        </w:rPr>
        <w:t>报告期内，公司主营电气业务受需求放缓、行业竞争激烈影响，公司产品中标价格、中标数量均出现下滑，实现营业收</w:t>
      </w:r>
    </w:p>
    <w:p>
      <w:pPr>
        <w:pStyle w:val="BodyText"/>
        <w:spacing w:line="240" w:lineRule="auto" w:before="19"/>
        <w:ind w:right="5748"/>
        <w:jc w:val="left"/>
      </w:pPr>
      <w:r>
        <w:rPr/>
        <w:t>入</w:t>
      </w:r>
      <w:r>
        <w:rPr>
          <w:rFonts w:ascii="宋体" w:hAnsi="宋体" w:cs="宋体" w:eastAsia="宋体" w:hint="default"/>
        </w:rPr>
        <w:t>19,121.32</w:t>
      </w:r>
      <w:r>
        <w:rPr/>
        <w:t>万元</w:t>
      </w:r>
      <w:r>
        <w:rPr>
          <w:rFonts w:ascii="宋体" w:hAnsi="宋体" w:cs="宋体" w:eastAsia="宋体" w:hint="default"/>
        </w:rPr>
        <w:t>,</w:t>
      </w:r>
      <w:r>
        <w:rPr/>
        <w:t>同比下降</w:t>
      </w:r>
      <w:r>
        <w:rPr>
          <w:rFonts w:ascii="宋体" w:hAnsi="宋体" w:cs="宋体" w:eastAsia="宋体" w:hint="default"/>
        </w:rPr>
        <w:t>27.81%</w:t>
      </w:r>
      <w:r>
        <w:rPr/>
        <w:t>。</w:t>
      </w:r>
    </w:p>
    <w:p>
      <w:pPr>
        <w:spacing w:after="0" w:line="240" w:lineRule="auto"/>
        <w:jc w:val="left"/>
        <w:sectPr>
          <w:pgSz w:w="11910" w:h="16840"/>
          <w:pgMar w:header="745" w:footer="1186" w:top="1060" w:bottom="1380" w:left="980" w:right="94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426"/>
        <w:gridCol w:w="1419"/>
        <w:gridCol w:w="1702"/>
        <w:gridCol w:w="1560"/>
        <w:gridCol w:w="3553"/>
      </w:tblGrid>
      <w:tr>
        <w:trPr>
          <w:trHeight w:val="34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8"/>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1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年（万元）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4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6"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20,937.03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31,320.10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-33.15%</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主要系市场竞争加剧，订单下降所致</w:t>
            </w:r>
          </w:p>
        </w:tc>
      </w:tr>
      <w:tr>
        <w:trPr>
          <w:trHeight w:val="660"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13,787.52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22,253.18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-38.04%</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主要系市场竞争加剧，订单下降以及本期降本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增效所致</w:t>
            </w:r>
          </w:p>
        </w:tc>
      </w:tr>
      <w:tr>
        <w:trPr>
          <w:trHeight w:val="65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4,743.95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7,959.46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-40.40%</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本期公司订单量减少导致收入下降相关费用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支出减少以及处置子公司导致销售费用下降</w:t>
            </w:r>
          </w:p>
        </w:tc>
      </w:tr>
      <w:tr>
        <w:trPr>
          <w:trHeight w:val="1284"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8,197.87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10,988.42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-25.40%</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pacing w:val="5"/>
                <w:sz w:val="18"/>
                <w:szCs w:val="18"/>
              </w:rPr>
              <w:t>本期公司订单量减少导致收入下降以及处置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子公司导致管理费用下降</w:t>
            </w:r>
            <w:r>
              <w:rPr>
                <w:rFonts w:ascii="宋体" w:hAnsi="宋体" w:cs="宋体" w:eastAsia="宋体" w:hint="default"/>
                <w:spacing w:val="-3"/>
                <w:sz w:val="18"/>
                <w:szCs w:val="18"/>
              </w:rPr>
              <w:t>25.40%</w:t>
            </w:r>
            <w:r>
              <w:rPr>
                <w:rFonts w:ascii="宋体" w:hAnsi="宋体" w:cs="宋体" w:eastAsia="宋体" w:hint="default"/>
                <w:spacing w:val="-3"/>
                <w:sz w:val="18"/>
                <w:szCs w:val="18"/>
              </w:rPr>
              <w:t>，但因管理费</w:t>
            </w:r>
            <w:r>
              <w:rPr>
                <w:rFonts w:ascii="宋体" w:hAnsi="宋体" w:cs="宋体" w:eastAsia="宋体" w:hint="default"/>
                <w:sz w:val="18"/>
                <w:szCs w:val="18"/>
              </w:rPr>
              <w:t> </w:t>
            </w:r>
            <w:r>
              <w:rPr>
                <w:rFonts w:ascii="宋体" w:hAnsi="宋体" w:cs="宋体" w:eastAsia="宋体" w:hint="default"/>
                <w:spacing w:val="-4"/>
                <w:sz w:val="18"/>
                <w:szCs w:val="18"/>
              </w:rPr>
              <w:t>用大部分属于固定费用，相对刚性，因此下降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比例低于收入下降比例</w:t>
            </w:r>
          </w:p>
        </w:tc>
      </w:tr>
      <w:tr>
        <w:trPr>
          <w:trHeight w:val="970"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sz w:val="18"/>
              </w:rPr>
              <w:t>-117.15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18"/>
                <w:szCs w:val="18"/>
              </w:rPr>
            </w:pPr>
            <w:r>
              <w:rPr>
                <w:rFonts w:ascii="宋体"/>
                <w:sz w:val="18"/>
              </w:rPr>
              <w:t>-334.93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65.02%</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0"/>
              <w:jc w:val="both"/>
              <w:rPr>
                <w:rFonts w:ascii="宋体" w:hAnsi="宋体" w:cs="宋体" w:eastAsia="宋体" w:hint="default"/>
                <w:sz w:val="18"/>
                <w:szCs w:val="18"/>
              </w:rPr>
            </w:pPr>
            <w:r>
              <w:rPr>
                <w:rFonts w:ascii="宋体" w:hAnsi="宋体" w:cs="宋体" w:eastAsia="宋体" w:hint="default"/>
                <w:spacing w:val="-4"/>
                <w:sz w:val="18"/>
                <w:szCs w:val="18"/>
              </w:rPr>
              <w:t>本期大部分闲置资金用于购买理财产品，产生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的收益均计入投资收益，银行利息收入相应减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少</w:t>
            </w:r>
          </w:p>
        </w:tc>
      </w:tr>
      <w:tr>
        <w:trPr>
          <w:trHeight w:val="34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1,280.13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4,484.32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-71.45%</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主要系本期剥离新材料业务所致</w:t>
            </w:r>
          </w:p>
        </w:tc>
      </w:tr>
      <w:tr>
        <w:trPr>
          <w:trHeight w:val="972"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 w:right="-19"/>
              <w:jc w:val="left"/>
              <w:rPr>
                <w:rFonts w:ascii="宋体" w:hAnsi="宋体" w:cs="宋体" w:eastAsia="宋体" w:hint="default"/>
                <w:sz w:val="18"/>
                <w:szCs w:val="18"/>
              </w:rPr>
            </w:pPr>
            <w:r>
              <w:rPr>
                <w:rFonts w:ascii="宋体" w:hAnsi="宋体" w:cs="宋体" w:eastAsia="宋体" w:hint="default"/>
                <w:spacing w:val="20"/>
                <w:sz w:val="18"/>
                <w:szCs w:val="18"/>
              </w:rPr>
              <w:t>经营活动产生的</w:t>
            </w:r>
            <w:r>
              <w:rPr>
                <w:rFonts w:ascii="宋体" w:hAnsi="宋体" w:cs="宋体" w:eastAsia="宋体" w:hint="default"/>
                <w:spacing w:val="-87"/>
                <w:sz w:val="18"/>
                <w:szCs w:val="18"/>
              </w:rPr>
              <w:t> </w:t>
            </w:r>
            <w:r>
              <w:rPr>
                <w:rFonts w:ascii="宋体" w:hAnsi="宋体" w:cs="宋体" w:eastAsia="宋体" w:hint="default"/>
                <w:sz w:val="18"/>
                <w:szCs w:val="18"/>
              </w:rPr>
              <w:t>现金流量净额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286.37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5,785.03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18"/>
                <w:szCs w:val="18"/>
              </w:rPr>
            </w:pPr>
            <w:r>
              <w:rPr>
                <w:rFonts w:ascii="宋体"/>
                <w:sz w:val="18"/>
              </w:rPr>
              <w:t>-95.05%</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pacing w:val="5"/>
                <w:sz w:val="18"/>
                <w:szCs w:val="18"/>
              </w:rPr>
              <w:t>主要原因为本期公司订单减少，收入有所下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降，对应的销售收款及采购业务支出均有不同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程度的减少</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2</w:t>
      </w:r>
      <w:r>
        <w:rPr/>
        <w:t>、收入与成本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）营业收入构成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209,370,332.34</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313,200,970.58</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-33.15%</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191,213,218.36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91.33%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264,876,766.37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84.57%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-27.81%</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）化工行业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11,779,553.70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5.63%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45,437,265.40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14.51%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-74.08%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66,923,992.10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31.96%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82,114,833.96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26.22%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-18.50%</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29,200,024.50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28,253,987.75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9.02%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3.35%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12,855,813.97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6.14%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23,834,269.28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7.61%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-46.06%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18,809,492.43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8.98%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30,945,582.13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9.88%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-39.22%</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7,163,280.69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11,884,298.44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3.79%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-39.72%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45,625,429.48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21.79%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60,125,304.06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19.20%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-24.12%</w:t>
            </w:r>
          </w:p>
        </w:tc>
      </w:tr>
      <w:tr>
        <w:trPr>
          <w:trHeight w:val="1028"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聚酰亚胺薄膜材料</w:t>
            </w:r>
          </w:p>
          <w:p>
            <w:pPr>
              <w:pStyle w:val="TableParagraph"/>
              <w:spacing w:line="316" w:lineRule="auto" w:before="77"/>
              <w:ind w:left="24" w:right="124"/>
              <w:jc w:val="left"/>
              <w:rPr>
                <w:rFonts w:ascii="宋体" w:hAnsi="宋体" w:cs="宋体" w:eastAsia="宋体" w:hint="default"/>
                <w:sz w:val="18"/>
                <w:szCs w:val="18"/>
              </w:rPr>
            </w:pPr>
            <w:r>
              <w:rPr>
                <w:rFonts w:ascii="宋体" w:hAnsi="宋体" w:cs="宋体" w:eastAsia="宋体" w:hint="default"/>
                <w:sz w:val="18"/>
                <w:szCs w:val="18"/>
              </w:rPr>
              <w:t>（可弯曲白光柔性 透明导电膜）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z w:val="18"/>
              </w:rPr>
              <w:t>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2,115,299.15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5"/>
              <w:jc w:val="right"/>
              <w:rPr>
                <w:rFonts w:ascii="宋体" w:hAnsi="宋体" w:cs="宋体" w:eastAsia="宋体" w:hint="default"/>
                <w:sz w:val="18"/>
                <w:szCs w:val="18"/>
              </w:rPr>
            </w:pPr>
            <w:r>
              <w:rPr>
                <w:rFonts w:ascii="宋体"/>
                <w:sz w:val="18"/>
              </w:rPr>
              <w:t>0.68%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聚酰亚胺树脂产品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（特种工程塑料）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726,328.53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4,282,445.98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-83.04%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聚酰亚胺纤维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11,050,233.72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39,039,520.27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10,638,176.64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27,718,490.75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23,826,870.02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33,425,510.05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-28.72%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35,538,171.93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76,184,218.86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25,772,806.39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39,309,537.31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-34.44%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13,239,250.27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1,760,214.20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652.14%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78,509,786.81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125,018,628.70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-37.20%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22,307,796.47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23,051,471.04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-3.23%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3,798,090.17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11,564,451.61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-67.16%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）占公司营业收入或营业利润</w:t>
      </w:r>
      <w:r>
        <w:rPr>
          <w:spacing w:val="-53"/>
        </w:rPr>
        <w:t> </w:t>
      </w:r>
      <w:r>
        <w:rPr>
          <w:rFonts w:ascii="宋体" w:hAnsi="宋体" w:cs="宋体" w:eastAsia="宋体" w:hint="default"/>
        </w:rPr>
        <w:t>10%</w:t>
      </w:r>
      <w:r>
        <w:rPr/>
        <w:t>以上的行业、产品或地区情况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1418"/>
        <w:gridCol w:w="992"/>
        <w:gridCol w:w="1277"/>
        <w:gridCol w:w="1275"/>
        <w:gridCol w:w="1066"/>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4"/>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）电力行业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191,213,218.36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122,210,666.66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）化工行业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11,779,553.70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12,097,202.85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-73.23%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-3.23%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66,923,992.10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33,985,545.38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49.22%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29,200,024.50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21,026,248.84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18.51%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12,855,813.97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10,053,004.40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-23.09%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18,809,492.43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11,432,329.66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-39.22%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-9.71%</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7,163,280.69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7,565,388.40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-5.61%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-18.82%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45,625,429.48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28,495,766.58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-2.42%</w:t>
            </w:r>
          </w:p>
        </w:tc>
      </w:tr>
      <w:tr>
        <w:trPr>
          <w:trHeight w:val="715" w:hRule="exact"/>
        </w:trPr>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pacing w:val="-5"/>
                <w:sz w:val="18"/>
                <w:szCs w:val="18"/>
              </w:rPr>
              <w:t>聚酰亚胺薄膜材料（可弯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曲白光柔性透明导电膜）</w:t>
            </w:r>
          </w:p>
        </w:tc>
        <w:tc>
          <w:tcPr>
            <w:tcW w:w="156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聚酰亚胺树脂产品（特种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工程塑料）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726,328.53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623,292.84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-83.04%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-87.17%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27.59%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聚酰亚胺纤维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11,050,233.72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11,472,803.17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-5.92%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10,638,176.64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9,653,490.24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-61.62%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-60.30%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23,826,870.02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15,812,005.80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-6.72%</w:t>
            </w:r>
          </w:p>
        </w:tc>
      </w:tr>
    </w:tbl>
    <w:p>
      <w:pPr>
        <w:spacing w:after="0" w:line="240" w:lineRule="auto"/>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1418"/>
        <w:gridCol w:w="992"/>
        <w:gridCol w:w="1277"/>
        <w:gridCol w:w="1275"/>
        <w:gridCol w:w="1066"/>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35,538,171.93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23,633,696.99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-53.35%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-55.49%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25,772,806.39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16,407,048.85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36.34%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13,239,250.27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13,541,863.03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652.14%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698.32%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-5.92%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78,509,786.81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48,034,149.06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38.82%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22,307,796.47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13,866,427.37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6.93%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3,798,090.17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3,012,678.41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20.68%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-68.38%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3.07%</w:t>
            </w:r>
          </w:p>
        </w:tc>
      </w:tr>
    </w:tbl>
    <w:p>
      <w:pPr>
        <w:pStyle w:val="BodyText"/>
        <w:spacing w:line="240" w:lineRule="auto" w:before="49"/>
        <w:ind w:right="153"/>
        <w:jc w:val="left"/>
      </w:pPr>
      <w:r>
        <w:rPr/>
        <w:t>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6"/>
        </w:rPr>
        <w:t> </w:t>
      </w:r>
      <w:r>
        <w:rPr/>
        <w:t>年按报告期末口径调整后的主营业务数据</w:t>
      </w:r>
    </w:p>
    <w:p>
      <w:pPr>
        <w:pStyle w:val="BodyText"/>
        <w:spacing w:line="240" w:lineRule="auto" w:before="115"/>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t>（</w:t>
      </w:r>
      <w:r>
        <w:rPr>
          <w:rFonts w:ascii="宋体" w:hAnsi="宋体" w:cs="宋体" w:eastAsia="宋体" w:hint="default"/>
        </w:rPr>
        <w:t>3</w:t>
      </w:r>
      <w:r>
        <w:rPr/>
        <w:t>）公司实物销售收入是否大于劳务收入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w:t>
            </w:r>
            <w:r>
              <w:rPr>
                <w:rFonts w:ascii="宋体" w:hAnsi="宋体" w:cs="宋体" w:eastAsia="宋体" w:hint="default"/>
                <w:sz w:val="18"/>
                <w:szCs w:val="18"/>
              </w:rPr>
              <w:t>套</w:t>
            </w:r>
            <w:r>
              <w:rPr>
                <w:rFonts w:ascii="宋体" w:hAnsi="宋体" w:cs="宋体" w:eastAsia="宋体" w:hint="default"/>
                <w:sz w:val="18"/>
                <w:szCs w:val="18"/>
              </w:rPr>
              <w:t>/</w:t>
            </w:r>
            <w:r>
              <w:rPr>
                <w:rFonts w:ascii="宋体" w:hAnsi="宋体" w:cs="宋体" w:eastAsia="宋体" w:hint="default"/>
                <w:sz w:val="18"/>
                <w:szCs w:val="18"/>
              </w:rPr>
              <w:t>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104,242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-31.90%</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w:t>
            </w:r>
            <w:r>
              <w:rPr>
                <w:rFonts w:ascii="宋体" w:hAnsi="宋体" w:cs="宋体" w:eastAsia="宋体" w:hint="default"/>
                <w:sz w:val="18"/>
                <w:szCs w:val="18"/>
              </w:rPr>
              <w:t>套</w:t>
            </w:r>
            <w:r>
              <w:rPr>
                <w:rFonts w:ascii="宋体" w:hAnsi="宋体" w:cs="宋体" w:eastAsia="宋体" w:hint="default"/>
                <w:sz w:val="18"/>
                <w:szCs w:val="18"/>
              </w:rPr>
              <w:t>/</w:t>
            </w:r>
            <w:r>
              <w:rPr>
                <w:rFonts w:ascii="宋体" w:hAnsi="宋体" w:cs="宋体" w:eastAsia="宋体" w:hint="default"/>
                <w:sz w:val="18"/>
                <w:szCs w:val="18"/>
              </w:rPr>
              <w:t>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159,133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-36.92%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w:t>
            </w:r>
            <w:r>
              <w:rPr>
                <w:rFonts w:ascii="宋体" w:hAnsi="宋体" w:cs="宋体" w:eastAsia="宋体" w:hint="default"/>
                <w:sz w:val="18"/>
                <w:szCs w:val="18"/>
              </w:rPr>
              <w:t>套</w:t>
            </w:r>
            <w:r>
              <w:rPr>
                <w:rFonts w:ascii="宋体" w:hAnsi="宋体" w:cs="宋体" w:eastAsia="宋体" w:hint="default"/>
                <w:sz w:val="18"/>
                <w:szCs w:val="18"/>
              </w:rPr>
              <w:t>/</w:t>
            </w:r>
            <w:r>
              <w:rPr>
                <w:rFonts w:ascii="宋体" w:hAnsi="宋体" w:cs="宋体" w:eastAsia="宋体" w:hint="default"/>
                <w:sz w:val="18"/>
                <w:szCs w:val="18"/>
              </w:rPr>
              <w:t>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-34.97%</w:t>
            </w:r>
          </w:p>
        </w:tc>
      </w:tr>
    </w:tbl>
    <w:p>
      <w:pPr>
        <w:pStyle w:val="BodyText"/>
        <w:spacing w:line="240" w:lineRule="auto" w:before="49"/>
        <w:ind w:right="153"/>
        <w:jc w:val="left"/>
      </w:pPr>
      <w:r>
        <w:rPr/>
        <w:t>相关数据同比发生变动</w:t>
      </w:r>
      <w:r>
        <w:rPr>
          <w:spacing w:val="-47"/>
        </w:rPr>
        <w:t> </w:t>
      </w:r>
      <w:r>
        <w:rPr>
          <w:rFonts w:ascii="宋体" w:hAnsi="宋体" w:cs="宋体" w:eastAsia="宋体" w:hint="default"/>
        </w:rPr>
        <w:t>30%</w:t>
      </w:r>
      <w:r>
        <w:rPr/>
        <w:t>以上的原因说明</w:t>
      </w:r>
    </w:p>
    <w:p>
      <w:pPr>
        <w:pStyle w:val="BodyText"/>
        <w:spacing w:line="360" w:lineRule="auto" w:before="115"/>
        <w:ind w:right="144"/>
        <w:jc w:val="left"/>
      </w:pPr>
      <w:r>
        <w:rPr/>
        <w:t>√ 适用 □</w:t>
      </w:r>
      <w:r>
        <w:rPr>
          <w:spacing w:val="3"/>
        </w:rPr>
        <w:t> </w:t>
      </w:r>
      <w:r>
        <w:rPr/>
        <w:t>不适用</w:t>
      </w:r>
      <w:r>
        <w:rPr/>
        <w:t> </w:t>
      </w:r>
      <w:r>
        <w:rPr>
          <w:rFonts w:ascii="宋体" w:hAnsi="宋体" w:cs="宋体" w:eastAsia="宋体" w:hint="default"/>
        </w:rPr>
        <w:t>2015</w:t>
      </w:r>
      <w:r>
        <w:rPr/>
        <w:t>年销售量、生产量、库存量同比下降了</w:t>
      </w:r>
      <w:r>
        <w:rPr>
          <w:rFonts w:ascii="宋体" w:hAnsi="宋体" w:cs="宋体" w:eastAsia="宋体" w:hint="default"/>
        </w:rPr>
        <w:t>31.9</w:t>
      </w:r>
      <w:r>
        <w:rPr/>
        <w:t>％、</w:t>
      </w:r>
      <w:r>
        <w:rPr>
          <w:rFonts w:ascii="宋体" w:hAnsi="宋体" w:cs="宋体" w:eastAsia="宋体" w:hint="default"/>
        </w:rPr>
        <w:t>36.92%</w:t>
      </w:r>
      <w:r>
        <w:rPr/>
        <w:t>和</w:t>
      </w:r>
      <w:r>
        <w:rPr>
          <w:rFonts w:ascii="宋体" w:hAnsi="宋体" w:cs="宋体" w:eastAsia="宋体" w:hint="default"/>
        </w:rPr>
        <w:t>34.97</w:t>
      </w:r>
      <w:r>
        <w:rPr/>
        <w:t>％，主要原因系</w:t>
      </w:r>
      <w:r>
        <w:rPr>
          <w:rFonts w:ascii="宋体" w:hAnsi="宋体" w:cs="宋体" w:eastAsia="宋体" w:hint="default"/>
        </w:rPr>
        <w:t>2015</w:t>
      </w:r>
      <w:r>
        <w:rPr/>
        <w:t>年中标金额下降、订单减少所致。</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5</w:t>
      </w:r>
      <w:r>
        <w:rPr/>
        <w:t>）营业成本构成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行业和产品分类</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1416"/>
        <w:gridCol w:w="1419"/>
        <w:gridCol w:w="1416"/>
        <w:gridCol w:w="1419"/>
        <w:gridCol w:w="782"/>
      </w:tblGrid>
      <w:tr>
        <w:trPr>
          <w:trHeight w:val="404"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122,210,666.66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88.64%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168,273,152.41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75.62%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-27.37%</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12,097,202.85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45,193,411.87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-73.23%</w:t>
            </w:r>
          </w:p>
        </w:tc>
      </w:tr>
    </w:tbl>
    <w:p>
      <w:pPr>
        <w:pStyle w:val="BodyText"/>
        <w:spacing w:line="240" w:lineRule="auto" w:before="49"/>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1416"/>
        <w:gridCol w:w="1419"/>
        <w:gridCol w:w="1416"/>
        <w:gridCol w:w="1419"/>
        <w:gridCol w:w="782"/>
      </w:tblGrid>
      <w:tr>
        <w:trPr>
          <w:trHeight w:val="401"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33,985,545.38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43,030,507.57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19.34%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-21.02%</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21,026,248.84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25,574,547.33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11.49%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-17.78%</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10,053,004.40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13,135,534.09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5.90%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-23.47%</w:t>
            </w:r>
          </w:p>
        </w:tc>
      </w:tr>
    </w:tbl>
    <w:p>
      <w:pPr>
        <w:spacing w:after="0" w:line="240" w:lineRule="auto"/>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1416"/>
        <w:gridCol w:w="1419"/>
        <w:gridCol w:w="1416"/>
        <w:gridCol w:w="1419"/>
        <w:gridCol w:w="782"/>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11,432,329.66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15,803,367.86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7.10%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-27.66%</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绝缘母线和管母线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7,565,388.40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10,315,065.60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-26.66%</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28,495,766.58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36,098,202.23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16.22%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-21.06%</w:t>
            </w: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聚酰亚胺薄膜材料（可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弯曲白光柔性透明导 电膜）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2,115,299.16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-100.00%</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聚酰亚胺树脂产品（特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种工程塑料）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623,292.84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4,856,632.76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-87.17%</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聚酰亚胺纤维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11,472,803.17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38,221,479.95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17.18%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-69.98%</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9,653,490.24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24,315,927.73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-60.30%</w:t>
            </w:r>
          </w:p>
        </w:tc>
      </w:tr>
    </w:tbl>
    <w:p>
      <w:pPr>
        <w:pStyle w:val="BodyText"/>
        <w:spacing w:line="314" w:lineRule="auto" w:before="49"/>
        <w:ind w:right="252"/>
        <w:jc w:val="left"/>
      </w:pPr>
      <w:r>
        <w:rPr/>
        <w:t>说明：公司转让长春高琦、江西先材两家公司股权于</w:t>
      </w:r>
      <w:r>
        <w:rPr>
          <w:spacing w:val="-45"/>
        </w:rPr>
        <w:t> </w:t>
      </w: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月完成工商变更登记，化工行业和产品相关数据仅包括</w:t>
      </w:r>
      <w:r>
        <w:rPr>
          <w:spacing w:val="-45"/>
        </w:rPr>
        <w:t> </w:t>
      </w:r>
      <w:r>
        <w:rPr>
          <w:rFonts w:ascii="宋体" w:hAnsi="宋体" w:cs="宋体" w:eastAsia="宋体" w:hint="default"/>
        </w:rPr>
        <w:t>1-4 </w:t>
      </w:r>
      <w:r>
        <w:rPr/>
        <w:t>月份。</w:t>
      </w:r>
    </w:p>
    <w:p>
      <w:pPr>
        <w:spacing w:line="240" w:lineRule="auto" w:before="12"/>
        <w:rPr>
          <w:rFonts w:ascii="宋体" w:hAnsi="宋体" w:cs="宋体" w:eastAsia="宋体" w:hint="default"/>
          <w:sz w:val="22"/>
          <w:szCs w:val="22"/>
        </w:rPr>
      </w:pPr>
    </w:p>
    <w:p>
      <w:pPr>
        <w:pStyle w:val="Heading3"/>
        <w:spacing w:line="240" w:lineRule="auto"/>
        <w:ind w:right="252"/>
        <w:jc w:val="left"/>
        <w:rPr>
          <w:b w:val="0"/>
          <w:bCs w:val="0"/>
        </w:rPr>
      </w:pPr>
      <w:r>
        <w:rPr/>
        <w:t>（</w:t>
      </w:r>
      <w:r>
        <w:rPr>
          <w:rFonts w:ascii="宋体" w:hAnsi="宋体" w:cs="宋体" w:eastAsia="宋体" w:hint="default"/>
        </w:rPr>
        <w:t>6</w:t>
      </w:r>
      <w:r>
        <w:rPr/>
        <w:t>）报告期内合并范围是否发生变动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52"/>
        <w:jc w:val="left"/>
      </w:pPr>
      <w:r>
        <w:rPr/>
        <w:t>√ 是 □</w:t>
      </w:r>
      <w:r>
        <w:rPr>
          <w:spacing w:val="3"/>
        </w:rPr>
        <w:t> </w:t>
      </w:r>
      <w:r>
        <w:rPr/>
        <w:t>否</w:t>
      </w:r>
    </w:p>
    <w:p>
      <w:pPr>
        <w:pStyle w:val="BodyText"/>
        <w:spacing w:line="319" w:lineRule="auto" w:before="117"/>
        <w:ind w:right="114" w:firstLine="360"/>
        <w:jc w:val="left"/>
      </w:pPr>
      <w:r>
        <w:rPr/>
        <w:t>公司</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8</w:t>
      </w:r>
      <w:r>
        <w:rPr/>
        <w:t>日转让长春高琦</w:t>
      </w:r>
      <w:r>
        <w:rPr>
          <w:rFonts w:ascii="宋体" w:hAnsi="宋体" w:cs="宋体" w:eastAsia="宋体" w:hint="default"/>
        </w:rPr>
        <w:t>33.63177%</w:t>
      </w:r>
      <w:r>
        <w:rPr/>
        <w:t>股权、</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23</w:t>
      </w:r>
      <w:r>
        <w:rPr/>
        <w:t>日转让长春高琦</w:t>
      </w:r>
      <w:r>
        <w:rPr>
          <w:rFonts w:ascii="宋体" w:hAnsi="宋体" w:cs="宋体" w:eastAsia="宋体" w:hint="default"/>
        </w:rPr>
        <w:t>33%</w:t>
      </w:r>
      <w:r>
        <w:rPr/>
        <w:t>股权、</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27</w:t>
      </w:r>
      <w:r>
        <w:rPr/>
        <w:t>日转让长春高琦 </w:t>
      </w:r>
      <w:r>
        <w:rPr>
          <w:rFonts w:ascii="宋体" w:hAnsi="宋体" w:cs="宋体" w:eastAsia="宋体" w:hint="default"/>
        </w:rPr>
        <w:t>18%</w:t>
      </w:r>
      <w:r>
        <w:rPr/>
        <w:t>股权，后因资金投入、技术升级不确定等原因放弃对长春高琦</w:t>
      </w:r>
      <w:r>
        <w:rPr>
          <w:rFonts w:ascii="宋体" w:hAnsi="宋体" w:cs="宋体" w:eastAsia="宋体" w:hint="default"/>
        </w:rPr>
        <w:t>66.63177%</w:t>
      </w:r>
      <w:r>
        <w:rPr/>
        <w:t>股权的托管权及未来五年内对该股权的回购权， 截至</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23</w:t>
      </w:r>
      <w:r>
        <w:rPr/>
        <w:t>日，上述股权转让工商变更手续已全部办理完毕，根据企业会计准则的相关规定，公司自股权过户完成后 不再将长春高琦及其下属控股子公司纳入合并报表范围。</w:t>
      </w:r>
    </w:p>
    <w:p>
      <w:pPr>
        <w:pStyle w:val="BodyText"/>
        <w:spacing w:line="316" w:lineRule="auto" w:before="17"/>
        <w:ind w:right="114" w:firstLine="360"/>
        <w:jc w:val="left"/>
      </w:pPr>
      <w:r>
        <w:rPr>
          <w:spacing w:val="-3"/>
        </w:rPr>
        <w:t>公司</w:t>
      </w:r>
      <w:r>
        <w:rPr>
          <w:rFonts w:ascii="宋体" w:hAnsi="宋体" w:cs="宋体" w:eastAsia="宋体" w:hint="default"/>
          <w:spacing w:val="-3"/>
        </w:rPr>
        <w:t>2014</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23</w:t>
      </w:r>
      <w:r>
        <w:rPr>
          <w:spacing w:val="-3"/>
        </w:rPr>
        <w:t>日向吕晓义、何平共计转让江西先材</w:t>
      </w:r>
      <w:r>
        <w:rPr>
          <w:rFonts w:ascii="宋体" w:hAnsi="宋体" w:cs="宋体" w:eastAsia="宋体" w:hint="default"/>
          <w:spacing w:val="-3"/>
        </w:rPr>
        <w:t>52.8%</w:t>
      </w:r>
      <w:r>
        <w:rPr>
          <w:spacing w:val="-3"/>
        </w:rPr>
        <w:t>股权，股权转让公司变更登记手续已于</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23</w:t>
      </w:r>
      <w:r>
        <w:rPr>
          <w:spacing w:val="-3"/>
        </w:rPr>
        <w:t>日完成，</w:t>
      </w:r>
      <w:r>
        <w:rPr/>
        <w:t> 后因资金投入、技术升级不确定等原因放弃对江西先材</w:t>
      </w:r>
      <w:r>
        <w:rPr>
          <w:rFonts w:ascii="宋体" w:hAnsi="宋体" w:cs="宋体" w:eastAsia="宋体" w:hint="default"/>
        </w:rPr>
        <w:t>52.8%</w:t>
      </w:r>
      <w:r>
        <w:rPr/>
        <w:t>股权的托管权及未来五年内对该股权的回购权，根据企业会计 准则的相关规定，公司自股权过户完成后不再将江西先材纳入合并报表范围。</w:t>
      </w:r>
    </w:p>
    <w:p>
      <w:pPr>
        <w:pStyle w:val="BodyText"/>
        <w:spacing w:line="316" w:lineRule="auto" w:before="19"/>
        <w:ind w:right="216" w:firstLine="360"/>
        <w:jc w:val="both"/>
      </w:pPr>
      <w:r>
        <w:rPr/>
        <w:t>公司于</w:t>
      </w:r>
      <w:r>
        <w:rPr>
          <w:rFonts w:ascii="宋体" w:hAnsi="宋体" w:cs="宋体" w:eastAsia="宋体" w:hint="default"/>
        </w:rPr>
        <w:t>2015</w:t>
      </w:r>
      <w:r>
        <w:rPr/>
        <w:t>年年</w:t>
      </w:r>
      <w:r>
        <w:rPr>
          <w:rFonts w:ascii="宋体" w:hAnsi="宋体" w:cs="宋体" w:eastAsia="宋体" w:hint="default"/>
        </w:rPr>
        <w:t>9</w:t>
      </w:r>
      <w:r>
        <w:rPr/>
        <w:t>月</w:t>
      </w:r>
      <w:r>
        <w:rPr>
          <w:rFonts w:ascii="宋体" w:hAnsi="宋体" w:cs="宋体" w:eastAsia="宋体" w:hint="default"/>
        </w:rPr>
        <w:t>8</w:t>
      </w:r>
      <w:r>
        <w:rPr/>
        <w:t>日在新疆喀什地区设立全资子公司喀什中汇联银，子公司北京中汇联银于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日在北京设 立全资子公司中行置盛、于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15</w:t>
      </w:r>
      <w:r>
        <w:rPr/>
        <w:t>日在北京设立全资子公司中融建银，公司将以上新成立的子公司、孙公司纳入</w:t>
      </w:r>
      <w:r>
        <w:rPr>
          <w:rFonts w:ascii="宋体" w:hAnsi="宋体" w:cs="宋体" w:eastAsia="宋体" w:hint="default"/>
        </w:rPr>
        <w:t>2015 </w:t>
      </w:r>
      <w:r>
        <w:rPr/>
        <w:t>年年度财务报表合并范围。</w:t>
      </w:r>
    </w:p>
    <w:p>
      <w:pPr>
        <w:spacing w:line="240" w:lineRule="auto" w:before="10"/>
        <w:rPr>
          <w:rFonts w:ascii="宋体" w:hAnsi="宋体" w:cs="宋体" w:eastAsia="宋体" w:hint="default"/>
          <w:sz w:val="22"/>
          <w:szCs w:val="22"/>
        </w:rPr>
      </w:pPr>
    </w:p>
    <w:p>
      <w:pPr>
        <w:pStyle w:val="Heading3"/>
        <w:spacing w:line="240" w:lineRule="auto"/>
        <w:ind w:right="252"/>
        <w:jc w:val="left"/>
        <w:rPr>
          <w:b w:val="0"/>
          <w:bCs w:val="0"/>
        </w:rPr>
      </w:pP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left="513" w:right="114" w:hanging="361"/>
        <w:jc w:val="left"/>
      </w:pPr>
      <w:r>
        <w:rPr/>
        <w:t>√ 适用 □</w:t>
      </w:r>
      <w:r>
        <w:rPr>
          <w:spacing w:val="3"/>
        </w:rPr>
        <w:t> </w:t>
      </w:r>
      <w:r>
        <w:rPr/>
        <w:t>不适用</w:t>
      </w:r>
      <w:r>
        <w:rPr/>
        <w:t> </w:t>
      </w:r>
      <w:r>
        <w:rPr>
          <w:spacing w:val="-2"/>
        </w:rPr>
        <w:t>报告期内，第五届董事会第十七次会议、</w:t>
      </w:r>
      <w:r>
        <w:rPr>
          <w:rFonts w:ascii="宋体" w:hAnsi="宋体" w:cs="宋体" w:eastAsia="宋体" w:hint="default"/>
          <w:spacing w:val="-2"/>
        </w:rPr>
        <w:t>2015</w:t>
      </w:r>
      <w:r>
        <w:rPr>
          <w:spacing w:val="-2"/>
        </w:rPr>
        <w:t>年第六次临时股东大会审议通过了《关于修订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的议案》，公司</w:t>
      </w:r>
    </w:p>
    <w:p>
      <w:pPr>
        <w:pStyle w:val="BodyText"/>
        <w:spacing w:line="222" w:lineRule="exact"/>
        <w:ind w:right="0"/>
        <w:jc w:val="left"/>
      </w:pPr>
      <w:r>
        <w:rPr/>
        <w:t>经营范围发生变更，公司确立了电气业务和投资业务双主业运营的发展方向。公司新设了喀什中汇联银、通过子公司北京中</w:t>
      </w:r>
    </w:p>
    <w:p>
      <w:pPr>
        <w:pStyle w:val="BodyText"/>
        <w:spacing w:line="240" w:lineRule="auto" w:before="76"/>
        <w:ind w:right="252"/>
        <w:jc w:val="left"/>
      </w:pPr>
      <w:r>
        <w:rPr/>
        <w:t>汇联银新设了孙公司中行置盛和中融建银作为专门的投资平台，在报告期内取得了较好的收益。</w:t>
      </w:r>
    </w:p>
    <w:p>
      <w:pPr>
        <w:spacing w:line="240" w:lineRule="auto" w:before="0"/>
        <w:rPr>
          <w:rFonts w:ascii="宋体" w:hAnsi="宋体" w:cs="宋体" w:eastAsia="宋体" w:hint="default"/>
          <w:sz w:val="18"/>
          <w:szCs w:val="18"/>
        </w:rPr>
      </w:pPr>
    </w:p>
    <w:p>
      <w:pPr>
        <w:pStyle w:val="Heading3"/>
        <w:spacing w:line="240" w:lineRule="auto" w:before="120"/>
        <w:ind w:right="252"/>
        <w:jc w:val="left"/>
        <w:rPr>
          <w:b w:val="0"/>
          <w:bCs w:val="0"/>
        </w:rPr>
      </w:pPr>
      <w:r>
        <w:rPr/>
        <w:t>（</w:t>
      </w:r>
      <w:r>
        <w:rPr>
          <w:rFonts w:ascii="宋体" w:hAnsi="宋体" w:cs="宋体" w:eastAsia="宋体" w:hint="default"/>
        </w:rPr>
        <w:t>8</w:t>
      </w:r>
      <w:r>
        <w:rPr/>
        <w:t>）主要销售客户和主要供应商情况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252"/>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84,024,528.53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40.13%</w:t>
            </w:r>
          </w:p>
        </w:tc>
      </w:tr>
    </w:tbl>
    <w:p>
      <w:pPr>
        <w:pStyle w:val="BodyText"/>
        <w:spacing w:line="240" w:lineRule="auto" w:before="49"/>
        <w:ind w:right="252"/>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大客户资料</w:t>
      </w:r>
    </w:p>
    <w:p>
      <w:pPr>
        <w:pStyle w:val="BodyText"/>
        <w:spacing w:line="240" w:lineRule="auto" w:before="115"/>
        <w:ind w:right="252"/>
        <w:jc w:val="left"/>
      </w:pPr>
      <w:r>
        <w:rPr/>
        <w:t>√ 适用 □</w:t>
      </w:r>
      <w:r>
        <w:rPr>
          <w:spacing w:val="3"/>
        </w:rPr>
        <w:t> </w:t>
      </w:r>
      <w:r>
        <w:rPr/>
        <w:t>不适用</w:t>
      </w:r>
    </w:p>
    <w:p>
      <w:pPr>
        <w:spacing w:after="0" w:line="240" w:lineRule="auto"/>
        <w:jc w:val="left"/>
        <w:sectPr>
          <w:pgSz w:w="11910" w:h="16840"/>
          <w:pgMar w:header="745" w:footer="1186" w:top="1060" w:bottom="138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22,759,276.07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21,942,148.84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20,180,520.91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11,473,495.73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5.48%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7,669,086.99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84,024,528.53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40.13%</w:t>
            </w:r>
          </w:p>
        </w:tc>
      </w:tr>
    </w:tbl>
    <w:p>
      <w:pPr>
        <w:pStyle w:val="BodyText"/>
        <w:spacing w:line="240" w:lineRule="auto" w:before="49"/>
        <w:ind w:right="153"/>
        <w:jc w:val="left"/>
      </w:pPr>
      <w:r>
        <w:rPr/>
        <w:t>主要客户其他情况说明</w:t>
      </w:r>
    </w:p>
    <w:p>
      <w:pPr>
        <w:pStyle w:val="BodyText"/>
        <w:spacing w:line="360" w:lineRule="auto" w:before="115"/>
        <w:ind w:right="8154"/>
        <w:jc w:val="left"/>
      </w:pPr>
      <w:r>
        <w:rPr/>
        <w:t>□ 适用 √</w:t>
      </w:r>
      <w:r>
        <w:rPr>
          <w:spacing w:val="3"/>
        </w:rPr>
        <w:t> </w:t>
      </w:r>
      <w:r>
        <w:rPr/>
        <w:t>不适用</w:t>
      </w:r>
      <w:r>
        <w:rPr/>
        <w:t>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24,993,186.94</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26.78%</w:t>
            </w:r>
          </w:p>
        </w:tc>
      </w:tr>
    </w:tbl>
    <w:p>
      <w:pPr>
        <w:pStyle w:val="BodyText"/>
        <w:spacing w:line="240" w:lineRule="auto" w:before="65"/>
        <w:ind w:right="153"/>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名供应商资料</w:t>
      </w:r>
    </w:p>
    <w:p>
      <w:pPr>
        <w:pStyle w:val="BodyText"/>
        <w:spacing w:line="240" w:lineRule="auto" w:before="117"/>
        <w:ind w:right="15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7,456,858.12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7.99%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7,352,011.03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4,596,213.03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4.92%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2,801,756.49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2,786,348.27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2.99%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24,993,186.94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26.78%</w:t>
            </w:r>
          </w:p>
        </w:tc>
      </w:tr>
    </w:tbl>
    <w:p>
      <w:pPr>
        <w:pStyle w:val="BodyText"/>
        <w:spacing w:line="240" w:lineRule="auto" w:before="49"/>
        <w:ind w:right="153"/>
        <w:jc w:val="left"/>
      </w:pPr>
      <w:r>
        <w:rPr/>
        <w:t>主要供应商其他情况说明</w:t>
      </w:r>
    </w:p>
    <w:p>
      <w:pPr>
        <w:pStyle w:val="BodyText"/>
        <w:spacing w:line="240" w:lineRule="auto" w:before="115"/>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w:t>
      </w:r>
      <w:r>
        <w:rPr/>
        <w:t>、费用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82"/>
        <w:gridCol w:w="1558"/>
        <w:gridCol w:w="1561"/>
        <w:gridCol w:w="1133"/>
        <w:gridCol w:w="4325"/>
      </w:tblGrid>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sz w:val="18"/>
              </w:rPr>
              <w:t>47,439,473.03</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sz w:val="18"/>
              </w:rPr>
              <w:t>79,594,593.58</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-40.40%</w:t>
            </w:r>
          </w:p>
        </w:tc>
        <w:tc>
          <w:tcPr>
            <w:tcW w:w="4325"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46"/>
              <w:jc w:val="left"/>
              <w:rPr>
                <w:rFonts w:ascii="宋体" w:hAnsi="宋体" w:cs="宋体" w:eastAsia="宋体" w:hint="default"/>
                <w:sz w:val="18"/>
                <w:szCs w:val="18"/>
              </w:rPr>
            </w:pPr>
            <w:r>
              <w:rPr>
                <w:rFonts w:ascii="宋体" w:hAnsi="宋体" w:cs="宋体" w:eastAsia="宋体" w:hint="default"/>
                <w:sz w:val="18"/>
                <w:szCs w:val="18"/>
              </w:rPr>
              <w:t>本期公司订单量减少导致收入下降相关费用支出减少 以及处置子公司导致销售费用下降</w:t>
            </w:r>
            <w:r>
              <w:rPr>
                <w:rFonts w:ascii="宋体" w:hAnsi="宋体" w:cs="宋体" w:eastAsia="宋体" w:hint="default"/>
                <w:spacing w:val="-45"/>
                <w:sz w:val="18"/>
                <w:szCs w:val="18"/>
              </w:rPr>
              <w:t> </w:t>
            </w:r>
            <w:r>
              <w:rPr>
                <w:rFonts w:ascii="宋体" w:hAnsi="宋体" w:cs="宋体" w:eastAsia="宋体" w:hint="default"/>
                <w:sz w:val="18"/>
                <w:szCs w:val="18"/>
              </w:rPr>
              <w:t>40.40%</w:t>
            </w:r>
          </w:p>
        </w:tc>
      </w:tr>
      <w:tr>
        <w:trPr>
          <w:trHeight w:val="394"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vMerge/>
            <w:tcBorders>
              <w:left w:val="single" w:sz="9"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325" w:type="dxa"/>
            <w:vMerge/>
            <w:tcBorders>
              <w:left w:val="single" w:sz="4" w:space="0" w:color="000000"/>
              <w:right w:val="single" w:sz="4" w:space="0" w:color="000000"/>
            </w:tcBorders>
          </w:tcPr>
          <w:p>
            <w:pPr/>
          </w:p>
        </w:tc>
      </w:tr>
      <w:tr>
        <w:trPr>
          <w:trHeight w:val="161"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9"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325" w:type="dxa"/>
            <w:vMerge/>
            <w:tcBorders>
              <w:left w:val="single" w:sz="4" w:space="0" w:color="000000"/>
              <w:bottom w:val="single" w:sz="4" w:space="0" w:color="000000"/>
              <w:right w:val="single" w:sz="4" w:space="0" w:color="000000"/>
            </w:tcBorders>
          </w:tcPr>
          <w:p>
            <w:pPr/>
          </w:p>
        </w:tc>
      </w:tr>
      <w:tr>
        <w:trPr>
          <w:trHeight w:val="317"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9" w:right="0"/>
              <w:jc w:val="left"/>
              <w:rPr>
                <w:rFonts w:ascii="宋体" w:hAnsi="宋体" w:cs="宋体" w:eastAsia="宋体" w:hint="default"/>
                <w:sz w:val="18"/>
                <w:szCs w:val="18"/>
              </w:rPr>
            </w:pPr>
            <w:r>
              <w:rPr>
                <w:rFonts w:ascii="宋体"/>
                <w:sz w:val="18"/>
              </w:rPr>
              <w:t>81,978,681.32</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7" w:right="0"/>
              <w:jc w:val="left"/>
              <w:rPr>
                <w:rFonts w:ascii="宋体" w:hAnsi="宋体" w:cs="宋体" w:eastAsia="宋体" w:hint="default"/>
                <w:sz w:val="18"/>
                <w:szCs w:val="18"/>
              </w:rPr>
            </w:pPr>
            <w:r>
              <w:rPr>
                <w:rFonts w:ascii="宋体"/>
                <w:sz w:val="18"/>
              </w:rPr>
              <w:t>109,884,156.87</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0" w:right="0"/>
              <w:jc w:val="left"/>
              <w:rPr>
                <w:rFonts w:ascii="宋体" w:hAnsi="宋体" w:cs="宋体" w:eastAsia="宋体" w:hint="default"/>
                <w:sz w:val="18"/>
                <w:szCs w:val="18"/>
              </w:rPr>
            </w:pPr>
            <w:r>
              <w:rPr>
                <w:rFonts w:ascii="宋体"/>
                <w:sz w:val="18"/>
              </w:rPr>
              <w:t>-25.40%</w:t>
            </w:r>
          </w:p>
        </w:tc>
        <w:tc>
          <w:tcPr>
            <w:tcW w:w="4325"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01"/>
              <w:jc w:val="both"/>
              <w:rPr>
                <w:rFonts w:ascii="宋体" w:hAnsi="宋体" w:cs="宋体" w:eastAsia="宋体" w:hint="default"/>
                <w:sz w:val="18"/>
                <w:szCs w:val="18"/>
              </w:rPr>
            </w:pPr>
            <w:r>
              <w:rPr>
                <w:rFonts w:ascii="宋体" w:hAnsi="宋体" w:cs="宋体" w:eastAsia="宋体" w:hint="default"/>
                <w:sz w:val="18"/>
                <w:szCs w:val="18"/>
              </w:rPr>
              <w:t>本期公司订单量减少导致收入下降以及处置子公司导 致管理费用下降</w:t>
            </w:r>
            <w:r>
              <w:rPr>
                <w:rFonts w:ascii="宋体" w:hAnsi="宋体" w:cs="宋体" w:eastAsia="宋体" w:hint="default"/>
                <w:spacing w:val="-48"/>
                <w:sz w:val="18"/>
                <w:szCs w:val="18"/>
              </w:rPr>
              <w:t> </w:t>
            </w:r>
            <w:r>
              <w:rPr>
                <w:rFonts w:ascii="宋体" w:hAnsi="宋体" w:cs="宋体" w:eastAsia="宋体" w:hint="default"/>
                <w:sz w:val="18"/>
                <w:szCs w:val="18"/>
              </w:rPr>
              <w:t>25.40%</w:t>
            </w:r>
            <w:r>
              <w:rPr>
                <w:rFonts w:ascii="宋体" w:hAnsi="宋体" w:cs="宋体" w:eastAsia="宋体" w:hint="default"/>
                <w:sz w:val="18"/>
                <w:szCs w:val="18"/>
              </w:rPr>
              <w:t>，但因管理费用大部分属于固 定费用，相对刚性，因此下降比例低于收入下降比例</w:t>
            </w:r>
          </w:p>
        </w:tc>
      </w:tr>
      <w:tr>
        <w:trPr>
          <w:trHeight w:val="391"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vMerge/>
            <w:tcBorders>
              <w:left w:val="single" w:sz="9"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325" w:type="dxa"/>
            <w:vMerge/>
            <w:tcBorders>
              <w:left w:val="single" w:sz="4" w:space="0" w:color="000000"/>
              <w:right w:val="single" w:sz="4" w:space="0" w:color="000000"/>
            </w:tcBorders>
          </w:tcPr>
          <w:p>
            <w:pPr/>
          </w:p>
        </w:tc>
      </w:tr>
      <w:tr>
        <w:trPr>
          <w:trHeight w:val="317"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9"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325" w:type="dxa"/>
            <w:vMerge/>
            <w:tcBorders>
              <w:left w:val="single" w:sz="4" w:space="0" w:color="000000"/>
              <w:bottom w:val="single" w:sz="4" w:space="0" w:color="000000"/>
              <w:right w:val="single" w:sz="4" w:space="0" w:color="000000"/>
            </w:tcBorders>
          </w:tcPr>
          <w:p>
            <w:pPr/>
          </w:p>
        </w:tc>
      </w:tr>
      <w:tr>
        <w:trPr>
          <w:trHeight w:val="161"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sz w:val="18"/>
              </w:rPr>
              <w:t>-1,171,518.79</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sz w:val="18"/>
              </w:rPr>
              <w:t>-3,349,305.27</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sz w:val="18"/>
              </w:rPr>
              <w:t>65.02%</w:t>
            </w:r>
          </w:p>
        </w:tc>
        <w:tc>
          <w:tcPr>
            <w:tcW w:w="4325"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3"/>
                <w:sz w:val="18"/>
                <w:szCs w:val="18"/>
              </w:rPr>
              <w:t>本期大部分闲置资金用于购买理财产品，产生的收益均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计入投资收益，银行利息收入相应减少</w:t>
            </w:r>
          </w:p>
        </w:tc>
      </w:tr>
      <w:tr>
        <w:trPr>
          <w:trHeight w:val="394"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vMerge/>
            <w:tcBorders>
              <w:left w:val="single" w:sz="9"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325" w:type="dxa"/>
            <w:vMerge/>
            <w:tcBorders>
              <w:left w:val="single" w:sz="4" w:space="0" w:color="000000"/>
              <w:right w:val="single" w:sz="4" w:space="0" w:color="000000"/>
            </w:tcBorders>
          </w:tcPr>
          <w:p>
            <w:pPr/>
          </w:p>
        </w:tc>
      </w:tr>
      <w:tr>
        <w:trPr>
          <w:trHeight w:val="161"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9"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325"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4</w:t>
      </w:r>
      <w:r>
        <w:rPr/>
        <w:t>、研发投入</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32"/>
        <w:gridCol w:w="2129"/>
        <w:gridCol w:w="2511"/>
        <w:gridCol w:w="2837"/>
      </w:tblGrid>
      <w:tr>
        <w:trPr>
          <w:trHeight w:val="42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r>
      <w:tr>
        <w:trPr>
          <w:trHeight w:val="42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1,280.13</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4,456.83</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4,367.21</w:t>
            </w:r>
          </w:p>
        </w:tc>
      </w:tr>
      <w:tr>
        <w:trPr>
          <w:trHeight w:val="42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20,937.03</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31,320.10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43,277.02</w:t>
            </w:r>
          </w:p>
        </w:tc>
      </w:tr>
      <w:tr>
        <w:trPr>
          <w:trHeight w:val="42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占营业收入的比重</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6.11%</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14.23%</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10.09%</w:t>
            </w:r>
          </w:p>
        </w:tc>
      </w:tr>
    </w:tbl>
    <w:p>
      <w:pPr>
        <w:pStyle w:val="BodyText"/>
        <w:spacing w:line="240" w:lineRule="auto" w:before="49"/>
        <w:ind w:right="15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1818"/>
        <w:gridCol w:w="2393"/>
        <w:gridCol w:w="2393"/>
      </w:tblGrid>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-44.17%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0.43%</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12,801,343.79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44,568,279.57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-71.28%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-8.12%</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18,654,395.18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-41.86%</w:t>
            </w:r>
          </w:p>
        </w:tc>
      </w:tr>
    </w:tbl>
    <w:p>
      <w:pPr>
        <w:pStyle w:val="BodyText"/>
        <w:spacing w:line="240" w:lineRule="auto" w:before="49"/>
        <w:ind w:right="153"/>
        <w:jc w:val="left"/>
      </w:pPr>
      <w:r>
        <w:rPr/>
        <w:t>研发投入总额占营业收入的比重较上年发生显著变化的原因</w:t>
      </w:r>
    </w:p>
    <w:p>
      <w:pPr>
        <w:pStyle w:val="BodyText"/>
        <w:spacing w:line="360" w:lineRule="auto" w:before="115"/>
        <w:ind w:right="5454"/>
        <w:jc w:val="left"/>
      </w:pPr>
      <w:r>
        <w:rPr/>
        <w:t>√ 适用 □</w:t>
      </w:r>
      <w:r>
        <w:rPr>
          <w:spacing w:val="3"/>
        </w:rPr>
        <w:t> </w:t>
      </w:r>
      <w:r>
        <w:rPr/>
        <w:t>不适用</w:t>
      </w:r>
      <w:r>
        <w:rPr/>
        <w:t> 本期因处置子公司，研发投入较上年同期有大幅度下降 研发投入资本化率大幅变动的原因及其合理性说明</w:t>
      </w:r>
    </w:p>
    <w:p>
      <w:pPr>
        <w:pStyle w:val="BodyText"/>
        <w:spacing w:line="360" w:lineRule="auto" w:before="25"/>
        <w:ind w:right="8241"/>
        <w:jc w:val="left"/>
      </w:pPr>
      <w:r>
        <w:rPr/>
        <w:t>□ 适用 √</w:t>
      </w:r>
      <w:r>
        <w:rPr>
          <w:spacing w:val="3"/>
        </w:rPr>
        <w:t> </w:t>
      </w:r>
      <w:r>
        <w:rPr/>
        <w:t>不适用</w:t>
      </w:r>
      <w:r>
        <w:rPr/>
        <w:t> 近两年专利数情况</w:t>
      </w:r>
    </w:p>
    <w:p>
      <w:pPr>
        <w:pStyle w:val="BodyText"/>
        <w:spacing w:line="240" w:lineRule="auto" w:before="25"/>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65"/>
        <w:gridCol w:w="1646"/>
        <w:gridCol w:w="2225"/>
        <w:gridCol w:w="2024"/>
      </w:tblGrid>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w:t>
            </w:r>
          </w:p>
        </w:tc>
      </w:tr>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54</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w:t>
            </w:r>
          </w:p>
        </w:tc>
      </w:tr>
      <w:tr>
        <w:trPr>
          <w:trHeight w:val="161" w:hRule="exact"/>
        </w:trPr>
        <w:tc>
          <w:tcPr>
            <w:tcW w:w="3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gridSpan w:val="3"/>
            <w:vMerge w:val="restart"/>
            <w:tcBorders>
              <w:top w:val="single" w:sz="4" w:space="0" w:color="000000"/>
              <w:left w:val="single" w:sz="9" w:space="0" w:color="D2D2D2"/>
              <w:right w:val="single" w:sz="4" w:space="0" w:color="000000"/>
            </w:tcBorders>
          </w:tcPr>
          <w:p>
            <w:pPr>
              <w:pStyle w:val="TableParagraph"/>
              <w:spacing w:line="316" w:lineRule="auto" w:before="49"/>
              <w:ind w:left="28" w:right="87"/>
              <w:jc w:val="left"/>
              <w:rPr>
                <w:rFonts w:ascii="宋体" w:hAnsi="宋体" w:cs="宋体" w:eastAsia="宋体" w:hint="default"/>
                <w:sz w:val="18"/>
                <w:szCs w:val="18"/>
              </w:rPr>
            </w:pPr>
            <w:r>
              <w:rPr>
                <w:rFonts w:ascii="宋体" w:hAnsi="宋体" w:cs="宋体" w:eastAsia="宋体" w:hint="default"/>
                <w:sz w:val="18"/>
                <w:szCs w:val="18"/>
              </w:rPr>
              <w:t>本期处置原控股子公司长春高琦，原子公司研发团队全部归入已处置子公 司，公司本部核心技术团队及关键技术人员未发生重大变化</w:t>
            </w:r>
          </w:p>
        </w:tc>
      </w:tr>
      <w:tr>
        <w:trPr>
          <w:trHeight w:val="394" w:hRule="exact"/>
        </w:trPr>
        <w:tc>
          <w:tcPr>
            <w:tcW w:w="36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本年度核心技术团队或关键技术人员变动情况</w:t>
            </w:r>
          </w:p>
        </w:tc>
        <w:tc>
          <w:tcPr>
            <w:tcW w:w="5894" w:type="dxa"/>
            <w:gridSpan w:val="3"/>
            <w:vMerge/>
            <w:tcBorders>
              <w:left w:val="single" w:sz="9" w:space="0" w:color="D2D2D2"/>
              <w:right w:val="single" w:sz="4" w:space="0" w:color="000000"/>
            </w:tcBorders>
          </w:tcPr>
          <w:p>
            <w:pPr/>
          </w:p>
        </w:tc>
      </w:tr>
      <w:tr>
        <w:trPr>
          <w:trHeight w:val="161" w:hRule="exact"/>
        </w:trPr>
        <w:tc>
          <w:tcPr>
            <w:tcW w:w="3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gridSpan w:val="3"/>
            <w:vMerge/>
            <w:tcBorders>
              <w:left w:val="single" w:sz="9" w:space="0" w:color="D2D2D2"/>
              <w:bottom w:val="single" w:sz="4" w:space="0" w:color="000000"/>
              <w:right w:val="single" w:sz="4" w:space="0" w:color="000000"/>
            </w:tcBorders>
          </w:tcPr>
          <w:p>
            <w:pP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58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5748"/>
        <w:jc w:val="left"/>
        <w:rPr>
          <w:b w:val="0"/>
          <w:bCs w:val="0"/>
        </w:rPr>
      </w:pPr>
      <w:r>
        <w:rPr>
          <w:rFonts w:ascii="宋体" w:hAnsi="宋体" w:cs="宋体" w:eastAsia="宋体" w:hint="default"/>
        </w:rPr>
        <w:t>5</w:t>
      </w:r>
      <w:r>
        <w:rPr/>
        <w:t>、现金流</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288,550,846.44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468,589,256.17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285,687,120.86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410,738,925.48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-30.45%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2,863,725.58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57,850,330.69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-95.05%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5,161,778,448.08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1,167,788,971.70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342.01%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5,244,457,718.82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1,211,345,069.34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332.94%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-82,679,270.74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-43,556,097.64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-89.82%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144,934,000.00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25,167,909.69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475.87%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58,459,655.39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22,015,209.76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165.54%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86,474,344.61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3,152,699.93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2,642.87%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6,516,341.30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17,447,088.58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-62.65%</w:t>
            </w:r>
          </w:p>
        </w:tc>
      </w:tr>
    </w:tbl>
    <w:p>
      <w:pPr>
        <w:pStyle w:val="BodyText"/>
        <w:spacing w:line="240" w:lineRule="auto" w:before="49"/>
        <w:ind w:right="5748"/>
        <w:jc w:val="left"/>
      </w:pPr>
      <w:r>
        <w:rPr/>
        <w:t>相关数据同比发生重大变动的主要影响因素说明</w:t>
      </w:r>
    </w:p>
    <w:p>
      <w:pPr>
        <w:pStyle w:val="BodyText"/>
        <w:spacing w:line="360" w:lineRule="auto" w:before="115"/>
        <w:ind w:left="513" w:right="183" w:hanging="361"/>
        <w:jc w:val="left"/>
      </w:pPr>
      <w:r>
        <w:rPr/>
        <w:t>√ 适用 □</w:t>
      </w:r>
      <w:r>
        <w:rPr>
          <w:spacing w:val="3"/>
        </w:rPr>
        <w:t> </w:t>
      </w:r>
      <w:r>
        <w:rPr/>
        <w:t>不适用</w:t>
      </w:r>
      <w:r>
        <w:rPr/>
        <w:t> </w:t>
      </w:r>
      <w:r>
        <w:rPr>
          <w:rFonts w:ascii="宋体" w:hAnsi="宋体" w:cs="宋体" w:eastAsia="宋体" w:hint="default"/>
        </w:rPr>
        <w:t>1</w:t>
      </w:r>
      <w:r>
        <w:rPr/>
        <w:t>、经营活动现金流入、现金流出、现金流量净额同比降幅较大的主要原因为本期公司订单减少，收入有所下降，对应</w:t>
      </w:r>
    </w:p>
    <w:p>
      <w:pPr>
        <w:pStyle w:val="BodyText"/>
        <w:spacing w:line="222" w:lineRule="exact"/>
        <w:ind w:right="0"/>
        <w:jc w:val="left"/>
      </w:pPr>
      <w:r>
        <w:rPr/>
        <w:t>的销售收款及采购业务支出均有不同程度的减少，另外，公司本期不断加强内部费用管理，调整组织架构，减员增效，随之</w:t>
      </w:r>
    </w:p>
    <w:p>
      <w:pPr>
        <w:pStyle w:val="BodyText"/>
        <w:spacing w:line="316" w:lineRule="auto" w:before="76"/>
        <w:ind w:left="513" w:right="183" w:hanging="361"/>
        <w:jc w:val="left"/>
      </w:pPr>
      <w:r>
        <w:rPr/>
        <w:t>费用支出均下降，综合因素导致该项指标出现明显降幅。 </w:t>
      </w:r>
      <w:r>
        <w:rPr>
          <w:rFonts w:ascii="宋体" w:hAnsi="宋体" w:cs="宋体" w:eastAsia="宋体" w:hint="default"/>
        </w:rPr>
        <w:t>2</w:t>
      </w:r>
      <w:r>
        <w:rPr/>
        <w:t>、投资活动现金流入、现金流出同比增幅较大的主要原因是实行双主业经营、新增投资业务后，公司为提高资金使用</w:t>
      </w:r>
    </w:p>
    <w:p>
      <w:pPr>
        <w:pStyle w:val="BodyText"/>
        <w:spacing w:line="316" w:lineRule="auto" w:before="19"/>
        <w:ind w:right="94"/>
        <w:jc w:val="left"/>
      </w:pPr>
      <w:r>
        <w:rPr>
          <w:spacing w:val="-2"/>
        </w:rPr>
        <w:t>效率不断滚动投资，运用资金数额大幅增加、导致与投资活动有关的现金流入、流出大幅增加；投资活动现金流量净额同比</w:t>
      </w:r>
      <w:r>
        <w:rPr>
          <w:spacing w:val="-65"/>
        </w:rPr>
        <w:t> </w:t>
      </w:r>
      <w:r>
        <w:rPr>
          <w:spacing w:val="-65"/>
        </w:rPr>
      </w:r>
      <w:r>
        <w:rPr/>
        <w:t>降幅较大的主要原因在于公司进行投资时支出增加，部分投资尚未到期。</w:t>
      </w:r>
    </w:p>
    <w:p>
      <w:pPr>
        <w:pStyle w:val="BodyText"/>
        <w:spacing w:line="338" w:lineRule="auto" w:before="59"/>
        <w:ind w:right="184" w:firstLine="360"/>
        <w:jc w:val="left"/>
      </w:pPr>
      <w:r>
        <w:rPr>
          <w:rFonts w:ascii="宋体" w:hAnsi="宋体" w:cs="宋体" w:eastAsia="宋体" w:hint="default"/>
        </w:rPr>
        <w:t>3</w:t>
      </w:r>
      <w:r>
        <w:rPr/>
        <w:t>、筹资活动产生的现金流入、现金流量净额同比增幅较大的主要原因为本期公司推出股权激励计划，收到激励对象投 资款；筹资活动现金流出大幅增加主要原因是原孙公司吉林高琦偿还银行贷款所致。 报告期内公司经营活动产生的现金净流量与本年度净利润存在重大差异的原因说明</w:t>
      </w:r>
    </w:p>
    <w:p>
      <w:pPr>
        <w:pStyle w:val="BodyText"/>
        <w:spacing w:line="360" w:lineRule="auto" w:before="44"/>
        <w:ind w:left="513" w:right="94" w:hanging="361"/>
        <w:jc w:val="left"/>
      </w:pPr>
      <w:r>
        <w:rPr/>
        <w:t>√ 适用 □</w:t>
      </w:r>
      <w:r>
        <w:rPr>
          <w:spacing w:val="3"/>
        </w:rPr>
        <w:t> </w:t>
      </w:r>
      <w:r>
        <w:rPr/>
        <w:t>不适用</w:t>
      </w:r>
      <w:r>
        <w:rPr/>
        <w:t> </w:t>
      </w:r>
      <w:r>
        <w:rPr>
          <w:spacing w:val="-4"/>
        </w:rPr>
        <w:t>因本期存在证券投资及处置子公司产生投资收益，该部分收益增加净利润，而现金流量均计入投资活动产生的现金流量，</w:t>
      </w:r>
    </w:p>
    <w:p>
      <w:pPr>
        <w:pStyle w:val="BodyText"/>
        <w:spacing w:line="222" w:lineRule="exact"/>
        <w:ind w:right="5748"/>
        <w:jc w:val="left"/>
      </w:pPr>
      <w:r>
        <w:rPr/>
        <w:t>导致净利润与经营活动现金流量存在较大差异。</w:t>
      </w:r>
    </w:p>
    <w:p>
      <w:pPr>
        <w:spacing w:after="0" w:line="222" w:lineRule="exact"/>
        <w:jc w:val="left"/>
        <w:sectPr>
          <w:pgSz w:w="11910" w:h="16840"/>
          <w:pgMar w:header="745" w:footer="1186" w:top="1060" w:bottom="13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82"/>
        <w:gridCol w:w="1416"/>
        <w:gridCol w:w="1561"/>
        <w:gridCol w:w="2976"/>
        <w:gridCol w:w="2624"/>
      </w:tblGrid>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9"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sz w:val="18"/>
              </w:rPr>
              <w:t>102,177,463.76</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6" w:right="0"/>
              <w:jc w:val="left"/>
              <w:rPr>
                <w:rFonts w:ascii="宋体" w:hAnsi="宋体" w:cs="宋体" w:eastAsia="宋体" w:hint="default"/>
                <w:sz w:val="18"/>
                <w:szCs w:val="18"/>
              </w:rPr>
            </w:pPr>
            <w:r>
              <w:rPr>
                <w:rFonts w:ascii="宋体"/>
                <w:sz w:val="18"/>
              </w:rPr>
              <w:t>75.52%</w:t>
            </w:r>
          </w:p>
        </w:tc>
        <w:tc>
          <w:tcPr>
            <w:tcW w:w="2976"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06"/>
              <w:jc w:val="left"/>
              <w:rPr>
                <w:rFonts w:ascii="宋体" w:hAnsi="宋体" w:cs="宋体" w:eastAsia="宋体" w:hint="default"/>
                <w:sz w:val="18"/>
                <w:szCs w:val="18"/>
              </w:rPr>
            </w:pPr>
            <w:r>
              <w:rPr>
                <w:rFonts w:ascii="宋体" w:hAnsi="宋体" w:cs="宋体" w:eastAsia="宋体" w:hint="default"/>
                <w:sz w:val="18"/>
                <w:szCs w:val="18"/>
              </w:rPr>
              <w:t>本期处置子公司股权产生投资收益 </w:t>
            </w:r>
            <w:r>
              <w:rPr>
                <w:rFonts w:ascii="宋体" w:hAnsi="宋体" w:cs="宋体" w:eastAsia="宋体" w:hint="default"/>
                <w:sz w:val="18"/>
                <w:szCs w:val="18"/>
              </w:rPr>
              <w:t>6099.36</w:t>
            </w:r>
            <w:r>
              <w:rPr>
                <w:rFonts w:ascii="宋体" w:hAnsi="宋体" w:cs="宋体" w:eastAsia="宋体" w:hint="default"/>
                <w:spacing w:val="-49"/>
                <w:sz w:val="18"/>
                <w:szCs w:val="18"/>
              </w:rPr>
              <w:t> </w:t>
            </w:r>
            <w:r>
              <w:rPr>
                <w:rFonts w:ascii="宋体" w:hAnsi="宋体" w:cs="宋体" w:eastAsia="宋体" w:hint="default"/>
                <w:sz w:val="18"/>
                <w:szCs w:val="18"/>
              </w:rPr>
              <w:t>万元，深圳惠程进行证券投</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资产生收益</w:t>
            </w:r>
            <w:r>
              <w:rPr>
                <w:rFonts w:ascii="宋体" w:hAnsi="宋体" w:cs="宋体" w:eastAsia="宋体" w:hint="default"/>
                <w:spacing w:val="-47"/>
                <w:sz w:val="18"/>
                <w:szCs w:val="18"/>
              </w:rPr>
              <w:t> </w:t>
            </w:r>
            <w:r>
              <w:rPr>
                <w:rFonts w:ascii="宋体" w:hAnsi="宋体" w:cs="宋体" w:eastAsia="宋体" w:hint="default"/>
                <w:sz w:val="18"/>
                <w:szCs w:val="18"/>
              </w:rPr>
              <w:t>4118.39</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68"/>
              <w:jc w:val="left"/>
              <w:rPr>
                <w:rFonts w:ascii="宋体" w:hAnsi="宋体" w:cs="宋体" w:eastAsia="宋体" w:hint="default"/>
                <w:sz w:val="18"/>
                <w:szCs w:val="18"/>
              </w:rPr>
            </w:pPr>
            <w:r>
              <w:rPr>
                <w:rFonts w:ascii="宋体" w:hAnsi="宋体" w:cs="宋体" w:eastAsia="宋体" w:hint="default"/>
                <w:sz w:val="18"/>
                <w:szCs w:val="18"/>
              </w:rPr>
              <w:t>子公司股权处置收益不具有可持 续性，证券投资收益具有持续性</w:t>
            </w:r>
          </w:p>
        </w:tc>
      </w:tr>
      <w:tr>
        <w:trPr>
          <w:trHeight w:val="391"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6" w:type="dxa"/>
            <w:vMerge/>
            <w:tcBorders>
              <w:left w:val="single" w:sz="9"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317"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93" w:right="0"/>
              <w:jc w:val="left"/>
              <w:rPr>
                <w:rFonts w:ascii="宋体" w:hAnsi="宋体" w:cs="宋体" w:eastAsia="宋体" w:hint="default"/>
                <w:sz w:val="18"/>
                <w:szCs w:val="18"/>
              </w:rPr>
            </w:pPr>
            <w:r>
              <w:rPr>
                <w:rFonts w:ascii="宋体"/>
                <w:sz w:val="18"/>
              </w:rPr>
              <w:t>7,621,921.92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5.63%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主要为收到政府补助款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不可持续</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、资产构成重大变动情况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900"/>
        <w:gridCol w:w="1368"/>
        <w:gridCol w:w="850"/>
        <w:gridCol w:w="991"/>
        <w:gridCol w:w="2765"/>
      </w:tblGrid>
      <w:tr>
        <w:trPr>
          <w:trHeight w:val="385"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40" w:right="58"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83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2765"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276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76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406,626,084.56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361,903,081.98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6.53%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97,332,332.67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130,024,537.39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-1.18%</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sz w:val="18"/>
              </w:rPr>
              <w:t>50,247,545.69</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sz w:val="18"/>
              </w:rPr>
              <w:t>3.62%</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115,066,625.93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7.24%</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sz w:val="18"/>
              </w:rPr>
              <w:t>-3.62%</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报告期处置子公司长春高琦及江西 先材股权，合并报表范围变化所致</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9" w:type="dxa"/>
            <w:vMerge/>
            <w:tcBorders>
              <w:left w:val="single" w:sz="10"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10"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10,552,368.08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6,219,330.85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0.37%</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109,093.66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119,110.38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117,369,604.13</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sz w:val="18"/>
              </w:rPr>
              <w:t>8.46%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431,355,322.57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sz w:val="18"/>
              </w:rPr>
              <w:t>27.16%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sz w:val="18"/>
              </w:rPr>
              <w:t>-18.70%</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报告期处置子公司长春高琦及江西 先材股权，合并报表范围变化所致</w:t>
            </w:r>
          </w:p>
        </w:tc>
      </w:tr>
      <w:tr>
        <w:trPr>
          <w:trHeight w:val="391"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9" w:type="dxa"/>
            <w:vMerge/>
            <w:tcBorders>
              <w:left w:val="single" w:sz="10"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10"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73"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8" w:right="0"/>
              <w:jc w:val="left"/>
              <w:rPr>
                <w:rFonts w:ascii="宋体" w:hAnsi="宋体" w:cs="宋体" w:eastAsia="宋体" w:hint="default"/>
                <w:sz w:val="18"/>
                <w:szCs w:val="18"/>
              </w:rPr>
            </w:pPr>
            <w:r>
              <w:rPr>
                <w:rFonts w:ascii="宋体"/>
                <w:sz w:val="18"/>
              </w:rPr>
              <w:t>81,969,140.00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18"/>
                <w:szCs w:val="18"/>
              </w:rPr>
            </w:pPr>
            <w:r>
              <w:rPr>
                <w:rFonts w:ascii="宋体"/>
                <w:sz w:val="18"/>
              </w:rPr>
              <w:t>5.91%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sz w:val="18"/>
              </w:rPr>
              <w:t>46,343,833.75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7" w:right="0"/>
              <w:jc w:val="left"/>
              <w:rPr>
                <w:rFonts w:ascii="宋体" w:hAnsi="宋体" w:cs="宋体" w:eastAsia="宋体" w:hint="default"/>
                <w:sz w:val="18"/>
                <w:szCs w:val="18"/>
              </w:rPr>
            </w:pPr>
            <w:r>
              <w:rPr>
                <w:rFonts w:ascii="宋体"/>
                <w:sz w:val="18"/>
              </w:rPr>
              <w:t>2.92%</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8" w:right="0"/>
              <w:jc w:val="left"/>
              <w:rPr>
                <w:rFonts w:ascii="宋体" w:hAnsi="宋体" w:cs="宋体" w:eastAsia="宋体" w:hint="default"/>
                <w:sz w:val="18"/>
                <w:szCs w:val="18"/>
              </w:rPr>
            </w:pPr>
            <w:r>
              <w:rPr>
                <w:rFonts w:ascii="宋体"/>
                <w:sz w:val="18"/>
              </w:rPr>
              <w:t>2.99%</w:t>
            </w:r>
          </w:p>
        </w:tc>
        <w:tc>
          <w:tcPr>
            <w:tcW w:w="2765"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报告期处置子公司长春高琦及江西 先材股权，合并报表范围变化以及 公司的孙公司中行置盛和中融建银 购置办公场所所致</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9" w:type="dxa"/>
            <w:vMerge/>
            <w:tcBorders>
              <w:left w:val="single" w:sz="10"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473"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10"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sz w:val="18"/>
              </w:rPr>
              <w:t>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20,000,000.00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1.26%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sz w:val="18"/>
              </w:rPr>
              <w:t>-1.26%</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报告期处置子公司长春高琦及江西 先材股权，合并报表范围变化所致</w:t>
            </w:r>
          </w:p>
        </w:tc>
      </w:tr>
      <w:tr>
        <w:trPr>
          <w:trHeight w:val="391"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vMerge/>
            <w:tcBorders>
              <w:left w:val="single" w:sz="10"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10"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2</w:t>
      </w:r>
      <w:r>
        <w:rPr/>
        <w:t>、以公允价值计量的资产和负债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746"/>
        <w:gridCol w:w="967"/>
        <w:gridCol w:w="1455"/>
        <w:gridCol w:w="949"/>
        <w:gridCol w:w="1564"/>
        <w:gridCol w:w="1561"/>
        <w:gridCol w:w="641"/>
      </w:tblGrid>
      <w:tr>
        <w:trPr>
          <w:trHeight w:val="161"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 w:right="2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0" w:right="105"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67" w:type="dxa"/>
            <w:vMerge/>
            <w:tcBorders>
              <w:left w:val="single" w:sz="4" w:space="0" w:color="000000"/>
              <w:right w:val="single" w:sz="4" w:space="0" w:color="000000"/>
            </w:tcBorders>
            <w:shd w:val="clear" w:color="auto" w:fill="D2D2D2"/>
          </w:tcPr>
          <w:p>
            <w:pPr/>
          </w:p>
        </w:tc>
        <w:tc>
          <w:tcPr>
            <w:tcW w:w="1455" w:type="dxa"/>
            <w:vMerge/>
            <w:tcBorders>
              <w:left w:val="single" w:sz="4" w:space="0" w:color="000000"/>
              <w:right w:val="single" w:sz="4" w:space="0" w:color="000000"/>
            </w:tcBorders>
            <w:shd w:val="clear" w:color="auto" w:fill="D2D2D2"/>
          </w:tcPr>
          <w:p>
            <w:pPr/>
          </w:p>
        </w:tc>
        <w:tc>
          <w:tcPr>
            <w:tcW w:w="949" w:type="dxa"/>
            <w:vMerge/>
            <w:tcBorders>
              <w:left w:val="single" w:sz="4" w:space="0" w:color="000000"/>
              <w:right w:val="single" w:sz="4" w:space="0" w:color="000000"/>
            </w:tcBorders>
            <w:shd w:val="clear" w:color="auto" w:fill="D2D2D2"/>
          </w:tcPr>
          <w:p>
            <w:pPr/>
          </w:p>
        </w:tc>
        <w:tc>
          <w:tcPr>
            <w:tcW w:w="15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6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162"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1455" w:type="dxa"/>
            <w:vMerge/>
            <w:tcBorders>
              <w:left w:val="single" w:sz="4" w:space="0" w:color="000000"/>
              <w:bottom w:val="single" w:sz="4" w:space="0" w:color="000000"/>
              <w:right w:val="single" w:sz="4" w:space="0" w:color="000000"/>
            </w:tcBorders>
            <w:shd w:val="clear" w:color="auto" w:fill="D2D2D2"/>
          </w:tcPr>
          <w:p>
            <w:pPr/>
          </w:p>
        </w:tc>
        <w:tc>
          <w:tcPr>
            <w:tcW w:w="949" w:type="dxa"/>
            <w:vMerge/>
            <w:tcBorders>
              <w:left w:val="single" w:sz="4" w:space="0" w:color="000000"/>
              <w:bottom w:val="single" w:sz="4" w:space="0" w:color="000000"/>
              <w:right w:val="single" w:sz="4" w:space="0" w:color="000000"/>
            </w:tcBorders>
            <w:shd w:val="clear" w:color="auto" w:fill="D2D2D2"/>
          </w:tcPr>
          <w:p>
            <w:pPr/>
          </w:p>
        </w:tc>
        <w:tc>
          <w:tcPr>
            <w:tcW w:w="15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8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2"/>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 其变动计入当期损益 的金融资产（不含衍 生金融资产）</w:t>
            </w:r>
          </w:p>
        </w:tc>
        <w:tc>
          <w:tcPr>
            <w:tcW w:w="7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8,958,614,096.45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9,073,893,648.47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7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8,958,614,096.45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9,073,893,648.47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7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53"/>
        <w:jc w:val="left"/>
      </w:pPr>
      <w:r>
        <w:rPr/>
        <w:t>报告期内公司主要资产计量属性是否发生重大变化</w:t>
      </w:r>
    </w:p>
    <w:p>
      <w:pPr>
        <w:pStyle w:val="BodyText"/>
        <w:spacing w:line="240" w:lineRule="auto" w:before="115"/>
        <w:ind w:right="153"/>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16" w:right="0"/>
              <w:jc w:val="left"/>
              <w:rPr>
                <w:rFonts w:ascii="宋体" w:hAnsi="宋体" w:cs="宋体" w:eastAsia="宋体" w:hint="default"/>
                <w:sz w:val="18"/>
                <w:szCs w:val="18"/>
              </w:rPr>
            </w:pPr>
            <w:r>
              <w:rPr>
                <w:rFonts w:ascii="宋体"/>
                <w:sz w:val="18"/>
              </w:rPr>
              <w:t>9,179,779,396.45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18" w:right="0"/>
              <w:jc w:val="left"/>
              <w:rPr>
                <w:rFonts w:ascii="宋体" w:hAnsi="宋体" w:cs="宋体" w:eastAsia="宋体" w:hint="default"/>
                <w:sz w:val="18"/>
                <w:szCs w:val="18"/>
              </w:rPr>
            </w:pPr>
            <w:r>
              <w:rPr>
                <w:rFonts w:ascii="宋体"/>
                <w:sz w:val="18"/>
              </w:rPr>
              <w:t>2,996,764,512.97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206.32%</w:t>
            </w:r>
          </w:p>
        </w:tc>
      </w:tr>
    </w:tbl>
    <w:p>
      <w:pPr>
        <w:pStyle w:val="BodyText"/>
        <w:spacing w:line="240" w:lineRule="auto" w:before="49"/>
        <w:ind w:right="153"/>
        <w:jc w:val="left"/>
      </w:pPr>
      <w:r>
        <w:rPr/>
        <w:t>说明：上述投资额系报告期内股权投资金额、金融资产滚动投资总额和募集资金使用金额的总数。</w:t>
      </w:r>
    </w:p>
    <w:p>
      <w:pPr>
        <w:spacing w:after="0" w:line="240" w:lineRule="auto"/>
        <w:jc w:val="left"/>
        <w:sectPr>
          <w:pgSz w:w="11910" w:h="16840"/>
          <w:pgMar w:header="745" w:footer="1186" w:top="1060" w:bottom="138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47"/>
        <w:jc w:val="left"/>
        <w:rPr>
          <w:b w:val="0"/>
          <w:bCs w:val="0"/>
        </w:rPr>
      </w:pPr>
      <w:r>
        <w:rPr>
          <w:rFonts w:ascii="宋体" w:hAnsi="宋体" w:cs="宋体" w:eastAsia="宋体" w:hint="default"/>
        </w:rPr>
        <w:t>2</w:t>
      </w:r>
      <w:r>
        <w:rPr/>
        <w:t>、报告期内获取的重大的股权投资情况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140" w:right="147"/>
        <w:jc w:val="left"/>
      </w:pPr>
      <w:r>
        <w:rPr/>
        <w:t>√ 适用 □</w:t>
      </w:r>
      <w:r>
        <w:rPr>
          <w:spacing w:val="3"/>
        </w:rPr>
        <w:t> </w:t>
      </w:r>
      <w:r>
        <w:rPr/>
        <w:t>不适用</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81"/>
        <w:gridCol w:w="1843"/>
        <w:gridCol w:w="566"/>
        <w:gridCol w:w="1424"/>
        <w:gridCol w:w="710"/>
        <w:gridCol w:w="564"/>
        <w:gridCol w:w="710"/>
        <w:gridCol w:w="567"/>
        <w:gridCol w:w="569"/>
        <w:gridCol w:w="1414"/>
        <w:gridCol w:w="1280"/>
        <w:gridCol w:w="1274"/>
        <w:gridCol w:w="566"/>
        <w:gridCol w:w="852"/>
        <w:gridCol w:w="797"/>
      </w:tblGrid>
      <w:tr>
        <w:trPr>
          <w:trHeight w:val="714"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5" w:right="72" w:hanging="89"/>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5"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6" w:right="98"/>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0" w:right="72" w:hanging="92"/>
              <w:jc w:val="left"/>
              <w:rPr>
                <w:rFonts w:ascii="宋体" w:hAnsi="宋体" w:cs="宋体" w:eastAsia="宋体" w:hint="default"/>
                <w:sz w:val="18"/>
                <w:szCs w:val="18"/>
              </w:rPr>
            </w:pPr>
            <w:r>
              <w:rPr>
                <w:rFonts w:ascii="宋体" w:hAnsi="宋体" w:cs="宋体" w:eastAsia="宋体" w:hint="default"/>
                <w:sz w:val="18"/>
                <w:szCs w:val="18"/>
              </w:rPr>
              <w:t>截至资产负债表 日的进展情况</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2897"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喀什中汇 联银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创业投资业务；代理其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他创业投资企业等机 构或个人的创业投资 </w:t>
            </w:r>
            <w:r>
              <w:rPr>
                <w:rFonts w:ascii="宋体" w:hAnsi="宋体" w:cs="宋体" w:eastAsia="宋体" w:hint="default"/>
                <w:spacing w:val="-2"/>
                <w:sz w:val="18"/>
                <w:szCs w:val="18"/>
              </w:rPr>
              <w:t>业务；创业投资咨询业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务；为创业企业提供创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业管理服务业务；参与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设立创业投资企业与 企业投资管理顾问机 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70"/>
              <w:jc w:val="right"/>
              <w:rPr>
                <w:rFonts w:ascii="宋体" w:hAnsi="宋体" w:cs="宋体" w:eastAsia="宋体" w:hint="default"/>
                <w:sz w:val="18"/>
                <w:szCs w:val="18"/>
              </w:rPr>
            </w:pPr>
            <w:r>
              <w:rPr>
                <w:rFonts w:ascii="宋体" w:hAnsi="宋体" w:cs="宋体" w:eastAsia="宋体" w:hint="default"/>
                <w:sz w:val="18"/>
                <w:szCs w:val="18"/>
              </w:rPr>
              <w:t>新设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95" w:right="0"/>
              <w:jc w:val="center"/>
              <w:rPr>
                <w:rFonts w:ascii="宋体" w:hAnsi="宋体" w:cs="宋体" w:eastAsia="宋体" w:hint="default"/>
                <w:sz w:val="18"/>
                <w:szCs w:val="18"/>
              </w:rPr>
            </w:pPr>
            <w:r>
              <w:rPr>
                <w:rFonts w:ascii="宋体"/>
                <w:sz w:val="18"/>
              </w:rPr>
              <w:t>30,000,000.00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center"/>
              <w:rPr>
                <w:rFonts w:ascii="宋体" w:hAnsi="宋体" w:cs="宋体" w:eastAsia="宋体" w:hint="default"/>
                <w:sz w:val="18"/>
                <w:szCs w:val="18"/>
              </w:rPr>
            </w:pPr>
            <w:r>
              <w:rPr>
                <w:rFonts w:ascii="宋体"/>
                <w:sz w:val="18"/>
              </w:rPr>
              <w:t>100.00%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1"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75"/>
              <w:jc w:val="right"/>
              <w:rPr>
                <w:rFonts w:ascii="宋体" w:hAnsi="宋体" w:cs="宋体" w:eastAsia="宋体" w:hint="default"/>
                <w:sz w:val="18"/>
                <w:szCs w:val="18"/>
              </w:rPr>
            </w:pPr>
            <w:r>
              <w:rPr>
                <w:rFonts w:ascii="宋体" w:hAnsi="宋体" w:cs="宋体" w:eastAsia="宋体" w:hint="default"/>
                <w:sz w:val="18"/>
                <w:szCs w:val="18"/>
              </w:rPr>
              <w:t>服务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0" w:right="0"/>
              <w:jc w:val="center"/>
              <w:rPr>
                <w:rFonts w:ascii="宋体" w:hAnsi="宋体" w:cs="宋体" w:eastAsia="宋体" w:hint="default"/>
                <w:sz w:val="18"/>
                <w:szCs w:val="18"/>
              </w:rPr>
            </w:pPr>
            <w:r>
              <w:rPr>
                <w:rFonts w:ascii="宋体"/>
                <w:sz w:val="18"/>
              </w:rPr>
              <w:t>63,544,198.09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69" w:right="0"/>
              <w:jc w:val="left"/>
              <w:rPr>
                <w:rFonts w:ascii="宋体" w:hAnsi="宋体" w:cs="宋体" w:eastAsia="宋体" w:hint="default"/>
                <w:sz w:val="18"/>
                <w:szCs w:val="18"/>
              </w:rPr>
            </w:pPr>
            <w:r>
              <w:rPr>
                <w:rFonts w:ascii="宋体"/>
                <w:sz w:val="18"/>
              </w:rPr>
              <w:t>63,544,198.09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5"/>
              <w:jc w:val="left"/>
              <w:rPr>
                <w:rFonts w:ascii="宋体" w:hAnsi="宋体" w:cs="宋体" w:eastAsia="宋体" w:hint="default"/>
                <w:sz w:val="18"/>
                <w:szCs w:val="18"/>
              </w:rPr>
            </w:pPr>
            <w:r>
              <w:rPr>
                <w:rFonts w:ascii="宋体" w:hAnsi="宋体" w:cs="宋体" w:eastAsia="宋体" w:hint="default"/>
                <w:sz w:val="18"/>
                <w:szCs w:val="18"/>
              </w:rPr>
              <w:t>北京中汇 联银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z w:val="18"/>
                <w:szCs w:val="18"/>
              </w:rPr>
              <w:t>投资管理；项目投资； 资产管理；投资咨询； 经济贸易咨询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增资</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18"/>
                <w:szCs w:val="18"/>
              </w:rPr>
            </w:pPr>
            <w:r>
              <w:rPr>
                <w:rFonts w:ascii="宋体"/>
                <w:sz w:val="18"/>
              </w:rPr>
              <w:t>191,000,000.00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sz w:val="18"/>
              </w:rPr>
              <w:t>100.00%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服务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sz w:val="18"/>
              </w:rPr>
              <w:t>-1,141,795.81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sz w:val="18"/>
              </w:rPr>
              <w:t>-1,141,795.81</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5"/>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16" w:lineRule="auto" w:before="19"/>
              <w:ind w:left="21" w:right="4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 info.com</w:t>
            </w:r>
          </w:p>
          <w:p>
            <w:pPr>
              <w:pStyle w:val="TableParagraph"/>
              <w:spacing w:line="316" w:lineRule="auto" w:before="19"/>
              <w:ind w:left="21" w:right="22"/>
              <w:jc w:val="left"/>
              <w:rPr>
                <w:rFonts w:ascii="宋体" w:hAnsi="宋体" w:cs="宋体" w:eastAsia="宋体" w:hint="default"/>
                <w:sz w:val="18"/>
                <w:szCs w:val="18"/>
              </w:rPr>
            </w:pPr>
            <w:r>
              <w:rPr>
                <w:rFonts w:ascii="宋体" w:hAnsi="宋体" w:cs="宋体" w:eastAsia="宋体" w:hint="default"/>
                <w:spacing w:val="-12"/>
                <w:sz w:val="18"/>
                <w:szCs w:val="18"/>
              </w:rPr>
              <w:t>.cn</w:t>
            </w:r>
            <w:r>
              <w:rPr>
                <w:rFonts w:ascii="宋体" w:hAnsi="宋体" w:cs="宋体" w:eastAsia="宋体" w:hint="default"/>
                <w:spacing w:val="-12"/>
                <w:sz w:val="18"/>
                <w:szCs w:val="18"/>
              </w:rPr>
              <w:t>）公告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 </w:t>
            </w:r>
            <w:r>
              <w:rPr>
                <w:rFonts w:ascii="宋体" w:hAnsi="宋体" w:cs="宋体" w:eastAsia="宋体" w:hint="default"/>
                <w:sz w:val="18"/>
                <w:szCs w:val="18"/>
              </w:rPr>
              <w:t>2015-077</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2"/>
              <w:jc w:val="right"/>
              <w:rPr>
                <w:rFonts w:ascii="宋体" w:hAnsi="宋体" w:cs="宋体" w:eastAsia="宋体" w:hint="default"/>
                <w:sz w:val="18"/>
                <w:szCs w:val="18"/>
              </w:rPr>
            </w:pPr>
            <w:r>
              <w:rPr>
                <w:rFonts w:ascii="宋体"/>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center"/>
              <w:rPr>
                <w:rFonts w:ascii="宋体" w:hAnsi="宋体" w:cs="宋体" w:eastAsia="宋体" w:hint="default"/>
                <w:sz w:val="18"/>
                <w:szCs w:val="18"/>
              </w:rPr>
            </w:pPr>
            <w:r>
              <w:rPr>
                <w:rFonts w:ascii="宋体"/>
                <w:sz w:val="18"/>
              </w:rPr>
              <w:t>221,000,000.00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39" w:right="0"/>
              <w:jc w:val="center"/>
              <w:rPr>
                <w:rFonts w:ascii="宋体" w:hAnsi="宋体" w:cs="宋体" w:eastAsia="宋体" w:hint="default"/>
                <w:sz w:val="18"/>
                <w:szCs w:val="18"/>
              </w:rPr>
            </w:pPr>
            <w:r>
              <w:rPr>
                <w:rFonts w:ascii="宋体"/>
                <w:sz w:val="18"/>
              </w:rPr>
              <w:t>62,402,402.28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62,402,402.28</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14"/>
          <w:footerReference w:type="default" r:id="rId15"/>
          <w:pgSz w:w="16840" w:h="11910" w:orient="landscape"/>
          <w:pgMar w:header="867" w:footer="1186" w:top="1060" w:bottom="1380" w:left="1300" w:right="1280"/>
          <w:pgNumType w:start="22"/>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47"/>
        <w:jc w:val="left"/>
        <w:rPr>
          <w:b w:val="0"/>
          <w:bCs w:val="0"/>
        </w:rPr>
      </w:pPr>
      <w:r>
        <w:rPr>
          <w:rFonts w:ascii="宋体" w:hAnsi="宋体" w:cs="宋体" w:eastAsia="宋体"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40" w:right="14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left="140" w:right="147"/>
        <w:jc w:val="left"/>
        <w:rPr>
          <w:b w:val="0"/>
          <w:bCs w:val="0"/>
        </w:rPr>
      </w:pPr>
      <w:r>
        <w:rPr>
          <w:rFonts w:ascii="宋体" w:hAnsi="宋体" w:cs="宋体" w:eastAsia="宋体" w:hint="default"/>
        </w:rPr>
        <w:t>4</w:t>
      </w:r>
      <w:r>
        <w:rPr/>
        <w:t>、以公允价值计量的金融资产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140" w:right="147"/>
        <w:jc w:val="left"/>
      </w:pPr>
      <w:r>
        <w:rPr/>
        <w:t>√ 适用 □</w:t>
      </w:r>
      <w:r>
        <w:rPr>
          <w:spacing w:val="3"/>
        </w:rPr>
        <w:t> </w:t>
      </w:r>
      <w:r>
        <w:rPr/>
        <w:t>不适用</w:t>
      </w:r>
    </w:p>
    <w:p>
      <w:pPr>
        <w:pStyle w:val="BodyText"/>
        <w:spacing w:line="240" w:lineRule="auto" w:before="115"/>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92"/>
        <w:gridCol w:w="1498"/>
        <w:gridCol w:w="1556"/>
        <w:gridCol w:w="1687"/>
        <w:gridCol w:w="1712"/>
        <w:gridCol w:w="1498"/>
        <w:gridCol w:w="1361"/>
        <w:gridCol w:w="1205"/>
        <w:gridCol w:w="1510"/>
      </w:tblGrid>
      <w:tr>
        <w:trPr>
          <w:trHeight w:val="713" w:hRule="exact"/>
        </w:trPr>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9" w:right="26" w:hanging="452"/>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1,094,529,459.99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1,094,529,459.99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1,208,514,621.90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113,985,161.91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自有资金循环投资</w:t>
            </w:r>
          </w:p>
        </w:tc>
      </w:tr>
      <w:tr>
        <w:trPr>
          <w:trHeight w:val="40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7,296,883,548.00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7,296,883,548.00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7,298,072,265.50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1,188,717.50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自有资金循环投资</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567,201,088.46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567,201,088.46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567,306,761.07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105,672.61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自有资金循环投资</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8,958,614,096.45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8,958,614,096.45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9,073,893,648.47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115,279,552.02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40" w:right="147"/>
        <w:jc w:val="left"/>
        <w:rPr>
          <w:b w:val="0"/>
          <w:bCs w:val="0"/>
        </w:rPr>
      </w:pPr>
      <w:r>
        <w:rPr>
          <w:rFonts w:ascii="宋体" w:hAnsi="宋体" w:cs="宋体" w:eastAsia="宋体" w:hint="default"/>
        </w:rPr>
        <w:t>5</w:t>
      </w:r>
      <w:r>
        <w:rPr/>
        <w:t>、募集资金使用情况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140" w:right="14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left="140" w:right="147"/>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140" w:right="147"/>
        <w:jc w:val="left"/>
      </w:pPr>
      <w:r>
        <w:rPr/>
        <w:t>√ 适用 □</w:t>
      </w:r>
      <w:r>
        <w:rPr>
          <w:spacing w:val="3"/>
        </w:rPr>
        <w:t> </w:t>
      </w:r>
      <w:r>
        <w:rPr/>
        <w:t>不适用</w:t>
      </w:r>
    </w:p>
    <w:p>
      <w:pPr>
        <w:pStyle w:val="BodyText"/>
        <w:spacing w:line="240" w:lineRule="auto" w:before="115"/>
        <w:ind w:left="0" w:right="157"/>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72"/>
        <w:gridCol w:w="1265"/>
        <w:gridCol w:w="1285"/>
        <w:gridCol w:w="1274"/>
        <w:gridCol w:w="1277"/>
        <w:gridCol w:w="1272"/>
        <w:gridCol w:w="1274"/>
        <w:gridCol w:w="1275"/>
        <w:gridCol w:w="1274"/>
        <w:gridCol w:w="1277"/>
        <w:gridCol w:w="1271"/>
      </w:tblGrid>
      <w:tr>
        <w:trPr>
          <w:trHeight w:val="1025" w:hRule="exact"/>
        </w:trPr>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1"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64"/>
              <w:jc w:val="right"/>
              <w:rPr>
                <w:rFonts w:ascii="宋体" w:hAnsi="宋体" w:cs="宋体" w:eastAsia="宋体" w:hint="default"/>
                <w:sz w:val="18"/>
                <w:szCs w:val="18"/>
              </w:rPr>
            </w:pPr>
            <w:r>
              <w:rPr>
                <w:rFonts w:ascii="宋体" w:hAnsi="宋体" w:cs="宋体" w:eastAsia="宋体" w:hint="default"/>
                <w:sz w:val="18"/>
                <w:szCs w:val="18"/>
              </w:rPr>
              <w:t>募集方式</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93"/>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2"/>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90"/>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40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sz w:val="18"/>
              </w:rPr>
              <w:t>43,698.54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1" w:right="0"/>
              <w:jc w:val="left"/>
              <w:rPr>
                <w:rFonts w:ascii="宋体" w:hAnsi="宋体" w:cs="宋体" w:eastAsia="宋体" w:hint="default"/>
                <w:sz w:val="18"/>
                <w:szCs w:val="18"/>
              </w:rPr>
            </w:pPr>
            <w:r>
              <w:rPr>
                <w:rFonts w:ascii="宋体"/>
                <w:sz w:val="18"/>
              </w:rPr>
              <w:t>16.53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sz w:val="18"/>
              </w:rPr>
              <w:t>33,180.18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sz w:val="18"/>
              </w:rPr>
              <w:t>3,007.57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0" w:right="0"/>
              <w:jc w:val="left"/>
              <w:rPr>
                <w:rFonts w:ascii="宋体" w:hAnsi="宋体" w:cs="宋体" w:eastAsia="宋体" w:hint="default"/>
                <w:sz w:val="18"/>
                <w:szCs w:val="18"/>
              </w:rPr>
            </w:pPr>
            <w:r>
              <w:rPr>
                <w:rFonts w:ascii="宋体"/>
                <w:sz w:val="18"/>
              </w:rPr>
              <w:t>3,007.57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9" w:right="0"/>
              <w:jc w:val="left"/>
              <w:rPr>
                <w:rFonts w:ascii="宋体" w:hAnsi="宋体" w:cs="宋体" w:eastAsia="宋体" w:hint="default"/>
                <w:sz w:val="18"/>
                <w:szCs w:val="18"/>
              </w:rPr>
            </w:pPr>
            <w:r>
              <w:rPr>
                <w:rFonts w:ascii="宋体"/>
                <w:sz w:val="18"/>
              </w:rPr>
              <w:t>6.88%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2"/>
        <w:gridCol w:w="1253"/>
        <w:gridCol w:w="1297"/>
        <w:gridCol w:w="1274"/>
        <w:gridCol w:w="1277"/>
        <w:gridCol w:w="1272"/>
        <w:gridCol w:w="1274"/>
        <w:gridCol w:w="1275"/>
        <w:gridCol w:w="1286"/>
        <w:gridCol w:w="1253"/>
        <w:gridCol w:w="1284"/>
      </w:tblGrid>
      <w:tr>
        <w:trPr>
          <w:trHeight w:val="418" w:hRule="exact"/>
        </w:trPr>
        <w:tc>
          <w:tcPr>
            <w:tcW w:w="127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sz w:val="18"/>
              </w:rPr>
              <w:t>--</w:t>
            </w:r>
          </w:p>
        </w:tc>
        <w:tc>
          <w:tcPr>
            <w:tcW w:w="1297"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sz w:val="18"/>
              </w:rPr>
              <w:t>43,698.54</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791" w:right="0"/>
              <w:jc w:val="left"/>
              <w:rPr>
                <w:rFonts w:ascii="宋体" w:hAnsi="宋体" w:cs="宋体" w:eastAsia="宋体" w:hint="default"/>
                <w:sz w:val="18"/>
                <w:szCs w:val="18"/>
              </w:rPr>
            </w:pPr>
            <w:r>
              <w:rPr>
                <w:rFonts w:ascii="宋体"/>
                <w:sz w:val="18"/>
              </w:rPr>
              <w:t>16.53</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sz w:val="18"/>
              </w:rPr>
              <w:t>33,180.18</w:t>
            </w:r>
          </w:p>
        </w:tc>
        <w:tc>
          <w:tcPr>
            <w:tcW w:w="12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sz w:val="18"/>
              </w:rPr>
              <w:t>3,007.57</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520" w:right="0"/>
              <w:jc w:val="left"/>
              <w:rPr>
                <w:rFonts w:ascii="宋体" w:hAnsi="宋体" w:cs="宋体" w:eastAsia="宋体" w:hint="default"/>
                <w:sz w:val="18"/>
                <w:szCs w:val="18"/>
              </w:rPr>
            </w:pPr>
            <w:r>
              <w:rPr>
                <w:rFonts w:ascii="宋体"/>
                <w:sz w:val="18"/>
              </w:rPr>
              <w:t>3,007.57</w:t>
            </w: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789" w:right="0"/>
              <w:jc w:val="left"/>
              <w:rPr>
                <w:rFonts w:ascii="宋体" w:hAnsi="宋体" w:cs="宋体" w:eastAsia="宋体" w:hint="default"/>
                <w:sz w:val="18"/>
                <w:szCs w:val="18"/>
              </w:rPr>
            </w:pPr>
            <w:r>
              <w:rPr>
                <w:rFonts w:ascii="宋体"/>
                <w:sz w:val="18"/>
              </w:rPr>
              <w:t>6.88%</w:t>
            </w:r>
          </w:p>
        </w:tc>
        <w:tc>
          <w:tcPr>
            <w:tcW w:w="1286" w:type="dxa"/>
            <w:tcBorders>
              <w:top w:val="single" w:sz="15" w:space="0" w:color="000000"/>
              <w:left w:val="single" w:sz="4" w:space="0" w:color="000000"/>
              <w:bottom w:val="single" w:sz="4" w:space="0" w:color="000000"/>
              <w:right w:val="single" w:sz="13" w:space="0" w:color="D2D2D2"/>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84"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1"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756"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[2010]1771</w:t>
            </w:r>
            <w:r>
              <w:rPr>
                <w:rFonts w:ascii="宋体" w:hAnsi="宋体" w:cs="宋体" w:eastAsia="宋体" w:hint="default"/>
                <w:spacing w:val="-50"/>
                <w:sz w:val="18"/>
                <w:szCs w:val="18"/>
              </w:rPr>
              <w:t> </w:t>
            </w:r>
            <w:r>
              <w:rPr>
                <w:rFonts w:ascii="宋体" w:hAnsi="宋体" w:cs="宋体" w:eastAsia="宋体" w:hint="default"/>
                <w:sz w:val="18"/>
                <w:szCs w:val="18"/>
              </w:rPr>
              <w:t>号文《关于核准深圳市惠程电气股份有限公司非公开发行股票的批复》的核准，同意本公司于</w:t>
            </w:r>
            <w:r>
              <w:rPr>
                <w:rFonts w:ascii="宋体" w:hAnsi="宋体" w:cs="宋体" w:eastAsia="宋体" w:hint="default"/>
                <w:spacing w:val="-52"/>
                <w:sz w:val="18"/>
                <w:szCs w:val="18"/>
              </w:rPr>
              <w:t> </w:t>
            </w: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22</w:t>
            </w:r>
            <w:r>
              <w:rPr>
                <w:rFonts w:ascii="宋体" w:hAnsi="宋体" w:cs="宋体" w:eastAsia="宋体" w:hint="default"/>
                <w:spacing w:val="-52"/>
                <w:sz w:val="18"/>
                <w:szCs w:val="18"/>
              </w:rPr>
              <w:t> </w:t>
            </w:r>
            <w:r>
              <w:rPr>
                <w:rFonts w:ascii="宋体" w:hAnsi="宋体" w:cs="宋体" w:eastAsia="宋体" w:hint="default"/>
                <w:sz w:val="18"/>
                <w:szCs w:val="18"/>
              </w:rPr>
              <w:t>日非公开发行</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15,021,600</w:t>
            </w:r>
            <w:r>
              <w:rPr>
                <w:rFonts w:ascii="宋体" w:hAnsi="宋体" w:cs="宋体" w:eastAsia="宋体" w:hint="default"/>
                <w:spacing w:val="-45"/>
                <w:sz w:val="18"/>
                <w:szCs w:val="18"/>
              </w:rPr>
              <w:t> </w:t>
            </w:r>
            <w:r>
              <w:rPr>
                <w:rFonts w:ascii="宋体" w:hAnsi="宋体" w:cs="宋体" w:eastAsia="宋体" w:hint="default"/>
                <w:sz w:val="18"/>
                <w:szCs w:val="18"/>
              </w:rPr>
              <w:t>股，每股面值人民币</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元，每股发行认购价格为人民币</w:t>
            </w:r>
            <w:r>
              <w:rPr>
                <w:rFonts w:ascii="宋体" w:hAnsi="宋体" w:cs="宋体" w:eastAsia="宋体" w:hint="default"/>
                <w:spacing w:val="-46"/>
                <w:sz w:val="18"/>
                <w:szCs w:val="18"/>
              </w:rPr>
              <w:t> </w:t>
            </w:r>
            <w:r>
              <w:rPr>
                <w:rFonts w:ascii="宋体" w:hAnsi="宋体" w:cs="宋体" w:eastAsia="宋体" w:hint="default"/>
                <w:sz w:val="18"/>
                <w:szCs w:val="18"/>
              </w:rPr>
              <w:t>30.11</w:t>
            </w:r>
            <w:r>
              <w:rPr>
                <w:rFonts w:ascii="宋体" w:hAnsi="宋体" w:cs="宋体" w:eastAsia="宋体" w:hint="default"/>
                <w:spacing w:val="-45"/>
                <w:sz w:val="18"/>
                <w:szCs w:val="18"/>
              </w:rPr>
              <w:t> </w:t>
            </w:r>
            <w:r>
              <w:rPr>
                <w:rFonts w:ascii="宋体" w:hAnsi="宋体" w:cs="宋体" w:eastAsia="宋体" w:hint="default"/>
                <w:sz w:val="18"/>
                <w:szCs w:val="18"/>
              </w:rPr>
              <w:t>元，共计募集人民币</w:t>
            </w:r>
            <w:r>
              <w:rPr>
                <w:rFonts w:ascii="宋体" w:hAnsi="宋体" w:cs="宋体" w:eastAsia="宋体" w:hint="default"/>
                <w:spacing w:val="-49"/>
                <w:sz w:val="18"/>
                <w:szCs w:val="18"/>
              </w:rPr>
              <w:t> </w:t>
            </w:r>
            <w:r>
              <w:rPr>
                <w:rFonts w:ascii="宋体" w:hAnsi="宋体" w:cs="宋体" w:eastAsia="宋体" w:hint="default"/>
                <w:sz w:val="18"/>
                <w:szCs w:val="18"/>
              </w:rPr>
              <w:t>452,300,376.00</w:t>
            </w:r>
            <w:r>
              <w:rPr>
                <w:rFonts w:ascii="宋体" w:hAnsi="宋体" w:cs="宋体" w:eastAsia="宋体" w:hint="default"/>
                <w:spacing w:val="-44"/>
                <w:sz w:val="18"/>
                <w:szCs w:val="18"/>
              </w:rPr>
              <w:t> </w:t>
            </w:r>
            <w:r>
              <w:rPr>
                <w:rFonts w:ascii="宋体" w:hAnsi="宋体" w:cs="宋体" w:eastAsia="宋体" w:hint="default"/>
                <w:sz w:val="18"/>
                <w:szCs w:val="18"/>
              </w:rPr>
              <w:t>元。截止</w:t>
            </w:r>
            <w:r>
              <w:rPr>
                <w:rFonts w:ascii="宋体" w:hAnsi="宋体" w:cs="宋体" w:eastAsia="宋体" w:hint="default"/>
                <w:spacing w:val="-49"/>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日，本公司共</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计募集资金人民币</w:t>
            </w:r>
            <w:r>
              <w:rPr>
                <w:rFonts w:ascii="宋体" w:hAnsi="宋体" w:cs="宋体" w:eastAsia="宋体" w:hint="default"/>
                <w:spacing w:val="-48"/>
                <w:sz w:val="18"/>
                <w:szCs w:val="18"/>
              </w:rPr>
              <w:t> </w:t>
            </w:r>
            <w:r>
              <w:rPr>
                <w:rFonts w:ascii="宋体" w:hAnsi="宋体" w:cs="宋体" w:eastAsia="宋体" w:hint="default"/>
                <w:sz w:val="18"/>
                <w:szCs w:val="18"/>
              </w:rPr>
              <w:t>452,300,376.00</w:t>
            </w:r>
            <w:r>
              <w:rPr>
                <w:rFonts w:ascii="宋体" w:hAnsi="宋体" w:cs="宋体" w:eastAsia="宋体" w:hint="default"/>
                <w:spacing w:val="-47"/>
                <w:sz w:val="18"/>
                <w:szCs w:val="18"/>
              </w:rPr>
              <w:t> </w:t>
            </w:r>
            <w:r>
              <w:rPr>
                <w:rFonts w:ascii="宋体" w:hAnsi="宋体" w:cs="宋体" w:eastAsia="宋体" w:hint="default"/>
                <w:sz w:val="18"/>
                <w:szCs w:val="18"/>
              </w:rPr>
              <w:t>元，扣除与发行有关的费用人民币</w:t>
            </w:r>
            <w:r>
              <w:rPr>
                <w:rFonts w:ascii="宋体" w:hAnsi="宋体" w:cs="宋体" w:eastAsia="宋体" w:hint="default"/>
                <w:spacing w:val="-48"/>
                <w:sz w:val="18"/>
                <w:szCs w:val="18"/>
              </w:rPr>
              <w:t> </w:t>
            </w:r>
            <w:r>
              <w:rPr>
                <w:rFonts w:ascii="宋体" w:hAnsi="宋体" w:cs="宋体" w:eastAsia="宋体" w:hint="default"/>
                <w:sz w:val="18"/>
                <w:szCs w:val="18"/>
              </w:rPr>
              <w:t>15,315,000.00</w:t>
            </w:r>
            <w:r>
              <w:rPr>
                <w:rFonts w:ascii="宋体" w:hAnsi="宋体" w:cs="宋体" w:eastAsia="宋体" w:hint="default"/>
                <w:spacing w:val="-4"/>
                <w:sz w:val="18"/>
                <w:szCs w:val="18"/>
              </w:rPr>
              <w:t> </w:t>
            </w:r>
            <w:r>
              <w:rPr>
                <w:rFonts w:ascii="宋体" w:hAnsi="宋体" w:cs="宋体" w:eastAsia="宋体" w:hint="default"/>
                <w:sz w:val="18"/>
                <w:szCs w:val="18"/>
              </w:rPr>
              <w:t>元，本公司实际募集资金净额为人民币</w:t>
            </w:r>
            <w:r>
              <w:rPr>
                <w:rFonts w:ascii="宋体" w:hAnsi="宋体" w:cs="宋体" w:eastAsia="宋体" w:hint="default"/>
                <w:spacing w:val="-49"/>
                <w:sz w:val="18"/>
                <w:szCs w:val="18"/>
              </w:rPr>
              <w:t> </w:t>
            </w:r>
            <w:r>
              <w:rPr>
                <w:rFonts w:ascii="宋体" w:hAnsi="宋体" w:cs="宋体" w:eastAsia="宋体" w:hint="default"/>
                <w:sz w:val="18"/>
                <w:szCs w:val="18"/>
              </w:rPr>
              <w:t>436,985,376.00</w:t>
            </w:r>
            <w:r>
              <w:rPr>
                <w:rFonts w:ascii="宋体" w:hAnsi="宋体" w:cs="宋体" w:eastAsia="宋体" w:hint="default"/>
                <w:spacing w:val="-6"/>
                <w:sz w:val="18"/>
                <w:szCs w:val="18"/>
              </w:rPr>
              <w:t> </w:t>
            </w:r>
            <w:r>
              <w:rPr>
                <w:rFonts w:ascii="宋体" w:hAnsi="宋体" w:cs="宋体" w:eastAsia="宋体" w:hint="default"/>
                <w:sz w:val="18"/>
                <w:szCs w:val="18"/>
              </w:rPr>
              <w:t>元。本公司上述注册资本变更事项</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业经立信大华会计师事务所于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日出具立信大华验字</w:t>
            </w:r>
            <w:r>
              <w:rPr>
                <w:rFonts w:ascii="宋体" w:hAnsi="宋体" w:cs="宋体" w:eastAsia="宋体" w:hint="default"/>
                <w:sz w:val="18"/>
                <w:szCs w:val="18"/>
              </w:rPr>
              <w:t>[2010]190</w:t>
            </w:r>
            <w:r>
              <w:rPr>
                <w:rFonts w:ascii="宋体" w:hAnsi="宋体" w:cs="宋体" w:eastAsia="宋体" w:hint="default"/>
                <w:spacing w:val="-46"/>
                <w:sz w:val="18"/>
                <w:szCs w:val="18"/>
              </w:rPr>
              <w:t> </w:t>
            </w:r>
            <w:r>
              <w:rPr>
                <w:rFonts w:ascii="宋体" w:hAnsi="宋体" w:cs="宋体" w:eastAsia="宋体" w:hint="default"/>
                <w:sz w:val="18"/>
                <w:szCs w:val="18"/>
              </w:rPr>
              <w:t>号验资报告验证确认。</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日，本公司非公开发行的募集资金合计账户合计减少的金额为</w:t>
            </w:r>
            <w:r>
              <w:rPr>
                <w:rFonts w:ascii="宋体" w:hAnsi="宋体" w:cs="宋体" w:eastAsia="宋体" w:hint="default"/>
                <w:spacing w:val="-46"/>
                <w:sz w:val="18"/>
                <w:szCs w:val="18"/>
              </w:rPr>
              <w:t> </w:t>
            </w:r>
            <w:r>
              <w:rPr>
                <w:rFonts w:ascii="宋体" w:hAnsi="宋体" w:cs="宋体" w:eastAsia="宋体" w:hint="default"/>
                <w:sz w:val="18"/>
                <w:szCs w:val="18"/>
              </w:rPr>
              <w:t>406,909,718.34</w:t>
            </w:r>
            <w:r>
              <w:rPr>
                <w:rFonts w:ascii="宋体" w:hAnsi="宋体" w:cs="宋体" w:eastAsia="宋体" w:hint="default"/>
                <w:spacing w:val="-44"/>
                <w:sz w:val="18"/>
                <w:szCs w:val="18"/>
              </w:rPr>
              <w:t> </w:t>
            </w:r>
            <w:r>
              <w:rPr>
                <w:rFonts w:ascii="宋体" w:hAnsi="宋体" w:cs="宋体" w:eastAsia="宋体" w:hint="default"/>
                <w:sz w:val="18"/>
                <w:szCs w:val="18"/>
              </w:rPr>
              <w:t>元，具体情况如下：</w:t>
            </w:r>
          </w:p>
          <w:p>
            <w:pPr>
              <w:pStyle w:val="TableParagraph"/>
              <w:spacing w:line="240" w:lineRule="auto" w:before="118"/>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、募集资金累计投入募集资金项目的金额为</w:t>
            </w:r>
            <w:r>
              <w:rPr>
                <w:rFonts w:ascii="宋体" w:hAnsi="宋体" w:cs="宋体" w:eastAsia="宋体" w:hint="default"/>
                <w:spacing w:val="-46"/>
                <w:sz w:val="18"/>
                <w:szCs w:val="18"/>
              </w:rPr>
              <w:t> </w:t>
            </w:r>
            <w:r>
              <w:rPr>
                <w:rFonts w:ascii="宋体" w:hAnsi="宋体" w:cs="宋体" w:eastAsia="宋体" w:hint="default"/>
                <w:sz w:val="18"/>
                <w:szCs w:val="18"/>
              </w:rPr>
              <w:t>331,801,786.44</w:t>
            </w:r>
            <w:r>
              <w:rPr>
                <w:rFonts w:ascii="宋体" w:hAnsi="宋体" w:cs="宋体" w:eastAsia="宋体" w:hint="default"/>
                <w:spacing w:val="-47"/>
                <w:sz w:val="18"/>
                <w:szCs w:val="18"/>
              </w:rPr>
              <w:t> </w:t>
            </w:r>
            <w:r>
              <w:rPr>
                <w:rFonts w:ascii="宋体" w:hAnsi="宋体" w:cs="宋体" w:eastAsia="宋体" w:hint="default"/>
                <w:sz w:val="18"/>
                <w:szCs w:val="18"/>
              </w:rPr>
              <w:t>元，其中：</w:t>
            </w:r>
          </w:p>
          <w:p>
            <w:pPr>
              <w:pStyle w:val="TableParagraph"/>
              <w:spacing w:line="316" w:lineRule="auto" w:before="115"/>
              <w:ind w:left="23" w:right="1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）以前年度使用的金额为</w:t>
            </w:r>
            <w:r>
              <w:rPr>
                <w:rFonts w:ascii="宋体" w:hAnsi="宋体" w:cs="宋体" w:eastAsia="宋体" w:hint="default"/>
                <w:spacing w:val="-59"/>
                <w:sz w:val="18"/>
                <w:szCs w:val="18"/>
              </w:rPr>
              <w:t> </w:t>
            </w:r>
            <w:r>
              <w:rPr>
                <w:rFonts w:ascii="宋体" w:hAnsi="宋体" w:cs="宋体" w:eastAsia="宋体" w:hint="default"/>
                <w:sz w:val="18"/>
                <w:szCs w:val="18"/>
              </w:rPr>
              <w:t>331,636,532.92</w:t>
            </w:r>
            <w:r>
              <w:rPr>
                <w:rFonts w:ascii="宋体" w:hAnsi="宋体" w:cs="宋体" w:eastAsia="宋体" w:hint="default"/>
                <w:sz w:val="18"/>
                <w:szCs w:val="18"/>
              </w:rPr>
              <w:t>，其中：①公司于募集资金到位后置换已利用自筹资金和银行贷款先期投入募集资金项目的金额为</w:t>
            </w:r>
            <w:r>
              <w:rPr>
                <w:rFonts w:ascii="宋体" w:hAnsi="宋体" w:cs="宋体" w:eastAsia="宋体" w:hint="default"/>
                <w:spacing w:val="-58"/>
                <w:sz w:val="18"/>
                <w:szCs w:val="18"/>
              </w:rPr>
              <w:t> </w:t>
            </w:r>
            <w:r>
              <w:rPr>
                <w:rFonts w:ascii="宋体" w:hAnsi="宋体" w:cs="宋体" w:eastAsia="宋体" w:hint="default"/>
                <w:sz w:val="18"/>
                <w:szCs w:val="18"/>
              </w:rPr>
              <w:t>60,938,300.00</w:t>
            </w:r>
            <w:r>
              <w:rPr>
                <w:rFonts w:ascii="宋体" w:hAnsi="宋体" w:cs="宋体" w:eastAsia="宋体" w:hint="default"/>
                <w:spacing w:val="-58"/>
                <w:sz w:val="18"/>
                <w:szCs w:val="18"/>
              </w:rPr>
              <w:t> </w:t>
            </w:r>
            <w:r>
              <w:rPr>
                <w:rFonts w:ascii="宋体" w:hAnsi="宋体" w:cs="宋体" w:eastAsia="宋体" w:hint="default"/>
                <w:sz w:val="18"/>
                <w:szCs w:val="18"/>
              </w:rPr>
              <w:t>元；②募集资 金到位后直接投入募集资金项目的金额为</w:t>
            </w:r>
            <w:r>
              <w:rPr>
                <w:rFonts w:ascii="宋体" w:hAnsi="宋体" w:cs="宋体" w:eastAsia="宋体" w:hint="default"/>
                <w:spacing w:val="-47"/>
                <w:sz w:val="18"/>
                <w:szCs w:val="18"/>
              </w:rPr>
              <w:t> </w:t>
            </w:r>
            <w:r>
              <w:rPr>
                <w:rFonts w:ascii="宋体" w:hAnsi="宋体" w:cs="宋体" w:eastAsia="宋体" w:hint="default"/>
                <w:sz w:val="18"/>
                <w:szCs w:val="18"/>
              </w:rPr>
              <w:t>270,698,232.92</w:t>
            </w:r>
            <w:r>
              <w:rPr>
                <w:rFonts w:ascii="宋体" w:hAnsi="宋体" w:cs="宋体" w:eastAsia="宋体" w:hint="default"/>
                <w:spacing w:val="-45"/>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年初至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日期间使用的募集资金的金额为</w:t>
            </w:r>
            <w:r>
              <w:rPr>
                <w:rFonts w:ascii="宋体" w:hAnsi="宋体" w:cs="宋体" w:eastAsia="宋体" w:hint="default"/>
                <w:spacing w:val="-1"/>
                <w:sz w:val="18"/>
                <w:szCs w:val="18"/>
              </w:rPr>
              <w:t> </w:t>
            </w:r>
            <w:r>
              <w:rPr>
                <w:rFonts w:ascii="宋体" w:hAnsi="宋体" w:cs="宋体" w:eastAsia="宋体" w:hint="default"/>
                <w:sz w:val="18"/>
                <w:szCs w:val="18"/>
              </w:rPr>
              <w:t>165,253.52</w:t>
            </w:r>
            <w:r>
              <w:rPr>
                <w:rFonts w:ascii="宋体" w:hAnsi="宋体" w:cs="宋体" w:eastAsia="宋体" w:hint="default"/>
                <w:spacing w:val="-2"/>
                <w:sz w:val="18"/>
                <w:szCs w:val="18"/>
              </w:rPr>
              <w:t> </w:t>
            </w:r>
            <w:r>
              <w:rPr>
                <w:rFonts w:ascii="宋体" w:hAnsi="宋体" w:cs="宋体" w:eastAsia="宋体" w:hint="default"/>
                <w:sz w:val="18"/>
                <w:szCs w:val="18"/>
              </w:rPr>
              <w:t>元。</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z w:val="18"/>
                <w:szCs w:val="18"/>
              </w:rPr>
              <w:t>、终止部分募投项目后，使用剩余募集资金永久性补充流动资金的金额为</w:t>
            </w:r>
            <w:r>
              <w:rPr>
                <w:rFonts w:ascii="宋体" w:hAnsi="宋体" w:cs="宋体" w:eastAsia="宋体" w:hint="default"/>
                <w:spacing w:val="-44"/>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5</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7</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元（含募集资金账户利息收入及手续费支出净额</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4</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3</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5"/>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、募集资金账户累计收到的利息收入扣除累计支付的手续费支出后，累计利息收入净额为</w:t>
            </w:r>
            <w:r>
              <w:rPr>
                <w:rFonts w:ascii="宋体" w:hAnsi="宋体" w:cs="宋体" w:eastAsia="宋体" w:hint="default"/>
                <w:spacing w:val="-46"/>
                <w:sz w:val="18"/>
                <w:szCs w:val="18"/>
              </w:rPr>
              <w:t> </w:t>
            </w:r>
            <w:r>
              <w:rPr>
                <w:rFonts w:ascii="宋体" w:hAnsi="宋体" w:cs="宋体" w:eastAsia="宋体" w:hint="default"/>
                <w:sz w:val="18"/>
                <w:szCs w:val="18"/>
              </w:rPr>
              <w:t>4,948,045.07</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日前使用闲置募集资金暂时补充流动资金的金额为</w:t>
            </w:r>
            <w:r>
              <w:rPr>
                <w:rFonts w:ascii="宋体" w:hAnsi="宋体" w:cs="宋体" w:eastAsia="宋体" w:hint="default"/>
                <w:spacing w:val="-46"/>
                <w:sz w:val="18"/>
                <w:szCs w:val="18"/>
              </w:rPr>
              <w:t> </w:t>
            </w:r>
            <w:r>
              <w:rPr>
                <w:rFonts w:ascii="宋体" w:hAnsi="宋体" w:cs="宋体" w:eastAsia="宋体" w:hint="default"/>
                <w:sz w:val="18"/>
                <w:szCs w:val="18"/>
              </w:rPr>
              <w:t>30,000,000.00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日已归还至募集资金账户。</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50"/>
                <w:sz w:val="18"/>
                <w:szCs w:val="18"/>
              </w:rPr>
              <w:t> </w:t>
            </w:r>
            <w:r>
              <w:rPr>
                <w:rFonts w:ascii="宋体" w:hAnsi="宋体" w:cs="宋体" w:eastAsia="宋体" w:hint="default"/>
                <w:spacing w:val="-3"/>
                <w:sz w:val="18"/>
                <w:szCs w:val="18"/>
              </w:rPr>
              <w:t>日，非公开发行的募集资金余额为人民币</w:t>
            </w:r>
            <w:r>
              <w:rPr>
                <w:rFonts w:ascii="宋体" w:hAnsi="宋体" w:cs="宋体" w:eastAsia="宋体" w:hint="default"/>
                <w:spacing w:val="-50"/>
                <w:sz w:val="18"/>
                <w:szCs w:val="18"/>
              </w:rPr>
              <w:t> </w:t>
            </w:r>
            <w:r>
              <w:rPr>
                <w:rFonts w:ascii="宋体" w:hAnsi="宋体" w:cs="宋体" w:eastAsia="宋体" w:hint="default"/>
                <w:sz w:val="18"/>
                <w:szCs w:val="18"/>
              </w:rPr>
              <w:t>30,075,657.66</w:t>
            </w:r>
            <w:r>
              <w:rPr>
                <w:rFonts w:ascii="宋体" w:hAnsi="宋体" w:cs="宋体" w:eastAsia="宋体" w:hint="default"/>
                <w:spacing w:val="-49"/>
                <w:sz w:val="18"/>
                <w:szCs w:val="18"/>
              </w:rPr>
              <w:t> </w:t>
            </w:r>
            <w:r>
              <w:rPr>
                <w:rFonts w:ascii="宋体" w:hAnsi="宋体" w:cs="宋体" w:eastAsia="宋体" w:hint="default"/>
                <w:sz w:val="18"/>
                <w:szCs w:val="18"/>
              </w:rPr>
              <w:t>元。由于公司非公开发行募投项目中“新型高性能高分子材料金属复合管母线及结构件项目”及</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“真空绝缘电气控制设备项目”已于</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日终止，项目剩余募集资金永久性补充流动资金。最后一个募投项目“高性能耐热聚酰亚胺纤维产业化项目”实施主体为长</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春高琦全资子公司吉林高琦，公司于</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月至</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4</w:t>
            </w:r>
            <w:r>
              <w:rPr>
                <w:rFonts w:ascii="宋体" w:hAnsi="宋体" w:cs="宋体" w:eastAsia="宋体" w:hint="default"/>
                <w:spacing w:val="-50"/>
                <w:sz w:val="18"/>
                <w:szCs w:val="18"/>
              </w:rPr>
              <w:t> </w:t>
            </w:r>
            <w:r>
              <w:rPr>
                <w:rFonts w:ascii="宋体" w:hAnsi="宋体" w:cs="宋体" w:eastAsia="宋体" w:hint="default"/>
                <w:sz w:val="18"/>
                <w:szCs w:val="18"/>
              </w:rPr>
              <w:t>月期间将所持长春高琦全部股权转让给股东吕晓义先生，“高性能耐热聚酰亚胺纤维产业化项目”及该项目剩余募集</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宋体" w:hAnsi="宋体" w:cs="宋体" w:eastAsia="宋体" w:hint="default"/>
                <w:sz w:val="18"/>
                <w:szCs w:val="18"/>
              </w:rPr>
              <w:t>30,075,657.66</w:t>
            </w:r>
            <w:r>
              <w:rPr>
                <w:rFonts w:ascii="宋体" w:hAnsi="宋体" w:cs="宋体" w:eastAsia="宋体" w:hint="default"/>
                <w:spacing w:val="-48"/>
                <w:sz w:val="18"/>
                <w:szCs w:val="18"/>
              </w:rPr>
              <w:t> </w:t>
            </w:r>
            <w:r>
              <w:rPr>
                <w:rFonts w:ascii="宋体" w:hAnsi="宋体" w:cs="宋体" w:eastAsia="宋体" w:hint="default"/>
                <w:sz w:val="18"/>
                <w:szCs w:val="18"/>
              </w:rPr>
              <w:t>元随着股权转让实现对外转让。</w:t>
            </w:r>
          </w:p>
          <w:p>
            <w:pPr>
              <w:pStyle w:val="TableParagraph"/>
              <w:spacing w:line="240" w:lineRule="auto" w:before="115"/>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日，公司非公开发行募集资金已全部使用完毕，无尚未使用的募集资金余额。</w:t>
            </w:r>
          </w:p>
        </w:tc>
      </w:tr>
    </w:tbl>
    <w:p>
      <w:pPr>
        <w:spacing w:line="240" w:lineRule="auto" w:before="3"/>
        <w:rPr>
          <w:rFonts w:ascii="宋体" w:hAnsi="宋体" w:cs="宋体" w:eastAsia="宋体" w:hint="default"/>
          <w:sz w:val="19"/>
          <w:szCs w:val="19"/>
        </w:rPr>
      </w:pPr>
    </w:p>
    <w:p>
      <w:pPr>
        <w:pStyle w:val="Heading3"/>
        <w:spacing w:line="240" w:lineRule="auto" w:before="36"/>
        <w:ind w:left="140" w:right="147"/>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140" w:right="147"/>
        <w:jc w:val="left"/>
      </w:pPr>
      <w:r>
        <w:rPr/>
        <w:t>√ 适用 □</w:t>
      </w:r>
      <w:r>
        <w:rPr>
          <w:spacing w:val="3"/>
        </w:rPr>
        <w:t> </w:t>
      </w:r>
      <w:r>
        <w:rPr/>
        <w:t>不适用</w:t>
      </w:r>
    </w:p>
    <w:p>
      <w:pPr>
        <w:pStyle w:val="BodyText"/>
        <w:spacing w:line="240" w:lineRule="auto" w:before="115"/>
        <w:ind w:left="0" w:right="157"/>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92"/>
        <w:gridCol w:w="1141"/>
        <w:gridCol w:w="1145"/>
        <w:gridCol w:w="1142"/>
        <w:gridCol w:w="1140"/>
        <w:gridCol w:w="1145"/>
        <w:gridCol w:w="1144"/>
        <w:gridCol w:w="1144"/>
        <w:gridCol w:w="1145"/>
        <w:gridCol w:w="1145"/>
        <w:gridCol w:w="1134"/>
      </w:tblGrid>
      <w:tr>
        <w:trPr>
          <w:trHeight w:val="1027"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是否已变更项 目</w:t>
            </w:r>
            <w:r>
              <w:rPr>
                <w:rFonts w:ascii="宋体" w:hAnsi="宋体" w:cs="宋体" w:eastAsia="宋体" w:hint="default"/>
                <w:sz w:val="18"/>
                <w:szCs w:val="18"/>
              </w:rPr>
              <w:t>(</w:t>
            </w:r>
            <w:r>
              <w:rPr>
                <w:rFonts w:ascii="宋体" w:hAnsi="宋体" w:cs="宋体" w:eastAsia="宋体" w:hint="default"/>
                <w:sz w:val="18"/>
                <w:szCs w:val="18"/>
              </w:rPr>
              <w:t>含部分变 更</w:t>
            </w:r>
            <w:r>
              <w:rPr>
                <w:rFonts w:ascii="宋体" w:hAnsi="宋体" w:cs="宋体" w:eastAsia="宋体" w:hint="default"/>
                <w:sz w:val="18"/>
                <w:szCs w:val="18"/>
              </w:rPr>
              <w:t>)</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26" w:hanging="315"/>
              <w:jc w:val="left"/>
              <w:rPr>
                <w:rFonts w:ascii="宋体" w:hAnsi="宋体" w:cs="宋体" w:eastAsia="宋体" w:hint="default"/>
                <w:sz w:val="18"/>
                <w:szCs w:val="18"/>
              </w:rPr>
            </w:pPr>
            <w:r>
              <w:rPr>
                <w:rFonts w:ascii="宋体" w:hAnsi="宋体" w:cs="宋体" w:eastAsia="宋体" w:hint="default"/>
                <w:sz w:val="18"/>
                <w:szCs w:val="18"/>
              </w:rPr>
              <w:t>调整后投资总 额</w:t>
            </w:r>
            <w:r>
              <w:rPr>
                <w:rFonts w:ascii="宋体" w:hAnsi="宋体" w:cs="宋体" w:eastAsia="宋体" w:hint="default"/>
                <w:sz w:val="18"/>
                <w:szCs w:val="18"/>
              </w:rPr>
              <w:t>(1)</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24"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26" w:hanging="46"/>
              <w:jc w:val="left"/>
              <w:rPr>
                <w:rFonts w:ascii="宋体" w:hAnsi="宋体" w:cs="宋体" w:eastAsia="宋体" w:hint="default"/>
                <w:sz w:val="18"/>
                <w:szCs w:val="18"/>
              </w:rPr>
            </w:pPr>
            <w:r>
              <w:rPr>
                <w:rFonts w:ascii="宋体" w:hAnsi="宋体" w:cs="宋体" w:eastAsia="宋体" w:hint="default"/>
                <w:sz w:val="18"/>
                <w:szCs w:val="18"/>
              </w:rPr>
              <w:t>截至期末累计 投入金额</w:t>
            </w:r>
            <w:r>
              <w:rPr>
                <w:rFonts w:ascii="宋体" w:hAnsi="宋体" w:cs="宋体" w:eastAsia="宋体" w:hint="default"/>
                <w:sz w:val="18"/>
                <w:szCs w:val="18"/>
              </w:rPr>
              <w:t>(2)</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5"/>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27"/>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7" w:right="26" w:hanging="272"/>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6" w:right="26" w:hanging="360"/>
              <w:jc w:val="left"/>
              <w:rPr>
                <w:rFonts w:ascii="宋体" w:hAnsi="宋体" w:cs="宋体" w:eastAsia="宋体" w:hint="default"/>
                <w:sz w:val="18"/>
                <w:szCs w:val="18"/>
              </w:rPr>
            </w:pPr>
            <w:r>
              <w:rPr>
                <w:rFonts w:ascii="宋体" w:hAnsi="宋体" w:cs="宋体" w:eastAsia="宋体" w:hint="default"/>
                <w:sz w:val="18"/>
                <w:szCs w:val="18"/>
              </w:rPr>
              <w:t>是否达到预计 效益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2"/>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bl>
    <w:p>
      <w:pPr>
        <w:spacing w:after="0" w:line="316" w:lineRule="auto"/>
        <w:jc w:val="center"/>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0"/>
        <w:rPr>
          <w:rFonts w:ascii="宋体" w:hAnsi="宋体" w:cs="宋体" w:eastAsia="宋体" w:hint="default"/>
          <w:sz w:val="20"/>
          <w:szCs w:val="20"/>
        </w:rPr>
      </w:pPr>
      <w:r>
        <w:rPr/>
        <w:pict>
          <v:shape style="position:absolute;margin-left:70.320pt;margin-top:55.258007pt;width:701.65pt;height:465.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2"/>
                    <w:gridCol w:w="1135"/>
                    <w:gridCol w:w="1150"/>
                    <w:gridCol w:w="1142"/>
                    <w:gridCol w:w="1140"/>
                    <w:gridCol w:w="1151"/>
                    <w:gridCol w:w="1138"/>
                    <w:gridCol w:w="1138"/>
                    <w:gridCol w:w="1156"/>
                    <w:gridCol w:w="1138"/>
                    <w:gridCol w:w="1136"/>
                  </w:tblGrid>
                  <w:tr>
                    <w:trPr>
                      <w:trHeight w:val="417" w:hRule="exact"/>
                    </w:trPr>
                    <w:tc>
                      <w:tcPr>
                        <w:tcW w:w="14018"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高性能耐热聚酰亚胺纤维产业化 项目</w:t>
                        </w:r>
                        <w:r>
                          <w:rPr>
                            <w:rFonts w:ascii="宋体" w:hAnsi="宋体" w:cs="宋体" w:eastAsia="宋体"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33,140.83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33,140.83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16.53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30,453.78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91.89%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-646.15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新型高性能高分子材料金属复合 管母线及结构件项目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7,610.39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1,697.72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1,697.72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真空绝缘电气控制设备项目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4,479.05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1,028.7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宋体" w:hAnsi="宋体" w:cs="宋体" w:eastAsia="宋体" w:hint="default"/>
                            <w:sz w:val="18"/>
                            <w:szCs w:val="18"/>
                          </w:rPr>
                        </w:pPr>
                        <w:r>
                          <w:rPr>
                            <w:rFonts w:ascii="宋体"/>
                            <w:sz w:val="18"/>
                          </w:rPr>
                          <w:t>1,028.7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sz w:val="18"/>
                          </w:rPr>
                          <w:t>--</w:t>
                        </w:r>
                      </w:p>
                    </w:tc>
                    <w:tc>
                      <w:tcPr>
                        <w:tcW w:w="11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45,230.27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35,867.25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16.53</w:t>
                        </w:r>
                      </w:p>
                    </w:tc>
                    <w:tc>
                      <w:tcPr>
                        <w:tcW w:w="11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33,180.2</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115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-646.15</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2"/>
                          <w:jc w:val="right"/>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0"/>
                          <w:jc w:val="right"/>
                          <w:rPr>
                            <w:rFonts w:ascii="宋体" w:hAnsi="宋体" w:cs="宋体" w:eastAsia="宋体" w:hint="default"/>
                            <w:sz w:val="18"/>
                            <w:szCs w:val="18"/>
                          </w:rPr>
                        </w:pPr>
                        <w:r>
                          <w:rPr>
                            <w:rFonts w:ascii="宋体"/>
                            <w:sz w:val="18"/>
                          </w:rPr>
                          <w:t>--</w:t>
                        </w:r>
                      </w:p>
                    </w:tc>
                  </w:tr>
                  <w:tr>
                    <w:trPr>
                      <w:trHeight w:val="396"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sz w:val="18"/>
                          </w:rPr>
                          <w:t>--</w:t>
                        </w:r>
                      </w:p>
                    </w:tc>
                    <w:tc>
                      <w:tcPr>
                        <w:tcW w:w="11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45,230.27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35,867.25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16.53</w:t>
                        </w:r>
                      </w:p>
                    </w:tc>
                    <w:tc>
                      <w:tcPr>
                        <w:tcW w:w="11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33,180.2</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115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-646.15</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2"/>
                          <w:jc w:val="right"/>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0"/>
                          <w:jc w:val="right"/>
                          <w:rPr>
                            <w:rFonts w:ascii="宋体" w:hAnsi="宋体" w:cs="宋体" w:eastAsia="宋体" w:hint="default"/>
                            <w:sz w:val="18"/>
                            <w:szCs w:val="18"/>
                          </w:rPr>
                        </w:pPr>
                        <w:r>
                          <w:rPr>
                            <w:rFonts w:ascii="宋体"/>
                            <w:sz w:val="18"/>
                          </w:rPr>
                          <w:t>--</w:t>
                        </w:r>
                      </w:p>
                    </w:tc>
                  </w:tr>
                  <w:tr>
                    <w:trPr>
                      <w:trHeight w:val="648" w:hRule="exact"/>
                    </w:trPr>
                    <w:tc>
                      <w:tcPr>
                        <w:tcW w:w="2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6"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日召开第</w:t>
                        </w:r>
                        <w:r>
                          <w:rPr>
                            <w:rFonts w:ascii="宋体" w:hAnsi="宋体" w:cs="宋体" w:eastAsia="宋体" w:hint="default"/>
                            <w:spacing w:val="-3"/>
                            <w:sz w:val="18"/>
                            <w:szCs w:val="18"/>
                          </w:rPr>
                          <w:t>四</w:t>
                        </w:r>
                        <w:r>
                          <w:rPr>
                            <w:rFonts w:ascii="宋体" w:hAnsi="宋体" w:cs="宋体" w:eastAsia="宋体" w:hint="default"/>
                            <w:sz w:val="18"/>
                            <w:szCs w:val="18"/>
                          </w:rPr>
                          <w:t>届董事会第八次会议审议通过《关于部分募集资金投资项目预计达到可使用状态时间调整的议案</w:t>
                        </w:r>
                        <w:r>
                          <w:rPr>
                            <w:rFonts w:ascii="宋体" w:hAnsi="宋体" w:cs="宋体" w:eastAsia="宋体" w:hint="default"/>
                            <w:spacing w:val="-92"/>
                            <w:sz w:val="18"/>
                            <w:szCs w:val="18"/>
                          </w:rPr>
                          <w:t>》</w:t>
                        </w:r>
                        <w:r>
                          <w:rPr>
                            <w:rFonts w:ascii="宋体" w:hAnsi="宋体" w:cs="宋体" w:eastAsia="宋体" w:hint="default"/>
                            <w:sz w:val="18"/>
                            <w:szCs w:val="18"/>
                          </w:rPr>
                          <w:t>，将承诺投</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资项目“真空绝缘电气控制设备项目”和“新型高性能高分子材料金属复合管母线及结构件项目”预计达到可使用状态时间调整为</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65"/>
                            <w:sz w:val="18"/>
                            <w:szCs w:val="18"/>
                          </w:rPr>
                          <w:t> </w:t>
                        </w:r>
                        <w:r>
                          <w:rPr>
                            <w:rFonts w:ascii="宋体" w:hAnsi="宋体" w:cs="宋体" w:eastAsia="宋体" w:hint="default"/>
                            <w:sz w:val="18"/>
                            <w:szCs w:val="18"/>
                          </w:rPr>
                          <w:t>日。根据目前的市场及相关募集资金项目的投资进度以及可行性发生重大变化等原因，公司决定终止“真空绝缘电气控制设备目”和“新型高</w:t>
                        </w:r>
                      </w:p>
                      <w:p>
                        <w:pPr>
                          <w:pStyle w:val="TableParagraph"/>
                          <w:spacing w:line="357" w:lineRule="auto" w:before="76"/>
                          <w:ind w:left="377" w:right="22" w:hanging="360"/>
                          <w:jc w:val="left"/>
                          <w:rPr>
                            <w:rFonts w:ascii="宋体" w:hAnsi="宋体" w:cs="宋体" w:eastAsia="宋体" w:hint="default"/>
                            <w:sz w:val="18"/>
                            <w:szCs w:val="18"/>
                          </w:rPr>
                        </w:pPr>
                        <w:r>
                          <w:rPr>
                            <w:rFonts w:ascii="宋体" w:hAnsi="宋体" w:cs="宋体" w:eastAsia="宋体" w:hint="default"/>
                            <w:sz w:val="18"/>
                            <w:szCs w:val="18"/>
                          </w:rPr>
                          <w:t>性能高分子材料金属复合管母线及结构件项目，并经公司第四届董事会第十五次会议、公司</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年第四次临时股东大会审议通过。 </w:t>
                        </w:r>
                        <w:r>
                          <w:rPr>
                            <w:rFonts w:ascii="宋体" w:hAnsi="宋体" w:cs="宋体" w:eastAsia="宋体" w:hint="default"/>
                            <w:spacing w:val="-2"/>
                            <w:sz w:val="18"/>
                            <w:szCs w:val="18"/>
                          </w:rPr>
                          <w:t>2</w:t>
                        </w:r>
                        <w:r>
                          <w:rPr>
                            <w:rFonts w:ascii="宋体" w:hAnsi="宋体" w:cs="宋体" w:eastAsia="宋体" w:hint="default"/>
                            <w:spacing w:val="-2"/>
                            <w:sz w:val="18"/>
                            <w:szCs w:val="18"/>
                          </w:rPr>
                          <w:t>、“高性能耐热聚酰亚胺纤维产业化项目”本年度效益尚未达到预期效益主要原因系该项目市场推广不甚理想，尚未进行大批量生产以及销</w:t>
                        </w:r>
                      </w:p>
                      <w:p>
                        <w:pPr>
                          <w:pStyle w:val="TableParagraph"/>
                          <w:spacing w:line="224" w:lineRule="exact"/>
                          <w:ind w:left="17" w:right="0"/>
                          <w:jc w:val="left"/>
                          <w:rPr>
                            <w:rFonts w:ascii="宋体" w:hAnsi="宋体" w:cs="宋体" w:eastAsia="宋体" w:hint="default"/>
                            <w:sz w:val="18"/>
                            <w:szCs w:val="18"/>
                          </w:rPr>
                        </w:pPr>
                        <w:r>
                          <w:rPr>
                            <w:rFonts w:ascii="宋体" w:hAnsi="宋体" w:cs="宋体" w:eastAsia="宋体" w:hint="default"/>
                            <w:sz w:val="18"/>
                            <w:szCs w:val="18"/>
                          </w:rPr>
                          <w:t>售，固定成本、损耗大造成成本较高。</w:t>
                        </w:r>
                      </w:p>
                    </w:tc>
                  </w:tr>
                  <w:tr>
                    <w:trPr>
                      <w:trHeight w:val="706" w:hRule="exact"/>
                    </w:trPr>
                    <w:tc>
                      <w:tcPr>
                        <w:tcW w:w="2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 况和原因（分具体项目）</w:t>
                        </w:r>
                      </w:p>
                    </w:tc>
                    <w:tc>
                      <w:tcPr>
                        <w:tcW w:w="11426" w:type="dxa"/>
                        <w:gridSpan w:val="10"/>
                        <w:vMerge/>
                        <w:tcBorders>
                          <w:left w:val="single" w:sz="9" w:space="0" w:color="D2D2D2"/>
                          <w:right w:val="single" w:sz="4" w:space="0" w:color="000000"/>
                        </w:tcBorders>
                      </w:tcPr>
                      <w:p>
                        <w:pPr/>
                      </w:p>
                    </w:tc>
                  </w:tr>
                  <w:tr>
                    <w:trPr>
                      <w:trHeight w:val="648" w:hRule="exact"/>
                    </w:trPr>
                    <w:tc>
                      <w:tcPr>
                        <w:tcW w:w="2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6" w:type="dxa"/>
                        <w:gridSpan w:val="10"/>
                        <w:vMerge/>
                        <w:tcBorders>
                          <w:left w:val="single" w:sz="9" w:space="0" w:color="D2D2D2"/>
                          <w:bottom w:val="single" w:sz="4" w:space="0" w:color="000000"/>
                          <w:right w:val="single" w:sz="4" w:space="0" w:color="000000"/>
                        </w:tcBorders>
                      </w:tcPr>
                      <w:p>
                        <w:pPr/>
                      </w:p>
                    </w:tc>
                  </w:tr>
                  <w:tr>
                    <w:trPr>
                      <w:trHeight w:val="1565" w:hRule="exact"/>
                    </w:trPr>
                    <w:tc>
                      <w:tcPr>
                        <w:tcW w:w="2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6" w:type="dxa"/>
                        <w:gridSpan w:val="10"/>
                        <w:vMerge w:val="restart"/>
                        <w:tcBorders>
                          <w:top w:val="single" w:sz="4" w:space="0" w:color="000000"/>
                          <w:left w:val="single" w:sz="9" w:space="0" w:color="D2D2D2"/>
                          <w:right w:val="single" w:sz="4" w:space="0" w:color="000000"/>
                        </w:tcBorders>
                      </w:tcPr>
                      <w:p>
                        <w:pPr>
                          <w:pStyle w:val="TableParagraph"/>
                          <w:spacing w:line="316" w:lineRule="auto" w:before="49"/>
                          <w:ind w:left="17" w:right="25" w:firstLine="36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、新型高性能高分子材料金属复合管母线及结构件项目可行性发生重大变化的情况说明：由于该项目的整体生产工艺属于自主创新，主要设</w:t>
                        </w:r>
                        <w:r>
                          <w:rPr>
                            <w:rFonts w:ascii="宋体" w:hAnsi="宋体" w:cs="宋体" w:eastAsia="宋体" w:hint="default"/>
                            <w:sz w:val="18"/>
                            <w:szCs w:val="18"/>
                          </w:rPr>
                          <w:t> 备及模具由公司自主研发；同时为确保设备加工性能的可靠性，公司管理层采取谨慎态度，避免因加快进度赶工期而使设备投入与市场需求脱节 避免造成资金的使用浪费。项目建设期内，相关设备主要采取分批验证方式进行；同时公司进行了工艺完善、设备改造、模具结构优化等工作， 原计划外购的部分设备都采取成本更低的自制方式完成。从目前市场情况来分析，现阶段该项目的市场情况较募集资金项目拟定之时发生了较大 变化，由于实体经济下滑，再加上部分行业（目标客户）都处于整体盈利较弱的状态，客户不愿使用高质高价的这类产品，该项目产品面临其他 低成本产品的竞争越来越激烈，毛利水平达不到预期要求。从目前的市场需求来看，公司完成的投资规模及建成产能已经完全能够满足现在及未 来几年市场的需求。因此，如果继续按照原计划实施将会造成投资过剩。综合以上因素，本着成本节约及有效利用募集资金的原则，为保证资金 使用的效率及效果，公司决定终止该项目建设。</w:t>
                        </w:r>
                      </w:p>
                      <w:p>
                        <w:pPr>
                          <w:pStyle w:val="TableParagraph"/>
                          <w:spacing w:line="316" w:lineRule="auto" w:before="59"/>
                          <w:ind w:left="17" w:right="25" w:firstLine="360"/>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、真空绝缘电气控制设备项目可行性发生重大变化的情况说明：由于该项目产品对主焊接设备精度要求很高，而且对主焊接设备与工装辅助</w:t>
                        </w:r>
                        <w:r>
                          <w:rPr>
                            <w:rFonts w:ascii="宋体" w:hAnsi="宋体" w:cs="宋体" w:eastAsia="宋体" w:hint="default"/>
                            <w:sz w:val="18"/>
                            <w:szCs w:val="18"/>
                          </w:rPr>
                          <w:t> 设备配合性能要求苛刻，这几年该工艺供应链发展较快，随着实体经济的萎缩，供应链产能明显过剩，为公司提供了低成本产品的供货平台，公 司决定主焊接工艺采取专业外协方式加工；同时公司不断提升设备使用效率，原有设备经过改造升级，可以分担该项目部分产能；公司内部不断 进行技术创新、工艺创新，原计划外购的工装设备都采取自制解决。随着客户集中招标越来越标准化，该项目产品面临其他低成本产品竞争越来</w:t>
                        </w:r>
                      </w:p>
                    </w:tc>
                  </w:tr>
                  <w:tr>
                    <w:trPr>
                      <w:trHeight w:val="706" w:hRule="exact"/>
                    </w:trPr>
                    <w:tc>
                      <w:tcPr>
                        <w:tcW w:w="2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 说明</w:t>
                        </w:r>
                      </w:p>
                    </w:tc>
                    <w:tc>
                      <w:tcPr>
                        <w:tcW w:w="11426" w:type="dxa"/>
                        <w:gridSpan w:val="10"/>
                        <w:vMerge/>
                        <w:tcBorders>
                          <w:left w:val="single" w:sz="9" w:space="0" w:color="D2D2D2"/>
                          <w:right w:val="single" w:sz="4" w:space="0" w:color="000000"/>
                        </w:tcBorders>
                      </w:tcPr>
                      <w:p>
                        <w:pPr/>
                      </w:p>
                    </w:tc>
                  </w:tr>
                  <w:tr>
                    <w:trPr>
                      <w:trHeight w:val="1565" w:hRule="exact"/>
                    </w:trPr>
                    <w:tc>
                      <w:tcPr>
                        <w:tcW w:w="2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6"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08"/>
        <w:jc w:val="right"/>
      </w:pPr>
      <w:r>
        <w:rPr/>
        <w:t>，</w:t>
      </w:r>
    </w:p>
    <w:p>
      <w:pPr>
        <w:spacing w:after="0" w:line="240" w:lineRule="auto"/>
        <w:jc w:val="right"/>
        <w:sectPr>
          <w:pgSz w:w="16840" w:h="11910" w:orient="landscape"/>
          <w:pgMar w:header="867" w:footer="1186" w:top="1060" w:bottom="1380" w:left="1300" w:right="1240"/>
        </w:sectPr>
      </w:pPr>
    </w:p>
    <w:p>
      <w:pPr>
        <w:spacing w:line="240" w:lineRule="auto" w:before="0"/>
        <w:rPr>
          <w:rFonts w:ascii="宋体" w:hAnsi="宋体" w:cs="宋体" w:eastAsia="宋体" w:hint="default"/>
          <w:sz w:val="20"/>
          <w:szCs w:val="20"/>
        </w:rPr>
      </w:pPr>
      <w:r>
        <w:rPr/>
        <w:pict>
          <v:shape style="position:absolute;margin-left:70.320pt;margin-top:55.200008pt;width:701.65pt;height:463.3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2"/>
                    <w:gridCol w:w="11426"/>
                  </w:tblGrid>
                  <w:tr>
                    <w:trPr>
                      <w:trHeight w:val="689" w:hRule="exact"/>
                    </w:trPr>
                    <w:tc>
                      <w:tcPr>
                        <w:tcW w:w="25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50"/>
                          <w:jc w:val="left"/>
                          <w:rPr>
                            <w:rFonts w:ascii="宋体" w:hAnsi="宋体" w:cs="宋体" w:eastAsia="宋体" w:hint="default"/>
                            <w:sz w:val="18"/>
                            <w:szCs w:val="18"/>
                          </w:rPr>
                        </w:pPr>
                        <w:r>
                          <w:rPr>
                            <w:rFonts w:ascii="宋体" w:hAnsi="宋体" w:cs="宋体" w:eastAsia="宋体" w:hint="default"/>
                            <w:sz w:val="18"/>
                            <w:szCs w:val="18"/>
                          </w:rPr>
                          <w:t>越激烈，毛利水平未来呈下降趋势，根据目前的市场需求，公司已经建成的生产规模完全能够满足现在及未来几年的市场需求。综合以上因素， 为控制投资风险，避免增加投资损失，更好地维护投资者利益，公司决定终止该项目建设。</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3" w:right="36"/>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firstLine="360"/>
                          <w:jc w:val="left"/>
                          <w:rPr>
                            <w:rFonts w:ascii="宋体" w:hAnsi="宋体" w:cs="宋体" w:eastAsia="宋体" w:hint="default"/>
                            <w:sz w:val="18"/>
                            <w:szCs w:val="18"/>
                          </w:rPr>
                        </w:pPr>
                        <w:r>
                          <w:rPr>
                            <w:rFonts w:ascii="宋体" w:hAnsi="宋体" w:cs="宋体" w:eastAsia="宋体" w:hint="default"/>
                            <w:sz w:val="18"/>
                            <w:szCs w:val="18"/>
                          </w:rPr>
                          <w:t>经立信大华会计师事务所出具的立信大华核字</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17</w:t>
                        </w:r>
                        <w:r>
                          <w:rPr>
                            <w:rFonts w:ascii="宋体" w:hAnsi="宋体" w:cs="宋体" w:eastAsia="宋体" w:hint="default"/>
                            <w:sz w:val="18"/>
                            <w:szCs w:val="18"/>
                          </w:rPr>
                          <w:t>6</w:t>
                        </w:r>
                        <w:r>
                          <w:rPr>
                            <w:rFonts w:ascii="宋体" w:hAnsi="宋体" w:cs="宋体" w:eastAsia="宋体" w:hint="default"/>
                            <w:spacing w:val="-62"/>
                            <w:sz w:val="18"/>
                            <w:szCs w:val="18"/>
                          </w:rPr>
                          <w:t> </w:t>
                        </w:r>
                        <w:r>
                          <w:rPr>
                            <w:rFonts w:ascii="宋体" w:hAnsi="宋体" w:cs="宋体" w:eastAsia="宋体" w:hint="default"/>
                            <w:spacing w:val="-92"/>
                            <w:sz w:val="18"/>
                            <w:szCs w:val="18"/>
                          </w:rPr>
                          <w:t>号</w:t>
                        </w:r>
                        <w:r>
                          <w:rPr>
                            <w:rFonts w:ascii="宋体" w:hAnsi="宋体" w:cs="宋体" w:eastAsia="宋体" w:hint="default"/>
                            <w:sz w:val="18"/>
                            <w:szCs w:val="18"/>
                          </w:rPr>
                          <w:t>《深圳市惠程电气股份有限公司自筹资金预先投入募集资金投资项目的鉴证报告</w:t>
                        </w:r>
                        <w:r>
                          <w:rPr>
                            <w:rFonts w:ascii="宋体" w:hAnsi="宋体" w:cs="宋体" w:eastAsia="宋体" w:hint="default"/>
                            <w:spacing w:val="-92"/>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保荐机构国海证券有限责任公司出</w:t>
                        </w:r>
                        <w:r>
                          <w:rPr>
                            <w:rFonts w:ascii="宋体" w:hAnsi="宋体" w:cs="宋体" w:eastAsia="宋体" w:hint="default"/>
                            <w:spacing w:val="-32"/>
                            <w:sz w:val="18"/>
                            <w:szCs w:val="18"/>
                          </w:rPr>
                          <w:t>具</w:t>
                        </w:r>
                        <w:r>
                          <w:rPr>
                            <w:rFonts w:ascii="宋体" w:hAnsi="宋体" w:cs="宋体" w:eastAsia="宋体" w:hint="default"/>
                            <w:sz w:val="18"/>
                            <w:szCs w:val="18"/>
                          </w:rPr>
                          <w:t>《关于深圳市惠程电气股份有限公司以募集资金置换预先已投入募集资金投资项目自筹资金的核查意见</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本</w:t>
                        </w:r>
                        <w:r>
                          <w:rPr>
                            <w:rFonts w:ascii="宋体" w:hAnsi="宋体" w:cs="宋体" w:eastAsia="宋体" w:hint="default"/>
                            <w:sz w:val="18"/>
                            <w:szCs w:val="18"/>
                          </w:rPr>
                          <w:t> 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日召</w:t>
                        </w:r>
                        <w:r>
                          <w:rPr>
                            <w:rFonts w:ascii="宋体" w:hAnsi="宋体" w:cs="宋体" w:eastAsia="宋体" w:hint="default"/>
                            <w:spacing w:val="-3"/>
                            <w:sz w:val="18"/>
                            <w:szCs w:val="18"/>
                          </w:rPr>
                          <w:t>开</w:t>
                        </w:r>
                        <w:r>
                          <w:rPr>
                            <w:rFonts w:ascii="宋体" w:hAnsi="宋体" w:cs="宋体" w:eastAsia="宋体" w:hint="default"/>
                            <w:sz w:val="18"/>
                            <w:szCs w:val="18"/>
                          </w:rPr>
                          <w:t>的第三届董事会第二十五次会议</w:t>
                        </w:r>
                        <w:r>
                          <w:rPr>
                            <w:rFonts w:ascii="宋体" w:hAnsi="宋体" w:cs="宋体" w:eastAsia="宋体" w:hint="default"/>
                            <w:spacing w:val="-77"/>
                            <w:sz w:val="18"/>
                            <w:szCs w:val="18"/>
                          </w:rPr>
                          <w:t>，</w:t>
                        </w:r>
                        <w:r>
                          <w:rPr>
                            <w:rFonts w:ascii="宋体" w:hAnsi="宋体" w:cs="宋体" w:eastAsia="宋体" w:hint="default"/>
                            <w:sz w:val="18"/>
                            <w:szCs w:val="18"/>
                          </w:rPr>
                          <w:t>审议通过</w:t>
                        </w:r>
                        <w:r>
                          <w:rPr>
                            <w:rFonts w:ascii="宋体" w:hAnsi="宋体" w:cs="宋体" w:eastAsia="宋体" w:hint="default"/>
                            <w:spacing w:val="-77"/>
                            <w:sz w:val="18"/>
                            <w:szCs w:val="18"/>
                          </w:rPr>
                          <w:t>了</w:t>
                        </w:r>
                        <w:r>
                          <w:rPr>
                            <w:rFonts w:ascii="宋体" w:hAnsi="宋体" w:cs="宋体" w:eastAsia="宋体" w:hint="default"/>
                            <w:sz w:val="18"/>
                            <w:szCs w:val="18"/>
                          </w:rPr>
                          <w:t>《关于用募集资金置换已预先投入募集资金投资项目自筹资金的议案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公司用募集资金置换预先已投入募集资金投资项目建设的自筹资金</w:t>
                        </w:r>
                        <w:r>
                          <w:rPr>
                            <w:rFonts w:ascii="宋体" w:hAnsi="宋体" w:cs="宋体" w:eastAsia="宋体" w:hint="default"/>
                            <w:spacing w:val="-45"/>
                            <w:sz w:val="18"/>
                            <w:szCs w:val="18"/>
                          </w:rPr>
                          <w:t> </w:t>
                        </w:r>
                        <w:r>
                          <w:rPr>
                            <w:rFonts w:ascii="宋体" w:hAnsi="宋体" w:cs="宋体" w:eastAsia="宋体" w:hint="default"/>
                            <w:sz w:val="18"/>
                            <w:szCs w:val="18"/>
                          </w:rPr>
                          <w:t>6,093.83</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01"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2"/>
                          <w:ind w:left="23" w:right="36"/>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68"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开的第三届董事会第二十三次会议，审议通过了《关于用部分闲置募集资金暂时补充流动资金的议案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，根据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该决议，公司将</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5"/>
                            <w:sz w:val="18"/>
                            <w:szCs w:val="18"/>
                          </w:rPr>
                          <w:t> </w:t>
                        </w:r>
                        <w:r>
                          <w:rPr>
                            <w:rFonts w:ascii="宋体" w:hAnsi="宋体" w:cs="宋体" w:eastAsia="宋体" w:hint="default"/>
                            <w:sz w:val="18"/>
                            <w:szCs w:val="18"/>
                          </w:rPr>
                          <w:t>万元的闲置募集资金暂时补充流动资金，使用期限不超过六个月。截止</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日，公司已按照承诺向募集资金专</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用账户归还补充流动资金的金额</w:t>
                        </w:r>
                        <w:r>
                          <w:rPr>
                            <w:rFonts w:ascii="宋体" w:hAnsi="宋体" w:cs="宋体" w:eastAsia="宋体" w:hint="default"/>
                            <w:spacing w:val="-45"/>
                            <w:sz w:val="18"/>
                            <w:szCs w:val="18"/>
                          </w:rPr>
                          <w:t> </w:t>
                        </w:r>
                        <w:r>
                          <w:rPr>
                            <w:rFonts w:ascii="宋体" w:hAnsi="宋体" w:cs="宋体" w:eastAsia="宋体" w:hint="default"/>
                            <w:sz w:val="18"/>
                            <w:szCs w:val="18"/>
                          </w:rPr>
                          <w:t>4,000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117"/>
                          <w:ind w:left="38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开的第三届董事会第二十七次会议</w:t>
                        </w:r>
                        <w:r>
                          <w:rPr>
                            <w:rFonts w:ascii="宋体" w:hAnsi="宋体" w:cs="宋体" w:eastAsia="宋体" w:hint="default"/>
                            <w:spacing w:val="-22"/>
                            <w:sz w:val="18"/>
                            <w:szCs w:val="18"/>
                          </w:rPr>
                          <w:t>，</w:t>
                        </w:r>
                        <w:r>
                          <w:rPr>
                            <w:rFonts w:ascii="宋体" w:hAnsi="宋体" w:cs="宋体" w:eastAsia="宋体" w:hint="default"/>
                            <w:sz w:val="18"/>
                            <w:szCs w:val="18"/>
                          </w:rPr>
                          <w:t>审议通过</w:t>
                        </w:r>
                        <w:r>
                          <w:rPr>
                            <w:rFonts w:ascii="宋体" w:hAnsi="宋体" w:cs="宋体" w:eastAsia="宋体" w:hint="default"/>
                            <w:spacing w:val="-22"/>
                            <w:sz w:val="18"/>
                            <w:szCs w:val="18"/>
                          </w:rPr>
                          <w:t>了</w:t>
                        </w:r>
                        <w:r>
                          <w:rPr>
                            <w:rFonts w:ascii="宋体" w:hAnsi="宋体" w:cs="宋体" w:eastAsia="宋体" w:hint="default"/>
                            <w:sz w:val="18"/>
                            <w:szCs w:val="18"/>
                          </w:rPr>
                          <w:t>《关于再次使用部分闲置募集资金暂时补充流动资金的议案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根据该决议，公司将</w:t>
                        </w:r>
                        <w:r>
                          <w:rPr>
                            <w:rFonts w:ascii="宋体" w:hAnsi="宋体" w:cs="宋体" w:eastAsia="宋体" w:hint="default"/>
                            <w:spacing w:val="-45"/>
                            <w:sz w:val="18"/>
                            <w:szCs w:val="18"/>
                          </w:rPr>
                          <w:t> </w:t>
                        </w:r>
                        <w:r>
                          <w:rPr>
                            <w:rFonts w:ascii="宋体" w:hAnsi="宋体" w:cs="宋体" w:eastAsia="宋体" w:hint="default"/>
                            <w:sz w:val="18"/>
                            <w:szCs w:val="18"/>
                          </w:rPr>
                          <w:t>4,000</w:t>
                        </w:r>
                        <w:r>
                          <w:rPr>
                            <w:rFonts w:ascii="宋体" w:hAnsi="宋体" w:cs="宋体" w:eastAsia="宋体" w:hint="default"/>
                            <w:spacing w:val="-44"/>
                            <w:sz w:val="18"/>
                            <w:szCs w:val="18"/>
                          </w:rPr>
                          <w:t> </w:t>
                        </w:r>
                        <w:r>
                          <w:rPr>
                            <w:rFonts w:ascii="宋体" w:hAnsi="宋体" w:cs="宋体" w:eastAsia="宋体" w:hint="default"/>
                            <w:sz w:val="18"/>
                            <w:szCs w:val="18"/>
                          </w:rPr>
                          <w:t>万元的闲置募集资金暂时补充流动资金，使用期限不超过六个月。截止</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2"/>
                            <w:sz w:val="18"/>
                            <w:szCs w:val="18"/>
                          </w:rPr>
                          <w:t> </w:t>
                        </w:r>
                        <w:r>
                          <w:rPr>
                            <w:rFonts w:ascii="宋体" w:hAnsi="宋体" w:cs="宋体" w:eastAsia="宋体" w:hint="default"/>
                            <w:sz w:val="18"/>
                            <w:szCs w:val="18"/>
                          </w:rPr>
                          <w:t>日，公司已按照承诺向募集</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资金专用账户归还补充流动资金的金额</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115"/>
                          <w:ind w:left="38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22"/>
                            <w:sz w:val="18"/>
                            <w:szCs w:val="18"/>
                          </w:rPr>
                          <w:t>、</w:t>
                        </w:r>
                        <w:r>
                          <w:rPr>
                            <w:rFonts w:ascii="宋体" w:hAnsi="宋体" w:cs="宋体" w:eastAsia="宋体" w:hint="default"/>
                            <w:sz w:val="18"/>
                            <w:szCs w:val="18"/>
                          </w:rPr>
                          <w:t>公司于</w:t>
                        </w:r>
                        <w:r>
                          <w:rPr>
                            <w:rFonts w:ascii="宋体" w:hAnsi="宋体" w:cs="宋体" w:eastAsia="宋体" w:hint="default"/>
                            <w:spacing w:val="1"/>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0</w:t>
                        </w:r>
                        <w:r>
                          <w:rPr>
                            <w:rFonts w:ascii="宋体" w:hAnsi="宋体" w:cs="宋体" w:eastAsia="宋体" w:hint="default"/>
                            <w:spacing w:val="-3"/>
                            <w:sz w:val="18"/>
                            <w:szCs w:val="18"/>
                          </w:rPr>
                          <w:t> </w:t>
                        </w:r>
                        <w:r>
                          <w:rPr>
                            <w:rFonts w:ascii="宋体" w:hAnsi="宋体" w:cs="宋体" w:eastAsia="宋体" w:hint="default"/>
                            <w:sz w:val="18"/>
                            <w:szCs w:val="18"/>
                          </w:rPr>
                          <w:t>日召开的第四届董事会第二次会议审议通</w:t>
                        </w:r>
                        <w:r>
                          <w:rPr>
                            <w:rFonts w:ascii="宋体" w:hAnsi="宋体" w:cs="宋体" w:eastAsia="宋体" w:hint="default"/>
                            <w:spacing w:val="-22"/>
                            <w:sz w:val="18"/>
                            <w:szCs w:val="18"/>
                          </w:rPr>
                          <w:t>过</w:t>
                        </w:r>
                        <w:r>
                          <w:rPr>
                            <w:rFonts w:ascii="宋体" w:hAnsi="宋体" w:cs="宋体" w:eastAsia="宋体" w:hint="default"/>
                            <w:sz w:val="18"/>
                            <w:szCs w:val="18"/>
                          </w:rPr>
                          <w:t>《关于继续使用部分闲置募集资金暂时补充流动资金的议案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根据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该议案</w:t>
                        </w:r>
                        <w:r>
                          <w:rPr>
                            <w:rFonts w:ascii="宋体" w:hAnsi="宋体" w:cs="宋体" w:eastAsia="宋体" w:hint="default"/>
                            <w:spacing w:val="-17"/>
                            <w:sz w:val="18"/>
                            <w:szCs w:val="18"/>
                          </w:rPr>
                          <w:t>，</w:t>
                        </w:r>
                        <w:r>
                          <w:rPr>
                            <w:rFonts w:ascii="宋体" w:hAnsi="宋体" w:cs="宋体" w:eastAsia="宋体" w:hint="default"/>
                            <w:sz w:val="18"/>
                            <w:szCs w:val="18"/>
                          </w:rPr>
                          <w:t>公司将</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 </w:t>
                        </w:r>
                        <w:r>
                          <w:rPr>
                            <w:rFonts w:ascii="宋体" w:hAnsi="宋体" w:cs="宋体" w:eastAsia="宋体" w:hint="default"/>
                            <w:sz w:val="18"/>
                            <w:szCs w:val="18"/>
                          </w:rPr>
                          <w:t>万元</w:t>
                        </w:r>
                        <w:r>
                          <w:rPr>
                            <w:rFonts w:ascii="宋体" w:hAnsi="宋体" w:cs="宋体" w:eastAsia="宋体" w:hint="default"/>
                            <w:spacing w:val="-3"/>
                            <w:sz w:val="18"/>
                            <w:szCs w:val="18"/>
                          </w:rPr>
                          <w:t>募</w:t>
                        </w:r>
                        <w:r>
                          <w:rPr>
                            <w:rFonts w:ascii="宋体" w:hAnsi="宋体" w:cs="宋体" w:eastAsia="宋体" w:hint="default"/>
                            <w:sz w:val="18"/>
                            <w:szCs w:val="18"/>
                          </w:rPr>
                          <w:t>集资金暂时用于补充流动资金</w:t>
                        </w:r>
                        <w:r>
                          <w:rPr>
                            <w:rFonts w:ascii="宋体" w:hAnsi="宋体" w:cs="宋体" w:eastAsia="宋体" w:hint="default"/>
                            <w:spacing w:val="-17"/>
                            <w:sz w:val="18"/>
                            <w:szCs w:val="18"/>
                          </w:rPr>
                          <w:t>，</w:t>
                        </w:r>
                        <w:r>
                          <w:rPr>
                            <w:rFonts w:ascii="宋体" w:hAnsi="宋体" w:cs="宋体" w:eastAsia="宋体" w:hint="default"/>
                            <w:sz w:val="18"/>
                            <w:szCs w:val="18"/>
                          </w:rPr>
                          <w:t>期限不超过</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2"/>
                            <w:sz w:val="18"/>
                            <w:szCs w:val="18"/>
                          </w:rPr>
                          <w:t> </w:t>
                        </w:r>
                        <w:r>
                          <w:rPr>
                            <w:rFonts w:ascii="宋体" w:hAnsi="宋体" w:cs="宋体" w:eastAsia="宋体" w:hint="default"/>
                            <w:sz w:val="18"/>
                            <w:szCs w:val="18"/>
                          </w:rPr>
                          <w:t>个</w:t>
                        </w:r>
                        <w:r>
                          <w:rPr>
                            <w:rFonts w:ascii="宋体" w:hAnsi="宋体" w:cs="宋体" w:eastAsia="宋体" w:hint="default"/>
                            <w:spacing w:val="-17"/>
                            <w:sz w:val="18"/>
                            <w:szCs w:val="18"/>
                          </w:rPr>
                          <w:t>月</w:t>
                        </w:r>
                        <w:r>
                          <w:rPr>
                            <w:rFonts w:ascii="宋体" w:hAnsi="宋体" w:cs="宋体" w:eastAsia="宋体" w:hint="default"/>
                            <w:sz w:val="18"/>
                            <w:szCs w:val="18"/>
                          </w:rPr>
                          <w:t>（以董</w:t>
                        </w:r>
                        <w:r>
                          <w:rPr>
                            <w:rFonts w:ascii="宋体" w:hAnsi="宋体" w:cs="宋体" w:eastAsia="宋体" w:hint="default"/>
                            <w:spacing w:val="-3"/>
                            <w:sz w:val="18"/>
                            <w:szCs w:val="18"/>
                          </w:rPr>
                          <w:t>事</w:t>
                        </w:r>
                        <w:r>
                          <w:rPr>
                            <w:rFonts w:ascii="宋体" w:hAnsi="宋体" w:cs="宋体" w:eastAsia="宋体" w:hint="default"/>
                            <w:sz w:val="18"/>
                            <w:szCs w:val="18"/>
                          </w:rPr>
                          <w:t>会会议批准次日起计至</w:t>
                        </w:r>
                        <w:r>
                          <w:rPr>
                            <w:rFonts w:ascii="宋体" w:hAnsi="宋体" w:cs="宋体" w:eastAsia="宋体" w:hint="default"/>
                            <w:spacing w:val="1"/>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0</w:t>
                        </w:r>
                        <w:r>
                          <w:rPr>
                            <w:rFonts w:ascii="宋体" w:hAnsi="宋体" w:cs="宋体" w:eastAsia="宋体" w:hint="default"/>
                            <w:spacing w:val="2"/>
                            <w:sz w:val="18"/>
                            <w:szCs w:val="18"/>
                          </w:rPr>
                          <w:t> </w:t>
                        </w:r>
                        <w:r>
                          <w:rPr>
                            <w:rFonts w:ascii="宋体" w:hAnsi="宋体" w:cs="宋体" w:eastAsia="宋体" w:hint="default"/>
                            <w:sz w:val="18"/>
                            <w:szCs w:val="18"/>
                          </w:rPr>
                          <w:t>日止</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2</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日，公司已按照承诺归还补充流动资金的金额</w:t>
                        </w:r>
                        <w:r>
                          <w:rPr>
                            <w:rFonts w:ascii="宋体" w:hAnsi="宋体" w:cs="宋体" w:eastAsia="宋体" w:hint="default"/>
                            <w:spacing w:val="-45"/>
                            <w:sz w:val="18"/>
                            <w:szCs w:val="18"/>
                          </w:rPr>
                          <w:t> </w:t>
                        </w:r>
                        <w:r>
                          <w:rPr>
                            <w:rFonts w:ascii="宋体" w:hAnsi="宋体" w:cs="宋体" w:eastAsia="宋体" w:hint="default"/>
                            <w:sz w:val="18"/>
                            <w:szCs w:val="18"/>
                          </w:rPr>
                          <w:t>4,000</w:t>
                        </w:r>
                        <w:r>
                          <w:rPr>
                            <w:rFonts w:ascii="宋体" w:hAnsi="宋体" w:cs="宋体" w:eastAsia="宋体" w:hint="default"/>
                            <w:spacing w:val="-44"/>
                            <w:sz w:val="18"/>
                            <w:szCs w:val="18"/>
                          </w:rPr>
                          <w:t> </w:t>
                        </w:r>
                        <w:r>
                          <w:rPr>
                            <w:rFonts w:ascii="宋体" w:hAnsi="宋体" w:cs="宋体" w:eastAsia="宋体" w:hint="default"/>
                            <w:sz w:val="18"/>
                            <w:szCs w:val="18"/>
                          </w:rPr>
                          <w:t>万元至募集资金专用账户。</w:t>
                        </w:r>
                      </w:p>
                      <w:p>
                        <w:pPr>
                          <w:pStyle w:val="TableParagraph"/>
                          <w:spacing w:line="240" w:lineRule="auto" w:before="117"/>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日召开的第四届董事会第五次会议审议通过《关于公司及间接控股公司使用部分闲置募集资金暂时补充流动资金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，并于</w:t>
                        </w:r>
                        <w:r>
                          <w:rPr>
                            <w:rFonts w:ascii="宋体" w:hAnsi="宋体" w:cs="宋体" w:eastAsia="宋体" w:hint="default"/>
                            <w:spacing w:val="-4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日经</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年第三次临时股东</w:t>
                        </w:r>
                        <w:r>
                          <w:rPr>
                            <w:rFonts w:ascii="宋体" w:hAnsi="宋体" w:cs="宋体" w:eastAsia="宋体" w:hint="default"/>
                            <w:spacing w:val="-3"/>
                            <w:sz w:val="18"/>
                            <w:szCs w:val="18"/>
                          </w:rPr>
                          <w:t>大</w:t>
                        </w:r>
                        <w:r>
                          <w:rPr>
                            <w:rFonts w:ascii="宋体" w:hAnsi="宋体" w:cs="宋体" w:eastAsia="宋体" w:hint="default"/>
                            <w:sz w:val="18"/>
                            <w:szCs w:val="18"/>
                          </w:rPr>
                          <w:t>会审议通过。根据该议案，公司将</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万非公开发行募</w:t>
                        </w:r>
                        <w:r>
                          <w:rPr>
                            <w:rFonts w:ascii="宋体" w:hAnsi="宋体" w:cs="宋体" w:eastAsia="宋体" w:hint="default"/>
                            <w:spacing w:val="-3"/>
                            <w:sz w:val="18"/>
                            <w:szCs w:val="18"/>
                          </w:rPr>
                          <w:t>集</w:t>
                        </w:r>
                        <w:r>
                          <w:rPr>
                            <w:rFonts w:ascii="宋体" w:hAnsi="宋体" w:cs="宋体" w:eastAsia="宋体" w:hint="default"/>
                            <w:sz w:val="18"/>
                            <w:szCs w:val="18"/>
                          </w:rPr>
                          <w:t>资金补充本公司流动资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金，将</w:t>
                        </w:r>
                        <w:r>
                          <w:rPr>
                            <w:rFonts w:ascii="宋体" w:hAnsi="宋体" w:cs="宋体" w:eastAsia="宋体" w:hint="default"/>
                            <w:spacing w:val="-49"/>
                            <w:sz w:val="18"/>
                            <w:szCs w:val="18"/>
                          </w:rPr>
                          <w:t> </w:t>
                        </w:r>
                        <w:r>
                          <w:rPr>
                            <w:rFonts w:ascii="宋体" w:hAnsi="宋体" w:cs="宋体" w:eastAsia="宋体" w:hint="default"/>
                            <w:sz w:val="18"/>
                            <w:szCs w:val="18"/>
                          </w:rPr>
                          <w:t>4,000</w:t>
                        </w:r>
                        <w:r>
                          <w:rPr>
                            <w:rFonts w:ascii="宋体" w:hAnsi="宋体" w:cs="宋体" w:eastAsia="宋体" w:hint="default"/>
                            <w:spacing w:val="-47"/>
                            <w:sz w:val="18"/>
                            <w:szCs w:val="18"/>
                          </w:rPr>
                          <w:t> </w:t>
                        </w:r>
                        <w:r>
                          <w:rPr>
                            <w:rFonts w:ascii="宋体" w:hAnsi="宋体" w:cs="宋体" w:eastAsia="宋体" w:hint="default"/>
                            <w:sz w:val="18"/>
                            <w:szCs w:val="18"/>
                          </w:rPr>
                          <w:t>万非公开发行募集资金补充本公司之子公司吉林高琦流动资金，期限均为</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个月。</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日，公司已按照承诺归还补充流动</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资金的金额</w:t>
                        </w:r>
                        <w:r>
                          <w:rPr>
                            <w:rFonts w:ascii="宋体" w:hAnsi="宋体" w:cs="宋体" w:eastAsia="宋体" w:hint="default"/>
                            <w:spacing w:val="-47"/>
                            <w:sz w:val="18"/>
                            <w:szCs w:val="18"/>
                          </w:rPr>
                          <w:t> </w:t>
                        </w: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万元至募集资金专用账户。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07"/>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0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08"/>
        <w:jc w:val="right"/>
      </w:pPr>
      <w:r>
        <w:rPr/>
        <w:t>，</w:t>
      </w:r>
    </w:p>
    <w:p>
      <w:pPr>
        <w:spacing w:after="0" w:line="240" w:lineRule="auto"/>
        <w:jc w:val="right"/>
        <w:sectPr>
          <w:pgSz w:w="16840" w:h="11910" w:orient="landscape"/>
          <w:pgMar w:header="867" w:footer="1186" w:top="1060" w:bottom="1380" w:left="1300" w:right="124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592"/>
        <w:gridCol w:w="11426"/>
      </w:tblGrid>
      <w:tr>
        <w:trPr>
          <w:trHeight w:val="2602" w:hRule="exact"/>
        </w:trPr>
        <w:tc>
          <w:tcPr>
            <w:tcW w:w="25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pacing w:val="-7"/>
                <w:sz w:val="18"/>
                <w:szCs w:val="18"/>
              </w:rPr>
              <w:t>5</w:t>
            </w:r>
            <w:r>
              <w:rPr>
                <w:rFonts w:ascii="宋体" w:hAnsi="宋体" w:cs="宋体" w:eastAsia="宋体" w:hint="default"/>
                <w:spacing w:val="-7"/>
                <w:sz w:val="18"/>
                <w:szCs w:val="18"/>
              </w:rPr>
              <w:t>、公司于</w:t>
            </w:r>
            <w:r>
              <w:rPr>
                <w:rFonts w:ascii="宋体" w:hAnsi="宋体" w:cs="宋体" w:eastAsia="宋体" w:hint="default"/>
                <w:spacing w:val="-53"/>
                <w:sz w:val="18"/>
                <w:szCs w:val="18"/>
              </w:rPr>
              <w:t> </w:t>
            </w: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13</w:t>
            </w:r>
            <w:r>
              <w:rPr>
                <w:rFonts w:ascii="宋体" w:hAnsi="宋体" w:cs="宋体" w:eastAsia="宋体" w:hint="default"/>
                <w:spacing w:val="-50"/>
                <w:sz w:val="18"/>
                <w:szCs w:val="18"/>
              </w:rPr>
              <w:t> </w:t>
            </w:r>
            <w:r>
              <w:rPr>
                <w:rFonts w:ascii="宋体" w:hAnsi="宋体" w:cs="宋体" w:eastAsia="宋体" w:hint="default"/>
                <w:sz w:val="18"/>
                <w:szCs w:val="18"/>
              </w:rPr>
              <w:t>日召开的第四届董事会第十次会议审议通过《关于公司及间接控股公司继续使用部分闲置募集资金暂时补充流动资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公司计划以</w:t>
            </w:r>
            <w:r>
              <w:rPr>
                <w:rFonts w:ascii="宋体" w:hAnsi="宋体" w:cs="宋体" w:eastAsia="宋体" w:hint="default"/>
                <w:spacing w:val="-44"/>
                <w:sz w:val="18"/>
                <w:szCs w:val="18"/>
              </w:rPr>
              <w:t> </w:t>
            </w:r>
            <w:r>
              <w:rPr>
                <w:rFonts w:ascii="宋体" w:hAnsi="宋体" w:cs="宋体" w:eastAsia="宋体" w:hint="default"/>
                <w:spacing w:val="1"/>
                <w:sz w:val="18"/>
                <w:szCs w:val="18"/>
              </w:rPr>
              <w:t>201</w:t>
            </w:r>
            <w:r>
              <w:rPr>
                <w:rFonts w:ascii="宋体" w:hAnsi="宋体" w:cs="宋体" w:eastAsia="宋体" w:hint="default"/>
                <w:sz w:val="18"/>
                <w:szCs w:val="18"/>
              </w:rPr>
              <w:t>0</w:t>
            </w:r>
            <w:r>
              <w:rPr>
                <w:rFonts w:ascii="宋体" w:hAnsi="宋体" w:cs="宋体" w:eastAsia="宋体" w:hint="default"/>
                <w:spacing w:val="-3"/>
                <w:sz w:val="18"/>
                <w:szCs w:val="18"/>
              </w:rPr>
              <w:t> </w:t>
            </w:r>
            <w:r>
              <w:rPr>
                <w:rFonts w:ascii="宋体" w:hAnsi="宋体" w:cs="宋体" w:eastAsia="宋体" w:hint="default"/>
                <w:sz w:val="18"/>
                <w:szCs w:val="18"/>
              </w:rPr>
              <w:t>年非公开发行募集资金补充深圳惠程流动资金</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10"/>
                <w:sz w:val="18"/>
                <w:szCs w:val="18"/>
              </w:rPr>
              <w:t>，</w:t>
            </w:r>
            <w:r>
              <w:rPr>
                <w:rFonts w:ascii="宋体" w:hAnsi="宋体" w:cs="宋体" w:eastAsia="宋体" w:hint="default"/>
                <w:sz w:val="18"/>
                <w:szCs w:val="18"/>
              </w:rPr>
              <w:t>补充吉林高琦聚酰亚胺材料有限公</w:t>
            </w:r>
            <w:r>
              <w:rPr>
                <w:rFonts w:ascii="宋体" w:hAnsi="宋体" w:cs="宋体" w:eastAsia="宋体" w:hint="default"/>
                <w:spacing w:val="-8"/>
                <w:sz w:val="18"/>
                <w:szCs w:val="18"/>
              </w:rPr>
              <w:t>司</w:t>
            </w:r>
            <w:r>
              <w:rPr>
                <w:rFonts w:ascii="宋体" w:hAnsi="宋体" w:cs="宋体" w:eastAsia="宋体" w:hint="default"/>
                <w:sz w:val="18"/>
                <w:szCs w:val="18"/>
              </w:rPr>
              <w:t>（以下简称“吉林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高琦”）流动资金</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万元，期限均为</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日，根据募集资金投资项目整体进展资金需求情况，公司已将补充流动资金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8"/>
                <w:sz w:val="18"/>
                <w:szCs w:val="18"/>
              </w:rPr>
              <w:t> </w:t>
            </w:r>
            <w:r>
              <w:rPr>
                <w:rFonts w:ascii="宋体" w:hAnsi="宋体" w:cs="宋体" w:eastAsia="宋体" w:hint="default"/>
                <w:sz w:val="18"/>
                <w:szCs w:val="18"/>
              </w:rPr>
              <w:t>万元人民币归还至公司募集资金专户</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并将上述募集资金的归还情况及时通知了保荐机构及保荐代表人。</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pacing w:val="-5"/>
                <w:sz w:val="18"/>
                <w:szCs w:val="18"/>
              </w:rPr>
              <w:t>日，子公司吉林高</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琦已将补充流动资金</w:t>
            </w:r>
            <w:r>
              <w:rPr>
                <w:rFonts w:ascii="宋体" w:hAnsi="宋体" w:cs="宋体" w:eastAsia="宋体" w:hint="default"/>
                <w:spacing w:val="-47"/>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万元人民币归还至募集资金专用账户，并将上述募集资金的归还情况及时通知了保荐机构及保荐代表人。</w:t>
            </w:r>
          </w:p>
          <w:p>
            <w:pPr>
              <w:pStyle w:val="TableParagraph"/>
              <w:spacing w:line="240" w:lineRule="auto" w:before="115"/>
              <w:ind w:left="383" w:right="0"/>
              <w:jc w:val="left"/>
              <w:rPr>
                <w:rFonts w:ascii="宋体" w:hAnsi="宋体" w:cs="宋体" w:eastAsia="宋体" w:hint="default"/>
                <w:sz w:val="18"/>
                <w:szCs w:val="18"/>
              </w:rPr>
            </w:pPr>
            <w:r>
              <w:rPr>
                <w:rFonts w:ascii="宋体" w:hAnsi="宋体" w:cs="宋体" w:eastAsia="宋体" w:hint="default"/>
                <w:spacing w:val="-7"/>
                <w:sz w:val="18"/>
                <w:szCs w:val="18"/>
              </w:rPr>
              <w:t>6</w:t>
            </w:r>
            <w:r>
              <w:rPr>
                <w:rFonts w:ascii="宋体" w:hAnsi="宋体" w:cs="宋体" w:eastAsia="宋体" w:hint="default"/>
                <w:spacing w:val="-7"/>
                <w:sz w:val="18"/>
                <w:szCs w:val="18"/>
              </w:rPr>
              <w:t>、公司于</w:t>
            </w:r>
            <w:r>
              <w:rPr>
                <w:rFonts w:ascii="宋体" w:hAnsi="宋体" w:cs="宋体" w:eastAsia="宋体" w:hint="default"/>
                <w:spacing w:val="-53"/>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29</w:t>
            </w:r>
            <w:r>
              <w:rPr>
                <w:rFonts w:ascii="宋体" w:hAnsi="宋体" w:cs="宋体" w:eastAsia="宋体" w:hint="default"/>
                <w:spacing w:val="-50"/>
                <w:sz w:val="18"/>
                <w:szCs w:val="18"/>
              </w:rPr>
              <w:t> </w:t>
            </w:r>
            <w:r>
              <w:rPr>
                <w:rFonts w:ascii="宋体" w:hAnsi="宋体" w:cs="宋体" w:eastAsia="宋体" w:hint="default"/>
                <w:sz w:val="18"/>
                <w:szCs w:val="18"/>
              </w:rPr>
              <w:t>日召开的第四届董事会第二十五次会议审议通过《关于间接控股公司使用部分闲置募集资金暂时补充流动资金的议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公司计划以</w:t>
            </w:r>
            <w:r>
              <w:rPr>
                <w:rFonts w:ascii="宋体" w:hAnsi="宋体" w:cs="宋体" w:eastAsia="宋体" w:hint="default"/>
                <w:spacing w:val="1"/>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2"/>
                <w:sz w:val="18"/>
                <w:szCs w:val="18"/>
              </w:rPr>
              <w:t> </w:t>
            </w:r>
            <w:r>
              <w:rPr>
                <w:rFonts w:ascii="宋体" w:hAnsi="宋体" w:cs="宋体" w:eastAsia="宋体" w:hint="default"/>
                <w:sz w:val="18"/>
                <w:szCs w:val="18"/>
              </w:rPr>
              <w:t>年非</w:t>
            </w:r>
            <w:r>
              <w:rPr>
                <w:rFonts w:ascii="宋体" w:hAnsi="宋体" w:cs="宋体" w:eastAsia="宋体" w:hint="default"/>
                <w:spacing w:val="-3"/>
                <w:sz w:val="18"/>
                <w:szCs w:val="18"/>
              </w:rPr>
              <w:t>公</w:t>
            </w:r>
            <w:r>
              <w:rPr>
                <w:rFonts w:ascii="宋体" w:hAnsi="宋体" w:cs="宋体" w:eastAsia="宋体" w:hint="default"/>
                <w:sz w:val="18"/>
                <w:szCs w:val="18"/>
              </w:rPr>
              <w:t>开发行募集资金补充吉林高琦流动资金</w:t>
            </w:r>
            <w:r>
              <w:rPr>
                <w:rFonts w:ascii="宋体" w:hAnsi="宋体" w:cs="宋体" w:eastAsia="宋体" w:hint="default"/>
                <w:spacing w:val="-45"/>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期限为</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个月</w:t>
            </w:r>
            <w:r>
              <w:rPr>
                <w:rFonts w:ascii="宋体" w:hAnsi="宋体" w:cs="宋体" w:eastAsia="宋体" w:hint="default"/>
                <w:spacing w:val="-7"/>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pacing w:val="-3"/>
                <w:sz w:val="18"/>
                <w:szCs w:val="18"/>
              </w:rPr>
              <w:t>吉</w:t>
            </w:r>
            <w:r>
              <w:rPr>
                <w:rFonts w:ascii="宋体" w:hAnsi="宋体" w:cs="宋体" w:eastAsia="宋体" w:hint="default"/>
                <w:sz w:val="18"/>
                <w:szCs w:val="18"/>
              </w:rPr>
              <w:t>林高琦已经将暂时补充</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流动资金的</w:t>
            </w:r>
            <w:r>
              <w:rPr>
                <w:rFonts w:ascii="宋体" w:hAnsi="宋体" w:cs="宋体" w:eastAsia="宋体" w:hint="default"/>
                <w:spacing w:val="-47"/>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万元人民币归还至募集资金专户。</w:t>
            </w:r>
          </w:p>
        </w:tc>
      </w:tr>
      <w:tr>
        <w:trPr>
          <w:trHeight w:val="401"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 额及原因</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8" w:firstLine="360"/>
              <w:jc w:val="left"/>
              <w:rPr>
                <w:rFonts w:ascii="宋体" w:hAnsi="宋体" w:cs="宋体" w:eastAsia="宋体" w:hint="default"/>
                <w:sz w:val="18"/>
                <w:szCs w:val="18"/>
              </w:rPr>
            </w:pPr>
            <w:r>
              <w:rPr>
                <w:rFonts w:ascii="宋体" w:hAnsi="宋体" w:cs="宋体" w:eastAsia="宋体" w:hint="default"/>
                <w:sz w:val="18"/>
                <w:szCs w:val="18"/>
              </w:rPr>
              <w:t>由于市场及相关募集资金项目的投资进度以及可行性发生重大变化等原因，公司决定终止“真空绝缘电气控制设备项目”和“新型高性能高 分子材料金属复合管母线及结构件项目”，上述两个项目节约的金额为</w:t>
            </w:r>
            <w:r>
              <w:rPr>
                <w:rFonts w:ascii="宋体" w:hAnsi="宋体" w:cs="宋体" w:eastAsia="宋体" w:hint="default"/>
                <w:spacing w:val="-49"/>
                <w:sz w:val="18"/>
                <w:szCs w:val="18"/>
              </w:rPr>
              <w:t> </w:t>
            </w:r>
            <w:r>
              <w:rPr>
                <w:rFonts w:ascii="宋体" w:hAnsi="宋体" w:cs="宋体" w:eastAsia="宋体" w:hint="default"/>
                <w:sz w:val="18"/>
                <w:szCs w:val="18"/>
              </w:rPr>
              <w:t>80,055,976.97</w:t>
            </w:r>
            <w:r>
              <w:rPr>
                <w:rFonts w:ascii="宋体" w:hAnsi="宋体" w:cs="宋体" w:eastAsia="宋体" w:hint="default"/>
                <w:spacing w:val="-48"/>
                <w:sz w:val="18"/>
                <w:szCs w:val="18"/>
              </w:rPr>
              <w:t> </w:t>
            </w:r>
            <w:r>
              <w:rPr>
                <w:rFonts w:ascii="宋体" w:hAnsi="宋体" w:cs="宋体" w:eastAsia="宋体" w:hint="default"/>
                <w:sz w:val="18"/>
                <w:szCs w:val="18"/>
              </w:rPr>
              <w:t>元（含募集资金账户利息收入及手续费支出净额</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2"/>
                <w:sz w:val="18"/>
                <w:szCs w:val="18"/>
              </w:rPr>
              <w:t>7</w:t>
            </w:r>
            <w:r>
              <w:rPr>
                <w:rFonts w:ascii="宋体" w:hAnsi="宋体" w:cs="宋体" w:eastAsia="宋体" w:hint="default"/>
                <w:spacing w:val="1"/>
                <w:sz w:val="18"/>
                <w:szCs w:val="18"/>
              </w:rPr>
              <w:t>4</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337"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日，尚未使用的非公开发行募集资金</w:t>
            </w:r>
            <w:r>
              <w:rPr>
                <w:rFonts w:ascii="宋体" w:hAnsi="宋体" w:cs="宋体" w:eastAsia="宋体" w:hint="default"/>
                <w:spacing w:val="-47"/>
                <w:sz w:val="18"/>
                <w:szCs w:val="18"/>
              </w:rPr>
              <w:t> </w:t>
            </w:r>
            <w:r>
              <w:rPr>
                <w:rFonts w:ascii="宋体" w:hAnsi="宋体" w:cs="宋体" w:eastAsia="宋体" w:hint="default"/>
                <w:sz w:val="18"/>
                <w:szCs w:val="18"/>
              </w:rPr>
              <w:t>30,075,657.66</w:t>
            </w:r>
            <w:r>
              <w:rPr>
                <w:rFonts w:ascii="宋体" w:hAnsi="宋体" w:cs="宋体" w:eastAsia="宋体" w:hint="default"/>
                <w:spacing w:val="-45"/>
                <w:sz w:val="18"/>
                <w:szCs w:val="18"/>
              </w:rPr>
              <w:t> </w:t>
            </w:r>
            <w:r>
              <w:rPr>
                <w:rFonts w:ascii="宋体" w:hAnsi="宋体" w:cs="宋体" w:eastAsia="宋体" w:hint="default"/>
                <w:sz w:val="18"/>
                <w:szCs w:val="18"/>
              </w:rPr>
              <w:t>元人民币，为“高性能耐热聚酰亚胺纤维产业化项目”承诺投资金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额余额。由于“高性能耐热聚酰亚胺纤维产业化项目”实施主体为长春高琦全资子公司吉林高琦，公司于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月期间将所持</w:t>
            </w:r>
          </w:p>
          <w:p>
            <w:pPr>
              <w:pStyle w:val="TableParagraph"/>
              <w:spacing w:line="319" w:lineRule="auto" w:before="76"/>
              <w:ind w:left="23" w:right="46"/>
              <w:jc w:val="left"/>
              <w:rPr>
                <w:rFonts w:ascii="宋体" w:hAnsi="宋体" w:cs="宋体" w:eastAsia="宋体" w:hint="default"/>
                <w:sz w:val="18"/>
                <w:szCs w:val="18"/>
              </w:rPr>
            </w:pPr>
            <w:r>
              <w:rPr>
                <w:rFonts w:ascii="宋体" w:hAnsi="宋体" w:cs="宋体" w:eastAsia="宋体" w:hint="default"/>
                <w:sz w:val="18"/>
                <w:szCs w:val="18"/>
              </w:rPr>
              <w:t>长春高琦全部股权转让给股东吕晓义先生，“高性能耐热聚酰亚胺纤维产业化项目”及该项目剩余募集资金</w:t>
            </w:r>
            <w:r>
              <w:rPr>
                <w:rFonts w:ascii="宋体" w:hAnsi="宋体" w:cs="宋体" w:eastAsia="宋体" w:hint="default"/>
                <w:spacing w:val="-48"/>
                <w:sz w:val="18"/>
                <w:szCs w:val="18"/>
              </w:rPr>
              <w:t> </w:t>
            </w:r>
            <w:r>
              <w:rPr>
                <w:rFonts w:ascii="宋体" w:hAnsi="宋体" w:cs="宋体" w:eastAsia="宋体" w:hint="default"/>
                <w:sz w:val="18"/>
                <w:szCs w:val="18"/>
              </w:rPr>
              <w:t>30,075,657.66</w:t>
            </w:r>
            <w:r>
              <w:rPr>
                <w:rFonts w:ascii="宋体" w:hAnsi="宋体" w:cs="宋体" w:eastAsia="宋体" w:hint="default"/>
                <w:spacing w:val="-46"/>
                <w:sz w:val="18"/>
                <w:szCs w:val="18"/>
              </w:rPr>
              <w:t> </w:t>
            </w:r>
            <w:r>
              <w:rPr>
                <w:rFonts w:ascii="宋体" w:hAnsi="宋体" w:cs="宋体" w:eastAsia="宋体" w:hint="default"/>
                <w:sz w:val="18"/>
                <w:szCs w:val="18"/>
              </w:rPr>
              <w:t>元随着股权转让实现 对外转让。截止本报告期末，公司非公开发行募集资金已全部使用完毕，无尚未使用的募集资金余额。</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140" w:right="147"/>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140" w:right="147"/>
        <w:jc w:val="left"/>
      </w:pPr>
      <w:r>
        <w:rPr/>
        <w:t>√ 适用 □</w:t>
      </w:r>
      <w:r>
        <w:rPr>
          <w:spacing w:val="3"/>
        </w:rPr>
        <w:t> </w:t>
      </w:r>
      <w:r>
        <w:rPr/>
        <w:t>不适用</w:t>
      </w:r>
    </w:p>
    <w:p>
      <w:pPr>
        <w:pStyle w:val="BodyText"/>
        <w:spacing w:line="240" w:lineRule="auto" w:before="115"/>
        <w:ind w:left="0" w:right="157"/>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404"/>
        <w:gridCol w:w="1404"/>
        <w:gridCol w:w="1402"/>
        <w:gridCol w:w="1404"/>
        <w:gridCol w:w="1400"/>
        <w:gridCol w:w="1399"/>
        <w:gridCol w:w="1402"/>
        <w:gridCol w:w="1400"/>
        <w:gridCol w:w="1402"/>
        <w:gridCol w:w="1401"/>
      </w:tblGrid>
      <w:tr>
        <w:trPr>
          <w:trHeight w:val="1028"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56"/>
              <w:jc w:val="right"/>
              <w:rPr>
                <w:rFonts w:ascii="宋体" w:hAnsi="宋体" w:cs="宋体" w:eastAsia="宋体" w:hint="default"/>
                <w:sz w:val="18"/>
                <w:szCs w:val="18"/>
              </w:rPr>
            </w:pPr>
            <w:r>
              <w:rPr>
                <w:rFonts w:ascii="宋体" w:hAnsi="宋体" w:cs="宋体" w:eastAsia="宋体" w:hint="default"/>
                <w:sz w:val="18"/>
                <w:szCs w:val="18"/>
              </w:rPr>
              <w:t>变更后的项目</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4" w:right="67" w:hanging="540"/>
              <w:jc w:val="left"/>
              <w:rPr>
                <w:rFonts w:ascii="宋体" w:hAnsi="宋体" w:cs="宋体" w:eastAsia="宋体" w:hint="default"/>
                <w:sz w:val="18"/>
                <w:szCs w:val="18"/>
              </w:rPr>
            </w:pPr>
            <w:r>
              <w:rPr>
                <w:rFonts w:ascii="宋体" w:hAnsi="宋体" w:cs="宋体" w:eastAsia="宋体" w:hint="default"/>
                <w:sz w:val="18"/>
                <w:szCs w:val="18"/>
              </w:rPr>
              <w:t>对应的原承诺项 目</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5"/>
              <w:jc w:val="center"/>
              <w:rPr>
                <w:rFonts w:ascii="宋体" w:hAnsi="宋体" w:cs="宋体" w:eastAsia="宋体" w:hint="default"/>
                <w:sz w:val="18"/>
                <w:szCs w:val="18"/>
              </w:rPr>
            </w:pPr>
            <w:r>
              <w:rPr>
                <w:rFonts w:ascii="宋体" w:hAnsi="宋体" w:cs="宋体" w:eastAsia="宋体" w:hint="default"/>
                <w:sz w:val="18"/>
                <w:szCs w:val="18"/>
              </w:rPr>
              <w:t>变更后项目拟投 入募集资金总额 </w:t>
            </w:r>
            <w:r>
              <w:rPr>
                <w:rFonts w:ascii="宋体" w:hAnsi="宋体" w:cs="宋体" w:eastAsia="宋体" w:hint="default"/>
                <w:sz w:val="18"/>
                <w:szCs w:val="18"/>
              </w:rPr>
              <w:t>(1)</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4" w:right="67" w:hanging="360"/>
              <w:jc w:val="left"/>
              <w:rPr>
                <w:rFonts w:ascii="宋体" w:hAnsi="宋体" w:cs="宋体" w:eastAsia="宋体" w:hint="default"/>
                <w:sz w:val="18"/>
                <w:szCs w:val="18"/>
              </w:rPr>
            </w:pPr>
            <w:r>
              <w:rPr>
                <w:rFonts w:ascii="宋体" w:hAnsi="宋体" w:cs="宋体" w:eastAsia="宋体" w:hint="default"/>
                <w:sz w:val="18"/>
                <w:szCs w:val="18"/>
              </w:rPr>
              <w:t>本报告期实际投 入金额</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65" w:hanging="46"/>
              <w:jc w:val="left"/>
              <w:rPr>
                <w:rFonts w:ascii="宋体" w:hAnsi="宋体" w:cs="宋体" w:eastAsia="宋体" w:hint="default"/>
                <w:sz w:val="18"/>
                <w:szCs w:val="18"/>
              </w:rPr>
            </w:pPr>
            <w:r>
              <w:rPr>
                <w:rFonts w:ascii="宋体" w:hAnsi="宋体" w:cs="宋体" w:eastAsia="宋体" w:hint="default"/>
                <w:sz w:val="18"/>
                <w:szCs w:val="18"/>
              </w:rPr>
              <w:t>截至期末实际累 计投入金额</w:t>
            </w:r>
            <w:r>
              <w:rPr>
                <w:rFonts w:ascii="宋体" w:hAnsi="宋体" w:cs="宋体" w:eastAsia="宋体" w:hint="default"/>
                <w:sz w:val="18"/>
                <w:szCs w:val="18"/>
              </w:rPr>
              <w:t>(2)</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62" w:hanging="46"/>
              <w:jc w:val="left"/>
              <w:rPr>
                <w:rFonts w:ascii="宋体" w:hAnsi="宋体" w:cs="宋体" w:eastAsia="宋体" w:hint="default"/>
                <w:sz w:val="18"/>
                <w:szCs w:val="18"/>
              </w:rPr>
            </w:pPr>
            <w:r>
              <w:rPr>
                <w:rFonts w:ascii="宋体" w:hAnsi="宋体" w:cs="宋体" w:eastAsia="宋体" w:hint="default"/>
                <w:sz w:val="18"/>
                <w:szCs w:val="18"/>
              </w:rPr>
              <w:t>截至期末投资进 度</w:t>
            </w:r>
            <w:r>
              <w:rPr>
                <w:rFonts w:ascii="宋体" w:hAnsi="宋体" w:cs="宋体" w:eastAsia="宋体" w:hint="default"/>
                <w:sz w:val="18"/>
                <w:szCs w:val="18"/>
              </w:rPr>
              <w:t>(3)=(2)/(1)</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5" w:right="65" w:hanging="92"/>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6" w:right="63" w:hanging="452"/>
              <w:jc w:val="left"/>
              <w:rPr>
                <w:rFonts w:ascii="宋体" w:hAnsi="宋体" w:cs="宋体" w:eastAsia="宋体" w:hint="default"/>
                <w:sz w:val="18"/>
                <w:szCs w:val="18"/>
              </w:rPr>
            </w:pPr>
            <w:r>
              <w:rPr>
                <w:rFonts w:ascii="宋体" w:hAnsi="宋体" w:cs="宋体" w:eastAsia="宋体" w:hint="default"/>
                <w:sz w:val="18"/>
                <w:szCs w:val="18"/>
              </w:rPr>
              <w:t>本报告期实现的 效益</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4" w:right="65" w:hanging="540"/>
              <w:jc w:val="left"/>
              <w:rPr>
                <w:rFonts w:ascii="宋体" w:hAnsi="宋体" w:cs="宋体" w:eastAsia="宋体" w:hint="default"/>
                <w:sz w:val="18"/>
                <w:szCs w:val="18"/>
              </w:rPr>
            </w:pPr>
            <w:r>
              <w:rPr>
                <w:rFonts w:ascii="宋体" w:hAnsi="宋体" w:cs="宋体" w:eastAsia="宋体" w:hint="default"/>
                <w:sz w:val="18"/>
                <w:szCs w:val="18"/>
              </w:rPr>
              <w:t>是否达到预计效 益</w:t>
            </w:r>
          </w:p>
        </w:tc>
        <w:tc>
          <w:tcPr>
            <w:tcW w:w="1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6"/>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8"/>
              <w:jc w:val="right"/>
              <w:rPr>
                <w:rFonts w:ascii="宋体" w:hAnsi="宋体" w:cs="宋体" w:eastAsia="宋体" w:hint="default"/>
                <w:sz w:val="18"/>
                <w:szCs w:val="18"/>
              </w:rPr>
            </w:pPr>
            <w:r>
              <w:rPr>
                <w:rFonts w:ascii="宋体" w:hAnsi="宋体" w:cs="宋体" w:eastAsia="宋体" w:hint="default"/>
                <w:sz w:val="18"/>
                <w:szCs w:val="18"/>
              </w:rPr>
              <w:t>高性能耐热聚酰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高性能耐热聚酰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6" w:right="0"/>
              <w:jc w:val="left"/>
              <w:rPr>
                <w:rFonts w:ascii="宋体" w:hAnsi="宋体" w:cs="宋体" w:eastAsia="宋体" w:hint="default"/>
                <w:sz w:val="18"/>
                <w:szCs w:val="18"/>
              </w:rPr>
            </w:pPr>
            <w:r>
              <w:rPr>
                <w:rFonts w:ascii="宋体"/>
                <w:sz w:val="18"/>
              </w:rPr>
              <w:t>33,140.83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9" w:right="0"/>
              <w:jc w:val="left"/>
              <w:rPr>
                <w:rFonts w:ascii="宋体" w:hAnsi="宋体" w:cs="宋体" w:eastAsia="宋体" w:hint="default"/>
                <w:sz w:val="18"/>
                <w:szCs w:val="18"/>
              </w:rPr>
            </w:pPr>
            <w:r>
              <w:rPr>
                <w:rFonts w:ascii="宋体"/>
                <w:sz w:val="18"/>
              </w:rPr>
              <w:t>16.53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4" w:right="0"/>
              <w:jc w:val="left"/>
              <w:rPr>
                <w:rFonts w:ascii="宋体" w:hAnsi="宋体" w:cs="宋体" w:eastAsia="宋体" w:hint="default"/>
                <w:sz w:val="18"/>
                <w:szCs w:val="18"/>
              </w:rPr>
            </w:pPr>
            <w:r>
              <w:rPr>
                <w:rFonts w:ascii="宋体"/>
                <w:sz w:val="18"/>
              </w:rPr>
              <w:t>30,453.78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8" w:right="0"/>
              <w:jc w:val="left"/>
              <w:rPr>
                <w:rFonts w:ascii="宋体" w:hAnsi="宋体" w:cs="宋体" w:eastAsia="宋体" w:hint="default"/>
                <w:sz w:val="18"/>
                <w:szCs w:val="18"/>
              </w:rPr>
            </w:pPr>
            <w:r>
              <w:rPr>
                <w:rFonts w:ascii="宋体"/>
                <w:sz w:val="18"/>
              </w:rPr>
              <w:t>91.89%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7" w:right="0"/>
              <w:jc w:val="left"/>
              <w:rPr>
                <w:rFonts w:ascii="宋体" w:hAnsi="宋体" w:cs="宋体" w:eastAsia="宋体" w:hint="default"/>
                <w:sz w:val="18"/>
                <w:szCs w:val="18"/>
              </w:rPr>
            </w:pPr>
            <w:r>
              <w:rPr>
                <w:rFonts w:ascii="宋体"/>
                <w:sz w:val="18"/>
              </w:rPr>
              <w:t>-646.15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04"/>
        <w:gridCol w:w="1404"/>
        <w:gridCol w:w="1402"/>
        <w:gridCol w:w="1404"/>
        <w:gridCol w:w="1400"/>
        <w:gridCol w:w="1399"/>
        <w:gridCol w:w="1402"/>
        <w:gridCol w:w="1400"/>
        <w:gridCol w:w="1402"/>
        <w:gridCol w:w="1402"/>
      </w:tblGrid>
      <w:tr>
        <w:trPr>
          <w:trHeight w:val="689" w:hRule="exact"/>
        </w:trPr>
        <w:tc>
          <w:tcPr>
            <w:tcW w:w="140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亚胺纤维产业化 项目</w:t>
            </w:r>
            <w:r>
              <w:rPr>
                <w:rFonts w:ascii="宋体" w:hAnsi="宋体" w:cs="宋体" w:eastAsia="宋体" w:hint="default"/>
                <w:sz w:val="18"/>
                <w:szCs w:val="18"/>
              </w:rPr>
              <w:t>*1</w:t>
            </w:r>
          </w:p>
        </w:tc>
        <w:tc>
          <w:tcPr>
            <w:tcW w:w="140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110"/>
              <w:jc w:val="left"/>
              <w:rPr>
                <w:rFonts w:ascii="宋体" w:hAnsi="宋体" w:cs="宋体" w:eastAsia="宋体" w:hint="default"/>
                <w:sz w:val="18"/>
                <w:szCs w:val="18"/>
              </w:rPr>
            </w:pPr>
            <w:r>
              <w:rPr>
                <w:rFonts w:ascii="宋体" w:hAnsi="宋体" w:cs="宋体" w:eastAsia="宋体" w:hint="default"/>
                <w:sz w:val="18"/>
                <w:szCs w:val="18"/>
              </w:rPr>
              <w:t>亚胺纤维产业化 项目</w:t>
            </w:r>
            <w:r>
              <w:rPr>
                <w:rFonts w:ascii="宋体" w:hAnsi="宋体" w:cs="宋体" w:eastAsia="宋体" w:hint="default"/>
                <w:sz w:val="18"/>
                <w:szCs w:val="18"/>
              </w:rPr>
              <w:t>*1</w:t>
            </w:r>
          </w:p>
        </w:tc>
        <w:tc>
          <w:tcPr>
            <w:tcW w:w="1402" w:type="dxa"/>
            <w:tcBorders>
              <w:top w:val="single" w:sz="15" w:space="0" w:color="000000"/>
              <w:left w:val="single" w:sz="4" w:space="0" w:color="000000"/>
              <w:bottom w:val="single" w:sz="4" w:space="0" w:color="000000"/>
              <w:right w:val="single" w:sz="4" w:space="0" w:color="000000"/>
            </w:tcBorders>
          </w:tcPr>
          <w:p>
            <w:pPr/>
          </w:p>
        </w:tc>
        <w:tc>
          <w:tcPr>
            <w:tcW w:w="1404" w:type="dxa"/>
            <w:tcBorders>
              <w:top w:val="single" w:sz="15" w:space="0" w:color="000000"/>
              <w:left w:val="single" w:sz="4" w:space="0" w:color="000000"/>
              <w:bottom w:val="single" w:sz="4" w:space="0" w:color="000000"/>
              <w:right w:val="single" w:sz="4" w:space="0" w:color="000000"/>
            </w:tcBorders>
          </w:tcPr>
          <w:p>
            <w:pPr/>
          </w:p>
        </w:tc>
        <w:tc>
          <w:tcPr>
            <w:tcW w:w="1400" w:type="dxa"/>
            <w:tcBorders>
              <w:top w:val="single" w:sz="15" w:space="0" w:color="000000"/>
              <w:left w:val="single" w:sz="4" w:space="0" w:color="000000"/>
              <w:bottom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14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00" w:type="dxa"/>
            <w:tcBorders>
              <w:top w:val="single" w:sz="15" w:space="0" w:color="000000"/>
              <w:left w:val="single" w:sz="4" w:space="0" w:color="000000"/>
              <w:bottom w:val="single" w:sz="4" w:space="0" w:color="000000"/>
              <w:right w:val="single" w:sz="4" w:space="0" w:color="000000"/>
            </w:tcBorders>
          </w:tcPr>
          <w:p>
            <w:pPr/>
          </w:p>
        </w:tc>
        <w:tc>
          <w:tcPr>
            <w:tcW w:w="1402" w:type="dxa"/>
            <w:tcBorders>
              <w:top w:val="single" w:sz="15" w:space="0" w:color="000000"/>
              <w:left w:val="single" w:sz="4" w:space="0" w:color="000000"/>
              <w:bottom w:val="single" w:sz="4" w:space="0" w:color="000000"/>
              <w:right w:val="single" w:sz="4" w:space="0" w:color="000000"/>
            </w:tcBorders>
          </w:tcPr>
          <w:p>
            <w:pPr/>
          </w:p>
        </w:tc>
        <w:tc>
          <w:tcPr>
            <w:tcW w:w="1402"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6" w:right="0"/>
              <w:jc w:val="left"/>
              <w:rPr>
                <w:rFonts w:ascii="宋体" w:hAnsi="宋体" w:cs="宋体" w:eastAsia="宋体" w:hint="default"/>
                <w:sz w:val="18"/>
                <w:szCs w:val="18"/>
              </w:rPr>
            </w:pPr>
            <w:r>
              <w:rPr>
                <w:rFonts w:ascii="宋体"/>
                <w:sz w:val="18"/>
              </w:rPr>
              <w:t>33,140.83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9" w:right="0"/>
              <w:jc w:val="left"/>
              <w:rPr>
                <w:rFonts w:ascii="宋体" w:hAnsi="宋体" w:cs="宋体" w:eastAsia="宋体" w:hint="default"/>
                <w:sz w:val="18"/>
                <w:szCs w:val="18"/>
              </w:rPr>
            </w:pPr>
            <w:r>
              <w:rPr>
                <w:rFonts w:ascii="宋体"/>
                <w:sz w:val="18"/>
              </w:rPr>
              <w:t>16.53</w:t>
            </w:r>
          </w:p>
        </w:tc>
        <w:tc>
          <w:tcPr>
            <w:tcW w:w="14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554" w:right="0"/>
              <w:jc w:val="left"/>
              <w:rPr>
                <w:rFonts w:ascii="宋体" w:hAnsi="宋体" w:cs="宋体" w:eastAsia="宋体" w:hint="default"/>
                <w:sz w:val="18"/>
                <w:szCs w:val="18"/>
              </w:rPr>
            </w:pPr>
            <w:r>
              <w:rPr>
                <w:rFonts w:ascii="宋体"/>
                <w:sz w:val="18"/>
              </w:rPr>
              <w:t>30,453.78</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7" w:right="0"/>
              <w:jc w:val="left"/>
              <w:rPr>
                <w:rFonts w:ascii="宋体" w:hAnsi="宋体" w:cs="宋体" w:eastAsia="宋体" w:hint="default"/>
                <w:sz w:val="18"/>
                <w:szCs w:val="18"/>
              </w:rPr>
            </w:pPr>
            <w:r>
              <w:rPr>
                <w:rFonts w:ascii="宋体"/>
                <w:sz w:val="18"/>
              </w:rPr>
              <w:t>-646.15</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r>
      <w:tr>
        <w:trPr>
          <w:trHeight w:val="2273" w:hRule="exact"/>
        </w:trPr>
        <w:tc>
          <w:tcPr>
            <w:tcW w:w="42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3"/>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r>
              <w:rPr>
                <w:rFonts w:ascii="宋体" w:hAnsi="宋体" w:cs="宋体" w:eastAsia="宋体" w:hint="default"/>
                <w:sz w:val="18"/>
                <w:szCs w:val="18"/>
              </w:rPr>
              <w:t>(</w:t>
            </w:r>
            <w:r>
              <w:rPr>
                <w:rFonts w:ascii="宋体" w:hAnsi="宋体" w:cs="宋体" w:eastAsia="宋体" w:hint="default"/>
                <w:sz w:val="18"/>
                <w:szCs w:val="18"/>
              </w:rPr>
              <w:t>分具体项 目</w:t>
            </w:r>
            <w:r>
              <w:rPr>
                <w:rFonts w:ascii="宋体" w:hAnsi="宋体" w:cs="宋体" w:eastAsia="宋体" w:hint="default"/>
                <w:sz w:val="18"/>
                <w:szCs w:val="18"/>
              </w:rPr>
              <w:t>)</w:t>
            </w:r>
          </w:p>
        </w:tc>
        <w:tc>
          <w:tcPr>
            <w:tcW w:w="980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由于“高性能耐热聚酰亚胺纤维产业化项目”实施主体为长春高琦全资子公司吉林高琦，公司于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 期间将所持长春高琦全部股权转让给股东吕晓义先生，“高性能耐热聚酰亚胺纤维产业化项目”及该项目剩余募集资金 </w:t>
            </w:r>
            <w:r>
              <w:rPr>
                <w:rFonts w:ascii="宋体" w:hAnsi="宋体" w:cs="宋体" w:eastAsia="宋体" w:hint="default"/>
                <w:spacing w:val="-1"/>
                <w:sz w:val="18"/>
                <w:szCs w:val="18"/>
              </w:rPr>
              <w:t>30,075,657.66</w:t>
            </w:r>
            <w:r>
              <w:rPr>
                <w:rFonts w:ascii="宋体" w:hAnsi="宋体" w:cs="宋体" w:eastAsia="宋体" w:hint="default"/>
                <w:spacing w:val="-43"/>
                <w:sz w:val="18"/>
                <w:szCs w:val="18"/>
              </w:rPr>
              <w:t> </w:t>
            </w:r>
            <w:r>
              <w:rPr>
                <w:rFonts w:ascii="宋体" w:hAnsi="宋体" w:cs="宋体" w:eastAsia="宋体" w:hint="default"/>
                <w:spacing w:val="-4"/>
                <w:sz w:val="18"/>
                <w:szCs w:val="18"/>
              </w:rPr>
              <w:t>元随着股权转让实现对外转让。前述股权转让事项分别经</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5"/>
                <w:sz w:val="18"/>
                <w:szCs w:val="18"/>
              </w:rPr>
              <w:t>日第四届董事会第二十三次会议、</w:t>
            </w:r>
            <w:r>
              <w:rPr>
                <w:rFonts w:ascii="宋体" w:hAnsi="宋体" w:cs="宋体" w:eastAsia="宋体" w:hint="default"/>
                <w:spacing w:val="-5"/>
                <w:sz w:val="18"/>
                <w:szCs w:val="18"/>
              </w:rPr>
              <w:t>2014</w:t>
            </w:r>
            <w:r>
              <w:rPr>
                <w:rFonts w:ascii="宋体" w:hAnsi="宋体" w:cs="宋体" w:eastAsia="宋体" w:hint="default"/>
                <w:sz w:val="18"/>
                <w:szCs w:val="18"/>
              </w:rPr>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年年度股东大会、</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日第五届董事会第二次会议、</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年第七次临时股</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东大会、</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日第五届董事会第九次会议、</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年第三次临时股东大会审议通过，详情请见公</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司刊登于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8"/>
                <w:sz w:val="18"/>
                <w:szCs w:val="18"/>
              </w:rPr>
              <w:t> </w:t>
            </w:r>
            <w:r>
              <w:rPr>
                <w:rFonts w:ascii="宋体" w:hAnsi="宋体" w:cs="宋体" w:eastAsia="宋体" w:hint="default"/>
                <w:sz w:val="18"/>
                <w:szCs w:val="18"/>
              </w:rPr>
              <w:t>日巨潮资讯网（</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）上的相关公告。</w:t>
            </w:r>
          </w:p>
        </w:tc>
      </w:tr>
      <w:tr>
        <w:trPr>
          <w:trHeight w:val="715" w:hRule="exact"/>
        </w:trPr>
        <w:tc>
          <w:tcPr>
            <w:tcW w:w="42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r>
              <w:rPr>
                <w:rFonts w:ascii="宋体" w:hAnsi="宋体" w:cs="宋体" w:eastAsia="宋体" w:hint="default"/>
                <w:sz w:val="18"/>
                <w:szCs w:val="18"/>
              </w:rPr>
              <w:t>(</w:t>
            </w:r>
            <w:r>
              <w:rPr>
                <w:rFonts w:ascii="宋体" w:hAnsi="宋体" w:cs="宋体" w:eastAsia="宋体" w:hint="default"/>
                <w:sz w:val="18"/>
                <w:szCs w:val="18"/>
              </w:rPr>
              <w:t>分具体项 目</w:t>
            </w:r>
            <w:r>
              <w:rPr>
                <w:rFonts w:ascii="宋体" w:hAnsi="宋体" w:cs="宋体" w:eastAsia="宋体" w:hint="default"/>
                <w:sz w:val="18"/>
                <w:szCs w:val="18"/>
              </w:rPr>
              <w:t>)</w:t>
            </w:r>
          </w:p>
        </w:tc>
        <w:tc>
          <w:tcPr>
            <w:tcW w:w="98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2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98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left="140" w:right="147"/>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47"/>
        <w:jc w:val="left"/>
        <w:rPr>
          <w:b w:val="0"/>
          <w:bCs w:val="0"/>
        </w:rPr>
      </w:pPr>
      <w:r>
        <w:rPr>
          <w:rFonts w:ascii="宋体" w:hAnsi="宋体" w:cs="宋体" w:eastAsia="宋体" w:hint="default"/>
        </w:rPr>
        <w:t>1</w:t>
      </w:r>
      <w:r>
        <w:rPr/>
        <w:t>、出售重大资产情况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140" w:right="11758"/>
        <w:jc w:val="left"/>
      </w:pPr>
      <w:r>
        <w:rPr/>
        <w:t>□ 适用 √</w:t>
      </w:r>
      <w:r>
        <w:rPr>
          <w:spacing w:val="3"/>
        </w:rPr>
        <w:t> </w:t>
      </w:r>
      <w:r>
        <w:rPr/>
        <w:t>不适用</w:t>
      </w:r>
      <w:r>
        <w:rPr/>
        <w:t> 公司报告期未出售重大资产。</w:t>
      </w:r>
    </w:p>
    <w:p>
      <w:pPr>
        <w:spacing w:after="0" w:line="357" w:lineRule="auto"/>
        <w:jc w:val="left"/>
        <w:sectPr>
          <w:pgSz w:w="16840" w:h="11910" w:orient="landscape"/>
          <w:pgMar w:header="867" w:footer="1186" w:top="1060" w:bottom="138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47"/>
        <w:jc w:val="left"/>
        <w:rPr>
          <w:b w:val="0"/>
          <w:bCs w:val="0"/>
        </w:rPr>
      </w:pPr>
      <w:r>
        <w:rPr>
          <w:rFonts w:ascii="宋体" w:hAnsi="宋体" w:cs="宋体" w:eastAsia="宋体" w:hint="default"/>
        </w:rPr>
        <w:t>2</w:t>
      </w:r>
      <w:r>
        <w:rPr/>
        <w:t>、出售重大股权情况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40" w:right="147"/>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37"/>
        <w:gridCol w:w="852"/>
        <w:gridCol w:w="850"/>
        <w:gridCol w:w="866"/>
        <w:gridCol w:w="1340"/>
        <w:gridCol w:w="778"/>
        <w:gridCol w:w="1078"/>
        <w:gridCol w:w="929"/>
        <w:gridCol w:w="682"/>
        <w:gridCol w:w="852"/>
        <w:gridCol w:w="847"/>
        <w:gridCol w:w="994"/>
        <w:gridCol w:w="1267"/>
        <w:gridCol w:w="1947"/>
      </w:tblGrid>
      <w:tr>
        <w:trPr>
          <w:trHeight w:val="227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74" w:right="9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31" w:right="59" w:hanging="269"/>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 w:right="32"/>
              <w:jc w:val="center"/>
              <w:rPr>
                <w:rFonts w:ascii="宋体" w:hAnsi="宋体" w:cs="宋体" w:eastAsia="宋体" w:hint="default"/>
                <w:sz w:val="18"/>
                <w:szCs w:val="18"/>
              </w:rPr>
            </w:pPr>
            <w:r>
              <w:rPr>
                <w:rFonts w:ascii="宋体" w:hAnsi="宋体" w:cs="宋体" w:eastAsia="宋体" w:hint="default"/>
                <w:sz w:val="18"/>
                <w:szCs w:val="18"/>
              </w:rPr>
              <w:t>本期初起至出售 日该股权为上市 公司贡献的净利 润（万元）</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3"/>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8" w:right="99"/>
              <w:jc w:val="left"/>
              <w:rPr>
                <w:rFonts w:ascii="宋体" w:hAnsi="宋体" w:cs="宋体" w:eastAsia="宋体" w:hint="default"/>
                <w:sz w:val="18"/>
                <w:szCs w:val="18"/>
              </w:rPr>
            </w:pPr>
            <w:r>
              <w:rPr>
                <w:rFonts w:ascii="宋体" w:hAnsi="宋体" w:cs="宋体" w:eastAsia="宋体" w:hint="default"/>
                <w:sz w:val="18"/>
                <w:szCs w:val="18"/>
              </w:rPr>
              <w:t>股权出售 定价原则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4"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60"/>
              <w:jc w:val="center"/>
              <w:rPr>
                <w:rFonts w:ascii="宋体" w:hAnsi="宋体" w:cs="宋体" w:eastAsia="宋体" w:hint="default"/>
                <w:sz w:val="18"/>
                <w:szCs w:val="18"/>
              </w:rPr>
            </w:pPr>
            <w:r>
              <w:rPr>
                <w:rFonts w:ascii="宋体" w:hAnsi="宋体" w:cs="宋体" w:eastAsia="宋体" w:hint="default"/>
                <w:sz w:val="18"/>
                <w:szCs w:val="18"/>
              </w:rPr>
              <w:t>与交易对 方的关联 关系</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7" w:right="59"/>
              <w:jc w:val="center"/>
              <w:rPr>
                <w:rFonts w:ascii="宋体" w:hAnsi="宋体" w:cs="宋体" w:eastAsia="宋体" w:hint="default"/>
                <w:sz w:val="18"/>
                <w:szCs w:val="18"/>
              </w:rPr>
            </w:pPr>
            <w:r>
              <w:rPr>
                <w:rFonts w:ascii="宋体" w:hAnsi="宋体" w:cs="宋体" w:eastAsia="宋体" w:hint="default"/>
                <w:sz w:val="18"/>
                <w:szCs w:val="18"/>
              </w:rPr>
              <w:t>所涉及的 股权是否 已全部过 户</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6"/>
              <w:jc w:val="left"/>
              <w:rPr>
                <w:rFonts w:ascii="宋体" w:hAnsi="宋体" w:cs="宋体" w:eastAsia="宋体" w:hint="default"/>
                <w:sz w:val="18"/>
                <w:szCs w:val="18"/>
              </w:rPr>
            </w:pPr>
            <w:r>
              <w:rPr>
                <w:rFonts w:ascii="宋体" w:hAnsi="宋体" w:cs="宋体" w:eastAsia="宋体" w:hint="default"/>
                <w:sz w:val="18"/>
                <w:szCs w:val="18"/>
              </w:rPr>
              <w:t>长春高琦 </w:t>
            </w:r>
            <w:r>
              <w:rPr>
                <w:rFonts w:ascii="宋体" w:hAnsi="宋体" w:cs="宋体" w:eastAsia="宋体" w:hint="default"/>
                <w:sz w:val="18"/>
                <w:szCs w:val="18"/>
              </w:rPr>
              <w:t>18%</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4" w:right="0"/>
              <w:jc w:val="center"/>
              <w:rPr>
                <w:rFonts w:ascii="宋体" w:hAnsi="宋体" w:cs="宋体" w:eastAsia="宋体" w:hint="default"/>
                <w:sz w:val="18"/>
                <w:szCs w:val="18"/>
              </w:rPr>
            </w:pPr>
            <w:r>
              <w:rPr>
                <w:rFonts w:ascii="宋体"/>
                <w:sz w:val="18"/>
              </w:rPr>
              <w:t>7,835.02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1,074.98</w:t>
            </w:r>
            <w:r>
              <w:rPr>
                <w:rFonts w:ascii="宋体"/>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1,074.98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8.38%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19"/>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pacing w:val="-23"/>
                <w:sz w:val="18"/>
                <w:szCs w:val="18"/>
              </w:rPr>
              <w:t>上的《关联交易公告》（公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告编号：</w:t>
            </w:r>
            <w:r>
              <w:rPr>
                <w:rFonts w:ascii="宋体" w:hAnsi="宋体" w:cs="宋体" w:eastAsia="宋体" w:hint="default"/>
                <w:sz w:val="18"/>
                <w:szCs w:val="18"/>
              </w:rPr>
              <w:t>2015-041</w:t>
            </w:r>
            <w:r>
              <w:rPr>
                <w:rFonts w:ascii="宋体" w:hAnsi="宋体" w:cs="宋体" w:eastAsia="宋体" w:hint="default"/>
                <w:sz w:val="18"/>
                <w:szCs w:val="18"/>
              </w:rPr>
              <w:t>）</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6"/>
              <w:jc w:val="left"/>
              <w:rPr>
                <w:rFonts w:ascii="宋体" w:hAnsi="宋体" w:cs="宋体" w:eastAsia="宋体" w:hint="default"/>
                <w:sz w:val="18"/>
                <w:szCs w:val="18"/>
              </w:rPr>
            </w:pPr>
            <w:r>
              <w:rPr>
                <w:rFonts w:ascii="宋体" w:hAnsi="宋体" w:cs="宋体" w:eastAsia="宋体" w:hint="default"/>
                <w:sz w:val="18"/>
                <w:szCs w:val="18"/>
              </w:rPr>
              <w:t>长春高琦 </w:t>
            </w:r>
            <w:r>
              <w:rPr>
                <w:rFonts w:ascii="宋体" w:hAnsi="宋体" w:cs="宋体" w:eastAsia="宋体" w:hint="default"/>
                <w:sz w:val="18"/>
                <w:szCs w:val="18"/>
              </w:rPr>
              <w:t>33%</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15,781.31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3,850.03</w:t>
            </w:r>
            <w:r>
              <w:rPr>
                <w:rFonts w:ascii="宋体"/>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3,850.03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1"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pacing w:val="-9"/>
                <w:sz w:val="18"/>
                <w:szCs w:val="18"/>
              </w:rPr>
              <w:t>上的《关于转让长春高琦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聚酰亚胺材料有限公司 部分股权暨关联交易公 </w:t>
            </w:r>
            <w:r>
              <w:rPr>
                <w:rFonts w:ascii="宋体" w:hAnsi="宋体" w:cs="宋体" w:eastAsia="宋体" w:hint="default"/>
                <w:spacing w:val="-12"/>
                <w:sz w:val="18"/>
                <w:szCs w:val="18"/>
              </w:rPr>
              <w:t>告》（公告编号：</w:t>
            </w:r>
          </w:p>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2014-112</w:t>
            </w:r>
            <w:r>
              <w:rPr>
                <w:rFonts w:ascii="宋体" w:hAnsi="宋体" w:cs="宋体" w:eastAsia="宋体" w:hint="default"/>
                <w:sz w:val="18"/>
                <w:szCs w:val="18"/>
              </w:rPr>
              <w:t>）</w:t>
            </w:r>
          </w:p>
        </w:tc>
      </w:tr>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江西先材 </w:t>
            </w:r>
            <w:r>
              <w:rPr>
                <w:rFonts w:ascii="宋体" w:hAnsi="宋体" w:cs="宋体" w:eastAsia="宋体" w:hint="default"/>
                <w:sz w:val="18"/>
                <w:szCs w:val="18"/>
              </w:rPr>
              <w:t>26.4%</w:t>
            </w:r>
            <w:r>
              <w:rPr>
                <w:rFonts w:ascii="宋体" w:hAnsi="宋体" w:cs="宋体" w:eastAsia="宋体" w:hint="default"/>
                <w:sz w:val="18"/>
                <w:szCs w:val="18"/>
              </w:rPr>
              <w:t>股</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4" w:right="0"/>
              <w:jc w:val="center"/>
              <w:rPr>
                <w:rFonts w:ascii="宋体" w:hAnsi="宋体" w:cs="宋体" w:eastAsia="宋体" w:hint="default"/>
                <w:sz w:val="18"/>
                <w:szCs w:val="18"/>
              </w:rPr>
            </w:pPr>
            <w:r>
              <w:rPr>
                <w:rFonts w:ascii="宋体"/>
                <w:sz w:val="18"/>
              </w:rPr>
              <w:t>2,328.48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587.17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587.17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1"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pacing w:val="-9"/>
                <w:sz w:val="18"/>
                <w:szCs w:val="18"/>
              </w:rPr>
              <w:t>上的《关于转让江西先材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纳米纤维科技有限公司 所持全部股权暨关联交 </w:t>
            </w:r>
            <w:r>
              <w:rPr>
                <w:rFonts w:ascii="宋体" w:hAnsi="宋体" w:cs="宋体" w:eastAsia="宋体" w:hint="default"/>
                <w:spacing w:val="-10"/>
                <w:sz w:val="18"/>
                <w:szCs w:val="18"/>
              </w:rPr>
              <w:t>易公告》（公告编号：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2014-113</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37"/>
        <w:gridCol w:w="852"/>
        <w:gridCol w:w="850"/>
        <w:gridCol w:w="866"/>
        <w:gridCol w:w="1340"/>
        <w:gridCol w:w="778"/>
        <w:gridCol w:w="1078"/>
        <w:gridCol w:w="929"/>
        <w:gridCol w:w="682"/>
        <w:gridCol w:w="852"/>
        <w:gridCol w:w="847"/>
        <w:gridCol w:w="994"/>
        <w:gridCol w:w="1267"/>
        <w:gridCol w:w="1947"/>
      </w:tblGrid>
      <w:tr>
        <w:trPr>
          <w:trHeight w:val="2290" w:hRule="exact"/>
        </w:trPr>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江西先材 </w:t>
            </w:r>
            <w:r>
              <w:rPr>
                <w:rFonts w:ascii="宋体" w:hAnsi="宋体" w:cs="宋体" w:eastAsia="宋体" w:hint="default"/>
                <w:sz w:val="18"/>
                <w:szCs w:val="18"/>
              </w:rPr>
              <w:t>26.4%</w:t>
            </w:r>
            <w:r>
              <w:rPr>
                <w:rFonts w:ascii="宋体" w:hAnsi="宋体" w:cs="宋体" w:eastAsia="宋体" w:hint="default"/>
                <w:sz w:val="18"/>
                <w:szCs w:val="18"/>
              </w:rPr>
              <w:t>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sz w:val="18"/>
              </w:rPr>
              <w:t>2,328.48</w:t>
            </w:r>
          </w:p>
        </w:tc>
        <w:tc>
          <w:tcPr>
            <w:tcW w:w="13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68" w:right="0"/>
              <w:jc w:val="left"/>
              <w:rPr>
                <w:rFonts w:ascii="宋体" w:hAnsi="宋体" w:cs="宋体" w:eastAsia="宋体" w:hint="default"/>
                <w:sz w:val="18"/>
                <w:szCs w:val="18"/>
              </w:rPr>
            </w:pPr>
            <w:r>
              <w:rPr>
                <w:rFonts w:ascii="宋体"/>
                <w:sz w:val="18"/>
              </w:rPr>
              <w:t>587.17</w:t>
            </w:r>
          </w:p>
        </w:tc>
        <w:tc>
          <w:tcPr>
            <w:tcW w:w="7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587.17</w:t>
            </w:r>
          </w:p>
        </w:tc>
        <w:tc>
          <w:tcPr>
            <w:tcW w:w="10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92" w:right="0"/>
              <w:jc w:val="left"/>
              <w:rPr>
                <w:rFonts w:ascii="宋体" w:hAnsi="宋体" w:cs="宋体" w:eastAsia="宋体" w:hint="default"/>
                <w:sz w:val="18"/>
                <w:szCs w:val="18"/>
              </w:rPr>
            </w:pPr>
            <w:r>
              <w:rPr>
                <w:rFonts w:ascii="宋体"/>
                <w:sz w:val="18"/>
              </w:rPr>
              <w:t>4.58%</w:t>
            </w:r>
          </w:p>
        </w:tc>
        <w:tc>
          <w:tcPr>
            <w:tcW w:w="9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6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pacing w:val="-9"/>
                <w:sz w:val="18"/>
                <w:szCs w:val="18"/>
              </w:rPr>
              <w:t>上的《关于转让江西先材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纳米纤维科技有限公司 所持全部股权暨关联交 </w:t>
            </w:r>
            <w:r>
              <w:rPr>
                <w:rFonts w:ascii="宋体" w:hAnsi="宋体" w:cs="宋体" w:eastAsia="宋体" w:hint="default"/>
                <w:spacing w:val="-10"/>
                <w:sz w:val="18"/>
                <w:szCs w:val="18"/>
              </w:rPr>
              <w:t>易公告》（公告编号：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2014-113</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140" w:right="147"/>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1186" w:top="1060" w:bottom="1380" w:left="1300" w:right="1280"/>
        </w:sectPr>
      </w:pPr>
    </w:p>
    <w:p>
      <w:pPr>
        <w:pStyle w:val="BodyText"/>
        <w:spacing w:line="240" w:lineRule="auto" w:before="44"/>
        <w:ind w:left="140" w:right="-19"/>
        <w:jc w:val="left"/>
      </w:pPr>
      <w:r>
        <w:rPr/>
        <w:t>√ 适用 □</w:t>
      </w:r>
      <w:r>
        <w:rPr>
          <w:spacing w:val="3"/>
        </w:rPr>
        <w:t> </w:t>
      </w:r>
      <w:r>
        <w:rPr/>
        <w:t>不适用</w:t>
      </w:r>
    </w:p>
    <w:p>
      <w:pPr>
        <w:pStyle w:val="BodyText"/>
        <w:spacing w:line="240" w:lineRule="auto" w:before="115"/>
        <w:ind w:left="140" w:right="-19"/>
        <w:jc w:val="left"/>
      </w:pPr>
      <w:r>
        <w:rPr/>
        <w:t>主要子公司及对公司净利润影响达</w:t>
      </w:r>
      <w:r>
        <w:rPr>
          <w:spacing w:val="-44"/>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pict>
          <v:shape style="position:absolute;margin-left:315.02002pt;margin-top:57.907715pt;width:153.7pt;height:70.25pt;mso-position-horizontal-relative:page;mso-position-vertical-relative:paragraph;z-index:-1060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电力自动化产品、</w:t>
                  </w:r>
                </w:p>
              </w:txbxContent>
            </v:textbox>
            <w10:wrap type="none"/>
          </v:shape>
        </w:pict>
      </w:r>
      <w:r>
        <w:rPr/>
        <w:t>单位：元</w:t>
      </w:r>
    </w:p>
    <w:p>
      <w:pPr>
        <w:spacing w:after="0" w:line="240" w:lineRule="auto"/>
        <w:jc w:val="left"/>
        <w:sectPr>
          <w:type w:val="continuous"/>
          <w:pgSz w:w="16840" w:h="11910" w:orient="landscape"/>
          <w:pgMar w:top="1060" w:bottom="1380" w:left="1300" w:right="1280"/>
          <w:cols w:num="2" w:equalWidth="0">
            <w:col w:w="4778" w:space="8463"/>
            <w:col w:w="1019"/>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81"/>
        <w:gridCol w:w="847"/>
        <w:gridCol w:w="4537"/>
        <w:gridCol w:w="1702"/>
        <w:gridCol w:w="1380"/>
        <w:gridCol w:w="1316"/>
        <w:gridCol w:w="852"/>
        <w:gridCol w:w="1277"/>
        <w:gridCol w:w="1227"/>
      </w:tblGrid>
      <w:tr>
        <w:trPr>
          <w:trHeight w:val="401"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电力设备及相关配件产品的销售，提供技术支持服务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HKD10,000.00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33,415.88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-897,157.39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218,640.28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218,640.28</w:t>
            </w:r>
          </w:p>
        </w:tc>
      </w:tr>
      <w:tr>
        <w:trPr>
          <w:trHeight w:val="3210"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硅橡胶电力绝缘产品的研发生产；电缆分支箱、环网柜、 电力电缆附件等高分子绝缘制品及相关材料、高低压电 </w:t>
            </w:r>
            <w:r>
              <w:rPr>
                <w:rFonts w:ascii="宋体" w:hAnsi="宋体" w:cs="宋体" w:eastAsia="宋体" w:hint="default"/>
                <w:spacing w:val="-4"/>
                <w:sz w:val="18"/>
                <w:szCs w:val="18"/>
              </w:rPr>
              <w:t>器、高低压成套开关设备、箱式变电站、</w:t>
            </w:r>
            <w:r>
              <w:rPr>
                <w:rFonts w:ascii="宋体" w:hAnsi="宋体" w:cs="宋体" w:eastAsia="宋体" w:hint="default"/>
                <w:sz w:val="18"/>
                <w:szCs w:val="18"/>
              </w:rPr>
              <w:t> 跌落式熔断器、柱上开关、柱上断路器、管母线等相关电 </w:t>
            </w:r>
            <w:r>
              <w:rPr>
                <w:rFonts w:ascii="宋体" w:hAnsi="宋体" w:cs="宋体" w:eastAsia="宋体" w:hint="default"/>
                <w:spacing w:val="-1"/>
                <w:sz w:val="18"/>
                <w:szCs w:val="18"/>
              </w:rPr>
              <w:t>力配网设备的生产、销售及施工服务；股权投资；资产管</w:t>
            </w:r>
            <w:r>
              <w:rPr>
                <w:rFonts w:ascii="宋体" w:hAnsi="宋体" w:cs="宋体" w:eastAsia="宋体" w:hint="default"/>
                <w:sz w:val="18"/>
                <w:szCs w:val="18"/>
              </w:rPr>
              <w:t> 理；投资咨询；物业投资、物业经营、物业管理；电工器 材的购销；经营进出口业务；自有产品的售后服务；超级 电容器、高能电容、电池储能组件、电动车及工具用动力 电容、光伏太阳能路灯组件、</w:t>
            </w:r>
            <w:r>
              <w:rPr>
                <w:rFonts w:ascii="宋体" w:hAnsi="宋体" w:cs="宋体" w:eastAsia="宋体" w:hint="default"/>
                <w:sz w:val="18"/>
                <w:szCs w:val="18"/>
              </w:rPr>
              <w:t>UPS</w:t>
            </w:r>
            <w:r>
              <w:rPr>
                <w:rFonts w:ascii="宋体" w:hAnsi="宋体" w:cs="宋体" w:eastAsia="宋体" w:hint="default"/>
                <w:spacing w:val="-44"/>
                <w:sz w:val="18"/>
                <w:szCs w:val="18"/>
              </w:rPr>
              <w:t> </w:t>
            </w:r>
            <w:r>
              <w:rPr>
                <w:rFonts w:ascii="宋体" w:hAnsi="宋体" w:cs="宋体" w:eastAsia="宋体" w:hint="default"/>
                <w:sz w:val="18"/>
                <w:szCs w:val="18"/>
              </w:rPr>
              <w:t>用中继电容及材料的研 发、购销；信息咨询。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04" w:lineRule="exact"/>
              <w:ind w:right="-51"/>
              <w:jc w:val="left"/>
              <w:rPr>
                <w:rFonts w:ascii="宋体" w:hAnsi="宋体" w:cs="宋体" w:eastAsia="宋体" w:hint="default"/>
                <w:sz w:val="20"/>
                <w:szCs w:val="20"/>
              </w:rPr>
            </w:pPr>
            <w:r>
              <w:rPr>
                <w:rFonts w:ascii="宋体" w:hAnsi="宋体" w:cs="宋体" w:eastAsia="宋体" w:hint="default"/>
                <w:position w:val="-27"/>
                <w:sz w:val="20"/>
                <w:szCs w:val="20"/>
              </w:rPr>
              <w:pict>
                <v:group style="width:84.65pt;height:70.25pt;mso-position-horizontal-relative:char;mso-position-vertical-relative:line" coordorigin="0,0" coordsize="1693,1405">
                  <v:group style="position:absolute;left:0;top:0;width:1693;height:1405" coordorigin="0,0" coordsize="1693,1405">
                    <v:shape style="position:absolute;left:0;top:0;width:1693;height:1405" coordorigin="0,0" coordsize="1693,1405" path="m0,1404l1692,1404,1692,0,0,0,0,140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1,060,849.84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416,345.30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-1,379,941.08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-1,379,941.08</w:t>
            </w:r>
          </w:p>
        </w:tc>
      </w:tr>
      <w:tr>
        <w:trPr>
          <w:trHeight w:val="715"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北京中汇 联银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
                <w:sz w:val="18"/>
                <w:szCs w:val="18"/>
              </w:rPr>
              <w:t>投资管理；项目投资；资产管理；投资咨询；经济贸易咨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565,577,041.13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199,728,101.43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94,210.44</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-280,330.15</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38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81"/>
        <w:gridCol w:w="847"/>
        <w:gridCol w:w="4537"/>
        <w:gridCol w:w="1702"/>
        <w:gridCol w:w="1380"/>
        <w:gridCol w:w="1316"/>
        <w:gridCol w:w="852"/>
        <w:gridCol w:w="1277"/>
        <w:gridCol w:w="1227"/>
      </w:tblGrid>
      <w:tr>
        <w:trPr>
          <w:trHeight w:val="1354" w:hRule="exact"/>
        </w:trPr>
        <w:tc>
          <w:tcPr>
            <w:tcW w:w="8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5"/>
              <w:jc w:val="left"/>
              <w:rPr>
                <w:rFonts w:ascii="宋体" w:hAnsi="宋体" w:cs="宋体" w:eastAsia="宋体" w:hint="default"/>
                <w:sz w:val="18"/>
                <w:szCs w:val="18"/>
              </w:rPr>
            </w:pPr>
            <w:r>
              <w:rPr>
                <w:rFonts w:ascii="宋体" w:hAnsi="宋体" w:cs="宋体" w:eastAsia="宋体" w:hint="default"/>
                <w:sz w:val="18"/>
                <w:szCs w:val="18"/>
              </w:rPr>
              <w:t>喀什中汇 联银</w:t>
            </w:r>
          </w:p>
        </w:tc>
        <w:tc>
          <w:tcPr>
            <w:tcW w:w="8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53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
                <w:sz w:val="18"/>
                <w:szCs w:val="18"/>
              </w:rPr>
              <w:t>创业投资业务；代理其他创业投资企业等机构或个人的创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业投资业务；创业投资咨询业务；为创业企业提供创业管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理服务业务；参与设立创业投资企业与企业投资管理顾问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机构</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30,000,000.00</w:t>
            </w:r>
          </w:p>
        </w:tc>
        <w:tc>
          <w:tcPr>
            <w:tcW w:w="1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343,978,028.17</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93,544,198.09</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74,757,880.17</w:t>
            </w:r>
          </w:p>
        </w:tc>
        <w:tc>
          <w:tcPr>
            <w:tcW w:w="12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63,544,198.09</w:t>
            </w:r>
          </w:p>
        </w:tc>
      </w:tr>
      <w:tr>
        <w:trPr>
          <w:trHeight w:val="71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投资管理；项目投资；资产管理；投资咨询；经济贸易咨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询；出租商业用房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42,088,146.45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29,569,146.45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-430,853.55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-430,853.55</w:t>
            </w:r>
          </w:p>
        </w:tc>
      </w:tr>
      <w:tr>
        <w:trPr>
          <w:trHeight w:val="71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投资管理；项目投资；资产管理；投资咨询；经济贸易咨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询；出租商业用房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42,088,387.89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29,569,387.89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-430,612.11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-430,612.11</w:t>
            </w:r>
          </w:p>
        </w:tc>
      </w:tr>
    </w:tbl>
    <w:p>
      <w:pPr>
        <w:pStyle w:val="BodyText"/>
        <w:spacing w:line="240" w:lineRule="auto" w:before="49"/>
        <w:ind w:left="140" w:right="147"/>
        <w:jc w:val="left"/>
      </w:pPr>
      <w:r>
        <w:rPr/>
        <w:t>报告期内取得和处置子公司的情况</w:t>
      </w:r>
    </w:p>
    <w:p>
      <w:pPr>
        <w:pStyle w:val="BodyText"/>
        <w:spacing w:line="240" w:lineRule="auto" w:before="115"/>
        <w:ind w:left="140" w:right="147"/>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671"/>
        <w:gridCol w:w="4673"/>
        <w:gridCol w:w="4674"/>
      </w:tblGrid>
      <w:tr>
        <w:trPr>
          <w:trHeight w:val="403" w:hRule="exact"/>
        </w:trPr>
        <w:tc>
          <w:tcPr>
            <w:tcW w:w="4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63,544,198.09</w:t>
            </w:r>
          </w:p>
        </w:tc>
      </w:tr>
      <w:tr>
        <w:trPr>
          <w:trHeight w:val="403"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-430,853.55</w:t>
            </w:r>
          </w:p>
        </w:tc>
      </w:tr>
      <w:tr>
        <w:trPr>
          <w:trHeight w:val="401"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-430,612.11</w:t>
            </w:r>
          </w:p>
        </w:tc>
      </w:tr>
      <w:tr>
        <w:trPr>
          <w:trHeight w:val="404"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49,250,072.83</w:t>
            </w:r>
          </w:p>
        </w:tc>
      </w:tr>
      <w:tr>
        <w:trPr>
          <w:trHeight w:val="401"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11,743,489.98</w:t>
            </w:r>
          </w:p>
        </w:tc>
      </w:tr>
      <w:tr>
        <w:trPr>
          <w:trHeight w:val="403"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随长春高琦股权转让而处置</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含在长春高琦数据中</w:t>
            </w:r>
          </w:p>
        </w:tc>
      </w:tr>
      <w:tr>
        <w:trPr>
          <w:trHeight w:val="401"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随长春高琦股权转让而处置</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含在长春高琦数据中</w:t>
            </w:r>
          </w:p>
        </w:tc>
      </w:tr>
      <w:tr>
        <w:trPr>
          <w:trHeight w:val="403"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随长春高琦股权转让而处置</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含在长春高琦数据中</w:t>
            </w:r>
          </w:p>
        </w:tc>
      </w:tr>
    </w:tbl>
    <w:p>
      <w:pPr>
        <w:pStyle w:val="BodyText"/>
        <w:spacing w:line="357" w:lineRule="auto" w:before="49"/>
        <w:ind w:left="500" w:right="147" w:hanging="361"/>
        <w:jc w:val="left"/>
      </w:pPr>
      <w:r>
        <w:rPr/>
        <w:t>主要控股参股公司情况说明 </w:t>
      </w:r>
      <w:r>
        <w:rPr>
          <w:rFonts w:ascii="宋体" w:hAnsi="宋体" w:cs="宋体" w:eastAsia="宋体" w:hint="default"/>
          <w:spacing w:val="-2"/>
        </w:rPr>
        <w:t>1</w:t>
      </w:r>
      <w:r>
        <w:rPr>
          <w:spacing w:val="-2"/>
        </w:rPr>
        <w:t>、喀什中汇联银情况说明：公司于</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8</w:t>
      </w:r>
      <w:r>
        <w:rPr>
          <w:spacing w:val="-2"/>
        </w:rPr>
        <w:t>日在新疆喀什地区设立全资子公司喀什中汇联银，注册资本为</w:t>
      </w:r>
      <w:r>
        <w:rPr>
          <w:rFonts w:ascii="宋体" w:hAnsi="宋体" w:cs="宋体" w:eastAsia="宋体" w:hint="default"/>
          <w:spacing w:val="-2"/>
        </w:rPr>
        <w:t>3,000</w:t>
      </w:r>
      <w:r>
        <w:rPr>
          <w:spacing w:val="-2"/>
        </w:rPr>
        <w:t>万元。喀什中汇联银系报告期内公司变更经营范围、确立了</w:t>
      </w:r>
    </w:p>
    <w:p>
      <w:pPr>
        <w:pStyle w:val="BodyText"/>
        <w:spacing w:line="224" w:lineRule="exact"/>
        <w:ind w:left="140" w:right="147"/>
        <w:jc w:val="left"/>
      </w:pPr>
      <w:r>
        <w:rPr/>
        <w:t>电气业务、投资业务双主业发展方向后设立的专门投资平台。</w:t>
      </w:r>
    </w:p>
    <w:p>
      <w:pPr>
        <w:pStyle w:val="BodyText"/>
        <w:spacing w:line="316" w:lineRule="auto" w:before="117"/>
        <w:ind w:left="140" w:right="147" w:firstLine="360"/>
        <w:jc w:val="left"/>
      </w:pPr>
      <w:r>
        <w:rPr>
          <w:rFonts w:ascii="宋体" w:hAnsi="宋体" w:cs="宋体" w:eastAsia="宋体" w:hint="default"/>
          <w:spacing w:val="-2"/>
        </w:rPr>
        <w:t>2</w:t>
      </w:r>
      <w:r>
        <w:rPr>
          <w:spacing w:val="-2"/>
        </w:rPr>
        <w:t>、中行置盛、中融建银情况说明：公司全资子公司北京中汇联银于</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14</w:t>
      </w:r>
      <w:r>
        <w:rPr>
          <w:spacing w:val="-2"/>
        </w:rPr>
        <w:t>日、</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15</w:t>
      </w:r>
      <w:r>
        <w:rPr>
          <w:spacing w:val="-2"/>
        </w:rPr>
        <w:t>日在北京设立全资子公司中行置盛、中融建银，注册资本均为</w:t>
      </w:r>
      <w:r>
        <w:rPr>
          <w:rFonts w:ascii="宋体" w:hAnsi="宋体" w:cs="宋体" w:eastAsia="宋体" w:hint="default"/>
          <w:spacing w:val="-2"/>
        </w:rPr>
        <w:t>3,000</w:t>
      </w:r>
      <w:r>
        <w:rPr>
          <w:spacing w:val="-2"/>
        </w:rPr>
        <w:t>万元。中</w:t>
      </w:r>
      <w:r>
        <w:rPr/>
        <w:t> 行置盛、中融建银系报告期内公司变更经营范围、确立了电气业务、投资业务双主业发展方向后在专门投资平台北京中汇联银下面设立的投资公司。</w:t>
      </w:r>
    </w:p>
    <w:p>
      <w:pPr>
        <w:pStyle w:val="BodyText"/>
        <w:spacing w:line="240" w:lineRule="auto" w:before="57"/>
        <w:ind w:left="500" w:right="147"/>
        <w:jc w:val="left"/>
      </w:pPr>
      <w:r>
        <w:rPr>
          <w:rFonts w:ascii="宋体" w:hAnsi="宋体" w:cs="宋体" w:eastAsia="宋体" w:hint="default"/>
        </w:rPr>
        <w:t>3</w:t>
      </w:r>
      <w:r>
        <w:rPr/>
        <w:t>、惠程智能：原名“深圳市惠程高能能源科技有限公司”，原简称“惠程高能”，</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17</w:t>
      </w:r>
      <w:r>
        <w:rPr/>
        <w:t>日变更名称为“深圳市惠程智能电力设备有限公司”。</w:t>
      </w:r>
    </w:p>
    <w:p>
      <w:pPr>
        <w:spacing w:after="0" w:line="240" w:lineRule="auto"/>
        <w:jc w:val="left"/>
        <w:sectPr>
          <w:pgSz w:w="16840" w:h="11910" w:orient="landscape"/>
          <w:pgMar w:header="867" w:footer="1186" w:top="1060" w:bottom="138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5748"/>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5748"/>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5748"/>
        <w:jc w:val="left"/>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spacing w:line="316" w:lineRule="auto" w:before="0"/>
        <w:ind w:left="573" w:right="94" w:hanging="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、公司所处行业格局和趋势</w:t>
      </w:r>
      <w:r>
        <w:rPr>
          <w:rFonts w:ascii="宋体" w:hAnsi="宋体" w:cs="宋体" w:eastAsia="宋体" w:hint="default"/>
          <w:b/>
          <w:bCs/>
          <w:w w:val="99"/>
          <w:sz w:val="18"/>
          <w:szCs w:val="18"/>
        </w:rPr>
        <w:t> </w:t>
      </w:r>
      <w:r>
        <w:rPr>
          <w:rFonts w:ascii="宋体" w:hAnsi="宋体" w:cs="宋体" w:eastAsia="宋体" w:hint="default"/>
          <w:b/>
          <w:bCs/>
          <w:sz w:val="18"/>
          <w:szCs w:val="18"/>
        </w:rPr>
        <w:t>电气业务：</w:t>
      </w:r>
      <w:r>
        <w:rPr>
          <w:rFonts w:ascii="宋体" w:hAnsi="宋体" w:cs="宋体" w:eastAsia="宋体" w:hint="default"/>
          <w:sz w:val="18"/>
          <w:szCs w:val="18"/>
        </w:rPr>
        <w:t>近</w:t>
      </w:r>
      <w:r>
        <w:rPr>
          <w:rFonts w:ascii="宋体" w:hAnsi="宋体" w:cs="宋体" w:eastAsia="宋体" w:hint="default"/>
          <w:sz w:val="18"/>
          <w:szCs w:val="18"/>
        </w:rPr>
        <w:t>10</w:t>
      </w:r>
      <w:r>
        <w:rPr>
          <w:rFonts w:ascii="宋体" w:hAnsi="宋体" w:cs="宋体" w:eastAsia="宋体" w:hint="default"/>
          <w:sz w:val="18"/>
          <w:szCs w:val="18"/>
        </w:rPr>
        <w:t>年来，我国电气行业保持了</w:t>
      </w:r>
      <w:r>
        <w:rPr>
          <w:rFonts w:ascii="宋体" w:hAnsi="宋体" w:cs="宋体" w:eastAsia="宋体" w:hint="default"/>
          <w:sz w:val="18"/>
          <w:szCs w:val="18"/>
        </w:rPr>
        <w:t>10</w:t>
      </w:r>
      <w:r>
        <w:rPr>
          <w:rFonts w:ascii="宋体" w:hAnsi="宋体" w:cs="宋体" w:eastAsia="宋体" w:hint="default"/>
          <w:sz w:val="18"/>
          <w:szCs w:val="18"/>
        </w:rPr>
        <w:t>多年的高速增长，在此期间，固定资产投资也一直呈现高速增长态势，</w:t>
      </w:r>
    </w:p>
    <w:p>
      <w:pPr>
        <w:pStyle w:val="BodyText"/>
        <w:spacing w:line="316" w:lineRule="auto" w:before="19"/>
        <w:ind w:right="94"/>
        <w:jc w:val="left"/>
      </w:pPr>
      <w:r>
        <w:rPr>
          <w:spacing w:val="-2"/>
        </w:rPr>
        <w:t>同比增幅达到</w:t>
      </w:r>
      <w:r>
        <w:rPr>
          <w:rFonts w:ascii="宋体" w:hAnsi="宋体" w:cs="宋体" w:eastAsia="宋体" w:hint="default"/>
          <w:spacing w:val="-2"/>
        </w:rPr>
        <w:t>30%</w:t>
      </w:r>
      <w:r>
        <w:rPr>
          <w:spacing w:val="-2"/>
        </w:rPr>
        <w:t>的年份屡见不鲜，有的年份甚至达到</w:t>
      </w:r>
      <w:r>
        <w:rPr>
          <w:rFonts w:ascii="宋体" w:hAnsi="宋体" w:cs="宋体" w:eastAsia="宋体" w:hint="default"/>
          <w:spacing w:val="-2"/>
        </w:rPr>
        <w:t>40%</w:t>
      </w:r>
      <w:r>
        <w:rPr>
          <w:spacing w:val="-2"/>
        </w:rPr>
        <w:t>以上。在推动行业规模、体量快速发展膨胀的同时，也造成了全行</w:t>
      </w:r>
      <w:r>
        <w:rPr>
          <w:spacing w:val="-60"/>
        </w:rPr>
        <w:t> </w:t>
      </w:r>
      <w:r>
        <w:rPr>
          <w:spacing w:val="-60"/>
        </w:rPr>
      </w:r>
      <w:r>
        <w:rPr>
          <w:spacing w:val="-2"/>
        </w:rPr>
        <w:t>业普遍的产能过剩。严重的产能过剩导致市场竞争加剧，行业盈利能力大幅度下降。电力设备企业在步入中速发展期的过程</w:t>
      </w:r>
      <w:r>
        <w:rPr>
          <w:spacing w:val="-63"/>
        </w:rPr>
        <w:t> </w:t>
      </w:r>
      <w:r>
        <w:rPr>
          <w:spacing w:val="-63"/>
        </w:rPr>
      </w:r>
      <w:r>
        <w:rPr>
          <w:spacing w:val="-2"/>
        </w:rPr>
        <w:t>中稳步前行。一方面是产能过剩与低端制造的隐忧，另一方面是智能制造和产业升级的诉求。伴随着能源结构调整和产业转</w:t>
      </w:r>
      <w:r>
        <w:rPr>
          <w:spacing w:val="-63"/>
        </w:rPr>
        <w:t> </w:t>
      </w:r>
      <w:r>
        <w:rPr>
          <w:spacing w:val="-63"/>
        </w:rPr>
      </w:r>
      <w:r>
        <w:rPr>
          <w:spacing w:val="-2"/>
        </w:rPr>
        <w:t>型升级的机遇和挑战，电气设备企业必须在复杂多变的国内外市场形势下，准确预判、提前布局。竞争加剧、行业发展不均</w:t>
      </w:r>
      <w:r>
        <w:rPr>
          <w:spacing w:val="-67"/>
        </w:rPr>
        <w:t> </w:t>
      </w:r>
      <w:r>
        <w:rPr>
          <w:spacing w:val="-67"/>
        </w:rPr>
      </w:r>
      <w:r>
        <w:rPr/>
        <w:t>衡使得业内企业间分化将进一步加剧，企业间兼并重组将不断加快。理性的兼并重组在一定意义上帮助企业实现资源整合， </w:t>
      </w:r>
      <w:r>
        <w:rPr>
          <w:spacing w:val="-2"/>
        </w:rPr>
        <w:t>实现更快发展。自</w:t>
      </w:r>
      <w:r>
        <w:rPr>
          <w:rFonts w:ascii="宋体" w:hAnsi="宋体" w:cs="宋体" w:eastAsia="宋体" w:hint="default"/>
          <w:spacing w:val="-2"/>
        </w:rPr>
        <w:t>2015</w:t>
      </w:r>
      <w:r>
        <w:rPr>
          <w:spacing w:val="-2"/>
        </w:rPr>
        <w:t>年以来，兼并重组的案例在发电设备行业、光伏制造业、输配电设备行业屡屡发生，无论是国外品牌</w:t>
      </w:r>
      <w:r>
        <w:rPr>
          <w:spacing w:val="-64"/>
        </w:rPr>
        <w:t> </w:t>
      </w:r>
      <w:r>
        <w:rPr>
          <w:spacing w:val="-64"/>
        </w:rPr>
      </w:r>
      <w:r>
        <w:rPr>
          <w:spacing w:val="-2"/>
        </w:rPr>
        <w:t>的相互并购还是国内市场上的兼并重组，还是中国企业收购外资品牌，以上市公司、大型集团为主的龙头企业兼并整合相关</w:t>
      </w:r>
      <w:r>
        <w:rPr>
          <w:spacing w:val="-66"/>
        </w:rPr>
        <w:t> </w:t>
      </w:r>
      <w:r>
        <w:rPr>
          <w:spacing w:val="-66"/>
        </w:rPr>
      </w:r>
      <w:r>
        <w:rPr/>
        <w:t>中小企业正在成为行业未来主要发展趋势之一。</w:t>
      </w:r>
    </w:p>
    <w:p>
      <w:pPr>
        <w:pStyle w:val="BodyText"/>
        <w:spacing w:line="316" w:lineRule="auto" w:before="19"/>
        <w:ind w:right="188" w:firstLine="420"/>
        <w:jc w:val="both"/>
      </w:pPr>
      <w:r>
        <w:rPr>
          <w:rFonts w:ascii="宋体" w:hAnsi="宋体" w:cs="宋体" w:eastAsia="宋体" w:hint="default"/>
          <w:spacing w:val="-1"/>
        </w:rPr>
        <w:t>2016</w:t>
      </w:r>
      <w:r>
        <w:rPr>
          <w:spacing w:val="-1"/>
        </w:rPr>
        <w:t>年国家电网计划投资</w:t>
      </w:r>
      <w:r>
        <w:rPr>
          <w:rFonts w:ascii="宋体" w:hAnsi="宋体" w:cs="宋体" w:eastAsia="宋体" w:hint="default"/>
          <w:spacing w:val="-1"/>
        </w:rPr>
        <w:t>4390</w:t>
      </w:r>
      <w:r>
        <w:rPr>
          <w:spacing w:val="-1"/>
        </w:rPr>
        <w:t>亿元用于电网建设，较</w:t>
      </w:r>
      <w:r>
        <w:rPr>
          <w:rFonts w:ascii="宋体" w:hAnsi="宋体" w:cs="宋体" w:eastAsia="宋体" w:hint="default"/>
          <w:spacing w:val="-1"/>
        </w:rPr>
        <w:t>2015</w:t>
      </w:r>
      <w:r>
        <w:rPr>
          <w:spacing w:val="-1"/>
        </w:rPr>
        <w:t>年增长</w:t>
      </w:r>
      <w:r>
        <w:rPr>
          <w:rFonts w:ascii="宋体" w:hAnsi="宋体" w:cs="宋体" w:eastAsia="宋体" w:hint="default"/>
          <w:spacing w:val="-1"/>
        </w:rPr>
        <w:t>4.5%</w:t>
      </w:r>
      <w:r>
        <w:rPr>
          <w:spacing w:val="-1"/>
        </w:rPr>
        <w:t>；南方电网计划固定资产投资</w:t>
      </w:r>
      <w:r>
        <w:rPr>
          <w:rFonts w:ascii="宋体" w:hAnsi="宋体" w:cs="宋体" w:eastAsia="宋体" w:hint="default"/>
          <w:spacing w:val="-1"/>
        </w:rPr>
        <w:t>960</w:t>
      </w:r>
      <w:r>
        <w:rPr>
          <w:spacing w:val="-1"/>
        </w:rPr>
        <w:t>亿元。</w:t>
      </w:r>
      <w:r>
        <w:rPr>
          <w:rFonts w:ascii="宋体" w:hAnsi="宋体" w:cs="宋体" w:eastAsia="宋体" w:hint="default"/>
          <w:spacing w:val="-1"/>
        </w:rPr>
        <w:t>2016</w:t>
      </w:r>
      <w:r>
        <w:rPr>
          <w:spacing w:val="-1"/>
        </w:rPr>
        <w:t>年是</w:t>
      </w:r>
      <w:r>
        <w:rPr/>
        <w:t> </w:t>
      </w:r>
      <w:r>
        <w:rPr>
          <w:spacing w:val="-2"/>
        </w:rPr>
        <w:t>“十三五”的开局之年，当前我国智能电网建设工程的全面展开及工程进度加快，输配电设备将进入更新换代周期，产品升</w:t>
      </w:r>
      <w:r>
        <w:rPr>
          <w:spacing w:val="-64"/>
        </w:rPr>
        <w:t> </w:t>
      </w:r>
      <w:r>
        <w:rPr>
          <w:spacing w:val="-64"/>
        </w:rPr>
      </w:r>
      <w:r>
        <w:rPr/>
        <w:t>级换代的需求旺盛，并逐步增长，也带动了输配电设备市场的巨大需求。</w:t>
      </w:r>
    </w:p>
    <w:p>
      <w:pPr>
        <w:pStyle w:val="BodyText"/>
        <w:spacing w:line="316" w:lineRule="auto" w:before="19"/>
        <w:ind w:right="94" w:firstLine="360"/>
        <w:jc w:val="left"/>
      </w:pPr>
      <w:r>
        <w:rPr>
          <w:rFonts w:ascii="宋体" w:hAnsi="宋体" w:cs="宋体" w:eastAsia="宋体" w:hint="default"/>
          <w:b/>
          <w:bCs/>
          <w:spacing w:val="-2"/>
        </w:rPr>
        <w:t>投资业务：</w:t>
      </w:r>
      <w:r>
        <w:rPr>
          <w:spacing w:val="-2"/>
        </w:rPr>
        <w:t>未来几年中国经济将呈现裂变期、转型期和结构调整期特点，虽然面临去杠杆、去产能、去库存、供给侧改</w:t>
      </w:r>
      <w:r>
        <w:rPr/>
        <w:t> </w:t>
      </w:r>
      <w:r>
        <w:rPr>
          <w:spacing w:val="-2"/>
        </w:rPr>
        <w:t>革的压力，但是我国将继续深化改革，扩大对外开放，拓展国际经济合作，中国经济正在从“求快求大”到“求优求精”转</w:t>
      </w:r>
      <w:r>
        <w:rPr>
          <w:spacing w:val="-62"/>
        </w:rPr>
        <w:t> </w:t>
      </w:r>
      <w:r>
        <w:rPr>
          <w:spacing w:val="-62"/>
        </w:rPr>
      </w:r>
      <w:r>
        <w:rPr/>
        <w:t>变。我国将继续推动大众创业、万众创新等结构性改革；中国制造</w:t>
      </w:r>
      <w:r>
        <w:rPr>
          <w:rFonts w:ascii="宋体" w:hAnsi="宋体" w:cs="宋体" w:eastAsia="宋体" w:hint="default"/>
        </w:rPr>
        <w:t>2025</w:t>
      </w:r>
      <w:r>
        <w:rPr/>
        <w:t>、互联网</w:t>
      </w:r>
      <w:r>
        <w:rPr>
          <w:rFonts w:ascii="宋体" w:hAnsi="宋体" w:cs="宋体" w:eastAsia="宋体" w:hint="default"/>
        </w:rPr>
        <w:t>+</w:t>
      </w:r>
      <w:r>
        <w:rPr/>
        <w:t>提升传统产业活力和竞争力；一带一路将</w:t>
      </w:r>
      <w:r>
        <w:rPr>
          <w:spacing w:val="-85"/>
        </w:rPr>
        <w:t> </w:t>
      </w:r>
      <w:r>
        <w:rPr>
          <w:spacing w:val="-85"/>
        </w:rPr>
      </w:r>
      <w:r>
        <w:rPr>
          <w:spacing w:val="-2"/>
        </w:rPr>
        <w:t>中国制造通过国际产能合作，将中国制造业的性价比优势同发达经济体的高端技术相结合，向广大发展中国家提供“优质优</w:t>
      </w:r>
      <w:r>
        <w:rPr>
          <w:spacing w:val="-62"/>
        </w:rPr>
        <w:t> </w:t>
      </w:r>
      <w:r>
        <w:rPr>
          <w:spacing w:val="-62"/>
        </w:rPr>
      </w:r>
      <w:r>
        <w:rPr>
          <w:spacing w:val="-2"/>
        </w:rPr>
        <w:t>价”的装备，以供给创新推动经济增长。互联网</w:t>
      </w:r>
      <w:r>
        <w:rPr>
          <w:rFonts w:ascii="宋体" w:hAnsi="宋体" w:cs="宋体" w:eastAsia="宋体" w:hint="default"/>
          <w:spacing w:val="-2"/>
        </w:rPr>
        <w:t>+</w:t>
      </w:r>
      <w:r>
        <w:rPr>
          <w:spacing w:val="-2"/>
        </w:rPr>
        <w:t>与居民消费升级结合，以个性化服务，信息消费，通信，电信，出境旅游，</w:t>
      </w:r>
      <w:r>
        <w:rPr>
          <w:spacing w:val="-70"/>
        </w:rPr>
        <w:t> </w:t>
      </w:r>
      <w:r>
        <w:rPr>
          <w:spacing w:val="-70"/>
        </w:rPr>
      </w:r>
      <w:r>
        <w:rPr>
          <w:spacing w:val="-2"/>
        </w:rPr>
        <w:t>娱乐文化等有效拉动内需。公司继续看好我国可持续和高质量的经济增长，看好产业升级、转型，看好政府简政放权、优化</w:t>
      </w:r>
      <w:r>
        <w:rPr>
          <w:spacing w:val="-65"/>
        </w:rPr>
        <w:t> </w:t>
      </w:r>
      <w:r>
        <w:rPr>
          <w:spacing w:val="-65"/>
        </w:rPr>
      </w:r>
      <w:r>
        <w:rPr/>
        <w:t>创业环境释放经济活力。</w:t>
      </w:r>
    </w:p>
    <w:p>
      <w:pPr>
        <w:pStyle w:val="BodyText"/>
        <w:spacing w:line="316" w:lineRule="auto" w:before="19"/>
        <w:ind w:right="111" w:firstLine="360"/>
        <w:jc w:val="both"/>
      </w:pPr>
      <w:r>
        <w:rPr>
          <w:rFonts w:ascii="宋体" w:hAnsi="宋体" w:cs="宋体" w:eastAsia="宋体" w:hint="default"/>
          <w:spacing w:val="-2"/>
        </w:rPr>
        <w:t>2014</w:t>
      </w:r>
      <w:r>
        <w:rPr>
          <w:spacing w:val="-2"/>
        </w:rPr>
        <w:t>年以来，包括国务院、证监会等在内的中央部门先后发布了一系列并购重组的意见和管理办法，包括支持上市公司</w:t>
      </w:r>
      <w:r>
        <w:rPr/>
        <w:t> </w:t>
      </w:r>
      <w:r>
        <w:rPr>
          <w:spacing w:val="-2"/>
        </w:rPr>
        <w:t>通过增发优先股进行并购融资，鼓励创业板上市公司通过非公开增发等再融资并购，鼓励市场化并购重组等多个方面。近年</w:t>
      </w:r>
      <w:r>
        <w:rPr>
          <w:spacing w:val="-63"/>
        </w:rPr>
        <w:t> </w:t>
      </w:r>
      <w:r>
        <w:rPr>
          <w:spacing w:val="-63"/>
        </w:rPr>
      </w:r>
      <w:r>
        <w:rPr/>
        <w:t>来，上市公司兼并重组方兴未艾，大量优质资产通过并购重组进入上市公司，提升了上市公司整体质量，活跃了资本市场。</w:t>
      </w:r>
    </w:p>
    <w:p>
      <w:pPr>
        <w:pStyle w:val="Heading4"/>
        <w:spacing w:line="240" w:lineRule="auto"/>
        <w:ind w:left="515" w:right="5748"/>
        <w:jc w:val="left"/>
        <w:rPr>
          <w:b w:val="0"/>
          <w:bCs w:val="0"/>
        </w:rPr>
      </w:pPr>
      <w:r>
        <w:rPr>
          <w:rFonts w:ascii="宋体" w:hAnsi="宋体" w:cs="宋体" w:eastAsia="宋体" w:hint="default"/>
        </w:rPr>
        <w:t>2</w:t>
      </w:r>
      <w:r>
        <w:rPr/>
        <w:t>、发展战略</w:t>
      </w:r>
      <w:r>
        <w:rPr>
          <w:b w:val="0"/>
          <w:bCs w:val="0"/>
        </w:rPr>
      </w:r>
    </w:p>
    <w:p>
      <w:pPr>
        <w:pStyle w:val="BodyText"/>
        <w:spacing w:line="319" w:lineRule="auto" w:before="76"/>
        <w:ind w:right="190" w:firstLine="360"/>
        <w:jc w:val="both"/>
      </w:pPr>
      <w:r>
        <w:rPr>
          <w:rFonts w:ascii="宋体" w:hAnsi="宋体" w:cs="宋体" w:eastAsia="宋体" w:hint="default"/>
          <w:spacing w:val="-2"/>
        </w:rPr>
        <w:t>2016</w:t>
      </w:r>
      <w:r>
        <w:rPr>
          <w:spacing w:val="-2"/>
        </w:rPr>
        <w:t>年公司将继续稳固电气业务，努力实现销售收入和利润的回升；继续从事理财投资、证券投资、非上市公司股权投</w:t>
      </w:r>
      <w:r>
        <w:rPr/>
        <w:t> </w:t>
      </w:r>
      <w:r>
        <w:rPr>
          <w:spacing w:val="-2"/>
        </w:rPr>
        <w:t>资，优化投资方向，改善调研机制，完善决策机制，强化风控机制；坚持产业转型、升级，通过内涵、外延式扩张进入高科</w:t>
      </w:r>
      <w:r>
        <w:rPr>
          <w:spacing w:val="-65"/>
        </w:rPr>
        <w:t> </w:t>
      </w:r>
      <w:r>
        <w:rPr>
          <w:spacing w:val="-65"/>
        </w:rPr>
      </w:r>
      <w:r>
        <w:rPr/>
        <w:t>技、高成长的新兴行业，确保公司持续发展。</w:t>
      </w:r>
    </w:p>
    <w:p>
      <w:pPr>
        <w:pStyle w:val="Heading4"/>
        <w:spacing w:line="240" w:lineRule="auto" w:before="17"/>
        <w:ind w:right="5748"/>
        <w:jc w:val="left"/>
        <w:rPr>
          <w:b w:val="0"/>
          <w:bCs w:val="0"/>
        </w:rPr>
      </w:pPr>
      <w:r>
        <w:rPr>
          <w:rFonts w:ascii="宋体" w:hAnsi="宋体" w:cs="宋体" w:eastAsia="宋体" w:hint="default"/>
        </w:rPr>
        <w:t>3</w:t>
      </w:r>
      <w:r>
        <w:rPr/>
        <w:t>、</w:t>
      </w:r>
      <w:r>
        <w:rPr>
          <w:rFonts w:ascii="宋体" w:hAnsi="宋体" w:cs="宋体" w:eastAsia="宋体" w:hint="default"/>
        </w:rPr>
        <w:t>2016</w:t>
      </w:r>
      <w:r>
        <w:rPr/>
        <w:t>经营计划</w:t>
      </w:r>
      <w:r>
        <w:rPr>
          <w:b w:val="0"/>
          <w:bCs w:val="0"/>
        </w:rPr>
      </w:r>
    </w:p>
    <w:p>
      <w:pPr>
        <w:pStyle w:val="BodyText"/>
        <w:spacing w:line="316" w:lineRule="auto" w:before="76"/>
        <w:ind w:right="94" w:firstLine="36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）加强销售体系建设，提振电气业务全面回升。</w:t>
      </w:r>
      <w:r>
        <w:rPr>
          <w:rFonts w:ascii="宋体" w:hAnsi="宋体" w:cs="宋体" w:eastAsia="宋体" w:hint="default"/>
        </w:rPr>
        <w:t>2016</w:t>
      </w:r>
      <w:r>
        <w:rPr/>
        <w:t>年，公司将继续遵循区域扩张渠道拓展的销售策略，建立和强 </w:t>
      </w:r>
      <w:r>
        <w:rPr>
          <w:spacing w:val="-2"/>
        </w:rPr>
        <w:t>化销售体系；维护现有客户联系和服务，重点开发销售薄弱地区和客户，培育战略客户，强化大客户服务，增加客户粘度和</w:t>
      </w:r>
      <w:r>
        <w:rPr>
          <w:spacing w:val="-67"/>
        </w:rPr>
        <w:t> </w:t>
      </w:r>
      <w:r>
        <w:rPr>
          <w:spacing w:val="-67"/>
        </w:rPr>
      </w:r>
      <w:r>
        <w:rPr>
          <w:spacing w:val="-2"/>
        </w:rPr>
        <w:t>市场渗透能力；积极优化产品方案，调整销售结构，开发适应市场需求的新产品，扩大高毛利率产品销售，提升整体盈利水</w:t>
      </w:r>
      <w:r>
        <w:rPr>
          <w:spacing w:val="-66"/>
        </w:rPr>
        <w:t> </w:t>
      </w:r>
      <w:r>
        <w:rPr>
          <w:spacing w:val="-66"/>
        </w:rPr>
      </w:r>
      <w:r>
        <w:rPr>
          <w:spacing w:val="-2"/>
        </w:rPr>
        <w:t>平；积极参加行业展会和活动，通过互联网营销手段进行品牌形象推广，突出对技术优势和明星产品宣传，通过线上、线下</w:t>
      </w:r>
      <w:r>
        <w:rPr>
          <w:spacing w:val="-67"/>
        </w:rPr>
        <w:t> </w:t>
      </w:r>
      <w:r>
        <w:rPr>
          <w:spacing w:val="-67"/>
        </w:rPr>
      </w:r>
      <w:r>
        <w:rPr>
          <w:spacing w:val="-4"/>
        </w:rPr>
        <w:t>活动提升企业知名度；加强运营计划管理，提高生产经营效率，提升产品质量，提高客户满意度，持续推进全方位减本增效，</w:t>
      </w:r>
      <w:r>
        <w:rPr>
          <w:spacing w:val="-43"/>
        </w:rPr>
        <w:t> </w:t>
      </w:r>
      <w:r>
        <w:rPr>
          <w:spacing w:val="-43"/>
        </w:rPr>
      </w:r>
      <w:r>
        <w:rPr/>
        <w:t>提高公司产品利润率及竞争力。</w:t>
      </w:r>
    </w:p>
    <w:p>
      <w:pPr>
        <w:pStyle w:val="BodyText"/>
        <w:spacing w:line="319" w:lineRule="auto" w:before="19"/>
        <w:ind w:right="191" w:firstLine="365"/>
        <w:jc w:val="both"/>
      </w:pPr>
      <w:r>
        <w:rPr>
          <w:rFonts w:ascii="宋体" w:hAnsi="宋体" w:cs="宋体" w:eastAsia="宋体" w:hint="default"/>
          <w:b/>
          <w:bCs/>
          <w:w w:val="95"/>
        </w:rPr>
        <w:t>（</w:t>
      </w:r>
      <w:r>
        <w:rPr>
          <w:rFonts w:ascii="宋体" w:hAnsi="宋体" w:cs="宋体" w:eastAsia="宋体" w:hint="default"/>
          <w:b/>
          <w:bCs/>
          <w:w w:val="95"/>
        </w:rPr>
        <w:t>2</w:t>
      </w:r>
      <w:r>
        <w:rPr>
          <w:rFonts w:ascii="宋体" w:hAnsi="宋体" w:cs="宋体" w:eastAsia="宋体" w:hint="default"/>
          <w:b/>
          <w:bCs/>
          <w:w w:val="95"/>
        </w:rPr>
        <w:t>）坚持产业经营与资本运营协同发展，大力发展投资业务，持续优化产业结构。</w:t>
      </w:r>
      <w:r>
        <w:rPr>
          <w:w w:val="95"/>
        </w:rPr>
        <w:t>虽然我国</w:t>
      </w:r>
      <w:r>
        <w:rPr>
          <w:rFonts w:ascii="宋体" w:hAnsi="宋体" w:cs="宋体" w:eastAsia="宋体" w:hint="default"/>
          <w:w w:val="95"/>
        </w:rPr>
        <w:t>2016</w:t>
      </w:r>
      <w:r>
        <w:rPr>
          <w:w w:val="95"/>
        </w:rPr>
        <w:t>年经济增速放缓，投</w:t>
      </w:r>
      <w:r>
        <w:rPr>
          <w:spacing w:val="-13"/>
          <w:w w:val="95"/>
        </w:rPr>
        <w:t> </w:t>
      </w:r>
      <w:r>
        <w:rPr>
          <w:spacing w:val="-13"/>
          <w:w w:val="95"/>
        </w:rPr>
      </w:r>
      <w:r>
        <w:rPr>
          <w:spacing w:val="-2"/>
        </w:rPr>
        <w:t>资增速回落，证券市场波动加大，但是公司看好我国经济结构升级持续优化，增长动力有序转换，不断释放经济活力。公司</w:t>
      </w:r>
      <w:r>
        <w:rPr>
          <w:spacing w:val="-66"/>
        </w:rPr>
        <w:t> </w:t>
      </w:r>
      <w:r>
        <w:rPr>
          <w:spacing w:val="-66"/>
        </w:rPr>
      </w:r>
      <w:r>
        <w:rPr>
          <w:spacing w:val="-2"/>
        </w:rPr>
        <w:t>将增强产业研究能力，强化资本运营，深入分析新形势、新政策下的新机遇，主动转变经营策略，放慢投资节奏，甄选优质</w:t>
      </w:r>
      <w:r>
        <w:rPr>
          <w:spacing w:val="-68"/>
        </w:rPr>
        <w:t> </w:t>
      </w:r>
      <w:r>
        <w:rPr>
          <w:spacing w:val="-68"/>
        </w:rPr>
      </w:r>
      <w:r>
        <w:rPr>
          <w:spacing w:val="-2"/>
        </w:rPr>
        <w:t>行业中的优质项目，寻求多元化资产管理渠道和模式，通过合理配置，有效盘活存量资金，切实提高资金运作效率，促进资</w:t>
      </w:r>
    </w:p>
    <w:p>
      <w:pPr>
        <w:spacing w:after="0" w:line="319" w:lineRule="auto"/>
        <w:jc w:val="both"/>
        <w:sectPr>
          <w:headerReference w:type="default" r:id="rId16"/>
          <w:footerReference w:type="default" r:id="rId17"/>
          <w:pgSz w:w="11910" w:h="16840"/>
          <w:pgMar w:header="877" w:footer="1186" w:top="1100" w:bottom="1380" w:left="980" w:right="940"/>
          <w:pgNumType w:start="32"/>
        </w:sectPr>
      </w:pPr>
    </w:p>
    <w:p>
      <w:pPr>
        <w:spacing w:line="240" w:lineRule="auto" w:before="11"/>
        <w:rPr>
          <w:rFonts w:ascii="宋体" w:hAnsi="宋体" w:cs="宋体" w:eastAsia="宋体" w:hint="default"/>
          <w:sz w:val="21"/>
          <w:szCs w:val="21"/>
        </w:rPr>
      </w:pPr>
    </w:p>
    <w:p>
      <w:pPr>
        <w:pStyle w:val="BodyText"/>
        <w:spacing w:line="240" w:lineRule="auto" w:before="44"/>
        <w:ind w:right="5748"/>
        <w:jc w:val="left"/>
      </w:pPr>
      <w:r>
        <w:rPr/>
        <w:t>产保值增值，努力实现收益最大化。</w:t>
      </w:r>
    </w:p>
    <w:p>
      <w:pPr>
        <w:pStyle w:val="BodyText"/>
        <w:spacing w:line="316" w:lineRule="auto" w:before="76"/>
        <w:ind w:right="94" w:firstLine="365"/>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）持续完善激励机制，全面推进精细化管理，进一步提升内控水平。</w:t>
      </w:r>
      <w:r>
        <w:rPr>
          <w:rFonts w:ascii="宋体" w:hAnsi="宋体" w:cs="宋体" w:eastAsia="宋体" w:hint="default"/>
        </w:rPr>
        <w:t>2016</w:t>
      </w:r>
      <w:r>
        <w:rPr/>
        <w:t>年公司将持续完善激励机制，根据自身经 </w:t>
      </w:r>
      <w:r>
        <w:rPr>
          <w:spacing w:val="-2"/>
        </w:rPr>
        <w:t>营和证券市场情况，适时研究和制定员工激励方案。充分调动全体员工的积极性、责任感、使命感。以提高员工岗位胜任能</w:t>
      </w:r>
      <w:r>
        <w:rPr>
          <w:spacing w:val="-67"/>
        </w:rPr>
        <w:t> </w:t>
      </w:r>
      <w:r>
        <w:rPr>
          <w:spacing w:val="-67"/>
        </w:rPr>
      </w:r>
      <w:r>
        <w:rPr/>
        <w:t>力与满足业务发展需要为出发点，继续强化培训体系，促进员工综合能力和素质提升；加强内部控制管理，细化过程管理，</w:t>
      </w:r>
      <w:r>
        <w:rPr/>
        <w:t> </w:t>
      </w:r>
      <w:r>
        <w:rPr>
          <w:spacing w:val="-4"/>
        </w:rPr>
        <w:t>实施目标激励，以制度化、流程化、定量化为标志，以制度检查，考核为切入点，全面推进精细化管理，提高企业经营绩效，</w:t>
      </w:r>
      <w:r>
        <w:rPr>
          <w:spacing w:val="-41"/>
        </w:rPr>
        <w:t> </w:t>
      </w:r>
      <w:r>
        <w:rPr>
          <w:spacing w:val="-41"/>
        </w:rPr>
      </w:r>
      <w:r>
        <w:rPr/>
        <w:t>实现可持续发展。</w:t>
      </w:r>
    </w:p>
    <w:p>
      <w:pPr>
        <w:spacing w:line="316" w:lineRule="auto" w:before="19"/>
        <w:ind w:left="518" w:right="188" w:hanging="5"/>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、可能面对的风险及解决方案。</w:t>
      </w:r>
      <w:r>
        <w:rPr>
          <w:rFonts w:ascii="宋体" w:hAnsi="宋体" w:cs="宋体" w:eastAsia="宋体" w:hint="default"/>
          <w:b/>
          <w:bCs/>
          <w:w w:val="99"/>
          <w:sz w:val="18"/>
          <w:szCs w:val="18"/>
        </w:rPr>
        <w:t> </w:t>
      </w:r>
      <w:r>
        <w:rPr>
          <w:rFonts w:ascii="宋体" w:hAnsi="宋体" w:cs="宋体" w:eastAsia="宋体" w:hint="default"/>
          <w:b/>
          <w:bCs/>
          <w:spacing w:val="-2"/>
          <w:sz w:val="18"/>
          <w:szCs w:val="18"/>
        </w:rPr>
        <w:t>市场风险：</w:t>
      </w:r>
      <w:r>
        <w:rPr>
          <w:rFonts w:ascii="宋体" w:hAnsi="宋体" w:cs="宋体" w:eastAsia="宋体" w:hint="default"/>
          <w:spacing w:val="-2"/>
          <w:sz w:val="18"/>
          <w:szCs w:val="18"/>
        </w:rPr>
        <w:t>公司所处电气设备行业容易受到国家总体经济政策和和宏观经济环境的影响，公司所处市场行业环境发生大</w:t>
      </w:r>
    </w:p>
    <w:p>
      <w:pPr>
        <w:pStyle w:val="BodyText"/>
        <w:spacing w:line="316" w:lineRule="auto" w:before="19"/>
        <w:ind w:right="94"/>
        <w:jc w:val="left"/>
      </w:pPr>
      <w:r>
        <w:rPr>
          <w:spacing w:val="-4"/>
        </w:rPr>
        <w:t>幅波动可能造成公司电气业务收入较大波动。随着国家经济和电力设备行业的快速发展，输配电设备行业企业数量迅速增加，</w:t>
      </w:r>
      <w:r>
        <w:rPr>
          <w:spacing w:val="-44"/>
        </w:rPr>
        <w:t> </w:t>
      </w:r>
      <w:r>
        <w:rPr>
          <w:spacing w:val="-44"/>
        </w:rPr>
      </w:r>
      <w:r>
        <w:rPr>
          <w:spacing w:val="-2"/>
        </w:rPr>
        <w:t>同时国外输配电企业纷纷进入我国市场，导致供给增加、竞争加剧。公司将严格执行国家政策，紧跟市场，采取差异化产品</w:t>
      </w:r>
      <w:r>
        <w:rPr>
          <w:spacing w:val="-67"/>
        </w:rPr>
        <w:t> </w:t>
      </w:r>
      <w:r>
        <w:rPr>
          <w:spacing w:val="-67"/>
        </w:rPr>
      </w:r>
      <w:r>
        <w:rPr/>
        <w:t>战略，加快产品结构调整，优化生产管理流程，完善销售网络建设，切实提高公司竞争实力和抗风险能力。</w:t>
      </w:r>
    </w:p>
    <w:p>
      <w:pPr>
        <w:pStyle w:val="BodyText"/>
        <w:spacing w:line="316" w:lineRule="auto" w:before="19"/>
        <w:ind w:right="192" w:firstLine="365"/>
        <w:jc w:val="both"/>
      </w:pPr>
      <w:r>
        <w:rPr>
          <w:rFonts w:ascii="宋体" w:hAnsi="宋体" w:cs="宋体" w:eastAsia="宋体" w:hint="default"/>
          <w:b/>
          <w:bCs/>
          <w:spacing w:val="-2"/>
        </w:rPr>
        <w:t>新业务风险：</w:t>
      </w:r>
      <w:r>
        <w:rPr>
          <w:spacing w:val="-2"/>
        </w:rPr>
        <w:t>公司已经确定电气业务和投资业务双主业运营，公司投资业务主要从事股权投资、理财投资和证券投资业</w:t>
      </w:r>
      <w:r>
        <w:rPr/>
        <w:t> </w:t>
      </w:r>
      <w:r>
        <w:rPr>
          <w:spacing w:val="-2"/>
        </w:rPr>
        <w:t>务。国家宏观经济表现、宏观经济政策、市场发展程度、国际经济形势、境外金融市场波动等诸多因素的影响都可能会造成</w:t>
      </w:r>
      <w:r>
        <w:rPr>
          <w:spacing w:val="-67"/>
        </w:rPr>
        <w:t> </w:t>
      </w:r>
      <w:r>
        <w:rPr>
          <w:spacing w:val="-67"/>
        </w:rPr>
      </w:r>
      <w:r>
        <w:rPr/>
        <w:t>公司投资业务较大的波动。公司将建立科学的运作机制和风控机制，稳健投资，防范和化解各项投资风险。</w:t>
      </w:r>
    </w:p>
    <w:p>
      <w:pPr>
        <w:spacing w:line="240" w:lineRule="auto" w:before="11"/>
        <w:rPr>
          <w:rFonts w:ascii="宋体" w:hAnsi="宋体" w:cs="宋体" w:eastAsia="宋体" w:hint="default"/>
          <w:sz w:val="20"/>
          <w:szCs w:val="20"/>
        </w:rPr>
      </w:pPr>
    </w:p>
    <w:p>
      <w:pPr>
        <w:pStyle w:val="Heading2"/>
        <w:spacing w:line="240" w:lineRule="auto"/>
        <w:ind w:right="5748"/>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宋体" w:hAnsi="宋体" w:cs="宋体" w:eastAsia="宋体"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5674"/>
        <w:jc w:val="left"/>
      </w:pPr>
      <w:r>
        <w:rPr/>
        <w:t>□ 适用 √</w:t>
      </w:r>
      <w:r>
        <w:rPr>
          <w:spacing w:val="3"/>
        </w:rPr>
        <w:t> </w:t>
      </w:r>
      <w:r>
        <w:rPr/>
        <w:t>不适用</w:t>
      </w:r>
      <w:r>
        <w:rPr/>
        <w:t> 公司报告期内未发生接待调研、沟通、采访等活动。</w:t>
      </w:r>
    </w:p>
    <w:p>
      <w:pPr>
        <w:spacing w:line="240" w:lineRule="auto" w:before="2"/>
        <w:rPr>
          <w:rFonts w:ascii="宋体" w:hAnsi="宋体" w:cs="宋体" w:eastAsia="宋体" w:hint="default"/>
          <w:sz w:val="20"/>
          <w:szCs w:val="20"/>
        </w:rPr>
      </w:pPr>
    </w:p>
    <w:p>
      <w:pPr>
        <w:pStyle w:val="Heading3"/>
        <w:spacing w:line="240" w:lineRule="auto"/>
        <w:ind w:right="94"/>
        <w:jc w:val="left"/>
        <w:rPr>
          <w:b w:val="0"/>
          <w:bCs w:val="0"/>
        </w:rPr>
      </w:pPr>
      <w:r>
        <w:rPr>
          <w:rFonts w:ascii="宋体" w:hAnsi="宋体" w:cs="宋体" w:eastAsia="宋体" w:hint="default"/>
        </w:rPr>
        <w:t>2</w:t>
      </w:r>
      <w:r>
        <w:rPr/>
        <w:t>、报告期末至披露日期间接待调研、沟通、采访等活动登记表</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4414"/>
        <w:jc w:val="left"/>
      </w:pPr>
      <w:r>
        <w:rPr/>
        <w:t>□ 适用 √</w:t>
      </w:r>
      <w:r>
        <w:rPr>
          <w:spacing w:val="3"/>
        </w:rPr>
        <w:t> </w:t>
      </w:r>
      <w:r>
        <w:rPr/>
        <w:t>不适用</w:t>
      </w:r>
      <w:r>
        <w:rPr/>
        <w:t> 公司报告期期末至披露日期间未发生接待调研、沟通、采访等活动。</w:t>
      </w:r>
    </w:p>
    <w:p>
      <w:pPr>
        <w:spacing w:after="0" w:line="360" w:lineRule="auto"/>
        <w:jc w:val="left"/>
        <w:sectPr>
          <w:pgSz w:w="11910" w:h="16840"/>
          <w:pgMar w:header="877" w:footer="1186" w:top="110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465"/>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报告期内普通股利润分配政策，特别是现金分红政策的制定、执行或调整情况</w:t>
      </w:r>
    </w:p>
    <w:p>
      <w:pPr>
        <w:pStyle w:val="BodyText"/>
        <w:spacing w:line="357" w:lineRule="auto" w:before="117"/>
        <w:ind w:left="513" w:right="273" w:hanging="361"/>
        <w:jc w:val="left"/>
        <w:rPr>
          <w:rFonts w:ascii="宋体" w:hAnsi="宋体" w:cs="宋体" w:eastAsia="宋体" w:hint="default"/>
        </w:rPr>
      </w:pPr>
      <w:r>
        <w:rPr/>
        <w:t>√ 适用 □</w:t>
      </w:r>
      <w:r>
        <w:rPr>
          <w:spacing w:val="3"/>
        </w:rPr>
        <w:t> </w:t>
      </w:r>
      <w:r>
        <w:rPr/>
        <w:t>不适用</w:t>
      </w:r>
      <w:r>
        <w:rPr/>
        <w:t> 根据中国证监会《关于进一步落实上市公司现金分红有关事项的通知》及深圳证监局有关文件等的规定和要求，</w:t>
      </w:r>
      <w:r>
        <w:rPr>
          <w:rFonts w:ascii="宋体" w:hAnsi="宋体" w:cs="宋体" w:eastAsia="宋体" w:hint="default"/>
        </w:rPr>
        <w:t>2015</w:t>
      </w:r>
    </w:p>
    <w:p>
      <w:pPr>
        <w:pStyle w:val="BodyText"/>
        <w:spacing w:line="224" w:lineRule="exact"/>
        <w:ind w:right="0"/>
        <w:jc w:val="left"/>
      </w:pPr>
      <w:r>
        <w:rPr/>
        <w:t>年</w:t>
      </w:r>
      <w:r>
        <w:rPr>
          <w:rFonts w:ascii="宋体" w:hAnsi="宋体" w:cs="宋体" w:eastAsia="宋体" w:hint="default"/>
        </w:rPr>
        <w:t>1</w:t>
      </w:r>
      <w:r>
        <w:rPr/>
        <w:t>月</w:t>
      </w:r>
      <w:r>
        <w:rPr>
          <w:rFonts w:ascii="宋体" w:hAnsi="宋体" w:cs="宋体" w:eastAsia="宋体" w:hint="default"/>
        </w:rPr>
        <w:t>6</w:t>
      </w:r>
      <w:r>
        <w:rPr/>
        <w:t>日公司第五届董事会第四次会议审议通过并发布了《未来三年股东回报规划（</w:t>
      </w:r>
      <w:r>
        <w:rPr>
          <w:rFonts w:ascii="宋体" w:hAnsi="宋体" w:cs="宋体" w:eastAsia="宋体" w:hint="default"/>
        </w:rPr>
        <w:t>2015-2017</w:t>
      </w:r>
      <w:r>
        <w:rPr/>
        <w:t>）》，</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22</w:t>
      </w:r>
      <w:r>
        <w:rPr/>
        <w:t>日公司召</w:t>
      </w:r>
    </w:p>
    <w:p>
      <w:pPr>
        <w:pStyle w:val="BodyText"/>
        <w:spacing w:line="240" w:lineRule="auto" w:before="77"/>
        <w:ind w:right="94"/>
        <w:jc w:val="left"/>
      </w:pPr>
      <w:r>
        <w:rPr/>
        <w:t>开的</w:t>
      </w:r>
      <w:r>
        <w:rPr>
          <w:rFonts w:ascii="宋体" w:hAnsi="宋体" w:cs="宋体" w:eastAsia="宋体" w:hint="default"/>
        </w:rPr>
        <w:t>2015</w:t>
      </w:r>
      <w:r>
        <w:rPr/>
        <w:t>年第一次临时股东大会审议通过了该规划。</w:t>
      </w:r>
    </w:p>
    <w:p>
      <w:pPr>
        <w:pStyle w:val="BodyText"/>
        <w:spacing w:line="316" w:lineRule="auto" w:before="76"/>
        <w:ind w:right="94" w:firstLine="360"/>
        <w:jc w:val="left"/>
      </w:pPr>
      <w:r>
        <w:rPr/>
        <w:t>公司制定《未来三年股东回报规划（</w:t>
      </w:r>
      <w:r>
        <w:rPr>
          <w:rFonts w:ascii="宋体" w:hAnsi="宋体" w:cs="宋体" w:eastAsia="宋体" w:hint="default"/>
        </w:rPr>
        <w:t>2015-2017</w:t>
      </w:r>
      <w:r>
        <w:rPr/>
        <w:t>）》，明确了</w:t>
      </w:r>
      <w:r>
        <w:rPr>
          <w:rFonts w:ascii="宋体" w:hAnsi="宋体" w:cs="宋体" w:eastAsia="宋体" w:hint="default"/>
        </w:rPr>
        <w:t>2015</w:t>
      </w:r>
      <w:r>
        <w:rPr/>
        <w:t>年</w:t>
      </w:r>
      <w:r>
        <w:rPr>
          <w:rFonts w:ascii="宋体" w:hAnsi="宋体" w:cs="宋体" w:eastAsia="宋体" w:hint="default"/>
        </w:rPr>
        <w:t>-2017</w:t>
      </w:r>
      <w:r>
        <w:rPr/>
        <w:t>年期间公司的利润分配形式、利润分配周期、 利润分配比例和利润分配方案的制定和执行。</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1"/>
        <w:ind w:right="94"/>
        <w:jc w:val="left"/>
      </w:pPr>
      <w:r>
        <w:rPr/>
        <w:t>公司近</w:t>
      </w:r>
      <w:r>
        <w:rPr>
          <w:spacing w:val="-44"/>
        </w:rPr>
        <w:t> </w:t>
      </w:r>
      <w:r>
        <w:rPr>
          <w:rFonts w:ascii="宋体" w:hAnsi="宋体" w:cs="宋体" w:eastAsia="宋体" w:hint="default"/>
        </w:rPr>
        <w:t>3</w:t>
      </w:r>
      <w:r>
        <w:rPr>
          <w:rFonts w:ascii="宋体" w:hAnsi="宋体" w:cs="宋体" w:eastAsia="宋体" w:hint="default"/>
          <w:spacing w:val="-44"/>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15"/>
        <w:ind w:right="94"/>
        <w:jc w:val="left"/>
      </w:pPr>
      <w:r>
        <w:rPr>
          <w:spacing w:val="-2"/>
        </w:rPr>
        <w:t>（</w:t>
      </w:r>
      <w:r>
        <w:rPr>
          <w:rFonts w:ascii="宋体" w:hAnsi="宋体" w:cs="宋体" w:eastAsia="宋体" w:hint="default"/>
          <w:spacing w:val="-2"/>
        </w:rPr>
        <w:t>1</w:t>
      </w:r>
      <w:r>
        <w:rPr>
          <w:spacing w:val="-2"/>
        </w:rPr>
        <w:t>）公司</w:t>
      </w:r>
      <w:r>
        <w:rPr>
          <w:rFonts w:ascii="宋体" w:hAnsi="宋体" w:cs="宋体" w:eastAsia="宋体" w:hint="default"/>
          <w:spacing w:val="-2"/>
        </w:rPr>
        <w:t>2013</w:t>
      </w:r>
      <w:r>
        <w:rPr>
          <w:spacing w:val="-2"/>
        </w:rPr>
        <w:t>年度不进行利润分配，不进行分红送股，也不以资本公积金转增股本，留存收益全部用于公司日常生产经营。</w:t>
      </w:r>
    </w:p>
    <w:p>
      <w:pPr>
        <w:pStyle w:val="BodyText"/>
        <w:spacing w:line="240" w:lineRule="auto" w:before="117"/>
        <w:ind w:right="94"/>
        <w:jc w:val="left"/>
      </w:pPr>
      <w:r>
        <w:rPr>
          <w:spacing w:val="-2"/>
        </w:rPr>
        <w:t>（</w:t>
      </w:r>
      <w:r>
        <w:rPr>
          <w:rFonts w:ascii="宋体" w:hAnsi="宋体" w:cs="宋体" w:eastAsia="宋体" w:hint="default"/>
          <w:spacing w:val="-2"/>
        </w:rPr>
        <w:t>2</w:t>
      </w:r>
      <w:r>
        <w:rPr>
          <w:spacing w:val="-2"/>
        </w:rPr>
        <w:t>）公司</w:t>
      </w:r>
      <w:r>
        <w:rPr>
          <w:rFonts w:ascii="宋体" w:hAnsi="宋体" w:cs="宋体" w:eastAsia="宋体" w:hint="default"/>
          <w:spacing w:val="-2"/>
        </w:rPr>
        <w:t>2014</w:t>
      </w:r>
      <w:r>
        <w:rPr>
          <w:spacing w:val="-2"/>
        </w:rPr>
        <w:t>年度不进行利润分配，不进行分红送股，也不以资本公积金转增股本，留存收益全部用于公司日常生产经营。</w:t>
      </w:r>
    </w:p>
    <w:p>
      <w:pPr>
        <w:pStyle w:val="BodyText"/>
        <w:spacing w:line="357" w:lineRule="auto" w:before="117"/>
        <w:ind w:right="94"/>
        <w:jc w:val="left"/>
      </w:pPr>
      <w:r>
        <w:rPr>
          <w:spacing w:val="-2"/>
        </w:rPr>
        <w:t>（</w:t>
      </w:r>
      <w:r>
        <w:rPr>
          <w:rFonts w:ascii="宋体" w:hAnsi="宋体" w:cs="宋体" w:eastAsia="宋体" w:hint="default"/>
          <w:spacing w:val="-2"/>
        </w:rPr>
        <w:t>3</w:t>
      </w:r>
      <w:r>
        <w:rPr>
          <w:spacing w:val="-2"/>
        </w:rPr>
        <w:t>）公司</w:t>
      </w:r>
      <w:r>
        <w:rPr>
          <w:rFonts w:ascii="宋体" w:hAnsi="宋体" w:cs="宋体" w:eastAsia="宋体" w:hint="default"/>
          <w:spacing w:val="-2"/>
        </w:rPr>
        <w:t>2015</w:t>
      </w:r>
      <w:r>
        <w:rPr>
          <w:spacing w:val="-2"/>
        </w:rPr>
        <w:t>年度不进行利润分配，不进行分红送股，也不以资本公积金转增股本，留存收益全部用于公司日常生产经营。</w:t>
      </w:r>
      <w:r>
        <w:rPr>
          <w:spacing w:val="-61"/>
        </w:rPr>
        <w:t> </w:t>
      </w:r>
      <w:r>
        <w:rPr>
          <w:spacing w:val="-61"/>
        </w:rPr>
      </w:r>
      <w:r>
        <w:rPr/>
        <w:t>公司近三年（包括本报告期）普通股现金分红情况表</w:t>
      </w:r>
    </w:p>
    <w:p>
      <w:pPr>
        <w:pStyle w:val="BodyText"/>
        <w:spacing w:line="240" w:lineRule="auto" w:before="29"/>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128,331,538.12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-88,852,296.24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35,659,127.27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r>
        <w:rPr/>
        <w:pict>
          <v:shape style="position:absolute;margin-left:299.059998pt;margin-top:537.675964pt;width:154.4pt;height:95.55pt;mso-position-horizontal-relative:page;mso-position-vertical-relative:page;z-index:-1060696" type="#_x0000_t202" filled="false" stroked="false">
            <v:textbox inset="0,0,0,0">
              <w:txbxContent>
                <w:p>
                  <w:pPr>
                    <w:pStyle w:val="BodyText"/>
                    <w:spacing w:line="240" w:lineRule="auto" w:before="49"/>
                    <w:ind w:left="0" w:right="0"/>
                    <w:jc w:val="left"/>
                  </w:pPr>
                  <w:r>
                    <w:rPr/>
                    <w:t>事或经营与公司主营业务、</w:t>
                  </w:r>
                </w:p>
              </w:txbxContent>
            </v:textbox>
            <w10:wrap type="none"/>
          </v:shape>
        </w:pict>
      </w:r>
    </w:p>
    <w:p>
      <w:pPr>
        <w:pStyle w:val="BodyText"/>
        <w:spacing w:line="240" w:lineRule="auto" w:before="44"/>
        <w:ind w:right="153"/>
        <w:jc w:val="left"/>
      </w:pPr>
      <w:r>
        <w:rPr/>
        <w:t>公司报告期内盈利且母公司可供普通股股东分配利润为正但未提出普通股现金红利分配预案</w:t>
      </w:r>
    </w:p>
    <w:p>
      <w:pPr>
        <w:pStyle w:val="BodyText"/>
        <w:spacing w:line="240" w:lineRule="auto" w:before="117"/>
        <w:ind w:right="15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6"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公司日常生产经营、未来投资和发展需要大量资金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用于公司日常生产经营</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4554"/>
        <w:jc w:val="left"/>
      </w:pPr>
      <w:r>
        <w:rPr/>
        <w:t>□ 适用 √</w:t>
      </w:r>
      <w:r>
        <w:rPr>
          <w:spacing w:val="3"/>
        </w:rPr>
        <w:t> </w:t>
      </w:r>
      <w:r>
        <w:rPr/>
        <w:t>不适用</w:t>
      </w:r>
      <w:r>
        <w:rPr/>
        <w:t> 公司计划年度不派发现金红利，不送红股，不以公积金转增股本。</w:t>
      </w:r>
    </w:p>
    <w:p>
      <w:pPr>
        <w:spacing w:line="240" w:lineRule="auto" w:before="3"/>
        <w:rPr>
          <w:rFonts w:ascii="宋体" w:hAnsi="宋体" w:cs="宋体" w:eastAsia="宋体" w:hint="default"/>
          <w:sz w:val="18"/>
          <w:szCs w:val="18"/>
        </w:rPr>
      </w:pPr>
    </w:p>
    <w:p>
      <w:pPr>
        <w:pStyle w:val="Heading2"/>
        <w:spacing w:line="240" w:lineRule="auto"/>
        <w:ind w:right="15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73" w:lineRule="auto"/>
        <w:ind w:right="153"/>
        <w:jc w:val="left"/>
        <w:rPr>
          <w:b w:val="0"/>
          <w:bCs w:val="0"/>
        </w:rPr>
      </w:pPr>
      <w:r>
        <w:rPr>
          <w:rFonts w:ascii="宋体" w:hAnsi="宋体" w:cs="宋体" w:eastAsia="宋体" w:hint="default"/>
        </w:rPr>
        <w:t>1</w:t>
      </w:r>
      <w:r>
        <w:rPr/>
        <w:t>、公司、股东、实际控制人、收购人、董事、监事、高级管理人员或其他关联方在报告期内履行完毕及</w:t>
      </w:r>
      <w:r>
        <w:rPr>
          <w:spacing w:val="-66"/>
        </w:rPr>
        <w:t> </w:t>
      </w:r>
      <w:r>
        <w:rPr>
          <w:spacing w:val="-66"/>
        </w:rPr>
      </w:r>
      <w:r>
        <w:rPr/>
        <w:t>截至报告期末尚未履行完毕的承诺事项</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0"/>
        <w:gridCol w:w="708"/>
        <w:gridCol w:w="850"/>
        <w:gridCol w:w="4537"/>
        <w:gridCol w:w="994"/>
        <w:gridCol w:w="1133"/>
        <w:gridCol w:w="595"/>
      </w:tblGrid>
      <w:tr>
        <w:trPr>
          <w:trHeight w:val="161" w:hRule="exact"/>
        </w:trPr>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5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1" w:hRule="exact"/>
        </w:trPr>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595" w:type="dxa"/>
            <w:vMerge/>
            <w:tcBorders>
              <w:left w:val="single" w:sz="4" w:space="0" w:color="000000"/>
              <w:right w:val="single" w:sz="4" w:space="0" w:color="000000"/>
            </w:tcBorders>
            <w:shd w:val="clear" w:color="auto" w:fill="D2D2D2"/>
          </w:tcPr>
          <w:p>
            <w:pPr/>
          </w:p>
        </w:tc>
      </w:tr>
      <w:tr>
        <w:trPr>
          <w:trHeight w:val="161" w:hRule="exact"/>
        </w:trPr>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1" w:right="19"/>
              <w:jc w:val="left"/>
              <w:rPr>
                <w:rFonts w:ascii="宋体" w:hAnsi="宋体" w:cs="宋体" w:eastAsia="宋体" w:hint="default"/>
                <w:sz w:val="18"/>
                <w:szCs w:val="18"/>
              </w:rPr>
            </w:pPr>
            <w:r>
              <w:rPr>
                <w:rFonts w:ascii="宋体" w:hAnsi="宋体" w:cs="宋体" w:eastAsia="宋体" w:hint="default"/>
                <w:spacing w:val="-17"/>
                <w:sz w:val="18"/>
                <w:szCs w:val="18"/>
              </w:rPr>
              <w:t>何平；任</w:t>
            </w:r>
            <w:r>
              <w:rPr>
                <w:rFonts w:ascii="宋体" w:hAnsi="宋体" w:cs="宋体" w:eastAsia="宋体" w:hint="default"/>
                <w:sz w:val="18"/>
                <w:szCs w:val="18"/>
              </w:rPr>
              <w:t> 金生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7"/>
                <w:sz w:val="18"/>
                <w:szCs w:val="18"/>
              </w:rPr>
              <w:t>严格按照《公司法》、《公司章程》的规定行使股东权利，</w:t>
            </w:r>
            <w:r>
              <w:rPr>
                <w:rFonts w:ascii="宋体" w:hAnsi="宋体" w:cs="宋体" w:eastAsia="宋体" w:hint="default"/>
                <w:sz w:val="18"/>
                <w:szCs w:val="18"/>
              </w:rPr>
              <w:t> </w:t>
            </w:r>
            <w:r>
              <w:rPr>
                <w:rFonts w:ascii="宋体" w:hAnsi="宋体" w:cs="宋体" w:eastAsia="宋体" w:hint="default"/>
                <w:spacing w:val="-6"/>
                <w:sz w:val="18"/>
                <w:szCs w:val="18"/>
              </w:rPr>
              <w:t>履行股东义务，保持深圳惠程在人员、资产、财务、业务、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机构等方面的独立经营自主权，保证不侵害深圳惠程及其</w:t>
            </w:r>
            <w:r>
              <w:rPr>
                <w:rFonts w:ascii="宋体" w:hAnsi="宋体" w:cs="宋体" w:eastAsia="宋体" w:hint="default"/>
                <w:sz w:val="18"/>
                <w:szCs w:val="18"/>
              </w:rPr>
              <w:t> 他股东的合法权益。</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50" w:lineRule="exact"/>
              <w:ind w:left="12"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46.85pt;height:17.55pt;mso-position-horizontal-relative:char;mso-position-vertical-relative:line" coordorigin="0,0" coordsize="937,351">
                  <v:group style="position:absolute;left:0;top:0;width:937;height:351" coordorigin="0,0" coordsize="937,351">
                    <v:shape style="position:absolute;left:0;top:0;width:937;height:351" coordorigin="0,0" coordsize="937,351" path="m0,350l936,350,936,0,0,0,0,35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99"/>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161" w:hRule="exact"/>
        </w:trPr>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不进行重 大资产重 组承诺</w:t>
            </w:r>
          </w:p>
        </w:tc>
        <w:tc>
          <w:tcPr>
            <w:tcW w:w="4537"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日发布的《关于终止筹划重大资产 </w:t>
            </w:r>
            <w:r>
              <w:rPr>
                <w:rFonts w:ascii="宋体" w:hAnsi="宋体" w:cs="宋体" w:eastAsia="宋体" w:hint="default"/>
                <w:spacing w:val="-1"/>
                <w:sz w:val="18"/>
                <w:szCs w:val="18"/>
              </w:rPr>
              <w:t>重组事项暨股票复牌公告》中承诺在终止本次筹划重大资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产重组事项暨股票复牌之日起六个月内不再筹划重大资 产重组事项。</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1015" w:hRule="exact"/>
        </w:trPr>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708"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r>
      <w:tr>
        <w:trPr>
          <w:trHeight w:val="161" w:hRule="exact"/>
        </w:trPr>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53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r>
      <w:tr>
        <w:trPr>
          <w:trHeight w:val="1606" w:hRule="exact"/>
        </w:trPr>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16" w:right="41"/>
              <w:jc w:val="left"/>
              <w:rPr>
                <w:rFonts w:ascii="宋体" w:hAnsi="宋体" w:cs="宋体" w:eastAsia="宋体" w:hint="default"/>
                <w:sz w:val="18"/>
                <w:szCs w:val="18"/>
              </w:rPr>
            </w:pPr>
            <w:r>
              <w:rPr>
                <w:rFonts w:ascii="宋体" w:hAnsi="宋体" w:cs="宋体" w:eastAsia="宋体" w:hint="default"/>
                <w:sz w:val="18"/>
                <w:szCs w:val="18"/>
              </w:rPr>
              <w:t>何平</w:t>
            </w:r>
            <w:r>
              <w:rPr>
                <w:rFonts w:ascii="宋体" w:hAnsi="宋体" w:cs="宋体" w:eastAsia="宋体" w:hint="default"/>
                <w:sz w:val="18"/>
                <w:szCs w:val="18"/>
              </w:rPr>
              <w:t>;</w:t>
            </w:r>
            <w:r>
              <w:rPr>
                <w:rFonts w:ascii="宋体" w:hAnsi="宋体" w:cs="宋体" w:eastAsia="宋体" w:hint="default"/>
                <w:sz w:val="18"/>
                <w:szCs w:val="18"/>
              </w:rPr>
              <w:t>任 金生</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3"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、不在公司之外直接或间接从 </w:t>
            </w:r>
            <w:r>
              <w:rPr>
                <w:rFonts w:ascii="宋体" w:hAnsi="宋体" w:cs="宋体" w:eastAsia="宋体" w:hint="default"/>
                <w:spacing w:val="-1"/>
                <w:sz w:val="18"/>
                <w:szCs w:val="18"/>
              </w:rPr>
              <w:t>主导产品构成竞争的业务活动；在今后的经营或投资项目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安排上，避免同种类业务或同类产品的同类竞争行为的发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w:t>
            </w:r>
          </w:p>
          <w:p>
            <w:pPr>
              <w:pStyle w:val="TableParagraph"/>
              <w:spacing w:line="316" w:lineRule="auto" w:before="59"/>
              <w:ind w:left="24" w:right="2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、尽管公司主要股东、高管人员和核心技术人员曾就职 </w:t>
            </w:r>
            <w:r>
              <w:rPr>
                <w:rFonts w:ascii="宋体" w:hAnsi="宋体" w:cs="宋体" w:eastAsia="宋体" w:hint="default"/>
                <w:spacing w:val="-1"/>
                <w:sz w:val="18"/>
                <w:szCs w:val="18"/>
              </w:rPr>
              <w:t>于长春热缩材料股份有限公司，但公司所拥有的核心技术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及知识产权均由公司成立后组织相关技术人员独立开发 </w:t>
            </w:r>
            <w:r>
              <w:rPr>
                <w:rFonts w:ascii="宋体" w:hAnsi="宋体" w:cs="宋体" w:eastAsia="宋体" w:hint="default"/>
                <w:spacing w:val="-1"/>
                <w:sz w:val="18"/>
                <w:szCs w:val="18"/>
              </w:rPr>
              <w:t>完成，并非来源于长春热缩材料股份有限公司或中科院长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春应用化学研究所，不存在侵犯长春热缩材料股份有限公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司与中科院长春应用化学研究所知识产权或商业秘密的 情形，也不存在纠纷或潜在纠纷的情况。</w:t>
            </w:r>
          </w:p>
          <w:p>
            <w:pPr>
              <w:pStyle w:val="TableParagraph"/>
              <w:spacing w:line="319" w:lineRule="auto" w:before="59"/>
              <w:ind w:left="24" w:right="2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、本人现拥有深圳市惠程电气股份有限公司股权，本人 </w:t>
            </w:r>
            <w:r>
              <w:rPr>
                <w:rFonts w:ascii="宋体" w:hAnsi="宋体" w:cs="宋体" w:eastAsia="宋体" w:hint="default"/>
                <w:spacing w:val="-1"/>
                <w:sz w:val="18"/>
                <w:szCs w:val="18"/>
              </w:rPr>
              <w:t>为所持有股份的终极持有人，无任何委托持股、信托或其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它类似的安排</w:t>
            </w:r>
            <w:r>
              <w:rPr>
                <w:rFonts w:ascii="宋体" w:hAnsi="宋体" w:cs="宋体" w:eastAsia="宋体" w:hint="default"/>
                <w:sz w:val="18"/>
                <w:szCs w:val="18"/>
              </w:rPr>
              <w:t>"</w:t>
            </w:r>
          </w:p>
        </w:tc>
        <w:tc>
          <w:tcPr>
            <w:tcW w:w="994" w:type="dxa"/>
            <w:vMerge w:val="restart"/>
            <w:tcBorders>
              <w:top w:val="single" w:sz="4" w:space="0" w:color="000000"/>
              <w:left w:val="single" w:sz="4" w:space="0" w:color="000000"/>
              <w:right w:val="single" w:sz="4" w:space="0" w:color="000000"/>
            </w:tcBorders>
          </w:tcPr>
          <w:p>
            <w:pPr>
              <w:pStyle w:val="TableParagraph"/>
              <w:spacing w:line="1910" w:lineRule="exact"/>
              <w:ind w:left="2" w:right="-51"/>
              <w:jc w:val="left"/>
              <w:rPr>
                <w:rFonts w:ascii="宋体" w:hAnsi="宋体" w:cs="宋体" w:eastAsia="宋体" w:hint="default"/>
                <w:sz w:val="20"/>
                <w:szCs w:val="20"/>
              </w:rPr>
            </w:pPr>
            <w:r>
              <w:rPr>
                <w:rFonts w:ascii="宋体" w:hAnsi="宋体" w:cs="宋体" w:eastAsia="宋体" w:hint="default"/>
                <w:position w:val="-37"/>
                <w:sz w:val="20"/>
                <w:szCs w:val="20"/>
              </w:rPr>
              <w:pict>
                <v:group style="width:49.15pt;height:95.55pt;mso-position-horizontal-relative:char;mso-position-vertical-relative:line" coordorigin="0,0" coordsize="983,1911">
                  <v:group style="position:absolute;left:0;top:0;width:983;height:1911" coordorigin="0,0" coordsize="983,1911">
                    <v:shape style="position:absolute;left:0;top:0;width:983;height:1911" coordorigin="0,0" coordsize="983,1911" path="m0,1911l982,1911,982,0,0,0,0,1911xe" filled="true" fillcolor="#ffffff" stroked="false">
                      <v:path arrowok="t"/>
                      <v:fill type="solid"/>
                    </v:shape>
                  </v:group>
                </v:group>
              </w:pict>
            </w:r>
            <w:r>
              <w:rPr>
                <w:rFonts w:ascii="宋体" w:hAnsi="宋体" w:cs="宋体" w:eastAsia="宋体" w:hint="default"/>
                <w:position w:val="-37"/>
                <w:sz w:val="20"/>
                <w:szCs w:val="20"/>
              </w:rPr>
            </w:r>
          </w:p>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23" w:right="199"/>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1330" w:hRule="exact"/>
        </w:trPr>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708"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r>
      <w:tr>
        <w:trPr>
          <w:trHeight w:val="1604" w:hRule="exact"/>
        </w:trPr>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53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708"/>
        <w:gridCol w:w="850"/>
        <w:gridCol w:w="4537"/>
        <w:gridCol w:w="994"/>
        <w:gridCol w:w="1133"/>
        <w:gridCol w:w="595"/>
      </w:tblGrid>
      <w:tr>
        <w:trPr>
          <w:trHeight w:val="1337"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公司在《深圳市惠程电气股份有限公司第二期限制性股票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与股票期权激励计划（草案）》中承诺不为激励对象依获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取有关权益提供贷款以及其他任何形式的财务资助，包括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为其贷款提供担保。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1339"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
                <w:sz w:val="18"/>
                <w:szCs w:val="18"/>
              </w:rPr>
              <w:t>公司在《深圳市惠程电气股份有限公司限制性股票与股票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期权激励计划（草案）》中承诺不为激励对象依获取有关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权益提供贷款以及其他任何形式的财务资助，包括为其贷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款提供担保。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3209"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32"/>
              <w:jc w:val="left"/>
              <w:rPr>
                <w:rFonts w:ascii="宋体" w:hAnsi="宋体" w:cs="宋体" w:eastAsia="宋体" w:hint="default"/>
                <w:sz w:val="18"/>
                <w:szCs w:val="18"/>
              </w:rPr>
            </w:pPr>
            <w:r>
              <w:rPr>
                <w:rFonts w:ascii="宋体" w:hAnsi="宋体" w:cs="宋体" w:eastAsia="宋体" w:hint="default"/>
                <w:sz w:val="18"/>
                <w:szCs w:val="18"/>
              </w:rPr>
              <w:t>吉林高 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95"/>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《关于间接控股公司继续使用部分闲置募集资金暂时补 </w:t>
            </w:r>
            <w:r>
              <w:rPr>
                <w:rFonts w:ascii="宋体" w:hAnsi="宋体" w:cs="宋体" w:eastAsia="宋体" w:hint="default"/>
                <w:spacing w:val="-1"/>
                <w:sz w:val="18"/>
                <w:szCs w:val="18"/>
              </w:rPr>
              <w:t>充流动资金的公告》中，吉林高琦承诺：本次使用部分闲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置募集资金暂时补充流动资金不会变相改变募集资金用 </w:t>
            </w:r>
            <w:r>
              <w:rPr>
                <w:rFonts w:ascii="宋体" w:hAnsi="宋体" w:cs="宋体" w:eastAsia="宋体" w:hint="default"/>
                <w:spacing w:val="-1"/>
                <w:sz w:val="18"/>
                <w:szCs w:val="18"/>
              </w:rPr>
              <w:t>途；当募集资金项目需要时，将及时用自有资金或银行贷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款归还到募集资金专用账户，不会影响募集资金投资计划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的正常进行；并保证单次补充流动资金时间不超过十二个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月，暂时用于补充流动资金的款项到期后，及时归还到募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集资金专用账户。公司过去十二个月内未进行证券投资等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风险投资，吉林高琦承诺在使用闲置募集资金暂时补充流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动资金期间，不进行证券投资等风险投资。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1028"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何平</w:t>
            </w:r>
            <w:r>
              <w:rPr>
                <w:rFonts w:ascii="宋体" w:hAnsi="宋体" w:cs="宋体" w:eastAsia="宋体" w:hint="default"/>
                <w:sz w:val="18"/>
                <w:szCs w:val="18"/>
              </w:rPr>
              <w:t>;</w:t>
            </w:r>
            <w:r>
              <w:rPr>
                <w:rFonts w:ascii="宋体" w:hAnsi="宋体" w:cs="宋体" w:eastAsia="宋体" w:hint="default"/>
                <w:sz w:val="18"/>
                <w:szCs w:val="18"/>
              </w:rPr>
              <w:t>任 金生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0"/>
              <w:jc w:val="left"/>
              <w:rPr>
                <w:rFonts w:ascii="宋体" w:hAnsi="宋体" w:cs="宋体" w:eastAsia="宋体" w:hint="default"/>
                <w:sz w:val="18"/>
                <w:szCs w:val="18"/>
              </w:rPr>
            </w:pPr>
            <w:r>
              <w:rPr>
                <w:rFonts w:ascii="宋体" w:hAnsi="宋体" w:cs="宋体" w:eastAsia="宋体" w:hint="default"/>
                <w:sz w:val="18"/>
                <w:szCs w:val="18"/>
              </w:rPr>
              <w:t>控股股东何平女士和任金生先生承诺六个月内不减持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日增持的股份</w:t>
            </w:r>
            <w:r>
              <w:rPr>
                <w:rFonts w:ascii="宋体" w:hAnsi="宋体" w:cs="宋体" w:eastAsia="宋体" w:hint="default"/>
                <w:spacing w:val="-46"/>
                <w:sz w:val="18"/>
                <w:szCs w:val="18"/>
              </w:rPr>
              <w:t> </w:t>
            </w:r>
            <w:r>
              <w:rPr>
                <w:rFonts w:ascii="宋体" w:hAnsi="宋体" w:cs="宋体" w:eastAsia="宋体" w:hint="default"/>
                <w:sz w:val="18"/>
                <w:szCs w:val="18"/>
              </w:rPr>
              <w:t>631200 </w:t>
            </w: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2016</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9"/>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8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3"/>
        <w:spacing w:line="273" w:lineRule="auto" w:before="36"/>
        <w:ind w:right="153"/>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5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014"/>
        <w:jc w:val="left"/>
      </w:pPr>
      <w:r>
        <w:rPr/>
        <w:t>□ 适用 √</w:t>
      </w:r>
      <w:r>
        <w:rPr>
          <w:spacing w:val="3"/>
        </w:rPr>
        <w:t> </w:t>
      </w:r>
      <w:r>
        <w:rPr/>
        <w:t>不适用</w:t>
      </w:r>
      <w:r>
        <w:rPr/>
        <w:t> 公司报告期不存在控股股东及其关联方对上市公司的非经营性占用资金。</w:t>
      </w:r>
    </w:p>
    <w:p>
      <w:pPr>
        <w:spacing w:line="240" w:lineRule="auto" w:before="9"/>
        <w:rPr>
          <w:rFonts w:ascii="宋体" w:hAnsi="宋体" w:cs="宋体" w:eastAsia="宋体" w:hint="default"/>
          <w:sz w:val="20"/>
          <w:szCs w:val="20"/>
        </w:rPr>
      </w:pPr>
    </w:p>
    <w:p>
      <w:pPr>
        <w:pStyle w:val="Heading2"/>
        <w:spacing w:line="312" w:lineRule="exact"/>
        <w:ind w:right="13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4734"/>
        <w:jc w:val="left"/>
      </w:pPr>
      <w:r>
        <w:rPr/>
        <w:t>□ 适用 √</w:t>
      </w:r>
      <w:r>
        <w:rPr>
          <w:spacing w:val="3"/>
        </w:rPr>
        <w:t> </w:t>
      </w:r>
      <w:r>
        <w:rPr/>
        <w:t>不适用</w:t>
      </w:r>
      <w:r>
        <w:rPr/>
        <w:t> 公司报告期无会计政策、会计估计和核算方法发生变化的情况。</w:t>
      </w:r>
    </w:p>
    <w:p>
      <w:pPr>
        <w:spacing w:after="0" w:line="357" w:lineRule="auto"/>
        <w:jc w:val="left"/>
        <w:sectPr>
          <w:pgSz w:w="11910" w:h="16840"/>
          <w:pgMar w:header="877" w:footer="1186" w:top="1100" w:bottom="138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252"/>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5694"/>
        <w:jc w:val="left"/>
      </w:pPr>
      <w:r>
        <w:rPr/>
        <w:t>□ 适用 √</w:t>
      </w:r>
      <w:r>
        <w:rPr>
          <w:spacing w:val="3"/>
        </w:rPr>
        <w:t> </w:t>
      </w:r>
      <w:r>
        <w:rPr/>
        <w:t>不适用</w:t>
      </w:r>
      <w:r>
        <w:rPr/>
        <w:t> 公司报告期无重大会计差错更正需追溯重述的情况。</w:t>
      </w:r>
    </w:p>
    <w:p>
      <w:pPr>
        <w:spacing w:line="240" w:lineRule="auto" w:before="7"/>
        <w:rPr>
          <w:rFonts w:ascii="宋体" w:hAnsi="宋体" w:cs="宋体" w:eastAsia="宋体" w:hint="default"/>
          <w:sz w:val="18"/>
          <w:szCs w:val="18"/>
        </w:rPr>
      </w:pPr>
    </w:p>
    <w:p>
      <w:pPr>
        <w:pStyle w:val="Heading2"/>
        <w:spacing w:line="240" w:lineRule="auto"/>
        <w:ind w:right="252"/>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203" w:hanging="361"/>
        <w:jc w:val="left"/>
      </w:pPr>
      <w:r>
        <w:rPr/>
        <w:t>√ 适用 □</w:t>
      </w:r>
      <w:r>
        <w:rPr>
          <w:spacing w:val="3"/>
        </w:rPr>
        <w:t> </w:t>
      </w:r>
      <w:r>
        <w:rPr/>
        <w:t>不适用</w:t>
      </w:r>
      <w:r>
        <w:rPr/>
        <w:t> 公司</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8</w:t>
      </w:r>
      <w:r>
        <w:rPr/>
        <w:t>日转让长春高琦</w:t>
      </w:r>
      <w:r>
        <w:rPr>
          <w:rFonts w:ascii="宋体" w:hAnsi="宋体" w:cs="宋体" w:eastAsia="宋体" w:hint="default"/>
        </w:rPr>
        <w:t>33.63177%</w:t>
      </w:r>
      <w:r>
        <w:rPr/>
        <w:t>股权、</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23</w:t>
      </w:r>
      <w:r>
        <w:rPr/>
        <w:t>日转让长春高琦</w:t>
      </w:r>
      <w:r>
        <w:rPr>
          <w:rFonts w:ascii="宋体" w:hAnsi="宋体" w:cs="宋体" w:eastAsia="宋体" w:hint="default"/>
        </w:rPr>
        <w:t>33%</w:t>
      </w:r>
      <w:r>
        <w:rPr/>
        <w:t>股权、</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27</w:t>
      </w:r>
      <w:r>
        <w:rPr/>
        <w:t>日转让长春高琦</w:t>
      </w:r>
    </w:p>
    <w:p>
      <w:pPr>
        <w:pStyle w:val="BodyText"/>
        <w:spacing w:line="224" w:lineRule="exact"/>
        <w:ind w:right="0"/>
        <w:jc w:val="left"/>
      </w:pPr>
      <w:r>
        <w:rPr>
          <w:rFonts w:ascii="宋体" w:hAnsi="宋体" w:cs="宋体" w:eastAsia="宋体" w:hint="default"/>
        </w:rPr>
        <w:t>18%</w:t>
      </w:r>
      <w:r>
        <w:rPr/>
        <w:t>股权，后因资金投入、技术升级不确定等原因放弃对长春高琦</w:t>
      </w:r>
      <w:r>
        <w:rPr>
          <w:rFonts w:ascii="宋体" w:hAnsi="宋体" w:cs="宋体" w:eastAsia="宋体" w:hint="default"/>
        </w:rPr>
        <w:t>66.63177%</w:t>
      </w:r>
      <w:r>
        <w:rPr/>
        <w:t>股权的托管权及未来五年内对该股权的回购权，</w:t>
      </w:r>
    </w:p>
    <w:p>
      <w:pPr>
        <w:pStyle w:val="BodyText"/>
        <w:spacing w:line="319" w:lineRule="auto" w:before="76"/>
        <w:ind w:right="204"/>
        <w:jc w:val="left"/>
      </w:pPr>
      <w:r>
        <w:rPr/>
        <w:t>截至</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23</w:t>
      </w:r>
      <w:r>
        <w:rPr/>
        <w:t>日，上述股权转让工商变更手续已全部办理完毕，根据企业会计准则的相关规定，公司自股权过户完成后 不再将长春高琦及其下属控股子公司纳入合并报表范围。</w:t>
      </w:r>
    </w:p>
    <w:p>
      <w:pPr>
        <w:pStyle w:val="BodyText"/>
        <w:spacing w:line="316" w:lineRule="auto" w:before="17"/>
        <w:ind w:right="114" w:firstLine="360"/>
        <w:jc w:val="left"/>
      </w:pPr>
      <w:r>
        <w:rPr>
          <w:spacing w:val="-3"/>
        </w:rPr>
        <w:t>公司</w:t>
      </w:r>
      <w:r>
        <w:rPr>
          <w:rFonts w:ascii="宋体" w:hAnsi="宋体" w:cs="宋体" w:eastAsia="宋体" w:hint="default"/>
          <w:spacing w:val="-3"/>
        </w:rPr>
        <w:t>2014</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23</w:t>
      </w:r>
      <w:r>
        <w:rPr>
          <w:spacing w:val="-3"/>
        </w:rPr>
        <w:t>日向吕晓义、何平共计转让江西先材</w:t>
      </w:r>
      <w:r>
        <w:rPr>
          <w:rFonts w:ascii="宋体" w:hAnsi="宋体" w:cs="宋体" w:eastAsia="宋体" w:hint="default"/>
          <w:spacing w:val="-3"/>
        </w:rPr>
        <w:t>52.8%</w:t>
      </w:r>
      <w:r>
        <w:rPr>
          <w:spacing w:val="-3"/>
        </w:rPr>
        <w:t>股权，股权转让公司变更登记手续已于</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23</w:t>
      </w:r>
      <w:r>
        <w:rPr>
          <w:spacing w:val="-3"/>
        </w:rPr>
        <w:t>日完成，</w:t>
      </w:r>
      <w:r>
        <w:rPr/>
        <w:t> 后因资金投入、技术升级不确定等原因放弃对江西先材</w:t>
      </w:r>
      <w:r>
        <w:rPr>
          <w:rFonts w:ascii="宋体" w:hAnsi="宋体" w:cs="宋体" w:eastAsia="宋体" w:hint="default"/>
        </w:rPr>
        <w:t>52.8%</w:t>
      </w:r>
      <w:r>
        <w:rPr/>
        <w:t>股权的托管权及未来五年内对该股权的回购权，根据企业会计 准则的相关规定，公司自股权过户完成后不再将江西先材纳入合并报表范围。</w:t>
      </w:r>
    </w:p>
    <w:p>
      <w:pPr>
        <w:pStyle w:val="BodyText"/>
        <w:spacing w:line="316" w:lineRule="auto" w:before="59"/>
        <w:ind w:right="208" w:firstLine="360"/>
        <w:jc w:val="both"/>
      </w:pPr>
      <w:r>
        <w:rPr/>
        <w:t>公司于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8</w:t>
      </w:r>
      <w:r>
        <w:rPr/>
        <w:t>日在新疆喀什地区设立全资子公司喀什中汇联银，子公司北京中汇联银于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日在北京设立 全资子公司中行置盛、于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15</w:t>
      </w:r>
      <w:r>
        <w:rPr/>
        <w:t>日在北京设立全资子公司中融建银，公司将以上新成立的子公司、孙公司纳入</w:t>
      </w:r>
      <w:r>
        <w:rPr>
          <w:rFonts w:ascii="宋体" w:hAnsi="宋体" w:cs="宋体" w:eastAsia="宋体" w:hint="default"/>
        </w:rPr>
        <w:t>2015</w:t>
      </w:r>
      <w:r>
        <w:rPr/>
        <w:t>年</w:t>
      </w:r>
      <w:r>
        <w:rPr>
          <w:spacing w:val="-86"/>
        </w:rPr>
        <w:t> </w:t>
      </w:r>
      <w:r>
        <w:rPr/>
        <w:t>年度财务报表合并范围。</w:t>
      </w:r>
    </w:p>
    <w:p>
      <w:pPr>
        <w:spacing w:line="240" w:lineRule="auto" w:before="11"/>
        <w:rPr>
          <w:rFonts w:ascii="宋体" w:hAnsi="宋体" w:cs="宋体" w:eastAsia="宋体" w:hint="default"/>
          <w:sz w:val="20"/>
          <w:szCs w:val="20"/>
        </w:rPr>
      </w:pPr>
    </w:p>
    <w:p>
      <w:pPr>
        <w:pStyle w:val="Heading2"/>
        <w:spacing w:line="240" w:lineRule="auto"/>
        <w:ind w:right="252"/>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52"/>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80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陈琼、钟宇</w:t>
            </w:r>
          </w:p>
        </w:tc>
      </w:tr>
    </w:tbl>
    <w:p>
      <w:pPr>
        <w:pStyle w:val="BodyText"/>
        <w:spacing w:line="240" w:lineRule="auto" w:before="49"/>
        <w:ind w:right="252"/>
        <w:jc w:val="left"/>
      </w:pPr>
      <w:r>
        <w:rPr/>
        <w:t>当期是否改聘会计师事务所</w:t>
      </w:r>
    </w:p>
    <w:p>
      <w:pPr>
        <w:pStyle w:val="BodyText"/>
        <w:spacing w:line="357" w:lineRule="auto" w:before="117"/>
        <w:ind w:right="5334"/>
        <w:jc w:val="left"/>
      </w:pPr>
      <w:r>
        <w:rPr/>
        <w:t>□ 是 √</w:t>
      </w:r>
      <w:r>
        <w:rPr>
          <w:spacing w:val="3"/>
        </w:rPr>
        <w:t> </w:t>
      </w:r>
      <w:r>
        <w:rPr/>
        <w:t>否</w:t>
      </w:r>
      <w:r>
        <w:rPr/>
        <w:t> 聘请内部控制审计会计师事务所、财务顾问或保荐人情况</w:t>
      </w:r>
    </w:p>
    <w:p>
      <w:pPr>
        <w:pStyle w:val="BodyText"/>
        <w:spacing w:line="360" w:lineRule="auto" w:before="29"/>
        <w:ind w:right="1194"/>
        <w:jc w:val="left"/>
      </w:pPr>
      <w:r>
        <w:rPr/>
        <w:t>√ 适用 □</w:t>
      </w:r>
      <w:r>
        <w:rPr>
          <w:spacing w:val="3"/>
        </w:rPr>
        <w:t> </w:t>
      </w:r>
      <w:r>
        <w:rPr/>
        <w:t>不适用</w:t>
      </w:r>
      <w:r>
        <w:rPr/>
        <w:t> 本年度，公司因两期股权激励计划，聘请华创证券有限责任公司为财务顾问，期间共支付财务顾问费</w:t>
      </w:r>
      <w:r>
        <w:rPr>
          <w:rFonts w:ascii="宋体" w:hAnsi="宋体" w:cs="宋体" w:eastAsia="宋体" w:hint="default"/>
        </w:rPr>
        <w:t>15</w:t>
      </w:r>
      <w:r>
        <w:rPr/>
        <w:t>万元。</w:t>
      </w:r>
    </w:p>
    <w:p>
      <w:pPr>
        <w:spacing w:line="240" w:lineRule="auto" w:before="2"/>
        <w:rPr>
          <w:rFonts w:ascii="宋体" w:hAnsi="宋体" w:cs="宋体" w:eastAsia="宋体" w:hint="default"/>
          <w:sz w:val="18"/>
          <w:szCs w:val="18"/>
        </w:rPr>
      </w:pPr>
    </w:p>
    <w:p>
      <w:pPr>
        <w:pStyle w:val="Heading2"/>
        <w:spacing w:line="240" w:lineRule="auto"/>
        <w:ind w:right="252"/>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52"/>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52"/>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74"/>
        <w:jc w:val="left"/>
      </w:pPr>
      <w:r>
        <w:rPr/>
        <w:t>□ 适用 √</w:t>
      </w:r>
      <w:r>
        <w:rPr>
          <w:spacing w:val="3"/>
        </w:rPr>
        <w:t> </w:t>
      </w:r>
      <w:r>
        <w:rPr/>
        <w:t>不适用</w:t>
      </w:r>
      <w:r>
        <w:rPr/>
        <w:t> 公司报告期未发生破产重整相关事项。</w:t>
      </w:r>
    </w:p>
    <w:p>
      <w:pPr>
        <w:spacing w:after="0" w:line="360" w:lineRule="auto"/>
        <w:jc w:val="left"/>
        <w:sectPr>
          <w:pgSz w:w="11910" w:h="16840"/>
          <w:pgMar w:header="877" w:footer="1186" w:top="1100" w:bottom="1380" w:left="980" w:right="920"/>
        </w:sectPr>
      </w:pPr>
    </w:p>
    <w:p>
      <w:pPr>
        <w:spacing w:line="240" w:lineRule="auto" w:before="10"/>
        <w:rPr>
          <w:rFonts w:ascii="宋体" w:hAnsi="宋体" w:cs="宋体" w:eastAsia="宋体" w:hint="default"/>
          <w:sz w:val="19"/>
          <w:szCs w:val="19"/>
        </w:rPr>
      </w:pPr>
    </w:p>
    <w:p>
      <w:pPr>
        <w:pStyle w:val="Heading2"/>
        <w:spacing w:line="240" w:lineRule="auto" w:before="26"/>
        <w:ind w:right="15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14"/>
        <w:jc w:val="left"/>
      </w:pPr>
      <w:r>
        <w:rPr/>
        <w:t>□ 适用 √</w:t>
      </w:r>
      <w:r>
        <w:rPr>
          <w:spacing w:val="3"/>
        </w:rPr>
        <w:t> </w:t>
      </w:r>
      <w:r>
        <w:rPr/>
        <w:t>不适用</w:t>
      </w:r>
      <w:r>
        <w:rPr/>
        <w:t> 本报告期公司无重大诉讼、仲裁事项。</w:t>
      </w:r>
    </w:p>
    <w:p>
      <w:pPr>
        <w:spacing w:line="240" w:lineRule="auto" w:before="7"/>
        <w:rPr>
          <w:rFonts w:ascii="宋体" w:hAnsi="宋体" w:cs="宋体" w:eastAsia="宋体" w:hint="default"/>
          <w:sz w:val="18"/>
          <w:szCs w:val="18"/>
        </w:rPr>
      </w:pPr>
    </w:p>
    <w:p>
      <w:pPr>
        <w:pStyle w:val="Heading2"/>
        <w:spacing w:line="240" w:lineRule="auto"/>
        <w:ind w:right="15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894"/>
        <w:jc w:val="left"/>
      </w:pPr>
      <w:r>
        <w:rPr/>
        <w:t>□ 适用 √</w:t>
      </w:r>
      <w:r>
        <w:rPr>
          <w:spacing w:val="3"/>
        </w:rPr>
        <w:t> </w:t>
      </w:r>
      <w:r>
        <w:rPr/>
        <w:t>不适用</w:t>
      </w:r>
      <w:r>
        <w:rPr/>
        <w:t> 公司报告期不存在处罚及整改情况。</w:t>
      </w:r>
    </w:p>
    <w:p>
      <w:pPr>
        <w:spacing w:line="240" w:lineRule="auto" w:before="7"/>
        <w:rPr>
          <w:rFonts w:ascii="宋体" w:hAnsi="宋体" w:cs="宋体" w:eastAsia="宋体" w:hint="default"/>
          <w:sz w:val="18"/>
          <w:szCs w:val="18"/>
        </w:rPr>
      </w:pPr>
    </w:p>
    <w:p>
      <w:pPr>
        <w:pStyle w:val="Heading2"/>
        <w:spacing w:line="240" w:lineRule="auto"/>
        <w:ind w:right="153"/>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34"/>
        <w:jc w:val="left"/>
      </w:pPr>
      <w:r>
        <w:rPr/>
        <w:t>√ 适用 □</w:t>
      </w:r>
      <w:r>
        <w:rPr>
          <w:spacing w:val="3"/>
        </w:rPr>
        <w:t> </w:t>
      </w:r>
      <w:r>
        <w:rPr/>
        <w:t>不适用</w:t>
      </w:r>
      <w:r>
        <w:rPr/>
        <w:t> 公司及第一大股东兼实际控制人何平女士和任金生先生不存在未履行法院生效判决、所负数额较大的债务到期未清偿等情 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spacing w:line="362" w:lineRule="auto" w:before="0"/>
        <w:ind w:left="515" w:right="5345" w:hanging="363"/>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、《限制性股票与股票期权激励计划》的实施情况</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p>
      <w:pPr>
        <w:pStyle w:val="BodyText"/>
        <w:spacing w:line="319" w:lineRule="auto"/>
        <w:ind w:right="144" w:firstLine="362"/>
        <w:jc w:val="left"/>
      </w:pP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5</w:t>
      </w:r>
      <w:r>
        <w:rPr>
          <w:spacing w:val="-2"/>
        </w:rPr>
        <w:t>日，公司召开第五届董事会第十七次会议、第五届监事会第七次会议审议通过了《限制性股票与股票期权激</w:t>
      </w:r>
      <w:r>
        <w:rPr/>
        <w:t> </w:t>
      </w:r>
      <w:r>
        <w:rPr>
          <w:spacing w:val="-2"/>
        </w:rPr>
        <w:t>励计划（草案）》及其摘要且经公司第五次临时股东大会审议通过。</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日，公司召开第五届董事会第二十二次会</w:t>
      </w:r>
      <w:r>
        <w:rPr>
          <w:spacing w:val="-60"/>
        </w:rPr>
        <w:t> </w:t>
      </w:r>
      <w:r>
        <w:rPr>
          <w:spacing w:val="-60"/>
        </w:rPr>
      </w:r>
      <w:r>
        <w:rPr/>
        <w:t>议、第五届监事会第十一次会议，审议通过了《关于调整</w:t>
      </w:r>
      <w:r>
        <w:rPr>
          <w:rFonts w:ascii="宋体" w:hAnsi="宋体" w:cs="宋体" w:eastAsia="宋体" w:hint="default"/>
        </w:rPr>
        <w:t>&lt;</w:t>
      </w:r>
      <w:r>
        <w:rPr/>
        <w:t>深圳市惠程电气股份有限公司限制性股票与股票期权激励计划</w:t>
      </w:r>
      <w:r>
        <w:rPr>
          <w:rFonts w:ascii="宋体" w:hAnsi="宋体" w:cs="宋体" w:eastAsia="宋体" w:hint="default"/>
        </w:rPr>
        <w:t>&gt; </w:t>
      </w:r>
      <w:r>
        <w:rPr>
          <w:spacing w:val="-2"/>
        </w:rPr>
        <w:t>首次授予激励对象名单及授予数量的议案》、《关于向</w:t>
      </w:r>
      <w:r>
        <w:rPr>
          <w:rFonts w:ascii="宋体" w:hAnsi="宋体" w:cs="宋体" w:eastAsia="宋体" w:hint="default"/>
          <w:spacing w:val="-2"/>
        </w:rPr>
        <w:t>&lt;</w:t>
      </w:r>
      <w:r>
        <w:rPr>
          <w:spacing w:val="-2"/>
        </w:rPr>
        <w:t>深圳市惠程电气股份有限公司限制性股票与股票期权激励计划</w:t>
      </w:r>
      <w:r>
        <w:rPr>
          <w:rFonts w:ascii="宋体" w:hAnsi="宋体" w:cs="宋体" w:eastAsia="宋体" w:hint="default"/>
          <w:spacing w:val="-2"/>
        </w:rPr>
        <w:t>&gt;</w:t>
      </w:r>
      <w:r>
        <w:rPr>
          <w:spacing w:val="-2"/>
        </w:rPr>
        <w:t>激励</w:t>
      </w:r>
      <w:r>
        <w:rPr>
          <w:spacing w:val="-63"/>
        </w:rPr>
        <w:t> </w:t>
      </w:r>
      <w:r>
        <w:rPr>
          <w:spacing w:val="-2"/>
        </w:rPr>
        <w:t>对象首次授予限制性股票与股票期权的议案》，因激励对象资金及个人原因，公司对首次授予激励对象、授予数量进行了调</w:t>
      </w:r>
      <w:r>
        <w:rPr>
          <w:spacing w:val="-64"/>
        </w:rPr>
        <w:t> </w:t>
      </w:r>
      <w:r>
        <w:rPr>
          <w:spacing w:val="-64"/>
        </w:rPr>
      </w:r>
      <w:r>
        <w:rPr/>
        <w:t>整，并确定授予日为</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28</w:t>
      </w:r>
      <w:r>
        <w:rPr/>
        <w:t>日，独立董事就相关事项发表了同意的独立意见，相应的股权授予登记工作已于</w:t>
      </w:r>
      <w:r>
        <w:rPr>
          <w:rFonts w:ascii="宋体" w:hAnsi="宋体" w:cs="宋体" w:eastAsia="宋体" w:hint="default"/>
        </w:rPr>
        <w:t>2016</w:t>
      </w:r>
      <w:r>
        <w:rPr/>
        <w:t>年</w:t>
      </w:r>
      <w:r>
        <w:rPr>
          <w:rFonts w:ascii="宋体" w:hAnsi="宋体" w:cs="宋体" w:eastAsia="宋体" w:hint="default"/>
        </w:rPr>
        <w:t>1 </w:t>
      </w:r>
      <w:r>
        <w:rPr>
          <w:spacing w:val="-2"/>
        </w:rPr>
        <w:t>月</w:t>
      </w:r>
      <w:r>
        <w:rPr>
          <w:rFonts w:ascii="宋体" w:hAnsi="宋体" w:cs="宋体" w:eastAsia="宋体" w:hint="default"/>
          <w:spacing w:val="-2"/>
        </w:rPr>
        <w:t>13</w:t>
      </w:r>
      <w:r>
        <w:rPr>
          <w:spacing w:val="-2"/>
        </w:rPr>
        <w:t>日完成，授予的限制性股票已于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日上市流通，详情请参见公司刊登于巨潮资讯网（</w:t>
      </w:r>
      <w:hyperlink r:id="rId13">
        <w:r>
          <w:rPr>
            <w:rFonts w:ascii="宋体" w:hAnsi="宋体" w:cs="宋体" w:eastAsia="宋体" w:hint="default"/>
            <w:spacing w:val="-2"/>
          </w:rPr>
          <w:t>www.cninfo.com.cn</w:t>
        </w:r>
      </w:hyperlink>
      <w:r>
        <w:rPr>
          <w:spacing w:val="-2"/>
        </w:rPr>
        <w:t>）上</w:t>
      </w:r>
      <w:r>
        <w:rPr>
          <w:spacing w:val="-70"/>
        </w:rPr>
        <w:t> </w:t>
      </w:r>
      <w:r>
        <w:rPr/>
        <w:t>的相关公告。</w:t>
      </w:r>
    </w:p>
    <w:p>
      <w:pPr>
        <w:spacing w:line="240" w:lineRule="auto" w:before="7"/>
        <w:rPr>
          <w:rFonts w:ascii="宋体" w:hAnsi="宋体" w:cs="宋体" w:eastAsia="宋体" w:hint="default"/>
          <w:sz w:val="16"/>
          <w:szCs w:val="16"/>
        </w:rPr>
      </w:pPr>
    </w:p>
    <w:p>
      <w:pPr>
        <w:pStyle w:val="Heading4"/>
        <w:spacing w:line="240" w:lineRule="auto" w:before="0"/>
        <w:ind w:left="515" w:right="153"/>
        <w:jc w:val="left"/>
        <w:rPr>
          <w:b w:val="0"/>
          <w:bCs w:val="0"/>
        </w:rPr>
      </w:pPr>
      <w:r>
        <w:rPr>
          <w:rFonts w:ascii="宋体" w:hAnsi="宋体" w:cs="宋体" w:eastAsia="宋体" w:hint="default"/>
        </w:rPr>
        <w:t>2</w:t>
      </w:r>
      <w:r>
        <w:rPr/>
        <w:t>、《第二期限制性股票与股票期权激励计划》的实施情况</w:t>
      </w:r>
      <w:r>
        <w:rPr>
          <w:b w:val="0"/>
          <w:bCs w:val="0"/>
        </w:rPr>
      </w:r>
    </w:p>
    <w:p>
      <w:pPr>
        <w:spacing w:line="240" w:lineRule="auto" w:before="1"/>
        <w:rPr>
          <w:rFonts w:ascii="宋体" w:hAnsi="宋体" w:cs="宋体" w:eastAsia="宋体" w:hint="default"/>
          <w:b/>
          <w:bCs/>
          <w:sz w:val="21"/>
          <w:szCs w:val="21"/>
        </w:rPr>
      </w:pPr>
    </w:p>
    <w:p>
      <w:pPr>
        <w:pStyle w:val="BodyText"/>
        <w:spacing w:line="319" w:lineRule="auto"/>
        <w:ind w:right="144" w:firstLine="391"/>
        <w:jc w:val="left"/>
      </w:pP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12</w:t>
      </w:r>
      <w:r>
        <w:rPr/>
        <w:t>日，公司召开第五届董事会第十八次会议、第五届监事会第八次会议审议通过了《第二期限制性股票与 股票期权激励计划（草案）》及其摘要且经公司第六次临时股东大会审议通过。</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日，公司召开第五届董事会第 </w:t>
      </w:r>
      <w:r>
        <w:rPr>
          <w:spacing w:val="-2"/>
        </w:rPr>
        <w:t>二十次会议、第五届监事会第十次会议审议通过了《关于向</w:t>
      </w:r>
      <w:r>
        <w:rPr>
          <w:rFonts w:ascii="宋体" w:hAnsi="宋体" w:cs="宋体" w:eastAsia="宋体" w:hint="default"/>
          <w:spacing w:val="-2"/>
        </w:rPr>
        <w:t>&lt;</w:t>
      </w:r>
      <w:r>
        <w:rPr>
          <w:spacing w:val="-2"/>
        </w:rPr>
        <w:t>深圳市惠程电气股份有限公司限制性股票与股票期权激励计划</w:t>
      </w:r>
      <w:r>
        <w:rPr>
          <w:rFonts w:ascii="宋体" w:hAnsi="宋体" w:cs="宋体" w:eastAsia="宋体" w:hint="default"/>
          <w:spacing w:val="-2"/>
        </w:rPr>
        <w:t>&gt;</w:t>
      </w:r>
      <w:r>
        <w:rPr>
          <w:rFonts w:ascii="宋体" w:hAnsi="宋体" w:cs="宋体" w:eastAsia="宋体" w:hint="default"/>
          <w:spacing w:val="-62"/>
        </w:rPr>
        <w:t> </w:t>
      </w:r>
      <w:r>
        <w:rPr/>
        <w:t>激励对象首次授予限制性股票与股票期权的议案》，确定授予日为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日，独立董事就此发表了同意的独立意见， </w:t>
      </w:r>
      <w:r>
        <w:rPr>
          <w:spacing w:val="-2"/>
        </w:rPr>
        <w:t>相应的股权授予登记工作已于</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日完成，授予的限制性股票已于</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日上市流通，详情请参见公司刊登</w:t>
      </w:r>
      <w:r>
        <w:rPr>
          <w:spacing w:val="-56"/>
        </w:rPr>
        <w:t> </w:t>
      </w:r>
      <w:r>
        <w:rPr>
          <w:spacing w:val="-56"/>
        </w:rPr>
      </w:r>
      <w:r>
        <w:rPr/>
        <w:t>于巨潮资讯网（</w:t>
      </w:r>
      <w:hyperlink r:id="rId13">
        <w:r>
          <w:rPr>
            <w:rFonts w:ascii="宋体" w:hAnsi="宋体" w:cs="宋体" w:eastAsia="宋体" w:hint="default"/>
          </w:rPr>
          <w:t>www.cninfo.com.cn</w:t>
        </w:r>
      </w:hyperlink>
      <w:r>
        <w:rPr/>
        <w:t>）上的相关公告。</w:t>
      </w:r>
    </w:p>
    <w:p>
      <w:pPr>
        <w:spacing w:line="240" w:lineRule="auto" w:before="7"/>
        <w:rPr>
          <w:rFonts w:ascii="宋体" w:hAnsi="宋体" w:cs="宋体" w:eastAsia="宋体" w:hint="default"/>
          <w:sz w:val="20"/>
          <w:szCs w:val="20"/>
        </w:rPr>
      </w:pPr>
    </w:p>
    <w:p>
      <w:pPr>
        <w:pStyle w:val="Heading2"/>
        <w:spacing w:line="240" w:lineRule="auto"/>
        <w:ind w:right="153"/>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5994"/>
        <w:jc w:val="left"/>
      </w:pPr>
      <w:r>
        <w:rPr/>
        <w:t>□ 适用 √</w:t>
      </w:r>
      <w:r>
        <w:rPr>
          <w:spacing w:val="3"/>
        </w:rPr>
        <w:t> </w:t>
      </w:r>
      <w:r>
        <w:rPr/>
        <w:t>不适用</w:t>
      </w:r>
      <w:r>
        <w:rPr/>
        <w:t> 公司报告期未发生与日常经营相关的关联交易。</w:t>
      </w:r>
    </w:p>
    <w:p>
      <w:pPr>
        <w:spacing w:after="0" w:line="360" w:lineRule="auto"/>
        <w:jc w:val="left"/>
        <w:sectPr>
          <w:pgSz w:w="11910" w:h="16840"/>
          <w:pgMar w:header="877" w:footer="1186" w:top="1100" w:bottom="1380" w:left="980" w:right="980"/>
        </w:sectPr>
      </w:pPr>
    </w:p>
    <w:p>
      <w:pPr>
        <w:pStyle w:val="BodyText"/>
        <w:spacing w:line="240" w:lineRule="auto" w:before="15"/>
        <w:ind w:left="0" w:right="153"/>
        <w:jc w:val="righ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147"/>
        <w:jc w:val="left"/>
        <w:rPr>
          <w:b w:val="0"/>
          <w:bCs w:val="0"/>
        </w:rPr>
      </w:pPr>
      <w:r>
        <w:rPr>
          <w:rFonts w:ascii="宋体" w:hAnsi="宋体" w:cs="宋体" w:eastAsia="宋体" w:hint="default"/>
        </w:rPr>
        <w:t>2</w:t>
      </w:r>
      <w:r>
        <w:rPr/>
        <w:t>、资产或股权收购、出售发生的关联交易</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40" w:right="147"/>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40"/>
        <w:gridCol w:w="569"/>
        <w:gridCol w:w="1274"/>
        <w:gridCol w:w="1419"/>
        <w:gridCol w:w="850"/>
        <w:gridCol w:w="1277"/>
        <w:gridCol w:w="1316"/>
        <w:gridCol w:w="866"/>
        <w:gridCol w:w="792"/>
        <w:gridCol w:w="994"/>
        <w:gridCol w:w="1418"/>
        <w:gridCol w:w="2504"/>
      </w:tblGrid>
      <w:tr>
        <w:trPr>
          <w:trHeight w:val="715"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15" w:firstLine="69"/>
              <w:jc w:val="left"/>
              <w:rPr>
                <w:rFonts w:ascii="宋体" w:hAnsi="宋体" w:cs="宋体" w:eastAsia="宋体" w:hint="default"/>
                <w:sz w:val="18"/>
                <w:szCs w:val="18"/>
              </w:rPr>
            </w:pPr>
            <w:r>
              <w:rPr>
                <w:rFonts w:ascii="宋体" w:hAnsi="宋体" w:cs="宋体" w:eastAsia="宋体" w:hint="default"/>
                <w:sz w:val="18"/>
                <w:szCs w:val="18"/>
              </w:rPr>
              <w:t>转让资产的账 面价值（万元）</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firstLine="88"/>
              <w:jc w:val="left"/>
              <w:rPr>
                <w:rFonts w:ascii="宋体" w:hAnsi="宋体" w:cs="宋体" w:eastAsia="宋体" w:hint="default"/>
                <w:sz w:val="18"/>
                <w:szCs w:val="18"/>
              </w:rPr>
            </w:pPr>
            <w:r>
              <w:rPr>
                <w:rFonts w:ascii="宋体" w:hAnsi="宋体" w:cs="宋体" w:eastAsia="宋体" w:hint="default"/>
                <w:sz w:val="18"/>
                <w:szCs w:val="18"/>
              </w:rPr>
              <w:t>转让资产的评 估价值（万元）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向关联人销售 商品以外的其 他资产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z w:val="18"/>
                <w:szCs w:val="18"/>
              </w:rPr>
              <w:t>将长春高琦</w:t>
            </w:r>
            <w:r>
              <w:rPr>
                <w:rFonts w:ascii="宋体" w:hAnsi="宋体" w:cs="宋体" w:eastAsia="宋体" w:hint="default"/>
                <w:spacing w:val="-45"/>
                <w:sz w:val="18"/>
                <w:szCs w:val="18"/>
              </w:rPr>
              <w:t> </w:t>
            </w:r>
            <w:r>
              <w:rPr>
                <w:rFonts w:ascii="宋体" w:hAnsi="宋体" w:cs="宋体" w:eastAsia="宋体" w:hint="default"/>
                <w:sz w:val="18"/>
                <w:szCs w:val="18"/>
              </w:rPr>
              <w:t>18% </w:t>
            </w:r>
            <w:r>
              <w:rPr>
                <w:rFonts w:ascii="宋体" w:hAnsi="宋体" w:cs="宋体" w:eastAsia="宋体" w:hint="default"/>
                <w:sz w:val="18"/>
                <w:szCs w:val="18"/>
              </w:rPr>
              <w:t>股权转让给吕晓 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8,442.79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7,835.02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7,835.02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1,074.98</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4"/>
              <w:ind w:left="21"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pacing w:val="1"/>
                  <w:sz w:val="18"/>
                  <w:szCs w:val="18"/>
                </w:rPr>
                <w:t>ww</w:t>
              </w:r>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n</w:t>
              </w:r>
              <w:r>
                <w:rPr>
                  <w:rFonts w:ascii="宋体" w:hAnsi="宋体" w:cs="宋体" w:eastAsia="宋体" w:hint="default"/>
                  <w:spacing w:val="-2"/>
                  <w:sz w:val="18"/>
                  <w:szCs w:val="18"/>
                </w:rPr>
                <w:t>i</w:t>
              </w:r>
              <w:r>
                <w:rPr>
                  <w:rFonts w:ascii="宋体" w:hAnsi="宋体" w:cs="宋体" w:eastAsia="宋体" w:hint="default"/>
                  <w:spacing w:val="1"/>
                  <w:sz w:val="18"/>
                  <w:szCs w:val="18"/>
                </w:rPr>
                <w:t>n</w:t>
              </w:r>
              <w:r>
                <w:rPr>
                  <w:rFonts w:ascii="宋体" w:hAnsi="宋体" w:cs="宋体" w:eastAsia="宋体" w:hint="default"/>
                  <w:spacing w:val="-2"/>
                  <w:sz w:val="18"/>
                  <w:szCs w:val="18"/>
                </w:rPr>
                <w:t>f</w:t>
              </w:r>
              <w:r>
                <w:rPr>
                  <w:rFonts w:ascii="宋体" w:hAnsi="宋体" w:cs="宋体" w:eastAsia="宋体" w:hint="default"/>
                  <w:spacing w:val="1"/>
                  <w:sz w:val="18"/>
                  <w:szCs w:val="18"/>
                </w:rPr>
                <w:t>o</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o</w:t>
              </w:r>
              <w:r>
                <w:rPr>
                  <w:rFonts w:ascii="宋体" w:hAnsi="宋体" w:cs="宋体" w:eastAsia="宋体" w:hint="default"/>
                  <w:spacing w:val="1"/>
                  <w:sz w:val="18"/>
                  <w:szCs w:val="18"/>
                </w:rPr>
                <w:t>m</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n</w:t>
              </w:r>
            </w:hyperlink>
            <w:r>
              <w:rPr>
                <w:rFonts w:ascii="宋体" w:hAnsi="宋体" w:cs="宋体" w:eastAsia="宋体" w:hint="default"/>
                <w:spacing w:val="-82"/>
                <w:sz w:val="18"/>
                <w:szCs w:val="18"/>
              </w:rPr>
              <w:t>）</w:t>
            </w:r>
            <w:r>
              <w:rPr>
                <w:rFonts w:ascii="宋体" w:hAnsi="宋体" w:cs="宋体" w:eastAsia="宋体" w:hint="default"/>
                <w:sz w:val="18"/>
                <w:szCs w:val="18"/>
              </w:rPr>
              <w:t>上</w:t>
            </w:r>
            <w:r>
              <w:rPr>
                <w:rFonts w:ascii="宋体" w:hAnsi="宋体" w:cs="宋体" w:eastAsia="宋体" w:hint="default"/>
                <w:spacing w:val="-82"/>
                <w:sz w:val="18"/>
                <w:szCs w:val="18"/>
              </w:rPr>
              <w:t>的</w:t>
            </w:r>
            <w:r>
              <w:rPr>
                <w:rFonts w:ascii="宋体" w:hAnsi="宋体" w:cs="宋体" w:eastAsia="宋体" w:hint="default"/>
                <w:sz w:val="18"/>
                <w:szCs w:val="18"/>
              </w:rPr>
              <w:t>《关</w:t>
            </w:r>
            <w:r>
              <w:rPr>
                <w:rFonts w:ascii="宋体" w:hAnsi="宋体" w:cs="宋体" w:eastAsia="宋体" w:hint="default"/>
                <w:sz w:val="18"/>
                <w:szCs w:val="18"/>
              </w:rPr>
              <w:t> 联交易公告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2015-042</w:t>
            </w:r>
            <w:r>
              <w:rPr>
                <w:rFonts w:ascii="宋体" w:hAnsi="宋体" w:cs="宋体" w:eastAsia="宋体" w:hint="default"/>
                <w:sz w:val="18"/>
                <w:szCs w:val="18"/>
              </w:rPr>
              <w:t>）</w:t>
            </w:r>
          </w:p>
        </w:tc>
      </w:tr>
      <w:tr>
        <w:trPr>
          <w:trHeight w:val="165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58"/>
              <w:jc w:val="both"/>
              <w:rPr>
                <w:rFonts w:ascii="宋体" w:hAnsi="宋体" w:cs="宋体" w:eastAsia="宋体" w:hint="default"/>
                <w:sz w:val="18"/>
                <w:szCs w:val="18"/>
              </w:rPr>
            </w:pPr>
            <w:r>
              <w:rPr>
                <w:rFonts w:ascii="宋体" w:hAnsi="宋体" w:cs="宋体" w:eastAsia="宋体" w:hint="default"/>
                <w:sz w:val="18"/>
                <w:szCs w:val="18"/>
              </w:rPr>
              <w:t>向关联人销售 商品以外的其 他资产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3"/>
              <w:jc w:val="both"/>
              <w:rPr>
                <w:rFonts w:ascii="宋体" w:hAnsi="宋体" w:cs="宋体" w:eastAsia="宋体" w:hint="default"/>
                <w:sz w:val="18"/>
                <w:szCs w:val="18"/>
              </w:rPr>
            </w:pPr>
            <w:r>
              <w:rPr>
                <w:rFonts w:ascii="宋体" w:hAnsi="宋体" w:cs="宋体" w:eastAsia="宋体" w:hint="default"/>
                <w:sz w:val="18"/>
                <w:szCs w:val="18"/>
              </w:rPr>
              <w:t>将子公司长春高 琦</w:t>
            </w:r>
            <w:r>
              <w:rPr>
                <w:rFonts w:ascii="宋体" w:hAnsi="宋体" w:cs="宋体" w:eastAsia="宋体" w:hint="default"/>
                <w:spacing w:val="-45"/>
                <w:sz w:val="18"/>
                <w:szCs w:val="18"/>
              </w:rPr>
              <w:t> </w:t>
            </w:r>
            <w:r>
              <w:rPr>
                <w:rFonts w:ascii="宋体" w:hAnsi="宋体" w:cs="宋体" w:eastAsia="宋体" w:hint="default"/>
                <w:sz w:val="18"/>
                <w:szCs w:val="18"/>
              </w:rPr>
              <w:t>33%</w:t>
            </w:r>
            <w:r>
              <w:rPr>
                <w:rFonts w:ascii="宋体" w:hAnsi="宋体" w:cs="宋体" w:eastAsia="宋体" w:hint="default"/>
                <w:sz w:val="18"/>
                <w:szCs w:val="18"/>
              </w:rPr>
              <w:t>的股权转 让给吕晓义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5"/>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12,929.87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15,781.31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15,781.31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3,850.03</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19"/>
              <w:jc w:val="left"/>
              <w:rPr>
                <w:rFonts w:ascii="宋体" w:hAnsi="宋体" w:cs="宋体" w:eastAsia="宋体" w:hint="default"/>
                <w:sz w:val="18"/>
                <w:szCs w:val="18"/>
              </w:rPr>
            </w:pPr>
            <w:r>
              <w:rPr>
                <w:rFonts w:ascii="宋体" w:hAnsi="宋体" w:cs="宋体" w:eastAsia="宋体" w:hint="default"/>
                <w:spacing w:val="-8"/>
                <w:sz w:val="18"/>
                <w:szCs w:val="18"/>
              </w:rPr>
              <w:t>（</w:t>
            </w:r>
            <w:hyperlink r:id="rId13">
              <w:r>
                <w:rPr>
                  <w:rFonts w:ascii="宋体" w:hAnsi="宋体" w:cs="宋体" w:eastAsia="宋体" w:hint="default"/>
                  <w:spacing w:val="-8"/>
                  <w:sz w:val="18"/>
                  <w:szCs w:val="18"/>
                </w:rPr>
                <w:t>www.cninfo.com.cn</w:t>
              </w:r>
            </w:hyperlink>
            <w:r>
              <w:rPr>
                <w:rFonts w:ascii="宋体" w:hAnsi="宋体" w:cs="宋体" w:eastAsia="宋体" w:hint="default"/>
                <w:spacing w:val="-8"/>
                <w:sz w:val="18"/>
                <w:szCs w:val="18"/>
              </w:rPr>
              <w:t>）上的《关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于转让长春高琦聚酰亚胺材料 有限公司部分股权暨关联交易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2014-112</w:t>
            </w:r>
            <w:r>
              <w:rPr>
                <w:rFonts w:ascii="宋体" w:hAnsi="宋体" w:cs="宋体" w:eastAsia="宋体" w:hint="default"/>
                <w:spacing w:val="-5"/>
                <w:sz w:val="18"/>
                <w:szCs w:val="18"/>
              </w:rPr>
              <w:t>）</w:t>
            </w:r>
          </w:p>
        </w:tc>
      </w:tr>
      <w:tr>
        <w:trPr>
          <w:trHeight w:val="196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向关联人销售 商品以外的其 他资产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z w:val="18"/>
                <w:szCs w:val="18"/>
              </w:rPr>
              <w:t>将子公司江西先 材</w:t>
            </w:r>
            <w:r>
              <w:rPr>
                <w:rFonts w:ascii="宋体" w:hAnsi="宋体" w:cs="宋体" w:eastAsia="宋体" w:hint="default"/>
                <w:spacing w:val="-46"/>
                <w:sz w:val="18"/>
                <w:szCs w:val="18"/>
              </w:rPr>
              <w:t> </w:t>
            </w:r>
            <w:r>
              <w:rPr>
                <w:rFonts w:ascii="宋体" w:hAnsi="宋体" w:cs="宋体" w:eastAsia="宋体" w:hint="default"/>
                <w:sz w:val="18"/>
                <w:szCs w:val="18"/>
              </w:rPr>
              <w:t>26.4%</w:t>
            </w:r>
            <w:r>
              <w:rPr>
                <w:rFonts w:ascii="宋体" w:hAnsi="宋体" w:cs="宋体" w:eastAsia="宋体" w:hint="default"/>
                <w:sz w:val="18"/>
                <w:szCs w:val="18"/>
              </w:rPr>
              <w:t>的股权 转让给吕晓义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pacing w:val="-1"/>
                <w:sz w:val="18"/>
              </w:rPr>
              <w:t>2,039.42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宋体"/>
                <w:spacing w:val="-1"/>
                <w:sz w:val="18"/>
              </w:rPr>
              <w:t>2,328.48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宋体"/>
                <w:spacing w:val="-1"/>
                <w:sz w:val="18"/>
              </w:rPr>
              <w:t>2,328.48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pacing w:val="-1"/>
                <w:sz w:val="18"/>
              </w:rPr>
              <w:t>587.17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19"/>
              <w:jc w:val="left"/>
              <w:rPr>
                <w:rFonts w:ascii="宋体" w:hAnsi="宋体" w:cs="宋体" w:eastAsia="宋体" w:hint="default"/>
                <w:sz w:val="18"/>
                <w:szCs w:val="18"/>
              </w:rPr>
            </w:pPr>
            <w:r>
              <w:rPr>
                <w:rFonts w:ascii="宋体" w:hAnsi="宋体" w:cs="宋体" w:eastAsia="宋体" w:hint="default"/>
                <w:spacing w:val="-8"/>
                <w:sz w:val="18"/>
                <w:szCs w:val="18"/>
              </w:rPr>
              <w:t>（</w:t>
            </w:r>
            <w:hyperlink r:id="rId13">
              <w:r>
                <w:rPr>
                  <w:rFonts w:ascii="宋体" w:hAnsi="宋体" w:cs="宋体" w:eastAsia="宋体" w:hint="default"/>
                  <w:spacing w:val="-8"/>
                  <w:sz w:val="18"/>
                  <w:szCs w:val="18"/>
                </w:rPr>
                <w:t>www.cninfo.com.cn</w:t>
              </w:r>
            </w:hyperlink>
            <w:r>
              <w:rPr>
                <w:rFonts w:ascii="宋体" w:hAnsi="宋体" w:cs="宋体" w:eastAsia="宋体" w:hint="default"/>
                <w:spacing w:val="-8"/>
                <w:sz w:val="18"/>
                <w:szCs w:val="18"/>
              </w:rPr>
              <w:t>）上的《关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于转让江西先材纳米纤维科技 有限公司所持全部股权暨关联 </w:t>
            </w:r>
            <w:r>
              <w:rPr>
                <w:rFonts w:ascii="宋体" w:hAnsi="宋体" w:cs="宋体" w:eastAsia="宋体" w:hint="default"/>
                <w:spacing w:val="-9"/>
                <w:sz w:val="18"/>
                <w:szCs w:val="18"/>
              </w:rPr>
              <w:t>交易公告》（公告编号：</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2014-113</w:t>
            </w:r>
            <w:r>
              <w:rPr>
                <w:rFonts w:ascii="宋体" w:hAnsi="宋体" w:cs="宋体" w:eastAsia="宋体" w:hint="default"/>
                <w:sz w:val="18"/>
                <w:szCs w:val="18"/>
              </w:rPr>
              <w:t>）</w:t>
            </w:r>
          </w:p>
        </w:tc>
      </w:tr>
      <w:tr>
        <w:trPr>
          <w:trHeight w:val="196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58"/>
              <w:jc w:val="both"/>
              <w:rPr>
                <w:rFonts w:ascii="宋体" w:hAnsi="宋体" w:cs="宋体" w:eastAsia="宋体" w:hint="default"/>
                <w:sz w:val="18"/>
                <w:szCs w:val="18"/>
              </w:rPr>
            </w:pPr>
            <w:r>
              <w:rPr>
                <w:rFonts w:ascii="宋体" w:hAnsi="宋体" w:cs="宋体" w:eastAsia="宋体" w:hint="default"/>
                <w:sz w:val="18"/>
                <w:szCs w:val="18"/>
              </w:rPr>
              <w:t>向关联人销售 商品以外的其 他资产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z w:val="18"/>
                <w:szCs w:val="18"/>
              </w:rPr>
              <w:t>将子公司江西先 材</w:t>
            </w:r>
            <w:r>
              <w:rPr>
                <w:rFonts w:ascii="宋体" w:hAnsi="宋体" w:cs="宋体" w:eastAsia="宋体" w:hint="default"/>
                <w:spacing w:val="-46"/>
                <w:sz w:val="18"/>
                <w:szCs w:val="18"/>
              </w:rPr>
              <w:t> </w:t>
            </w:r>
            <w:r>
              <w:rPr>
                <w:rFonts w:ascii="宋体" w:hAnsi="宋体" w:cs="宋体" w:eastAsia="宋体" w:hint="default"/>
                <w:sz w:val="18"/>
                <w:szCs w:val="18"/>
              </w:rPr>
              <w:t>26.4%</w:t>
            </w:r>
            <w:r>
              <w:rPr>
                <w:rFonts w:ascii="宋体" w:hAnsi="宋体" w:cs="宋体" w:eastAsia="宋体" w:hint="default"/>
                <w:sz w:val="18"/>
                <w:szCs w:val="18"/>
              </w:rPr>
              <w:t>的股权 转让给吕晓义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依据审计 和评估结 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2,039.42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2,328.48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2,328.48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587.17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1" w:right="19"/>
              <w:jc w:val="left"/>
              <w:rPr>
                <w:rFonts w:ascii="宋体" w:hAnsi="宋体" w:cs="宋体" w:eastAsia="宋体" w:hint="default"/>
                <w:sz w:val="18"/>
                <w:szCs w:val="18"/>
              </w:rPr>
            </w:pPr>
            <w:r>
              <w:rPr>
                <w:rFonts w:ascii="宋体" w:hAnsi="宋体" w:cs="宋体" w:eastAsia="宋体" w:hint="default"/>
                <w:spacing w:val="-8"/>
                <w:sz w:val="18"/>
                <w:szCs w:val="18"/>
              </w:rPr>
              <w:t>（</w:t>
            </w:r>
            <w:hyperlink r:id="rId13">
              <w:r>
                <w:rPr>
                  <w:rFonts w:ascii="宋体" w:hAnsi="宋体" w:cs="宋体" w:eastAsia="宋体" w:hint="default"/>
                  <w:spacing w:val="-8"/>
                  <w:sz w:val="18"/>
                  <w:szCs w:val="18"/>
                </w:rPr>
                <w:t>www.cninfo.com.cn</w:t>
              </w:r>
            </w:hyperlink>
            <w:r>
              <w:rPr>
                <w:rFonts w:ascii="宋体" w:hAnsi="宋体" w:cs="宋体" w:eastAsia="宋体" w:hint="default"/>
                <w:spacing w:val="-8"/>
                <w:sz w:val="18"/>
                <w:szCs w:val="18"/>
              </w:rPr>
              <w:t>）上的《关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于转让江西先材纳米纤维科技 有限公司所持全部股权暨关联 </w:t>
            </w:r>
            <w:r>
              <w:rPr>
                <w:rFonts w:ascii="宋体" w:hAnsi="宋体" w:cs="宋体" w:eastAsia="宋体" w:hint="default"/>
                <w:spacing w:val="-9"/>
                <w:sz w:val="18"/>
                <w:szCs w:val="18"/>
              </w:rPr>
              <w:t>交易公告》（公告编号：</w:t>
            </w:r>
          </w:p>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2014-113</w:t>
            </w:r>
            <w:r>
              <w:rPr>
                <w:rFonts w:ascii="宋体" w:hAnsi="宋体" w:cs="宋体" w:eastAsia="宋体" w:hint="default"/>
                <w:sz w:val="18"/>
                <w:szCs w:val="18"/>
              </w:rPr>
              <w:t>）</w:t>
            </w:r>
          </w:p>
        </w:tc>
      </w:tr>
      <w:tr>
        <w:trPr>
          <w:trHeight w:val="401" w:hRule="exact"/>
        </w:trPr>
        <w:tc>
          <w:tcPr>
            <w:tcW w:w="40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100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上述股权转让合计确认投资收益</w:t>
            </w:r>
            <w:r>
              <w:rPr>
                <w:rFonts w:ascii="宋体" w:hAnsi="宋体" w:cs="宋体" w:eastAsia="宋体" w:hint="default"/>
                <w:spacing w:val="-46"/>
                <w:sz w:val="18"/>
                <w:szCs w:val="18"/>
              </w:rPr>
              <w:t> </w:t>
            </w:r>
            <w:r>
              <w:rPr>
                <w:rFonts w:ascii="宋体" w:hAnsi="宋体" w:cs="宋体" w:eastAsia="宋体" w:hint="default"/>
                <w:sz w:val="18"/>
                <w:szCs w:val="18"/>
              </w:rPr>
              <w:t>6099.36</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pStyle w:val="BodyText"/>
        <w:spacing w:line="240" w:lineRule="auto" w:before="98"/>
        <w:ind w:left="6966" w:right="6981"/>
        <w:jc w:val="center"/>
        <w:rPr>
          <w:rFonts w:ascii="Times New Roman" w:hAnsi="Times New Roman" w:cs="Times New Roman" w:eastAsia="Times New Roman" w:hint="default"/>
        </w:rPr>
      </w:pPr>
      <w:r>
        <w:rPr>
          <w:rFonts w:ascii="Times New Roman"/>
        </w:rPr>
        <w:t>39</w:t>
      </w:r>
    </w:p>
    <w:p>
      <w:pPr>
        <w:spacing w:after="0" w:line="240" w:lineRule="auto"/>
        <w:jc w:val="center"/>
        <w:rPr>
          <w:rFonts w:ascii="Times New Roman" w:hAnsi="Times New Roman" w:cs="Times New Roman" w:eastAsia="Times New Roman" w:hint="default"/>
        </w:rPr>
        <w:sectPr>
          <w:headerReference w:type="default" r:id="rId18"/>
          <w:footerReference w:type="default" r:id="rId19"/>
          <w:pgSz w:w="16840" w:h="11910" w:orient="landscape"/>
          <w:pgMar w:header="0" w:footer="0" w:top="800" w:bottom="280" w:left="1300" w:right="128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53"/>
        <w:jc w:val="left"/>
        <w:rPr>
          <w:b w:val="0"/>
          <w:bCs w:val="0"/>
        </w:rPr>
      </w:pPr>
      <w:r>
        <w:rPr>
          <w:rFonts w:ascii="宋体" w:hAnsi="宋体" w:cs="宋体" w:eastAsia="宋体" w:hint="default"/>
        </w:rPr>
        <w:t>3</w:t>
      </w:r>
      <w:r>
        <w:rPr/>
        <w:t>、共同对外投资的关联交易</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174"/>
        <w:jc w:val="left"/>
      </w:pPr>
      <w:r>
        <w:rPr/>
        <w:t>□ 适用 √</w:t>
      </w:r>
      <w:r>
        <w:rPr>
          <w:spacing w:val="3"/>
        </w:rPr>
        <w:t> </w:t>
      </w:r>
      <w:r>
        <w:rPr/>
        <w:t>不适用</w:t>
      </w:r>
      <w:r>
        <w:rPr/>
        <w:t> 公司报告期未发生共同对外投资的关联交易。</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4</w:t>
      </w:r>
      <w:r>
        <w:rPr/>
        <w:t>、关联债权债务往来</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714"/>
        <w:jc w:val="left"/>
      </w:pPr>
      <w:r>
        <w:rPr/>
        <w:t>□ 适用 √</w:t>
      </w:r>
      <w:r>
        <w:rPr>
          <w:spacing w:val="3"/>
        </w:rPr>
        <w:t> </w:t>
      </w:r>
      <w:r>
        <w:rPr/>
        <w:t>不适用</w:t>
      </w:r>
      <w:r>
        <w:rPr/>
        <w:t> 公司报告期不存在关联债权债务往来。</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5</w:t>
      </w:r>
      <w:r>
        <w:rPr/>
        <w:t>、其他重大关联交易</w:t>
      </w:r>
      <w:r>
        <w:rPr>
          <w:b w:val="0"/>
          <w:bCs w:val="0"/>
        </w:rPr>
      </w:r>
    </w:p>
    <w:p>
      <w:pPr>
        <w:spacing w:line="240" w:lineRule="auto" w:before="8"/>
        <w:rPr>
          <w:rFonts w:ascii="宋体" w:hAnsi="宋体" w:cs="宋体" w:eastAsia="宋体" w:hint="default"/>
          <w:b/>
          <w:bCs/>
          <w:sz w:val="27"/>
          <w:szCs w:val="27"/>
        </w:rPr>
      </w:pPr>
    </w:p>
    <w:p>
      <w:pPr>
        <w:pStyle w:val="BodyText"/>
        <w:spacing w:line="360" w:lineRule="auto"/>
        <w:ind w:right="7074"/>
        <w:jc w:val="left"/>
      </w:pPr>
      <w:r>
        <w:rPr/>
        <w:t>□ 适用 √</w:t>
      </w:r>
      <w:r>
        <w:rPr>
          <w:spacing w:val="3"/>
        </w:rPr>
        <w:t> </w:t>
      </w:r>
      <w:r>
        <w:rPr/>
        <w:t>不适用</w:t>
      </w:r>
      <w:r>
        <w:rPr/>
        <w:t> 公司报告期无其他重大关联交易。</w:t>
      </w:r>
    </w:p>
    <w:p>
      <w:pPr>
        <w:spacing w:line="240" w:lineRule="auto" w:before="2"/>
        <w:rPr>
          <w:rFonts w:ascii="宋体" w:hAnsi="宋体" w:cs="宋体" w:eastAsia="宋体" w:hint="default"/>
          <w:sz w:val="18"/>
          <w:szCs w:val="18"/>
        </w:rPr>
      </w:pPr>
    </w:p>
    <w:p>
      <w:pPr>
        <w:pStyle w:val="Heading2"/>
        <w:spacing w:line="240" w:lineRule="auto"/>
        <w:ind w:right="15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）托管情况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公司报告期不存在托管情况。</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2</w:t>
      </w:r>
      <w:r>
        <w:rPr/>
        <w:t>）承包情况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公司报告期不存在承包情况。</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3</w:t>
      </w:r>
      <w:r>
        <w:rPr/>
        <w:t>）租赁情况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pStyle w:val="BodyText"/>
        <w:spacing w:line="240" w:lineRule="auto" w:before="115"/>
        <w:ind w:right="153"/>
        <w:jc w:val="left"/>
      </w:pPr>
      <w:r>
        <w:rPr/>
        <w:t>租赁情况说明：报告期本公司将自有房产出租给关联方深圳微纳先材有限公司，截止</w:t>
      </w:r>
      <w:r>
        <w:rPr>
          <w:spacing w:val="-45"/>
        </w:rPr>
        <w:t> </w:t>
      </w: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日，公司收到租金</w:t>
      </w:r>
    </w:p>
    <w:p>
      <w:pPr>
        <w:pStyle w:val="BodyText"/>
        <w:spacing w:line="240" w:lineRule="auto" w:before="76"/>
        <w:ind w:right="153"/>
        <w:jc w:val="left"/>
      </w:pPr>
      <w:r>
        <w:rPr>
          <w:rFonts w:ascii="宋体" w:hAnsi="宋体" w:cs="宋体" w:eastAsia="宋体" w:hint="default"/>
        </w:rPr>
        <w:t>267,365.00</w:t>
      </w:r>
      <w:r>
        <w:rPr>
          <w:rFonts w:ascii="宋体" w:hAnsi="宋体" w:cs="宋体" w:eastAsia="宋体" w:hint="default"/>
          <w:spacing w:val="-45"/>
        </w:rPr>
        <w:t> </w:t>
      </w:r>
      <w:r>
        <w:rPr/>
        <w:t>元。</w:t>
      </w:r>
    </w:p>
    <w:p>
      <w:pPr>
        <w:pStyle w:val="BodyText"/>
        <w:spacing w:line="240" w:lineRule="auto" w:before="117"/>
        <w:ind w:right="153"/>
        <w:jc w:val="left"/>
      </w:pPr>
      <w:r>
        <w:rPr/>
        <w:t>为公司带来的损益达到公司报告期利润总额</w:t>
      </w:r>
      <w:r>
        <w:rPr>
          <w:spacing w:val="-44"/>
        </w:rPr>
        <w:t> </w:t>
      </w:r>
      <w:r>
        <w:rPr>
          <w:rFonts w:ascii="宋体" w:hAnsi="宋体" w:cs="宋体" w:eastAsia="宋体" w:hint="default"/>
        </w:rPr>
        <w:t>10%</w:t>
      </w:r>
      <w:r>
        <w:rPr/>
        <w:t>以上的项目</w:t>
      </w:r>
    </w:p>
    <w:p>
      <w:pPr>
        <w:pStyle w:val="BodyText"/>
        <w:spacing w:line="240" w:lineRule="auto" w:before="117"/>
        <w:ind w:right="153"/>
        <w:jc w:val="left"/>
      </w:pPr>
      <w:r>
        <w:rPr/>
        <w:t>□ 适用 √</w:t>
      </w:r>
      <w:r>
        <w:rPr>
          <w:spacing w:val="3"/>
        </w:rPr>
        <w:t> </w:t>
      </w:r>
      <w:r>
        <w:rPr/>
        <w:t>不适用</w:t>
      </w:r>
    </w:p>
    <w:p>
      <w:pPr>
        <w:pStyle w:val="BodyText"/>
        <w:spacing w:line="240" w:lineRule="auto" w:before="115"/>
        <w:ind w:right="153"/>
        <w:jc w:val="left"/>
      </w:pPr>
      <w:r>
        <w:rPr/>
        <w:t>公司报告期不存在为公司带来的损益达到公司报告期利润总额</w:t>
      </w:r>
      <w:r>
        <w:rPr>
          <w:spacing w:val="-44"/>
        </w:rPr>
        <w:t> </w:t>
      </w:r>
      <w:r>
        <w:rPr>
          <w:rFonts w:ascii="宋体" w:hAnsi="宋体" w:cs="宋体" w:eastAsia="宋体" w:hint="default"/>
        </w:rPr>
        <w:t>10%</w:t>
      </w:r>
      <w:r>
        <w:rPr/>
        <w:t>以上的租赁项目。</w:t>
      </w:r>
    </w:p>
    <w:p>
      <w:pPr>
        <w:spacing w:after="0" w:line="240" w:lineRule="auto"/>
        <w:jc w:val="left"/>
        <w:sectPr>
          <w:footerReference w:type="default" r:id="rId20"/>
          <w:pgSz w:w="11910" w:h="16840"/>
          <w:pgMar w:footer="1186" w:header="0" w:top="1100" w:bottom="1380" w:left="980" w:right="980"/>
          <w:pgNumType w:start="4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2</w:t>
      </w:r>
      <w:r>
        <w:rPr/>
        <w:t>、重大担保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1</w:t>
      </w:r>
      <w:r>
        <w:rPr/>
        <w:t>）担保情况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202"/>
        <w:gridCol w:w="357"/>
        <w:gridCol w:w="577"/>
        <w:gridCol w:w="1302"/>
        <w:gridCol w:w="247"/>
        <w:gridCol w:w="810"/>
        <w:gridCol w:w="1030"/>
        <w:gridCol w:w="145"/>
        <w:gridCol w:w="914"/>
        <w:gridCol w:w="790"/>
        <w:gridCol w:w="783"/>
      </w:tblGrid>
      <w:tr>
        <w:trPr>
          <w:trHeight w:val="401" w:hRule="exact"/>
        </w:trPr>
        <w:tc>
          <w:tcPr>
            <w:tcW w:w="95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4" w:right="5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98"/>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5" w:hanging="269"/>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35"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4"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4" w:right="5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98"/>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5" w:hanging="269"/>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35"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2,500</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2,000</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2,500</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2,500</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B1</w:t>
            </w:r>
            <w:r>
              <w:rPr>
                <w:rFonts w:ascii="宋体" w:hAnsi="宋体" w:cs="宋体" w:eastAsia="宋体" w:hint="default"/>
                <w:sz w:val="18"/>
                <w:szCs w:val="18"/>
              </w:rPr>
              <w:t>）</w:t>
            </w:r>
          </w:p>
        </w:tc>
        <w:tc>
          <w:tcPr>
            <w:tcW w:w="2126" w:type="dxa"/>
            <w:gridSpan w:val="3"/>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2,500</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4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2,500</w:t>
            </w:r>
          </w:p>
        </w:tc>
      </w:tr>
      <w:tr>
        <w:trPr>
          <w:trHeight w:val="720"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 合计（</w:t>
            </w:r>
            <w:r>
              <w:rPr>
                <w:rFonts w:ascii="宋体" w:hAnsi="宋体" w:cs="宋体" w:eastAsia="宋体" w:hint="default"/>
                <w:sz w:val="18"/>
                <w:szCs w:val="18"/>
              </w:rPr>
              <w:t>B3</w:t>
            </w:r>
            <w:r>
              <w:rPr>
                <w:rFonts w:ascii="宋体" w:hAnsi="宋体" w:cs="宋体" w:eastAsia="宋体" w:hint="default"/>
                <w:sz w:val="18"/>
                <w:szCs w:val="18"/>
              </w:rPr>
              <w:t>）</w:t>
            </w:r>
          </w:p>
        </w:tc>
        <w:tc>
          <w:tcPr>
            <w:tcW w:w="2126" w:type="dxa"/>
            <w:gridSpan w:val="3"/>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2,500</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4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392" w:hRule="exact"/>
        </w:trPr>
        <w:tc>
          <w:tcPr>
            <w:tcW w:w="95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4" w:right="5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0" w:right="105"/>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4" w:right="53" w:hanging="272"/>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13" w:right="45"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gridSpan w:val="2"/>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1549" w:type="dxa"/>
            <w:gridSpan w:val="2"/>
            <w:vMerge/>
            <w:tcBorders>
              <w:left w:val="single" w:sz="4" w:space="0" w:color="000000"/>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c>
          <w:tcPr>
            <w:tcW w:w="11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6"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1549"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11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6"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2,500</w:t>
            </w:r>
          </w:p>
        </w:tc>
        <w:tc>
          <w:tcPr>
            <w:tcW w:w="2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3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2,500</w:t>
            </w:r>
          </w:p>
        </w:tc>
      </w:tr>
      <w:tr>
        <w:trPr>
          <w:trHeight w:val="713" w:hRule="exact"/>
        </w:trPr>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6"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2,500</w:t>
            </w:r>
          </w:p>
        </w:tc>
        <w:tc>
          <w:tcPr>
            <w:tcW w:w="2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3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9" w:hRule="exact"/>
        </w:trPr>
        <w:tc>
          <w:tcPr>
            <w:tcW w:w="4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391" w:hRule="exact"/>
        </w:trPr>
        <w:tc>
          <w:tcPr>
            <w:tcW w:w="95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D</w:t>
            </w:r>
            <w:r>
              <w:rPr>
                <w:rFonts w:ascii="宋体" w:hAnsi="宋体" w:cs="宋体" w:eastAsia="宋体" w:hint="default"/>
                <w:sz w:val="18"/>
                <w:szCs w:val="18"/>
              </w:rPr>
              <w:t>）</w:t>
            </w:r>
          </w:p>
        </w:tc>
        <w:tc>
          <w:tcPr>
            <w:tcW w:w="471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r>
      <w:tr>
        <w:trPr>
          <w:trHeight w:val="713" w:hRule="exact"/>
        </w:trPr>
        <w:tc>
          <w:tcPr>
            <w:tcW w:w="4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9"/>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保金额（</w:t>
            </w:r>
            <w:r>
              <w:rPr>
                <w:rFonts w:ascii="宋体" w:hAnsi="宋体" w:cs="宋体" w:eastAsia="宋体" w:hint="default"/>
                <w:sz w:val="18"/>
                <w:szCs w:val="18"/>
              </w:rPr>
              <w:t>E</w:t>
            </w:r>
            <w:r>
              <w:rPr>
                <w:rFonts w:ascii="宋体" w:hAnsi="宋体" w:cs="宋体" w:eastAsia="宋体" w:hint="default"/>
                <w:sz w:val="18"/>
                <w:szCs w:val="18"/>
              </w:rPr>
              <w:t>）</w:t>
            </w:r>
          </w:p>
        </w:tc>
        <w:tc>
          <w:tcPr>
            <w:tcW w:w="471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3" w:hRule="exact"/>
        </w:trPr>
        <w:tc>
          <w:tcPr>
            <w:tcW w:w="4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4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715" w:hRule="exact"/>
        </w:trPr>
        <w:tc>
          <w:tcPr>
            <w:tcW w:w="4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采用复合方式担保的具体情况说明：无。</w:t>
      </w:r>
    </w:p>
    <w:p>
      <w:pPr>
        <w:spacing w:after="0" w:line="240" w:lineRule="auto"/>
        <w:jc w:val="left"/>
        <w:sectPr>
          <w:pgSz w:w="11910" w:h="16840"/>
          <w:pgMar w:header="0" w:footer="1186" w:top="1100" w:bottom="138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147"/>
        <w:jc w:val="left"/>
        <w:rPr>
          <w:b w:val="0"/>
          <w:bCs w:val="0"/>
        </w:rPr>
      </w:pPr>
      <w:r>
        <w:rPr/>
        <w:t>（</w:t>
      </w:r>
      <w:r>
        <w:rPr>
          <w:rFonts w:ascii="宋体" w:hAnsi="宋体" w:cs="宋体" w:eastAsia="宋体" w:hint="default"/>
        </w:rPr>
        <w:t>2</w:t>
      </w:r>
      <w:r>
        <w:rPr/>
        <w:t>）违规对外担保情况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left="140" w:right="9958"/>
        <w:jc w:val="left"/>
      </w:pPr>
      <w:r>
        <w:rPr/>
        <w:t>□ 适用 √</w:t>
      </w:r>
      <w:r>
        <w:rPr>
          <w:spacing w:val="3"/>
        </w:rPr>
        <w:t> </w:t>
      </w:r>
      <w:r>
        <w:rPr/>
        <w:t>不适用</w:t>
      </w:r>
      <w:r>
        <w:rPr/>
        <w:t> 公司报告期无违规对外担保情况。</w:t>
      </w:r>
    </w:p>
    <w:p>
      <w:pPr>
        <w:spacing w:line="240" w:lineRule="auto" w:before="4"/>
        <w:rPr>
          <w:rFonts w:ascii="宋体" w:hAnsi="宋体" w:cs="宋体" w:eastAsia="宋体" w:hint="default"/>
          <w:sz w:val="20"/>
          <w:szCs w:val="20"/>
        </w:rPr>
      </w:pPr>
    </w:p>
    <w:p>
      <w:pPr>
        <w:pStyle w:val="Heading3"/>
        <w:spacing w:line="240" w:lineRule="auto"/>
        <w:ind w:left="140" w:right="147"/>
        <w:jc w:val="left"/>
        <w:rPr>
          <w:b w:val="0"/>
          <w:bCs w:val="0"/>
        </w:rPr>
      </w:pPr>
      <w:r>
        <w:rPr>
          <w:rFonts w:ascii="宋体" w:hAnsi="宋体" w:cs="宋体" w:eastAsia="宋体" w:hint="default"/>
        </w:rPr>
        <w:t>3</w:t>
      </w:r>
      <w:r>
        <w:rPr/>
        <w:t>、委托他人进行现金资产管理情况</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40" w:right="147"/>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140" w:right="147"/>
        <w:jc w:val="left"/>
      </w:pPr>
      <w:r>
        <w:rPr/>
        <w:t>√ 适用 □</w:t>
      </w:r>
      <w:r>
        <w:rPr>
          <w:spacing w:val="3"/>
        </w:rPr>
        <w:t> </w:t>
      </w:r>
      <w:r>
        <w:rPr/>
        <w:t>不适用</w:t>
      </w:r>
    </w:p>
    <w:p>
      <w:pPr>
        <w:pStyle w:val="BodyText"/>
        <w:spacing w:line="240" w:lineRule="auto" w:before="117"/>
        <w:ind w:left="0" w:right="157"/>
        <w:jc w:val="right"/>
      </w:pPr>
      <w:r>
        <w:rPr/>
        <w:t>单位：万元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443"/>
        <w:gridCol w:w="737"/>
        <w:gridCol w:w="1321"/>
        <w:gridCol w:w="1066"/>
        <w:gridCol w:w="1560"/>
        <w:gridCol w:w="1560"/>
        <w:gridCol w:w="991"/>
        <w:gridCol w:w="991"/>
        <w:gridCol w:w="1277"/>
        <w:gridCol w:w="852"/>
        <w:gridCol w:w="991"/>
        <w:gridCol w:w="1229"/>
      </w:tblGrid>
      <w:tr>
        <w:trPr>
          <w:trHeight w:val="714" w:hRule="exact"/>
        </w:trPr>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1" w:right="9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98" w:right="41" w:hanging="360"/>
              <w:jc w:val="left"/>
              <w:rPr>
                <w:rFonts w:ascii="宋体" w:hAnsi="宋体" w:cs="宋体" w:eastAsia="宋体" w:hint="default"/>
                <w:sz w:val="18"/>
                <w:szCs w:val="18"/>
              </w:rPr>
            </w:pPr>
            <w:r>
              <w:rPr>
                <w:rFonts w:ascii="宋体" w:hAnsi="宋体" w:cs="宋体" w:eastAsia="宋体" w:hint="default"/>
                <w:sz w:val="18"/>
                <w:szCs w:val="18"/>
              </w:rPr>
              <w:t>报酬确定方 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 w:right="38"/>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3" w:right="92"/>
              <w:jc w:val="left"/>
              <w:rPr>
                <w:rFonts w:ascii="宋体" w:hAnsi="宋体" w:cs="宋体" w:eastAsia="宋体" w:hint="default"/>
                <w:sz w:val="18"/>
                <w:szCs w:val="18"/>
              </w:rPr>
            </w:pPr>
            <w:r>
              <w:rPr>
                <w:rFonts w:ascii="宋体" w:hAnsi="宋体" w:cs="宋体" w:eastAsia="宋体" w:hint="default"/>
                <w:sz w:val="18"/>
                <w:szCs w:val="18"/>
              </w:rPr>
              <w:t>计提减值准备 金额（如有）</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41" w:hanging="92"/>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6" w:right="70" w:hanging="89"/>
              <w:jc w:val="left"/>
              <w:rPr>
                <w:rFonts w:ascii="宋体" w:hAnsi="宋体" w:cs="宋体" w:eastAsia="宋体" w:hint="default"/>
                <w:sz w:val="18"/>
                <w:szCs w:val="18"/>
              </w:rPr>
            </w:pPr>
            <w:r>
              <w:rPr>
                <w:rFonts w:ascii="宋体" w:hAnsi="宋体" w:cs="宋体" w:eastAsia="宋体" w:hint="default"/>
                <w:sz w:val="18"/>
                <w:szCs w:val="18"/>
              </w:rPr>
              <w:t>报告期损益实 际收回情况</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75.9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75.9</w:t>
            </w:r>
          </w:p>
        </w:tc>
      </w:tr>
      <w:tr>
        <w:trPr>
          <w:trHeight w:val="716"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33.86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33.86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33.86</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16.88</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20.3</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招行景鑫海口</w:t>
            </w:r>
            <w:r>
              <w:rPr>
                <w:rFonts w:ascii="宋体" w:hAnsi="宋体" w:cs="宋体" w:eastAsia="宋体" w:hint="default"/>
                <w:spacing w:val="-44"/>
                <w:sz w:val="18"/>
                <w:szCs w:val="18"/>
              </w:rPr>
              <w:t> </w:t>
            </w:r>
            <w:r>
              <w:rPr>
                <w:rFonts w:ascii="宋体" w:hAnsi="宋体" w:cs="宋体" w:eastAsia="宋体" w:hint="default"/>
                <w:sz w:val="18"/>
                <w:szCs w:val="18"/>
              </w:rPr>
              <w:t>1 </w:t>
            </w:r>
            <w:r>
              <w:rPr>
                <w:rFonts w:ascii="宋体" w:hAnsi="宋体" w:cs="宋体" w:eastAsia="宋体" w:hint="default"/>
                <w:sz w:val="18"/>
                <w:szCs w:val="18"/>
              </w:rPr>
              <w:t>号理财</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0.68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兴业银行沙井支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到期一次性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42.85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42.85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42.85</w:t>
            </w:r>
          </w:p>
        </w:tc>
      </w:tr>
    </w:tbl>
    <w:p>
      <w:pPr>
        <w:spacing w:after="0" w:line="240" w:lineRule="auto"/>
        <w:jc w:val="right"/>
        <w:rPr>
          <w:rFonts w:ascii="宋体" w:hAnsi="宋体" w:cs="宋体" w:eastAsia="宋体" w:hint="default"/>
          <w:sz w:val="18"/>
          <w:szCs w:val="18"/>
        </w:rPr>
        <w:sectPr>
          <w:headerReference w:type="default" r:id="rId21"/>
          <w:footerReference w:type="default" r:id="rId22"/>
          <w:pgSz w:w="16840" w:h="11910" w:orient="landscape"/>
          <w:pgMar w:header="867" w:footer="1186" w:top="1060" w:bottom="1380" w:left="1300" w:right="1280"/>
          <w:pgNumType w:start="42"/>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43"/>
        <w:gridCol w:w="737"/>
        <w:gridCol w:w="1321"/>
        <w:gridCol w:w="1066"/>
        <w:gridCol w:w="1560"/>
        <w:gridCol w:w="1560"/>
        <w:gridCol w:w="991"/>
        <w:gridCol w:w="991"/>
        <w:gridCol w:w="1277"/>
        <w:gridCol w:w="852"/>
        <w:gridCol w:w="991"/>
        <w:gridCol w:w="1229"/>
      </w:tblGrid>
      <w:tr>
        <w:trPr>
          <w:trHeight w:val="377" w:hRule="exact"/>
        </w:trPr>
        <w:tc>
          <w:tcPr>
            <w:tcW w:w="14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737" w:type="dxa"/>
            <w:tcBorders>
              <w:top w:val="single" w:sz="15" w:space="0" w:color="000000"/>
              <w:left w:val="single" w:sz="4" w:space="0" w:color="000000"/>
              <w:bottom w:val="single" w:sz="4" w:space="0" w:color="000000"/>
              <w:right w:val="single" w:sz="4" w:space="0" w:color="000000"/>
            </w:tcBorders>
          </w:tcPr>
          <w:p>
            <w:pPr/>
          </w:p>
        </w:tc>
        <w:tc>
          <w:tcPr>
            <w:tcW w:w="1321" w:type="dxa"/>
            <w:tcBorders>
              <w:top w:val="single" w:sz="15" w:space="0" w:color="000000"/>
              <w:left w:val="single" w:sz="4" w:space="0" w:color="000000"/>
              <w:bottom w:val="single" w:sz="4" w:space="0" w:color="000000"/>
              <w:right w:val="single" w:sz="4" w:space="0" w:color="000000"/>
            </w:tcBorders>
          </w:tcPr>
          <w:p>
            <w:pPr/>
          </w:p>
        </w:tc>
        <w:tc>
          <w:tcPr>
            <w:tcW w:w="1066"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还本付息</w:t>
            </w:r>
          </w:p>
        </w:tc>
        <w:tc>
          <w:tcPr>
            <w:tcW w:w="99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兴业银行沙井支 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15.46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15.46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15.46</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36.99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36.99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36.99</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兴业银行沙井支 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28.59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28.59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28.59</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39.07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39.07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39.07</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兴业银行沙井支 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24.46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24.46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24.46</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兴业银行沙井支 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14.6</w:t>
            </w:r>
          </w:p>
        </w:tc>
      </w:tr>
      <w:tr>
        <w:trPr>
          <w:trHeight w:val="716"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招商银行人民广 场支行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8.75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8.75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8.75</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18.9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18.9</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招商银行人民广 场支行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9.43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9.43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9.43</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34.77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34.77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34.77</w:t>
            </w:r>
          </w:p>
        </w:tc>
      </w:tr>
      <w:tr>
        <w:trPr>
          <w:trHeight w:val="716"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光大银行华强支 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58.25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58.25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58.25</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7.15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7.15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7.15</w:t>
            </w:r>
          </w:p>
        </w:tc>
      </w:tr>
      <w:tr>
        <w:trPr>
          <w:trHeight w:val="40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招商银行人民广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到期一次性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7.87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7.87</w:t>
            </w:r>
          </w:p>
        </w:tc>
      </w:tr>
    </w:tbl>
    <w:p>
      <w:pPr>
        <w:spacing w:after="0" w:line="240" w:lineRule="auto"/>
        <w:jc w:val="righ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43"/>
        <w:gridCol w:w="737"/>
        <w:gridCol w:w="1321"/>
        <w:gridCol w:w="1066"/>
        <w:gridCol w:w="1560"/>
        <w:gridCol w:w="1560"/>
        <w:gridCol w:w="991"/>
        <w:gridCol w:w="991"/>
        <w:gridCol w:w="1277"/>
        <w:gridCol w:w="852"/>
        <w:gridCol w:w="991"/>
        <w:gridCol w:w="1229"/>
      </w:tblGrid>
      <w:tr>
        <w:trPr>
          <w:trHeight w:val="377" w:hRule="exact"/>
        </w:trPr>
        <w:tc>
          <w:tcPr>
            <w:tcW w:w="14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场支行</w:t>
            </w:r>
          </w:p>
        </w:tc>
        <w:tc>
          <w:tcPr>
            <w:tcW w:w="737" w:type="dxa"/>
            <w:tcBorders>
              <w:top w:val="single" w:sz="15" w:space="0" w:color="000000"/>
              <w:left w:val="single" w:sz="4" w:space="0" w:color="000000"/>
              <w:bottom w:val="single" w:sz="4" w:space="0" w:color="000000"/>
              <w:right w:val="single" w:sz="4" w:space="0" w:color="000000"/>
            </w:tcBorders>
          </w:tcPr>
          <w:p>
            <w:pPr/>
          </w:p>
        </w:tc>
        <w:tc>
          <w:tcPr>
            <w:tcW w:w="1321" w:type="dxa"/>
            <w:tcBorders>
              <w:top w:val="single" w:sz="15" w:space="0" w:color="000000"/>
              <w:left w:val="single" w:sz="4" w:space="0" w:color="000000"/>
              <w:bottom w:val="single" w:sz="4" w:space="0" w:color="000000"/>
              <w:right w:val="single" w:sz="4" w:space="0" w:color="000000"/>
            </w:tcBorders>
          </w:tcPr>
          <w:p>
            <w:pPr/>
          </w:p>
        </w:tc>
        <w:tc>
          <w:tcPr>
            <w:tcW w:w="1066"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还本付息</w:t>
            </w:r>
          </w:p>
        </w:tc>
        <w:tc>
          <w:tcPr>
            <w:tcW w:w="99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6.79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6.79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6.79</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0.53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0.53</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21.7</w:t>
            </w:r>
          </w:p>
        </w:tc>
      </w:tr>
      <w:tr>
        <w:trPr>
          <w:trHeight w:val="401"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清仓付息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0.41</w:t>
            </w:r>
          </w:p>
        </w:tc>
      </w:tr>
      <w:tr>
        <w:trPr>
          <w:trHeight w:val="40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清仓付息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2.48</w:t>
            </w:r>
          </w:p>
        </w:tc>
      </w:tr>
      <w:tr>
        <w:trPr>
          <w:trHeight w:val="401"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清仓付息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4.37</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招商银行人民广 场支行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清仓付息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13.04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13.04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13.04</w:t>
            </w:r>
          </w:p>
        </w:tc>
      </w:tr>
      <w:tr>
        <w:trPr>
          <w:trHeight w:val="401"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清仓付息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14.32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14.32</w:t>
            </w:r>
          </w:p>
        </w:tc>
      </w:tr>
      <w:tr>
        <w:trPr>
          <w:trHeight w:val="716"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（滚动）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每周五到期 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12.55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12.55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12.55</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（滚动）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每周五到期 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1.01</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（滚动）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每周五到期 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0.46</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（滚动）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780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每周五到期 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0.43</w:t>
            </w:r>
          </w:p>
        </w:tc>
      </w:tr>
      <w:tr>
        <w:trPr>
          <w:trHeight w:val="716"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（滚动）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每周五到期 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0.78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0.78</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4.67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4.67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4.67</w:t>
            </w:r>
          </w:p>
        </w:tc>
      </w:tr>
    </w:tbl>
    <w:p>
      <w:pPr>
        <w:spacing w:after="0" w:line="240" w:lineRule="auto"/>
        <w:jc w:val="righ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43"/>
        <w:gridCol w:w="737"/>
        <w:gridCol w:w="1321"/>
        <w:gridCol w:w="1066"/>
        <w:gridCol w:w="1560"/>
        <w:gridCol w:w="1560"/>
        <w:gridCol w:w="991"/>
        <w:gridCol w:w="991"/>
        <w:gridCol w:w="1277"/>
        <w:gridCol w:w="852"/>
        <w:gridCol w:w="991"/>
        <w:gridCol w:w="1229"/>
      </w:tblGrid>
      <w:tr>
        <w:trPr>
          <w:trHeight w:val="730" w:hRule="exact"/>
        </w:trPr>
        <w:tc>
          <w:tcPr>
            <w:tcW w:w="1443"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5.83</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5.83</w:t>
            </w:r>
          </w:p>
        </w:tc>
        <w:tc>
          <w:tcPr>
            <w:tcW w:w="12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5.83</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招商银行北京北 三环支行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19.86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19.86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19.86</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民生北京朝阳门 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10.34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10.34</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民生北京朝阳门 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7.3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7.3</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招行北京北三环 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6,500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6,500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38.91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38.91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38.91</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招行北京北三环 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8.61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8.61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8.61</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15.07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15.07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15.07</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17.26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17.26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17.26</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9.04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9.04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9.04</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16.88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16.88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16.88</w:t>
            </w:r>
          </w:p>
        </w:tc>
      </w:tr>
      <w:tr>
        <w:trPr>
          <w:trHeight w:val="40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基金产品</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208,540.86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160,540.86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1,704.36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1,224.41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886.52</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83.84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83.84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83.84</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21.7</w:t>
            </w:r>
          </w:p>
        </w:tc>
      </w:tr>
    </w:tbl>
    <w:p>
      <w:pPr>
        <w:spacing w:after="0" w:line="240" w:lineRule="auto"/>
        <w:jc w:val="righ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43"/>
        <w:gridCol w:w="737"/>
        <w:gridCol w:w="1321"/>
        <w:gridCol w:w="1066"/>
        <w:gridCol w:w="1560"/>
        <w:gridCol w:w="1560"/>
        <w:gridCol w:w="991"/>
        <w:gridCol w:w="991"/>
        <w:gridCol w:w="1277"/>
        <w:gridCol w:w="852"/>
        <w:gridCol w:w="991"/>
        <w:gridCol w:w="1229"/>
      </w:tblGrid>
      <w:tr>
        <w:trPr>
          <w:trHeight w:val="730" w:hRule="exact"/>
        </w:trPr>
        <w:tc>
          <w:tcPr>
            <w:tcW w:w="1443"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49.1</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49.1</w:t>
            </w:r>
          </w:p>
        </w:tc>
        <w:tc>
          <w:tcPr>
            <w:tcW w:w="12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49.1</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23.01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23.01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23.01</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4,800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23.57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23.57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23.57</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14.1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14.1</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52.16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52.16</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46.03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46.03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46.03</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52.16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52.16</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国信证券深圳红 岭中路营业部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22.93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22.93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22.93</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34.19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34.19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34.19</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0.03</w:t>
            </w:r>
          </w:p>
        </w:tc>
      </w:tr>
      <w:tr>
        <w:trPr>
          <w:trHeight w:val="716"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39.45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39.45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39.45</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3.47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3.47</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0.26</w:t>
            </w:r>
          </w:p>
        </w:tc>
      </w:tr>
    </w:tbl>
    <w:p>
      <w:pPr>
        <w:spacing w:after="0" w:line="240" w:lineRule="auto"/>
        <w:jc w:val="righ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43"/>
        <w:gridCol w:w="737"/>
        <w:gridCol w:w="1321"/>
        <w:gridCol w:w="1066"/>
        <w:gridCol w:w="1560"/>
        <w:gridCol w:w="1560"/>
        <w:gridCol w:w="991"/>
        <w:gridCol w:w="991"/>
        <w:gridCol w:w="1277"/>
        <w:gridCol w:w="852"/>
        <w:gridCol w:w="991"/>
        <w:gridCol w:w="1229"/>
      </w:tblGrid>
      <w:tr>
        <w:trPr>
          <w:trHeight w:val="730" w:hRule="exact"/>
        </w:trPr>
        <w:tc>
          <w:tcPr>
            <w:tcW w:w="1443"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5.37</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5.37</w:t>
            </w:r>
          </w:p>
        </w:tc>
        <w:tc>
          <w:tcPr>
            <w:tcW w:w="12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5.37</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22.71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22.71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22.71</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35.29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35.29</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12.6</w:t>
            </w:r>
          </w:p>
        </w:tc>
      </w:tr>
      <w:tr>
        <w:trPr>
          <w:trHeight w:val="71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8.69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8.69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8.69</w:t>
            </w:r>
          </w:p>
        </w:tc>
      </w:tr>
      <w:tr>
        <w:trPr>
          <w:trHeight w:val="71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工商银行深圳龙 华支行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保本固定收益型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到期一次性 还本付息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13.26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13.26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13.26</w:t>
            </w:r>
          </w:p>
        </w:tc>
      </w:tr>
      <w:tr>
        <w:trPr>
          <w:trHeight w:val="403" w:hRule="exact"/>
        </w:trPr>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pacing w:val="-1"/>
                <w:sz w:val="18"/>
              </w:rPr>
              <w:t>534,400.86</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480,400.86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2,999.18</w:t>
            </w:r>
          </w:p>
        </w:tc>
        <w:tc>
          <w:tcPr>
            <w:tcW w:w="991"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2,517.05</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r>
      <w:tr>
        <w:trPr>
          <w:trHeight w:val="401" w:hRule="exact"/>
        </w:trPr>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自有资金循环投资</w:t>
            </w:r>
          </w:p>
        </w:tc>
      </w:tr>
      <w:tr>
        <w:trPr>
          <w:trHeight w:val="404" w:hRule="exact"/>
        </w:trPr>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w:t>
            </w:r>
          </w:p>
        </w:tc>
      </w:tr>
      <w:tr>
        <w:trPr>
          <w:trHeight w:val="401" w:hRule="exact"/>
        </w:trPr>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委托理财审批董事会公告披露日期（如有</w:t>
            </w:r>
            <w:r>
              <w:rPr>
                <w:rFonts w:ascii="宋体" w:hAnsi="宋体" w:cs="宋体" w:eastAsia="宋体" w:hint="default"/>
                <w:sz w:val="18"/>
                <w:szCs w:val="18"/>
              </w:rPr>
              <w:t>)</w:t>
            </w: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3500" w:type="dxa"/>
            <w:gridSpan w:val="3"/>
            <w:vMerge/>
            <w:tcBorders>
              <w:left w:val="single" w:sz="4" w:space="0" w:color="000000"/>
              <w:right w:val="single" w:sz="4" w:space="0" w:color="000000"/>
            </w:tcBorders>
            <w:shd w:val="clear" w:color="auto" w:fill="D2D2D2"/>
          </w:tcPr>
          <w:p>
            <w:pP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委托理财审批股东会公告披露日期（如有</w:t>
            </w:r>
            <w:r>
              <w:rPr>
                <w:rFonts w:ascii="宋体" w:hAnsi="宋体" w:cs="宋体" w:eastAsia="宋体" w:hint="default"/>
                <w:sz w:val="18"/>
                <w:szCs w:val="18"/>
              </w:rPr>
              <w:t>)</w:t>
            </w: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3500" w:type="dxa"/>
            <w:gridSpan w:val="3"/>
            <w:vMerge/>
            <w:tcBorders>
              <w:left w:val="single" w:sz="4" w:space="0" w:color="000000"/>
              <w:right w:val="single" w:sz="4" w:space="0" w:color="000000"/>
            </w:tcBorders>
            <w:shd w:val="clear" w:color="auto" w:fill="D2D2D2"/>
          </w:tcPr>
          <w:p>
            <w:pP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4" w:hRule="exact"/>
        </w:trPr>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105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53"/>
        <w:jc w:val="left"/>
        <w:rPr>
          <w:b w:val="0"/>
          <w:bCs w:val="0"/>
        </w:rPr>
      </w:pPr>
      <w:r>
        <w:rPr/>
        <w:t>（</w:t>
      </w:r>
      <w:r>
        <w:rPr>
          <w:rFonts w:ascii="宋体" w:hAnsi="宋体" w:cs="宋体" w:eastAsia="宋体" w:hint="default"/>
        </w:rPr>
        <w:t>2</w:t>
      </w:r>
      <w:r>
        <w:rPr/>
        <w:t>）委托贷款情况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434"/>
        <w:jc w:val="left"/>
      </w:pPr>
      <w:r>
        <w:rPr/>
        <w:t>□ 适用 √</w:t>
      </w:r>
      <w:r>
        <w:rPr>
          <w:spacing w:val="3"/>
        </w:rPr>
        <w:t> </w:t>
      </w:r>
      <w:r>
        <w:rPr/>
        <w:t>不适用</w:t>
      </w:r>
      <w:r>
        <w:rPr/>
        <w:t> 公司报告期不存在委托贷款。</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4</w:t>
      </w:r>
      <w:r>
        <w:rPr/>
        <w:t>、其他重大合同</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074"/>
        <w:jc w:val="left"/>
      </w:pPr>
      <w:r>
        <w:rPr/>
        <w:t>□ 适用 √</w:t>
      </w:r>
      <w:r>
        <w:rPr>
          <w:spacing w:val="3"/>
        </w:rPr>
        <w:t> </w:t>
      </w:r>
      <w:r>
        <w:rPr/>
        <w:t>不适用</w:t>
      </w:r>
      <w:r>
        <w:rPr/>
        <w:t> 公司报告期不存在其他重大合同。</w:t>
      </w:r>
    </w:p>
    <w:p>
      <w:pPr>
        <w:spacing w:line="240" w:lineRule="auto" w:before="7"/>
        <w:rPr>
          <w:rFonts w:ascii="宋体" w:hAnsi="宋体" w:cs="宋体" w:eastAsia="宋体" w:hint="default"/>
          <w:sz w:val="18"/>
          <w:szCs w:val="18"/>
        </w:rPr>
      </w:pPr>
    </w:p>
    <w:p>
      <w:pPr>
        <w:pStyle w:val="Heading2"/>
        <w:spacing w:line="240" w:lineRule="auto"/>
        <w:ind w:right="153"/>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074"/>
        <w:jc w:val="left"/>
      </w:pPr>
      <w:r>
        <w:rPr/>
        <w:pict>
          <v:shape style="position:absolute;margin-left:56.279999pt;margin-top:32.831707pt;width:483.6pt;height:403.1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4962"/>
                    <w:gridCol w:w="1133"/>
                    <w:gridCol w:w="2703"/>
                  </w:tblGrid>
                  <w:tr>
                    <w:trPr>
                      <w:trHeight w:val="547" w:hRule="exact"/>
                    </w:trPr>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4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登载日期</w:t>
                        </w:r>
                      </w:p>
                    </w:tc>
                    <w:tc>
                      <w:tcPr>
                        <w:tcW w:w="27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登载的互联网网站及检索路径</w:t>
                        </w:r>
                      </w:p>
                    </w:tc>
                  </w:tr>
                  <w:tr>
                    <w:trPr>
                      <w:trHeight w:val="545" w:hRule="exact"/>
                    </w:trPr>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sz w:val="18"/>
                          </w:rPr>
                          <w:t>2015-006</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关于公司利用自有资金进行证券投资事项的公告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2015-01-10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sz w:val="18"/>
                          </w:rPr>
                          <w:t>2015-007</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sz w:val="18"/>
                          </w:rPr>
                          <w:t>2015-01-10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sz w:val="18"/>
                          </w:rPr>
                          <w:t>2015-015</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关于出资</w:t>
                        </w:r>
                        <w:r>
                          <w:rPr>
                            <w:rFonts w:ascii="宋体" w:hAnsi="宋体" w:cs="宋体" w:eastAsia="宋体" w:hint="default"/>
                            <w:sz w:val="18"/>
                            <w:szCs w:val="18"/>
                          </w:rPr>
                          <w:t>4</w:t>
                        </w:r>
                        <w:r>
                          <w:rPr>
                            <w:rFonts w:ascii="宋体" w:hAnsi="宋体" w:cs="宋体" w:eastAsia="宋体" w:hint="default"/>
                            <w:sz w:val="18"/>
                            <w:szCs w:val="18"/>
                          </w:rPr>
                          <w:t>亿元设立产业投资并购基金的公告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sz w:val="18"/>
                          </w:rPr>
                          <w:t>2015-01-28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sz w:val="18"/>
                          </w:rPr>
                          <w:t>2015-033</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关于股东减持暨第一大股东变更的提示性公告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sz w:val="18"/>
                          </w:rPr>
                          <w:t>2015-03-06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8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sz w:val="18"/>
                          </w:rPr>
                          <w:t>2015-037</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关于收回长春高琦聚酰亚胺材料有限公司</w:t>
                        </w:r>
                        <w:r>
                          <w:rPr>
                            <w:rFonts w:ascii="宋体" w:hAnsi="宋体" w:cs="宋体" w:eastAsia="宋体" w:hint="default"/>
                            <w:spacing w:val="2"/>
                            <w:sz w:val="18"/>
                            <w:szCs w:val="18"/>
                          </w:rPr>
                          <w:t>4000</w:t>
                        </w:r>
                        <w:r>
                          <w:rPr>
                            <w:rFonts w:ascii="宋体" w:hAnsi="宋体" w:cs="宋体" w:eastAsia="宋体" w:hint="default"/>
                            <w:spacing w:val="2"/>
                            <w:sz w:val="18"/>
                            <w:szCs w:val="18"/>
                          </w:rPr>
                          <w:t>万元财务资助的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z w:val="18"/>
                          </w:rPr>
                          <w:t>2015-03-17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8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sz w:val="18"/>
                          </w:rPr>
                          <w:t>2015-041</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5"/>
                          <w:jc w:val="left"/>
                          <w:rPr>
                            <w:rFonts w:ascii="宋体" w:hAnsi="宋体" w:cs="宋体" w:eastAsia="宋体" w:hint="default"/>
                            <w:sz w:val="18"/>
                            <w:szCs w:val="18"/>
                          </w:rPr>
                        </w:pPr>
                        <w:r>
                          <w:rPr>
                            <w:rFonts w:ascii="宋体" w:hAnsi="宋体" w:cs="宋体" w:eastAsia="宋体" w:hint="default"/>
                            <w:spacing w:val="5"/>
                            <w:sz w:val="18"/>
                            <w:szCs w:val="18"/>
                          </w:rPr>
                          <w:t>关于放弃长春高琦聚酰亚胺材料有限公司</w:t>
                        </w:r>
                        <w:r>
                          <w:rPr>
                            <w:rFonts w:ascii="宋体" w:hAnsi="宋体" w:cs="宋体" w:eastAsia="宋体" w:hint="default"/>
                            <w:spacing w:val="5"/>
                            <w:sz w:val="18"/>
                            <w:szCs w:val="18"/>
                          </w:rPr>
                          <w:t>66.63177%</w:t>
                        </w:r>
                        <w:r>
                          <w:rPr>
                            <w:rFonts w:ascii="宋体" w:hAnsi="宋体" w:cs="宋体" w:eastAsia="宋体" w:hint="default"/>
                            <w:spacing w:val="5"/>
                            <w:sz w:val="18"/>
                            <w:szCs w:val="18"/>
                          </w:rPr>
                          <w:t>股权的托</w:t>
                        </w:r>
                        <w:r>
                          <w:rPr>
                            <w:rFonts w:ascii="宋体" w:hAnsi="宋体" w:cs="宋体" w:eastAsia="宋体" w:hint="default"/>
                            <w:spacing w:val="-72"/>
                            <w:sz w:val="18"/>
                            <w:szCs w:val="18"/>
                          </w:rPr>
                          <w:t> </w:t>
                        </w:r>
                        <w:r>
                          <w:rPr>
                            <w:rFonts w:ascii="宋体" w:hAnsi="宋体" w:cs="宋体" w:eastAsia="宋体" w:hint="default"/>
                            <w:sz w:val="18"/>
                            <w:szCs w:val="18"/>
                          </w:rPr>
                          <w:t>管权及回购权的公告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z w:val="18"/>
                          </w:rPr>
                          <w:t>2015-03-28</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8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sz w:val="18"/>
                          </w:rPr>
                          <w:t>2015-046</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
                          <w:jc w:val="left"/>
                          <w:rPr>
                            <w:rFonts w:ascii="宋体" w:hAnsi="宋体" w:cs="宋体" w:eastAsia="宋体" w:hint="default"/>
                            <w:sz w:val="18"/>
                            <w:szCs w:val="18"/>
                          </w:rPr>
                        </w:pPr>
                        <w:r>
                          <w:rPr>
                            <w:rFonts w:ascii="宋体" w:hAnsi="宋体" w:cs="宋体" w:eastAsia="宋体" w:hint="default"/>
                            <w:spacing w:val="5"/>
                            <w:sz w:val="18"/>
                            <w:szCs w:val="18"/>
                          </w:rPr>
                          <w:t>关于放弃江西先材纳米纤维科技有限公司</w:t>
                        </w:r>
                        <w:r>
                          <w:rPr>
                            <w:rFonts w:ascii="宋体" w:hAnsi="宋体" w:cs="宋体" w:eastAsia="宋体" w:hint="default"/>
                            <w:spacing w:val="5"/>
                            <w:sz w:val="18"/>
                            <w:szCs w:val="18"/>
                          </w:rPr>
                          <w:t>52.8%</w:t>
                        </w:r>
                        <w:r>
                          <w:rPr>
                            <w:rFonts w:ascii="宋体" w:hAnsi="宋体" w:cs="宋体" w:eastAsia="宋体" w:hint="default"/>
                            <w:spacing w:val="5"/>
                            <w:sz w:val="18"/>
                            <w:szCs w:val="18"/>
                          </w:rPr>
                          <w:t>股权的托管权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及回购权的公告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z w:val="18"/>
                          </w:rPr>
                          <w:t>2015-04-09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2015-075</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关于公司实际控制人已发生变更的提示性公告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2015-6-12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2015-077</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关于对全资子公司增资的公告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2015-06-30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2015-092</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限制性股票与股票期权激励计划（草案）摘要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2015-08-06</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2015-098</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关于公司住所、经营范围变更和《公司章程》备案完成的公告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2015-09-11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r>
                    <w:trPr>
                      <w:trHeight w:val="5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2015-103</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第二期限制性股票与股票期权激励计划（草案）摘要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2015-10-14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p>
                    </w:tc>
                  </w:tr>
                </w:tbl>
                <w:p>
                  <w:pPr/>
                </w:p>
              </w:txbxContent>
            </v:textbox>
            <w10:wrap type="none"/>
          </v:shape>
        </w:pict>
      </w:r>
      <w:r>
        <w:rPr/>
        <w:t>√ 适用 □</w:t>
      </w:r>
      <w:r>
        <w:rPr>
          <w:spacing w:val="3"/>
        </w:rPr>
        <w:t> </w:t>
      </w:r>
      <w:r>
        <w:rPr/>
        <w:t>不适用</w:t>
      </w:r>
      <w:r>
        <w:rPr/>
        <w:t> 已作为临时报告披露的重大事项：</w:t>
      </w:r>
    </w:p>
    <w:p>
      <w:pPr>
        <w:spacing w:after="0" w:line="360" w:lineRule="auto"/>
        <w:jc w:val="left"/>
        <w:sectPr>
          <w:headerReference w:type="default" r:id="rId23"/>
          <w:footerReference w:type="default" r:id="rId24"/>
          <w:pgSz w:w="11910" w:h="16840"/>
          <w:pgMar w:header="877" w:footer="1186" w:top="1060" w:bottom="1380" w:left="980" w:right="980"/>
          <w:pgNumType w:start="48"/>
        </w:sectPr>
      </w:pPr>
    </w:p>
    <w:p>
      <w:pPr>
        <w:spacing w:line="240" w:lineRule="auto" w:before="10"/>
        <w:rPr>
          <w:rFonts w:ascii="宋体" w:hAnsi="宋体" w:cs="宋体" w:eastAsia="宋体" w:hint="default"/>
          <w:sz w:val="19"/>
          <w:szCs w:val="19"/>
        </w:rPr>
      </w:pPr>
    </w:p>
    <w:p>
      <w:pPr>
        <w:pStyle w:val="Heading2"/>
        <w:spacing w:line="240" w:lineRule="auto" w:before="26"/>
        <w:ind w:right="15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0" w:hanging="361"/>
        <w:jc w:val="left"/>
      </w:pPr>
      <w:r>
        <w:rPr/>
        <w:t>√ 适用 □</w:t>
      </w:r>
      <w:r>
        <w:rPr>
          <w:spacing w:val="3"/>
        </w:rPr>
        <w:t> </w:t>
      </w:r>
      <w:r>
        <w:rPr/>
        <w:t>不适用</w:t>
      </w:r>
      <w:r>
        <w:rPr/>
        <w:t> </w:t>
      </w:r>
      <w:r>
        <w:rPr>
          <w:spacing w:val="-2"/>
        </w:rPr>
        <w:t>根据投资业务发展需要，报告期内经公司总裁办公会决定，批准子公司北京中汇联银设立全资子公司中行置盛、中融建</w:t>
      </w:r>
    </w:p>
    <w:p>
      <w:pPr>
        <w:pStyle w:val="BodyText"/>
        <w:spacing w:line="224" w:lineRule="exact"/>
        <w:ind w:right="153"/>
        <w:jc w:val="left"/>
      </w:pPr>
      <w:r>
        <w:rPr/>
        <w:t>银，并购置办公场所，各项业务按照经营计划有序开展。</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二十、社会责任情况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二十一、公司债券相关情况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13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4" w:right="15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、股份变动情况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3"/>
        <w:gridCol w:w="1058"/>
        <w:gridCol w:w="686"/>
        <w:gridCol w:w="955"/>
        <w:gridCol w:w="418"/>
        <w:gridCol w:w="956"/>
        <w:gridCol w:w="1046"/>
        <w:gridCol w:w="956"/>
        <w:gridCol w:w="1046"/>
        <w:gridCol w:w="686"/>
      </w:tblGrid>
      <w:tr>
        <w:trPr>
          <w:trHeight w:val="206"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3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744" w:type="dxa"/>
            <w:gridSpan w:val="2"/>
            <w:vMerge/>
            <w:tcBorders>
              <w:left w:val="single" w:sz="4" w:space="0" w:color="000000"/>
              <w:bottom w:val="single" w:sz="4" w:space="0" w:color="000000"/>
              <w:right w:val="single" w:sz="4" w:space="0" w:color="000000"/>
            </w:tcBorders>
            <w:shd w:val="clear" w:color="auto" w:fill="D2D2D2"/>
          </w:tcPr>
          <w:p>
            <w:pPr/>
          </w:p>
        </w:tc>
        <w:tc>
          <w:tcPr>
            <w:tcW w:w="4331" w:type="dxa"/>
            <w:gridSpan w:val="5"/>
            <w:vMerge/>
            <w:tcBorders>
              <w:left w:val="single" w:sz="4" w:space="0" w:color="000000"/>
              <w:bottom w:val="single" w:sz="4" w:space="0" w:color="000000"/>
              <w:right w:val="single" w:sz="4" w:space="0" w:color="000000"/>
            </w:tcBorders>
            <w:shd w:val="clear" w:color="auto" w:fill="D2D2D2"/>
          </w:tcPr>
          <w:p>
            <w:pPr/>
          </w:p>
        </w:tc>
        <w:tc>
          <w:tcPr>
            <w:tcW w:w="1733"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14,268,216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1,432,290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15,700,506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2.03%</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14,268,216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1,432,290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15,700,506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2.03%</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14,268,216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1,432,290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15,700,506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2.03%</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742,836,552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757,104,262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97.97%</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742,836,552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757,104,262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97.97%</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757,104,768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772,804,768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49"/>
        <w:ind w:right="153"/>
        <w:jc w:val="left"/>
      </w:pPr>
      <w:r>
        <w:rPr/>
        <w:t>股份变动的原因</w:t>
      </w:r>
    </w:p>
    <w:p>
      <w:pPr>
        <w:pStyle w:val="BodyText"/>
        <w:spacing w:line="360" w:lineRule="auto" w:before="115"/>
        <w:ind w:left="513" w:right="0" w:hanging="361"/>
        <w:jc w:val="left"/>
      </w:pPr>
      <w:r>
        <w:rPr/>
        <w:t>√ 适用 □</w:t>
      </w:r>
      <w:r>
        <w:rPr>
          <w:spacing w:val="3"/>
        </w:rPr>
        <w:t> </w:t>
      </w:r>
      <w:r>
        <w:rPr/>
        <w:t>不适用</w:t>
      </w:r>
      <w:r>
        <w:rPr/>
        <w:t> </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日公司第六次临时股东大会审议通过了《深圳市惠程电气股份有限公司第二期限制性股票与股票期权激励</w:t>
      </w:r>
    </w:p>
    <w:p>
      <w:pPr>
        <w:pStyle w:val="BodyText"/>
        <w:spacing w:line="222" w:lineRule="exact"/>
        <w:ind w:right="0"/>
        <w:jc w:val="left"/>
      </w:pPr>
      <w:r>
        <w:rPr/>
        <w:t>计划（草案）》，根据</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日公司第五届董事会第二十次会议决议和第五届监事会第十次会议决议，公司董事会实</w:t>
      </w:r>
    </w:p>
    <w:p>
      <w:pPr>
        <w:pStyle w:val="BodyText"/>
        <w:spacing w:line="316" w:lineRule="auto" w:before="76"/>
        <w:ind w:right="144"/>
        <w:jc w:val="left"/>
      </w:pPr>
      <w:r>
        <w:rPr/>
        <w:t>施并完成了第二期限制性股票与股票期权激励计划的首次授予工作。首次授予日为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日，实际首次激励对象为</w:t>
      </w:r>
      <w:r>
        <w:rPr>
          <w:rFonts w:ascii="宋体" w:hAnsi="宋体" w:cs="宋体" w:eastAsia="宋体" w:hint="default"/>
        </w:rPr>
        <w:t>10</w:t>
      </w:r>
      <w:r>
        <w:rPr>
          <w:rFonts w:ascii="宋体" w:hAnsi="宋体" w:cs="宋体" w:eastAsia="宋体" w:hint="default"/>
          <w:spacing w:val="-2"/>
        </w:rPr>
        <w:t> </w:t>
      </w:r>
      <w:r>
        <w:rPr/>
        <w:t>人，实际授予限制性股票数量为</w:t>
      </w:r>
      <w:r>
        <w:rPr>
          <w:rFonts w:ascii="宋体" w:hAnsi="宋体" w:cs="宋体" w:eastAsia="宋体" w:hint="default"/>
        </w:rPr>
        <w:t>1570</w:t>
      </w:r>
      <w:r>
        <w:rPr/>
        <w:t>万股。</w:t>
      </w:r>
    </w:p>
    <w:p>
      <w:pPr>
        <w:pStyle w:val="BodyText"/>
        <w:spacing w:line="316" w:lineRule="auto" w:before="19"/>
        <w:ind w:right="152" w:firstLine="360"/>
        <w:jc w:val="both"/>
      </w:pPr>
      <w:r>
        <w:rPr/>
        <w:t>截止</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12</w:t>
      </w:r>
      <w:r>
        <w:rPr/>
        <w:t>日，公司已收到</w:t>
      </w:r>
      <w:r>
        <w:rPr>
          <w:rFonts w:ascii="宋体" w:hAnsi="宋体" w:cs="宋体" w:eastAsia="宋体" w:hint="default"/>
        </w:rPr>
        <w:t>10</w:t>
      </w:r>
      <w:r>
        <w:rPr/>
        <w:t>名激励对象以货币资金缴纳的款项合计人民币</w:t>
      </w:r>
      <w:r>
        <w:rPr>
          <w:rFonts w:ascii="宋体" w:hAnsi="宋体" w:cs="宋体" w:eastAsia="宋体" w:hint="default"/>
        </w:rPr>
        <w:t>6,876.6</w:t>
      </w:r>
      <w:r>
        <w:rPr/>
        <w:t>万元整，其中：新增注册资 </w:t>
      </w:r>
      <w:r>
        <w:rPr>
          <w:spacing w:val="-2"/>
        </w:rPr>
        <w:t>本【实收资本（股本）】人民币</w:t>
      </w:r>
      <w:r>
        <w:rPr>
          <w:rFonts w:ascii="宋体" w:hAnsi="宋体" w:cs="宋体" w:eastAsia="宋体" w:hint="default"/>
          <w:spacing w:val="-2"/>
        </w:rPr>
        <w:t>1,570</w:t>
      </w:r>
      <w:r>
        <w:rPr>
          <w:spacing w:val="-2"/>
        </w:rPr>
        <w:t>万元整，其余人民币</w:t>
      </w:r>
      <w:r>
        <w:rPr>
          <w:rFonts w:ascii="宋体" w:hAnsi="宋体" w:cs="宋体" w:eastAsia="宋体" w:hint="default"/>
          <w:spacing w:val="-2"/>
        </w:rPr>
        <w:t>5,306.6</w:t>
      </w:r>
      <w:r>
        <w:rPr>
          <w:spacing w:val="-2"/>
        </w:rPr>
        <w:t>万元整作为资本公积。本次增资事项已经立信会计师事务</w:t>
      </w:r>
      <w:r>
        <w:rPr>
          <w:spacing w:val="-60"/>
        </w:rPr>
        <w:t> </w:t>
      </w:r>
      <w:r>
        <w:rPr>
          <w:spacing w:val="-60"/>
        </w:rPr>
      </w:r>
      <w:r>
        <w:rPr/>
        <w:t>所（特殊普通合伙）验证并出具了信会师报字</w:t>
      </w:r>
      <w:r>
        <w:rPr>
          <w:rFonts w:ascii="宋体" w:hAnsi="宋体" w:cs="宋体" w:eastAsia="宋体" w:hint="default"/>
        </w:rPr>
        <w:t>[2015]</w:t>
      </w:r>
      <w:r>
        <w:rPr/>
        <w:t>第</w:t>
      </w:r>
      <w:r>
        <w:rPr>
          <w:rFonts w:ascii="宋体" w:hAnsi="宋体" w:cs="宋体" w:eastAsia="宋体" w:hint="default"/>
        </w:rPr>
        <w:t>310882</w:t>
      </w:r>
      <w:r>
        <w:rPr/>
        <w:t>号《验资报告》，</w:t>
      </w:r>
      <w:r>
        <w:rPr>
          <w:spacing w:val="-6"/>
        </w:rPr>
        <w:t> </w:t>
      </w:r>
      <w:r>
        <w:rPr/>
        <w:t>本次股权激励首次授予股份于</w:t>
      </w:r>
      <w:r>
        <w:rPr>
          <w:rFonts w:ascii="宋体" w:hAnsi="宋体" w:cs="宋体" w:eastAsia="宋体" w:hint="default"/>
        </w:rPr>
        <w:t>2015</w:t>
      </w:r>
      <w:r>
        <w:rPr/>
        <w:t>年</w:t>
      </w:r>
      <w:r>
        <w:rPr>
          <w:rFonts w:ascii="宋体" w:hAnsi="宋体" w:cs="宋体" w:eastAsia="宋体" w:hint="default"/>
        </w:rPr>
        <w:t>11</w:t>
      </w:r>
      <w:r>
        <w:rPr/>
        <w:t>月 </w:t>
      </w:r>
      <w:r>
        <w:rPr>
          <w:rFonts w:ascii="宋体" w:hAnsi="宋体" w:cs="宋体" w:eastAsia="宋体" w:hint="default"/>
        </w:rPr>
        <w:t>26</w:t>
      </w:r>
      <w:r>
        <w:rPr/>
        <w:t>日到账，上市日期为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27</w:t>
      </w:r>
      <w:r>
        <w:rPr/>
        <w:t>日。</w:t>
      </w:r>
    </w:p>
    <w:p>
      <w:pPr>
        <w:spacing w:after="0" w:line="316" w:lineRule="auto"/>
        <w:jc w:val="both"/>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5748"/>
        <w:jc w:val="left"/>
      </w:pPr>
      <w:r>
        <w:rPr/>
        <w:t>股份变动的批准情况</w:t>
      </w:r>
    </w:p>
    <w:p>
      <w:pPr>
        <w:pStyle w:val="BodyText"/>
        <w:spacing w:line="357" w:lineRule="auto" w:before="117"/>
        <w:ind w:left="513" w:right="183" w:hanging="361"/>
        <w:jc w:val="left"/>
      </w:pPr>
      <w:r>
        <w:rPr/>
        <w:t>√ 适用 □</w:t>
      </w:r>
      <w:r>
        <w:rPr>
          <w:spacing w:val="3"/>
        </w:rPr>
        <w:t> </w:t>
      </w:r>
      <w:r>
        <w:rPr/>
        <w:t>不适用</w:t>
      </w:r>
      <w:r>
        <w:rPr/>
        <w:t> </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12</w:t>
      </w:r>
      <w:r>
        <w:rPr/>
        <w:t>日，公司召开第五届董事会第十八次会议，审议通过了《深圳市惠程电气股份有限公司第二期限制性</w:t>
      </w:r>
    </w:p>
    <w:p>
      <w:pPr>
        <w:pStyle w:val="BodyText"/>
        <w:spacing w:line="224" w:lineRule="exact"/>
        <w:ind w:right="0"/>
        <w:jc w:val="left"/>
      </w:pPr>
      <w:r>
        <w:rPr/>
        <w:t>股票与股票期权激励计划（草案）》及其摘要（以下简称“本次股权激励计划”或“《第二期限制性股票与股票期权激励计</w:t>
      </w:r>
    </w:p>
    <w:p>
      <w:pPr>
        <w:pStyle w:val="BodyText"/>
        <w:spacing w:line="316" w:lineRule="auto" w:before="76"/>
        <w:ind w:right="191"/>
        <w:jc w:val="both"/>
      </w:pPr>
      <w:r>
        <w:rPr>
          <w:spacing w:val="-2"/>
        </w:rPr>
        <w:t>划》”）、《深圳市惠程电气股份有限公司第二期限制性股票与股权激励计划实施考核管理办法》（以下简称“《实施考核</w:t>
      </w:r>
      <w:r>
        <w:rPr>
          <w:spacing w:val="-64"/>
        </w:rPr>
        <w:t> </w:t>
      </w:r>
      <w:r>
        <w:rPr>
          <w:spacing w:val="-64"/>
        </w:rPr>
      </w:r>
      <w:r>
        <w:rPr>
          <w:spacing w:val="-2"/>
        </w:rPr>
        <w:t>管理办法》”）、《关于提请股东大会授权董事会办理公司第二期限制性股票与股票期权激励计划相关事宜的议案》，公司</w:t>
      </w:r>
      <w:r>
        <w:rPr>
          <w:spacing w:val="-66"/>
        </w:rPr>
        <w:t> </w:t>
      </w:r>
      <w:r>
        <w:rPr>
          <w:spacing w:val="-66"/>
        </w:rPr>
      </w:r>
      <w:r>
        <w:rPr/>
        <w:t>独立董事对本次股权激励计划及其他相关资料发表了同意的独立意见。</w:t>
      </w:r>
    </w:p>
    <w:p>
      <w:pPr>
        <w:pStyle w:val="BodyText"/>
        <w:spacing w:line="316" w:lineRule="auto" w:before="19"/>
        <w:ind w:right="188" w:firstLine="360"/>
        <w:jc w:val="both"/>
      </w:pPr>
      <w:r>
        <w:rPr>
          <w:rFonts w:ascii="宋体" w:hAnsi="宋体" w:cs="宋体" w:eastAsia="宋体" w:hint="default"/>
          <w:spacing w:val="-4"/>
        </w:rPr>
        <w:t>2</w:t>
      </w:r>
      <w:r>
        <w:rPr>
          <w:spacing w:val="-4"/>
        </w:rPr>
        <w:t>、</w:t>
      </w:r>
      <w:r>
        <w:rPr>
          <w:rFonts w:ascii="宋体" w:hAnsi="宋体" w:cs="宋体" w:eastAsia="宋体" w:hint="default"/>
          <w:spacing w:val="-4"/>
        </w:rPr>
        <w:t>2015</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12</w:t>
      </w:r>
      <w:r>
        <w:rPr>
          <w:spacing w:val="-4"/>
        </w:rPr>
        <w:t>日，公司召开第五届监事会第八次会议，审议通过了《第二期限制性股票与股票期权激励计划》、《实</w:t>
      </w:r>
      <w:r>
        <w:rPr/>
        <w:t> </w:t>
      </w:r>
      <w:r>
        <w:rPr>
          <w:spacing w:val="-2"/>
        </w:rPr>
        <w:t>施考核管理办法》、《关于核查</w:t>
      </w:r>
      <w:r>
        <w:rPr>
          <w:rFonts w:ascii="宋体" w:hAnsi="宋体" w:cs="宋体" w:eastAsia="宋体" w:hint="default"/>
          <w:spacing w:val="-2"/>
        </w:rPr>
        <w:t>&lt;</w:t>
      </w:r>
      <w:r>
        <w:rPr>
          <w:spacing w:val="-2"/>
        </w:rPr>
        <w:t>深圳市惠程电气股份有限公司第二期限制性股票与股票期权激励计划之激励对象名单</w:t>
      </w:r>
      <w:r>
        <w:rPr>
          <w:rFonts w:ascii="宋体" w:hAnsi="宋体" w:cs="宋体" w:eastAsia="宋体" w:hint="default"/>
          <w:spacing w:val="-2"/>
        </w:rPr>
        <w:t>&gt;</w:t>
      </w:r>
      <w:r>
        <w:rPr>
          <w:spacing w:val="-2"/>
        </w:rPr>
        <w:t>的议</w:t>
      </w:r>
      <w:r>
        <w:rPr>
          <w:spacing w:val="-59"/>
        </w:rPr>
        <w:t> </w:t>
      </w:r>
      <w:r>
        <w:rPr/>
        <w:t>案》。</w:t>
      </w:r>
    </w:p>
    <w:p>
      <w:pPr>
        <w:pStyle w:val="BodyText"/>
        <w:spacing w:line="319" w:lineRule="auto" w:before="19"/>
        <w:ind w:right="192" w:firstLine="360"/>
        <w:jc w:val="both"/>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29</w:t>
      </w:r>
      <w:r>
        <w:rPr/>
        <w:t>日，公司召开</w:t>
      </w:r>
      <w:r>
        <w:rPr>
          <w:rFonts w:ascii="宋体" w:hAnsi="宋体" w:cs="宋体" w:eastAsia="宋体" w:hint="default"/>
        </w:rPr>
        <w:t>2015</w:t>
      </w:r>
      <w:r>
        <w:rPr/>
        <w:t>年第六次临时股东大会，以特别决议形式审议通过了《第二期限制性股票与股票期 </w:t>
      </w:r>
      <w:r>
        <w:rPr>
          <w:spacing w:val="-2"/>
        </w:rPr>
        <w:t>权激励计划》、《实施考核管理办法》及《关于提请股东大会授权董事会办理公司第二期限制性股票与股票期权激励计划相</w:t>
      </w:r>
      <w:r>
        <w:rPr>
          <w:spacing w:val="-65"/>
        </w:rPr>
        <w:t> </w:t>
      </w:r>
      <w:r>
        <w:rPr>
          <w:spacing w:val="-65"/>
        </w:rPr>
      </w:r>
      <w:r>
        <w:rPr>
          <w:spacing w:val="-2"/>
        </w:rPr>
        <w:t>关事宜的议案》。股东大会会议上，监事会主席谢战军先生就监事会对本次股权激励计划中的激励对象的核实情况作了汇报</w:t>
      </w:r>
      <w:r>
        <w:rPr>
          <w:spacing w:val="-66"/>
        </w:rPr>
        <w:t> </w:t>
      </w:r>
      <w:r>
        <w:rPr>
          <w:spacing w:val="-66"/>
        </w:rPr>
      </w:r>
      <w:r>
        <w:rPr/>
        <w:t>说明。</w:t>
      </w:r>
    </w:p>
    <w:p>
      <w:pPr>
        <w:pStyle w:val="BodyText"/>
        <w:spacing w:line="316" w:lineRule="auto" w:before="58"/>
        <w:ind w:right="191" w:firstLine="362"/>
        <w:jc w:val="both"/>
      </w:pP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日，公司召开第五届董事会第二十次会议、第五届监事会第十次会议，审议通过了《关于向</w:t>
      </w:r>
      <w:r>
        <w:rPr>
          <w:rFonts w:ascii="宋体" w:hAnsi="宋体" w:cs="宋体" w:eastAsia="宋体" w:hint="default"/>
        </w:rPr>
        <w:t>&lt;</w:t>
      </w:r>
      <w:r>
        <w:rPr/>
        <w:t>深圳市惠 程电气股份有限公司第二期限制性股票与股票期权激励计划</w:t>
      </w:r>
      <w:r>
        <w:rPr>
          <w:rFonts w:ascii="宋体" w:hAnsi="宋体" w:cs="宋体" w:eastAsia="宋体" w:hint="default"/>
        </w:rPr>
        <w:t>&gt;</w:t>
      </w:r>
      <w:r>
        <w:rPr/>
        <w:t>激励对象首次授予限制性股票与股票期权的议案》，公司独立</w:t>
      </w:r>
      <w:r>
        <w:rPr>
          <w:spacing w:val="-83"/>
        </w:rPr>
        <w:t> </w:t>
      </w:r>
      <w:r>
        <w:rPr>
          <w:spacing w:val="-83"/>
        </w:rPr>
      </w:r>
      <w:r>
        <w:rPr/>
        <w:t>董事对相关事项发表了同意的独立意见。</w:t>
      </w:r>
    </w:p>
    <w:p>
      <w:pPr>
        <w:pStyle w:val="BodyText"/>
        <w:spacing w:line="240" w:lineRule="auto" w:before="59"/>
        <w:ind w:right="5748"/>
        <w:jc w:val="left"/>
      </w:pPr>
      <w:r>
        <w:rPr/>
        <w:t>股份变动的过户情况</w:t>
      </w:r>
    </w:p>
    <w:p>
      <w:pPr>
        <w:pStyle w:val="BodyText"/>
        <w:spacing w:line="360" w:lineRule="auto" w:before="115"/>
        <w:ind w:left="513" w:right="94" w:hanging="361"/>
        <w:jc w:val="left"/>
      </w:pPr>
      <w:r>
        <w:rPr/>
        <w:t>√ 适用 □</w:t>
      </w:r>
      <w:r>
        <w:rPr>
          <w:spacing w:val="3"/>
        </w:rPr>
        <w:t> </w:t>
      </w:r>
      <w:r>
        <w:rPr/>
        <w:t>不适用</w:t>
      </w:r>
      <w:r>
        <w:rPr/>
        <w:t> </w:t>
      </w:r>
      <w:r>
        <w:rPr>
          <w:spacing w:val="-2"/>
        </w:rPr>
        <w:t>立信会计师事务所（特殊普通合伙）于</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13</w:t>
      </w:r>
      <w:r>
        <w:rPr>
          <w:spacing w:val="-2"/>
        </w:rPr>
        <w:t>日出具了信会师报字</w:t>
      </w:r>
      <w:r>
        <w:rPr>
          <w:rFonts w:ascii="宋体" w:hAnsi="宋体" w:cs="宋体" w:eastAsia="宋体" w:hint="default"/>
          <w:spacing w:val="-2"/>
        </w:rPr>
        <w:t>[2015]</w:t>
      </w:r>
      <w:r>
        <w:rPr>
          <w:spacing w:val="-2"/>
        </w:rPr>
        <w:t>第</w:t>
      </w:r>
      <w:r>
        <w:rPr>
          <w:rFonts w:ascii="宋体" w:hAnsi="宋体" w:cs="宋体" w:eastAsia="宋体" w:hint="default"/>
          <w:spacing w:val="-2"/>
        </w:rPr>
        <w:t>310882</w:t>
      </w:r>
      <w:r>
        <w:rPr>
          <w:spacing w:val="-2"/>
        </w:rPr>
        <w:t>号《验资报告》，审验了公司</w:t>
      </w:r>
    </w:p>
    <w:p>
      <w:pPr>
        <w:pStyle w:val="BodyText"/>
        <w:spacing w:line="222" w:lineRule="exact"/>
        <w:ind w:right="0"/>
        <w:jc w:val="left"/>
      </w:pPr>
      <w:r>
        <w:rPr/>
        <w:t>截至</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12</w:t>
      </w:r>
      <w:r>
        <w:rPr/>
        <w:t>日止新增注册资本（股本）实收情况，认为：经我们审验，截至</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12</w:t>
      </w:r>
      <w:r>
        <w:rPr/>
        <w:t>日止，贵公司已收到纪晓文</w:t>
      </w:r>
    </w:p>
    <w:p>
      <w:pPr>
        <w:pStyle w:val="BodyText"/>
        <w:spacing w:line="316" w:lineRule="auto" w:before="77"/>
        <w:ind w:right="94"/>
        <w:jc w:val="left"/>
      </w:pPr>
      <w:r>
        <w:rPr>
          <w:spacing w:val="-2"/>
        </w:rPr>
        <w:t>等</w:t>
      </w:r>
      <w:r>
        <w:rPr>
          <w:rFonts w:ascii="宋体" w:hAnsi="宋体" w:cs="宋体" w:eastAsia="宋体" w:hint="default"/>
          <w:spacing w:val="-2"/>
        </w:rPr>
        <w:t>10</w:t>
      </w:r>
      <w:r>
        <w:rPr>
          <w:spacing w:val="-2"/>
        </w:rPr>
        <w:t>名激励对象以货币资金缴纳的款项合计人民币</w:t>
      </w:r>
      <w:r>
        <w:rPr>
          <w:rFonts w:ascii="宋体" w:hAnsi="宋体" w:cs="宋体" w:eastAsia="宋体" w:hint="default"/>
          <w:spacing w:val="-2"/>
        </w:rPr>
        <w:t>6,876.6</w:t>
      </w:r>
      <w:r>
        <w:rPr>
          <w:spacing w:val="-2"/>
        </w:rPr>
        <w:t>万元整，其中：新增注册资本【实收资本（股本）】人民币</w:t>
      </w:r>
      <w:r>
        <w:rPr>
          <w:rFonts w:ascii="宋体" w:hAnsi="宋体" w:cs="宋体" w:eastAsia="宋体" w:hint="default"/>
          <w:spacing w:val="-2"/>
        </w:rPr>
        <w:t>1,570</w:t>
      </w:r>
      <w:r>
        <w:rPr>
          <w:rFonts w:ascii="宋体" w:hAnsi="宋体" w:cs="宋体" w:eastAsia="宋体" w:hint="default"/>
          <w:spacing w:val="-57"/>
        </w:rPr>
        <w:t> </w:t>
      </w:r>
      <w:r>
        <w:rPr>
          <w:rFonts w:ascii="宋体" w:hAnsi="宋体" w:cs="宋体" w:eastAsia="宋体" w:hint="default"/>
          <w:spacing w:val="-57"/>
        </w:rPr>
      </w:r>
      <w:r>
        <w:rPr/>
        <w:t>万元整，其余人民币</w:t>
      </w:r>
      <w:r>
        <w:rPr>
          <w:rFonts w:ascii="宋体" w:hAnsi="宋体" w:cs="宋体" w:eastAsia="宋体" w:hint="default"/>
        </w:rPr>
        <w:t>5,306.6</w:t>
      </w:r>
      <w:r>
        <w:rPr/>
        <w:t>万元整作为资本公积。</w:t>
      </w:r>
    </w:p>
    <w:p>
      <w:pPr>
        <w:pStyle w:val="BodyText"/>
        <w:spacing w:line="338" w:lineRule="auto" w:before="19"/>
        <w:ind w:right="184" w:firstLine="360"/>
        <w:jc w:val="left"/>
      </w:pPr>
      <w:r>
        <w:rPr/>
        <w:t>本次股权激励首次授予股份于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26</w:t>
      </w:r>
      <w:r>
        <w:rPr/>
        <w:t>日到账，上市日期为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27</w:t>
      </w:r>
      <w:r>
        <w:rPr/>
        <w:t>日。公司已于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12</w:t>
      </w:r>
      <w:r>
        <w:rPr/>
        <w:t>日完成了注册 资本变更登记手续，变更后注册资本为</w:t>
      </w:r>
      <w:r>
        <w:rPr>
          <w:rFonts w:ascii="宋体" w:hAnsi="宋体" w:cs="宋体" w:eastAsia="宋体" w:hint="default"/>
        </w:rPr>
        <w:t>77,280.4768</w:t>
      </w:r>
      <w:r>
        <w:rPr/>
        <w:t>万元。 股份变动对最近一年和最近一期基本每股收益和稀释每股收益、归属于公司普通股股东的每股净资产等财务指标的影响</w:t>
      </w:r>
    </w:p>
    <w:p>
      <w:pPr>
        <w:pStyle w:val="BodyText"/>
        <w:spacing w:line="360" w:lineRule="auto" w:before="41"/>
        <w:ind w:left="513" w:right="93" w:hanging="361"/>
        <w:jc w:val="left"/>
      </w:pPr>
      <w:r>
        <w:rPr/>
        <w:t>√ 适用 □</w:t>
      </w:r>
      <w:r>
        <w:rPr>
          <w:spacing w:val="3"/>
        </w:rPr>
        <w:t> </w:t>
      </w:r>
      <w:r>
        <w:rPr/>
        <w:t>不适用</w:t>
      </w:r>
      <w:r>
        <w:rPr/>
        <w:t> 按新股本</w:t>
      </w:r>
      <w:r>
        <w:rPr>
          <w:rFonts w:ascii="宋体" w:hAnsi="宋体" w:cs="宋体" w:eastAsia="宋体" w:hint="default"/>
        </w:rPr>
        <w:t>772,804,768</w:t>
      </w:r>
      <w:r>
        <w:rPr/>
        <w:t>股摊薄计算，</w:t>
      </w:r>
      <w:r>
        <w:rPr>
          <w:rFonts w:ascii="宋体" w:hAnsi="宋体" w:cs="宋体" w:eastAsia="宋体" w:hint="default"/>
        </w:rPr>
        <w:t>2015</w:t>
      </w:r>
      <w:r>
        <w:rPr/>
        <w:t>年第三季度每股收益为</w:t>
      </w:r>
      <w:r>
        <w:rPr>
          <w:rFonts w:ascii="宋体" w:hAnsi="宋体" w:cs="宋体" w:eastAsia="宋体" w:hint="default"/>
        </w:rPr>
        <w:t>0.004</w:t>
      </w:r>
      <w:r>
        <w:rPr/>
        <w:t>元，归属于上市公司股东的每股净资产为</w:t>
      </w:r>
      <w:r>
        <w:rPr>
          <w:rFonts w:ascii="宋体" w:hAnsi="宋体" w:cs="宋体" w:eastAsia="宋体" w:hint="default"/>
        </w:rPr>
        <w:t>1.49</w:t>
      </w:r>
      <w:r>
        <w:rPr/>
        <w:t>元；</w:t>
      </w:r>
    </w:p>
    <w:p>
      <w:pPr>
        <w:pStyle w:val="BodyText"/>
        <w:spacing w:line="222" w:lineRule="exact"/>
        <w:ind w:right="94"/>
        <w:jc w:val="left"/>
      </w:pPr>
      <w:r>
        <w:rPr>
          <w:rFonts w:ascii="宋体" w:hAnsi="宋体" w:cs="宋体" w:eastAsia="宋体" w:hint="default"/>
        </w:rPr>
        <w:t>2014</w:t>
      </w:r>
      <w:r>
        <w:rPr/>
        <w:t>年度每股收益为</w:t>
      </w:r>
      <w:r>
        <w:rPr>
          <w:rFonts w:ascii="宋体" w:hAnsi="宋体" w:cs="宋体" w:eastAsia="宋体" w:hint="default"/>
        </w:rPr>
        <w:t>-0.115</w:t>
      </w:r>
      <w:r>
        <w:rPr/>
        <w:t>元，归属于上市公司股东的每股净资产为</w:t>
      </w:r>
      <w:r>
        <w:rPr>
          <w:rFonts w:ascii="宋体" w:hAnsi="宋体" w:cs="宋体" w:eastAsia="宋体" w:hint="default"/>
        </w:rPr>
        <w:t>1.350</w:t>
      </w:r>
      <w:r>
        <w:rPr/>
        <w:t>元。</w:t>
      </w:r>
    </w:p>
    <w:p>
      <w:pPr>
        <w:pStyle w:val="BodyText"/>
        <w:spacing w:line="240" w:lineRule="auto" w:before="117"/>
        <w:ind w:right="5748"/>
        <w:jc w:val="left"/>
      </w:pPr>
      <w:r>
        <w:rPr/>
        <w:t>公司认为必要或证券监管机构要求披露的其他内容</w:t>
      </w:r>
    </w:p>
    <w:p>
      <w:pPr>
        <w:pStyle w:val="BodyText"/>
        <w:spacing w:line="240" w:lineRule="auto" w:before="115"/>
        <w:ind w:right="5748"/>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5748"/>
        <w:jc w:val="left"/>
        <w:rPr>
          <w:b w:val="0"/>
          <w:bCs w:val="0"/>
        </w:rPr>
      </w:pPr>
      <w:r>
        <w:rPr>
          <w:rFonts w:ascii="宋体" w:hAnsi="宋体" w:cs="宋体" w:eastAsia="宋体" w:hint="default"/>
        </w:rPr>
        <w:t>2</w:t>
      </w:r>
      <w:r>
        <w:rPr/>
        <w:t>、限售股份变动情况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5748"/>
        <w:jc w:val="left"/>
      </w:pPr>
      <w:r>
        <w:rPr/>
        <w:t>√ 适用 □</w:t>
      </w:r>
      <w:r>
        <w:rPr>
          <w:spacing w:val="3"/>
        </w:rPr>
        <w:t> </w:t>
      </w:r>
      <w:r>
        <w:rPr/>
        <w:t>不适用</w:t>
      </w:r>
    </w:p>
    <w:p>
      <w:pPr>
        <w:pStyle w:val="BodyText"/>
        <w:spacing w:line="240" w:lineRule="auto" w:before="117"/>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1133"/>
        <w:gridCol w:w="994"/>
        <w:gridCol w:w="991"/>
        <w:gridCol w:w="2552"/>
        <w:gridCol w:w="2201"/>
      </w:tblGrid>
      <w:tr>
        <w:trPr>
          <w:trHeight w:val="71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1"/>
              <w:jc w:val="left"/>
              <w:rPr>
                <w:rFonts w:ascii="宋体" w:hAnsi="宋体" w:cs="宋体" w:eastAsia="宋体" w:hint="default"/>
                <w:sz w:val="18"/>
                <w:szCs w:val="18"/>
              </w:rPr>
            </w:pPr>
            <w:r>
              <w:rPr>
                <w:rFonts w:ascii="宋体" w:hAnsi="宋体" w:cs="宋体" w:eastAsia="宋体" w:hint="default"/>
                <w:sz w:val="18"/>
                <w:szCs w:val="18"/>
              </w:rPr>
              <w:t>股东名 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5400</w:t>
            </w:r>
            <w:r>
              <w:rPr>
                <w:rFonts w:ascii="宋体" w:hAnsi="宋体" w:cs="宋体" w:eastAsia="宋体" w:hint="default"/>
                <w:spacing w:val="-44"/>
                <w:sz w:val="18"/>
                <w:szCs w:val="18"/>
              </w:rPr>
              <w:t> </w:t>
            </w:r>
            <w:r>
              <w:rPr>
                <w:rFonts w:ascii="宋体" w:hAnsi="宋体" w:cs="宋体" w:eastAsia="宋体" w:hint="default"/>
                <w:sz w:val="18"/>
                <w:szCs w:val="18"/>
              </w:rPr>
              <w:t>股 解除限售。</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杨耀宇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3,180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3180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股解除限售。</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1133"/>
        <w:gridCol w:w="994"/>
        <w:gridCol w:w="991"/>
        <w:gridCol w:w="2552"/>
        <w:gridCol w:w="2201"/>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9,113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9,113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9113</w:t>
            </w:r>
            <w:r>
              <w:rPr>
                <w:rFonts w:ascii="宋体" w:hAnsi="宋体" w:cs="宋体" w:eastAsia="宋体" w:hint="default"/>
                <w:spacing w:val="-44"/>
                <w:sz w:val="18"/>
                <w:szCs w:val="18"/>
              </w:rPr>
              <w:t> </w:t>
            </w:r>
            <w:r>
              <w:rPr>
                <w:rFonts w:ascii="宋体" w:hAnsi="宋体" w:cs="宋体" w:eastAsia="宋体" w:hint="default"/>
                <w:sz w:val="18"/>
                <w:szCs w:val="18"/>
              </w:rPr>
              <w:t>股 解除限售</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14,249,331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14,249,331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14,249,331</w:t>
            </w:r>
            <w:r>
              <w:rPr>
                <w:rFonts w:ascii="宋体" w:hAnsi="宋体" w:cs="宋体" w:eastAsia="宋体" w:hint="default"/>
                <w:spacing w:val="-45"/>
                <w:sz w:val="18"/>
                <w:szCs w:val="18"/>
              </w:rPr>
              <w:t> </w:t>
            </w:r>
            <w:r>
              <w:rPr>
                <w:rFonts w:ascii="宋体" w:hAnsi="宋体" w:cs="宋体" w:eastAsia="宋体" w:hint="default"/>
                <w:sz w:val="18"/>
                <w:szCs w:val="18"/>
              </w:rPr>
              <w:t>解除限售。</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180</w:t>
            </w:r>
            <w:r>
              <w:rPr>
                <w:rFonts w:ascii="宋体" w:hAnsi="宋体" w:cs="宋体" w:eastAsia="宋体" w:hint="default"/>
                <w:spacing w:val="-45"/>
                <w:sz w:val="18"/>
                <w:szCs w:val="18"/>
              </w:rPr>
              <w:t> </w:t>
            </w:r>
            <w:r>
              <w:rPr>
                <w:rFonts w:ascii="宋体" w:hAnsi="宋体" w:cs="宋体" w:eastAsia="宋体" w:hint="default"/>
                <w:sz w:val="18"/>
                <w:szCs w:val="18"/>
              </w:rPr>
              <w:t>股 解除限售。</w:t>
            </w:r>
          </w:p>
        </w:tc>
      </w:tr>
      <w:tr>
        <w:trPr>
          <w:trHeight w:val="13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z w:val="18"/>
              </w:rPr>
              <w:t>1,012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z w:val="18"/>
              </w:rPr>
              <w:t>506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z w:val="18"/>
              </w:rPr>
              <w:t>506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506</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股解除限售。</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2.2016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506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股解除限售。</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5,700,000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val="restart"/>
            <w:tcBorders>
              <w:top w:val="single" w:sz="4" w:space="0" w:color="000000"/>
              <w:left w:val="single" w:sz="4" w:space="0" w:color="000000"/>
              <w:right w:val="single" w:sz="4" w:space="0" w:color="000000"/>
            </w:tcBorders>
          </w:tcPr>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日起满</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个月后，满足解锁条件</w:t>
            </w:r>
          </w:p>
          <w:p>
            <w:pPr>
              <w:pStyle w:val="TableParagraph"/>
              <w:spacing w:line="316" w:lineRule="auto" w:before="76"/>
              <w:ind w:left="23" w:right="22"/>
              <w:jc w:val="left"/>
              <w:rPr>
                <w:rFonts w:ascii="宋体" w:hAnsi="宋体" w:cs="宋体" w:eastAsia="宋体" w:hint="default"/>
                <w:sz w:val="18"/>
                <w:szCs w:val="18"/>
              </w:rPr>
            </w:pPr>
            <w:r>
              <w:rPr>
                <w:rFonts w:ascii="宋体" w:hAnsi="宋体" w:cs="宋体" w:eastAsia="宋体" w:hint="default"/>
                <w:sz w:val="18"/>
                <w:szCs w:val="18"/>
              </w:rPr>
              <w:t>的，可以在未来</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个月内 按</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的比例分 </w:t>
            </w:r>
            <w:r>
              <w:rPr>
                <w:rFonts w:ascii="宋体" w:hAnsi="宋体" w:cs="宋体" w:eastAsia="宋体" w:hint="default"/>
                <w:spacing w:val="-2"/>
                <w:sz w:val="18"/>
                <w:szCs w:val="18"/>
              </w:rPr>
              <w:t>三期解锁。解锁后的股份再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按照高管锁定股的规定解 除限售。</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5,700,000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800,000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800,000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800,000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800,000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700,000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日起满</w:t>
            </w:r>
          </w:p>
          <w:p>
            <w:pPr>
              <w:pStyle w:val="TableParagraph"/>
              <w:spacing w:line="240" w:lineRule="auto" w:before="74"/>
              <w:ind w:left="23" w:right="0"/>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个月后，满足解锁条件</w:t>
            </w:r>
          </w:p>
          <w:p>
            <w:pPr>
              <w:pStyle w:val="TableParagraph"/>
              <w:spacing w:line="316" w:lineRule="auto" w:before="77"/>
              <w:ind w:left="23" w:right="23"/>
              <w:jc w:val="both"/>
              <w:rPr>
                <w:rFonts w:ascii="宋体" w:hAnsi="宋体" w:cs="宋体" w:eastAsia="宋体" w:hint="default"/>
                <w:sz w:val="18"/>
                <w:szCs w:val="18"/>
              </w:rPr>
            </w:pPr>
            <w:r>
              <w:rPr>
                <w:rFonts w:ascii="宋体" w:hAnsi="宋体" w:cs="宋体" w:eastAsia="宋体" w:hint="default"/>
                <w:sz w:val="18"/>
                <w:szCs w:val="18"/>
              </w:rPr>
              <w:t>的，可以在未来</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个月内 按</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的比例分 </w:t>
            </w:r>
            <w:r>
              <w:rPr>
                <w:rFonts w:ascii="宋体" w:hAnsi="宋体" w:cs="宋体" w:eastAsia="宋体" w:hint="default"/>
                <w:spacing w:val="-2"/>
                <w:sz w:val="18"/>
                <w:szCs w:val="18"/>
              </w:rPr>
              <w:t>三期解锁。解锁后的股份解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除限售。</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200,000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right w:val="single" w:sz="4" w:space="0" w:color="000000"/>
            </w:tcBorders>
          </w:tcPr>
          <w:p>
            <w:pPr/>
          </w:p>
        </w:tc>
      </w:tr>
      <w:tr>
        <w:trPr>
          <w:trHeight w:val="7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程昭霞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股</w:t>
            </w:r>
          </w:p>
        </w:tc>
        <w:tc>
          <w:tcPr>
            <w:tcW w:w="2201" w:type="dxa"/>
            <w:vMerge/>
            <w:tcBorders>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14,268,216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14,267,710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15,700,000</w:t>
            </w:r>
          </w:p>
        </w:tc>
        <w:tc>
          <w:tcPr>
            <w:tcW w:w="9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15,700,506</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560"/>
        <w:gridCol w:w="994"/>
        <w:gridCol w:w="1558"/>
        <w:gridCol w:w="1277"/>
        <w:gridCol w:w="1205"/>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4"/>
                <w:sz w:val="18"/>
                <w:szCs w:val="18"/>
              </w:rPr>
              <w:t>发行价格（或利率</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r>
              <w:rPr>
                <w:rFonts w:ascii="宋体" w:hAnsi="宋体" w:cs="宋体" w:eastAsia="宋体" w:hint="default"/>
                <w:sz w:val="18"/>
                <w:szCs w:val="18"/>
              </w:rPr>
              <w:t>发行数量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3" w:right="9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4.38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15,700,000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15,700,000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9.25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bl>
    <w:p>
      <w:pPr>
        <w:pStyle w:val="BodyText"/>
        <w:spacing w:line="357" w:lineRule="auto" w:before="49"/>
        <w:ind w:left="513" w:right="0" w:hanging="361"/>
        <w:jc w:val="left"/>
      </w:pPr>
      <w:r>
        <w:rPr/>
        <w:t>报告期内证券发行（不含优先股）情况的说明 </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日公司第六次临时股东大会审议通过了《深圳市惠程电气股份有限公司第二期限制性股票与股票期权激励</w:t>
      </w:r>
    </w:p>
    <w:p>
      <w:pPr>
        <w:pStyle w:val="BodyText"/>
        <w:spacing w:line="224" w:lineRule="exact"/>
        <w:ind w:right="0"/>
        <w:jc w:val="left"/>
      </w:pPr>
      <w:r>
        <w:rPr/>
        <w:t>计划（草案）》，根据</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日公司第五届董事会第二十次会议决议和第五届监事会第十次会议决议，公司董事会实</w:t>
      </w:r>
    </w:p>
    <w:p>
      <w:pPr>
        <w:spacing w:after="0" w:line="224" w:lineRule="exact"/>
        <w:jc w:val="left"/>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316" w:lineRule="auto" w:before="44"/>
        <w:ind w:right="153"/>
        <w:jc w:val="both"/>
      </w:pPr>
      <w:r>
        <w:rPr/>
        <w:t>施并完成了第二期限制性股票与股票期权激励计划的首次授予工作。首次授予日为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日，实际首次激励对象为</w:t>
      </w:r>
      <w:r>
        <w:rPr>
          <w:rFonts w:ascii="宋体" w:hAnsi="宋体" w:cs="宋体" w:eastAsia="宋体" w:hint="default"/>
        </w:rPr>
        <w:t>10</w:t>
      </w:r>
      <w:r>
        <w:rPr>
          <w:rFonts w:ascii="宋体" w:hAnsi="宋体" w:cs="宋体" w:eastAsia="宋体" w:hint="default"/>
          <w:spacing w:val="-2"/>
        </w:rPr>
        <w:t> </w:t>
      </w:r>
      <w:r>
        <w:rPr/>
        <w:t>人，实际授予限制性股票数量</w:t>
      </w:r>
      <w:r>
        <w:rPr>
          <w:rFonts w:ascii="宋体" w:hAnsi="宋体" w:cs="宋体" w:eastAsia="宋体" w:hint="default"/>
        </w:rPr>
        <w:t>1570</w:t>
      </w:r>
      <w:r>
        <w:rPr/>
        <w:t>万股、股票期权数量</w:t>
      </w:r>
      <w:r>
        <w:rPr>
          <w:rFonts w:ascii="宋体" w:hAnsi="宋体" w:cs="宋体" w:eastAsia="宋体" w:hint="default"/>
        </w:rPr>
        <w:t>650</w:t>
      </w:r>
      <w:r>
        <w:rPr/>
        <w:t>份，首次授予的限制性股票于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26</w:t>
      </w:r>
      <w:r>
        <w:rPr/>
        <w:t>日股份到账，上市日 期为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27</w:t>
      </w:r>
      <w:r>
        <w:rPr/>
        <w:t>日。</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513" w:right="143" w:hanging="361"/>
        <w:jc w:val="left"/>
      </w:pPr>
      <w:r>
        <w:rPr/>
        <w:t>√ 适用 □</w:t>
      </w:r>
      <w:r>
        <w:rPr>
          <w:spacing w:val="3"/>
        </w:rPr>
        <w:t> </w:t>
      </w:r>
      <w:r>
        <w:rPr/>
        <w:t>不适用</w:t>
      </w:r>
      <w:r>
        <w:rPr/>
        <w:t> 经公司</w:t>
      </w:r>
      <w:r>
        <w:rPr>
          <w:rFonts w:ascii="宋体" w:hAnsi="宋体" w:cs="宋体" w:eastAsia="宋体" w:hint="default"/>
        </w:rPr>
        <w:t>2015</w:t>
      </w:r>
      <w:r>
        <w:rPr/>
        <w:t>年第六次临时股东大会批准，公司于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日以定向发行的方式首次授予部分董事、高级管理人员以</w:t>
      </w:r>
    </w:p>
    <w:p>
      <w:pPr>
        <w:pStyle w:val="BodyText"/>
        <w:spacing w:line="224" w:lineRule="exact"/>
        <w:ind w:right="0"/>
        <w:jc w:val="both"/>
      </w:pPr>
      <w:r>
        <w:rPr/>
        <w:t>及核心管理人员等</w:t>
      </w:r>
      <w:r>
        <w:rPr>
          <w:rFonts w:ascii="宋体" w:hAnsi="宋体" w:cs="宋体" w:eastAsia="宋体" w:hint="default"/>
        </w:rPr>
        <w:t>10</w:t>
      </w:r>
      <w:r>
        <w:rPr/>
        <w:t>名激励对象</w:t>
      </w:r>
      <w:r>
        <w:rPr>
          <w:rFonts w:ascii="宋体" w:hAnsi="宋体" w:cs="宋体" w:eastAsia="宋体" w:hint="default"/>
        </w:rPr>
        <w:t>1,570</w:t>
      </w:r>
      <w:r>
        <w:rPr/>
        <w:t>万股限制性股票。截止</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12</w:t>
      </w:r>
      <w:r>
        <w:rPr/>
        <w:t>日，公司已收到</w:t>
      </w:r>
      <w:r>
        <w:rPr>
          <w:rFonts w:ascii="宋体" w:hAnsi="宋体" w:cs="宋体" w:eastAsia="宋体" w:hint="default"/>
        </w:rPr>
        <w:t>10</w:t>
      </w:r>
      <w:r>
        <w:rPr/>
        <w:t>名激励对象以货币资金缴纳的</w:t>
      </w:r>
    </w:p>
    <w:p>
      <w:pPr>
        <w:pStyle w:val="BodyText"/>
        <w:spacing w:line="316" w:lineRule="auto" w:before="76"/>
        <w:ind w:right="144"/>
        <w:jc w:val="left"/>
      </w:pPr>
      <w:r>
        <w:rPr/>
        <w:t>款项合计人民币</w:t>
      </w:r>
      <w:r>
        <w:rPr>
          <w:rFonts w:ascii="宋体" w:hAnsi="宋体" w:cs="宋体" w:eastAsia="宋体" w:hint="default"/>
        </w:rPr>
        <w:t>6,876.6</w:t>
      </w:r>
      <w:r>
        <w:rPr/>
        <w:t>万元整，其中：新增注册资本【实收资本（股本）】人民币</w:t>
      </w:r>
      <w:r>
        <w:rPr>
          <w:rFonts w:ascii="宋体" w:hAnsi="宋体" w:cs="宋体" w:eastAsia="宋体" w:hint="default"/>
        </w:rPr>
        <w:t>1,570</w:t>
      </w:r>
      <w:r>
        <w:rPr/>
        <w:t>万元整，其余人民币</w:t>
      </w:r>
      <w:r>
        <w:rPr>
          <w:rFonts w:ascii="宋体" w:hAnsi="宋体" w:cs="宋体" w:eastAsia="宋体" w:hint="default"/>
        </w:rPr>
        <w:t>5,306.6</w:t>
      </w:r>
      <w:r>
        <w:rPr/>
        <w:t>万元 整作为资本公积。</w:t>
      </w:r>
    </w:p>
    <w:p>
      <w:pPr>
        <w:pStyle w:val="BodyText"/>
        <w:spacing w:line="316" w:lineRule="auto" w:before="60"/>
        <w:ind w:right="144" w:firstLine="360"/>
        <w:jc w:val="left"/>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27</w:t>
      </w:r>
      <w:r>
        <w:rPr/>
        <w:t>日公司总股本变更为</w:t>
      </w:r>
      <w:r>
        <w:rPr>
          <w:rFonts w:ascii="宋体" w:hAnsi="宋体" w:cs="宋体" w:eastAsia="宋体" w:hint="default"/>
        </w:rPr>
        <w:t>772,804,768</w:t>
      </w:r>
      <w:r>
        <w:rPr/>
        <w:t>股，公司向股权激励对象授予限制性股票后，公司股东结构相应变动， 公司资产和负债结构相应变动。</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3</w:t>
      </w:r>
      <w:r>
        <w:rPr/>
        <w:t>、现存的内部职工股情况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both"/>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、公司股东数量及持股情况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718"/>
        <w:gridCol w:w="457"/>
        <w:gridCol w:w="92"/>
        <w:gridCol w:w="1138"/>
        <w:gridCol w:w="1284"/>
        <w:gridCol w:w="997"/>
        <w:gridCol w:w="101"/>
        <w:gridCol w:w="893"/>
        <w:gridCol w:w="850"/>
        <w:gridCol w:w="131"/>
        <w:gridCol w:w="508"/>
      </w:tblGrid>
      <w:tr>
        <w:trPr>
          <w:trHeight w:val="317"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8" w:right="0"/>
              <w:jc w:val="left"/>
              <w:rPr>
                <w:rFonts w:ascii="宋体" w:hAnsi="宋体" w:cs="宋体" w:eastAsia="宋体" w:hint="default"/>
                <w:sz w:val="18"/>
                <w:szCs w:val="18"/>
              </w:rPr>
            </w:pPr>
            <w:r>
              <w:rPr>
                <w:rFonts w:ascii="宋体"/>
                <w:sz w:val="18"/>
              </w:rPr>
              <w:t>84,908</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8" w:right="0"/>
              <w:jc w:val="left"/>
              <w:rPr>
                <w:rFonts w:ascii="宋体" w:hAnsi="宋体" w:cs="宋体" w:eastAsia="宋体" w:hint="default"/>
                <w:sz w:val="18"/>
                <w:szCs w:val="18"/>
              </w:rPr>
            </w:pPr>
            <w:r>
              <w:rPr>
                <w:rFonts w:ascii="宋体"/>
                <w:sz w:val="18"/>
              </w:rPr>
              <w:t>84,908</w:t>
            </w:r>
          </w:p>
        </w:tc>
        <w:tc>
          <w:tcPr>
            <w:tcW w:w="12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 w:right="-32"/>
              <w:jc w:val="left"/>
              <w:rPr>
                <w:rFonts w:ascii="宋体" w:hAnsi="宋体" w:cs="宋体" w:eastAsia="宋体" w:hint="default"/>
                <w:sz w:val="18"/>
                <w:szCs w:val="18"/>
              </w:rPr>
            </w:pPr>
            <w:r>
              <w:rPr>
                <w:rFonts w:ascii="宋体" w:hAnsi="宋体" w:cs="宋体" w:eastAsia="宋体" w:hint="default"/>
                <w:sz w:val="18"/>
                <w:szCs w:val="18"/>
              </w:rPr>
              <w:t>报告期末表决 权恢复的优先 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097" w:type="dxa"/>
            <w:gridSpan w:val="2"/>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8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both"/>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13"/>
                <w:sz w:val="18"/>
                <w:szCs w:val="18"/>
              </w:rPr>
              <w:t>股股东总数（如有）（参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508"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13"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30" w:type="dxa"/>
            <w:gridSpan w:val="2"/>
            <w:vMerge/>
            <w:tcBorders>
              <w:left w:val="single" w:sz="9" w:space="0" w:color="D2D2D2"/>
              <w:right w:val="single" w:sz="10" w:space="0" w:color="D2D2D2"/>
            </w:tcBorders>
          </w:tcPr>
          <w:p>
            <w:pPr/>
          </w:p>
        </w:tc>
        <w:tc>
          <w:tcPr>
            <w:tcW w:w="1284" w:type="dxa"/>
            <w:vMerge/>
            <w:tcBorders>
              <w:left w:val="single" w:sz="4" w:space="0" w:color="000000"/>
              <w:right w:val="single" w:sz="4" w:space="0" w:color="000000"/>
            </w:tcBorders>
            <w:shd w:val="clear" w:color="auto" w:fill="D2D2D2"/>
          </w:tcPr>
          <w:p>
            <w:pPr/>
          </w:p>
        </w:tc>
        <w:tc>
          <w:tcPr>
            <w:tcW w:w="1097" w:type="dxa"/>
            <w:gridSpan w:val="2"/>
            <w:vMerge/>
            <w:tcBorders>
              <w:left w:val="single" w:sz="12" w:space="0" w:color="D2D2D2"/>
              <w:right w:val="single" w:sz="13" w:space="0" w:color="D2D2D2"/>
            </w:tcBorders>
          </w:tcPr>
          <w:p>
            <w:pPr/>
          </w:p>
        </w:tc>
        <w:tc>
          <w:tcPr>
            <w:tcW w:w="1874" w:type="dxa"/>
            <w:gridSpan w:val="3"/>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single" w:sz="4" w:space="0" w:color="000000"/>
            </w:tcBorders>
          </w:tcPr>
          <w:p>
            <w:pPr/>
          </w:p>
        </w:tc>
      </w:tr>
      <w:tr>
        <w:trPr>
          <w:trHeight w:val="322"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13"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30" w:type="dxa"/>
            <w:gridSpan w:val="2"/>
            <w:vMerge/>
            <w:tcBorders>
              <w:left w:val="single" w:sz="9" w:space="0" w:color="D2D2D2"/>
              <w:bottom w:val="single" w:sz="4" w:space="0" w:color="000000"/>
              <w:right w:val="single" w:sz="10" w:space="0" w:color="D2D2D2"/>
            </w:tcBorders>
          </w:tcPr>
          <w:p>
            <w:pPr/>
          </w:p>
        </w:tc>
        <w:tc>
          <w:tcPr>
            <w:tcW w:w="1284" w:type="dxa"/>
            <w:vMerge/>
            <w:tcBorders>
              <w:left w:val="single" w:sz="4" w:space="0" w:color="000000"/>
              <w:bottom w:val="single" w:sz="4" w:space="0" w:color="000000"/>
              <w:right w:val="single" w:sz="4" w:space="0" w:color="000000"/>
            </w:tcBorders>
            <w:shd w:val="clear" w:color="auto" w:fill="D2D2D2"/>
          </w:tcPr>
          <w:p>
            <w:pPr/>
          </w:p>
        </w:tc>
        <w:tc>
          <w:tcPr>
            <w:tcW w:w="1097" w:type="dxa"/>
            <w:gridSpan w:val="2"/>
            <w:vMerge/>
            <w:tcBorders>
              <w:left w:val="single" w:sz="12" w:space="0" w:color="D2D2D2"/>
              <w:bottom w:val="single" w:sz="4" w:space="0" w:color="000000"/>
              <w:right w:val="single" w:sz="13" w:space="0" w:color="D2D2D2"/>
            </w:tcBorders>
          </w:tcPr>
          <w:p>
            <w:pPr/>
          </w:p>
        </w:tc>
        <w:tc>
          <w:tcPr>
            <w:tcW w:w="1874" w:type="dxa"/>
            <w:gridSpan w:val="3"/>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2" w:space="0" w:color="D2D2D2"/>
              <w:bottom w:val="single" w:sz="4" w:space="0" w:color="000000"/>
              <w:right w:val="single" w:sz="4" w:space="0" w:color="000000"/>
            </w:tcBorders>
          </w:tcPr>
          <w:p>
            <w:pPr/>
          </w:p>
        </w:tc>
      </w:tr>
      <w:tr>
        <w:trPr>
          <w:trHeight w:val="39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652" w:type="dxa"/>
            <w:gridSpan w:val="2"/>
            <w:vMerge w:val="restart"/>
            <w:tcBorders>
              <w:top w:val="single" w:sz="4" w:space="0" w:color="000000"/>
              <w:left w:val="single" w:sz="4" w:space="0" w:color="000000"/>
              <w:right w:val="single" w:sz="4" w:space="0" w:color="FFFFFF"/>
            </w:tcBorders>
            <w:shd w:val="clear" w:color="auto" w:fill="D2D2D2"/>
          </w:tcPr>
          <w:p>
            <w:pPr/>
          </w:p>
        </w:tc>
        <w:tc>
          <w:tcPr>
            <w:tcW w:w="550"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6"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652" w:type="dxa"/>
            <w:gridSpan w:val="2"/>
            <w:vMerge/>
            <w:tcBorders>
              <w:left w:val="single" w:sz="4" w:space="0" w:color="000000"/>
              <w:bottom w:val="nil" w:sz="6" w:space="0" w:color="auto"/>
              <w:right w:val="single" w:sz="4" w:space="0" w:color="FFFFFF"/>
            </w:tcBorders>
            <w:shd w:val="clear" w:color="auto" w:fill="D2D2D2"/>
          </w:tcPr>
          <w:p>
            <w:pPr/>
          </w:p>
        </w:tc>
        <w:tc>
          <w:tcPr>
            <w:tcW w:w="550"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91" w:right="8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91" w:right="14"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2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5" w:right="86"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997"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488" w:type="dxa"/>
            <w:gridSpan w:val="3"/>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52"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50" w:type="dxa"/>
            <w:gridSpan w:val="2"/>
            <w:vMerge/>
            <w:tcBorders>
              <w:left w:val="single" w:sz="4" w:space="0" w:color="FFFFFF"/>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284" w:type="dxa"/>
            <w:vMerge/>
            <w:tcBorders>
              <w:left w:val="single" w:sz="4" w:space="0" w:color="000000"/>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488"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652" w:type="dxa"/>
            <w:gridSpan w:val="2"/>
            <w:vMerge/>
            <w:tcBorders>
              <w:left w:val="single" w:sz="4" w:space="0" w:color="000000"/>
              <w:bottom w:val="nil" w:sz="6" w:space="0" w:color="auto"/>
              <w:right w:val="single" w:sz="4" w:space="0" w:color="FFFFFF"/>
            </w:tcBorders>
            <w:shd w:val="clear" w:color="auto" w:fill="D2D2D2"/>
          </w:tcPr>
          <w:p>
            <w:pPr/>
          </w:p>
        </w:tc>
        <w:tc>
          <w:tcPr>
            <w:tcW w:w="550" w:type="dxa"/>
            <w:gridSpan w:val="2"/>
            <w:vMerge/>
            <w:tcBorders>
              <w:left w:val="single" w:sz="4" w:space="0" w:color="FFFFFF"/>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284" w:type="dxa"/>
            <w:vMerge/>
            <w:tcBorders>
              <w:left w:val="single" w:sz="4" w:space="0" w:color="000000"/>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6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652" w:type="dxa"/>
            <w:gridSpan w:val="2"/>
            <w:vMerge w:val="restart"/>
            <w:tcBorders>
              <w:top w:val="nil" w:sz="6" w:space="0" w:color="auto"/>
              <w:left w:val="single" w:sz="4" w:space="0" w:color="000000"/>
              <w:right w:val="single" w:sz="4" w:space="0" w:color="FFFFFF"/>
            </w:tcBorders>
            <w:shd w:val="clear" w:color="auto" w:fill="D2D2D2"/>
          </w:tcPr>
          <w:p>
            <w:pPr/>
          </w:p>
        </w:tc>
        <w:tc>
          <w:tcPr>
            <w:tcW w:w="550" w:type="dxa"/>
            <w:gridSpan w:val="2"/>
            <w:vMerge/>
            <w:tcBorders>
              <w:left w:val="single" w:sz="4" w:space="0" w:color="FFFFFF"/>
              <w:bottom w:val="nil" w:sz="6" w:space="0" w:color="auto"/>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1284"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63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652" w:type="dxa"/>
            <w:gridSpan w:val="2"/>
            <w:vMerge/>
            <w:tcBorders>
              <w:left w:val="single" w:sz="4" w:space="0" w:color="000000"/>
              <w:bottom w:val="single" w:sz="4" w:space="0" w:color="000000"/>
              <w:right w:val="single" w:sz="4" w:space="0" w:color="FFFFFF"/>
            </w:tcBorders>
            <w:shd w:val="clear" w:color="auto" w:fill="D2D2D2"/>
          </w:tcPr>
          <w:p>
            <w:pPr/>
          </w:p>
        </w:tc>
        <w:tc>
          <w:tcPr>
            <w:tcW w:w="550"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7"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38"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9.08%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70,167,755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631,200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70,167,755</w:t>
            </w:r>
          </w:p>
        </w:tc>
        <w:tc>
          <w:tcPr>
            <w:tcW w:w="850" w:type="dxa"/>
            <w:tcBorders>
              <w:top w:val="single" w:sz="49" w:space="0" w:color="D2D2D2"/>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c>
          <w:tcPr>
            <w:tcW w:w="638" w:type="dxa"/>
            <w:gridSpan w:val="2"/>
            <w:tcBorders>
              <w:top w:val="single" w:sz="49" w:space="0" w:color="D2D2D2"/>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sz w:val="18"/>
              </w:rPr>
              <w:t>3.74%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28,882,200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28,882,200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28,882,200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2.14%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16,568,662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16,568,662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张景华</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0.84%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6,500,000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6,500,000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宋体" w:hAnsi="宋体" w:cs="宋体" w:eastAsia="宋体" w:hint="default"/>
                <w:sz w:val="18"/>
                <w:szCs w:val="18"/>
              </w:rPr>
            </w:pPr>
            <w:r>
              <w:rPr>
                <w:rFonts w:ascii="宋体"/>
                <w:sz w:val="18"/>
              </w:rPr>
              <w:t>6,500,000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广东粤港股权投 资基金有限公司</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sz w:val="18"/>
              </w:rPr>
              <w:t>0.80%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6,145,160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6,145,160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sz w:val="18"/>
              </w:rPr>
              <w:t>6,145,160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0.74%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5,700,000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5,700,000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0.74%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5,700,000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5,700,000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w:t>
            </w:r>
          </w:p>
        </w:tc>
        <w:tc>
          <w:tcPr>
            <w:tcW w:w="16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0.47%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3,608,099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2,524,858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宋体" w:hAnsi="宋体" w:cs="宋体" w:eastAsia="宋体" w:hint="default"/>
                <w:sz w:val="18"/>
                <w:szCs w:val="18"/>
              </w:rPr>
            </w:pPr>
            <w:r>
              <w:rPr>
                <w:rFonts w:ascii="宋体"/>
                <w:sz w:val="18"/>
              </w:rPr>
              <w:t>3,602,099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69"/>
        <w:gridCol w:w="1652"/>
        <w:gridCol w:w="550"/>
        <w:gridCol w:w="1150"/>
        <w:gridCol w:w="1277"/>
        <w:gridCol w:w="775"/>
        <w:gridCol w:w="216"/>
        <w:gridCol w:w="994"/>
        <w:gridCol w:w="139"/>
        <w:gridCol w:w="710"/>
        <w:gridCol w:w="638"/>
      </w:tblGrid>
      <w:tr>
        <w:trPr>
          <w:trHeight w:val="129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份有限公司－中 证</w:t>
            </w:r>
            <w:r>
              <w:rPr>
                <w:rFonts w:ascii="宋体" w:hAnsi="宋体" w:cs="宋体" w:eastAsia="宋体" w:hint="default"/>
                <w:spacing w:val="-59"/>
                <w:sz w:val="18"/>
                <w:szCs w:val="18"/>
              </w:rPr>
              <w:t> </w:t>
            </w:r>
            <w:r>
              <w:rPr>
                <w:rFonts w:ascii="宋体" w:hAnsi="宋体" w:cs="宋体" w:eastAsia="宋体" w:hint="default"/>
                <w:sz w:val="18"/>
                <w:szCs w:val="18"/>
              </w:rPr>
              <w:t>500</w:t>
            </w:r>
            <w:r>
              <w:rPr>
                <w:rFonts w:ascii="宋体" w:hAnsi="宋体" w:cs="宋体" w:eastAsia="宋体" w:hint="default"/>
                <w:spacing w:val="-58"/>
                <w:sz w:val="18"/>
                <w:szCs w:val="18"/>
              </w:rPr>
              <w:t> </w:t>
            </w:r>
            <w:r>
              <w:rPr>
                <w:rFonts w:ascii="宋体" w:hAnsi="宋体" w:cs="宋体" w:eastAsia="宋体" w:hint="default"/>
                <w:sz w:val="18"/>
                <w:szCs w:val="18"/>
              </w:rPr>
              <w:t>交易型开放 式指数证券投资 基金</w:t>
            </w:r>
          </w:p>
        </w:tc>
        <w:tc>
          <w:tcPr>
            <w:tcW w:w="1652"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苏军锋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3,515,480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2,104,370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3,515,480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8" w:right="0"/>
              <w:jc w:val="left"/>
              <w:rPr>
                <w:rFonts w:ascii="宋体" w:hAnsi="宋体" w:cs="宋体" w:eastAsia="宋体" w:hint="default"/>
                <w:sz w:val="18"/>
                <w:szCs w:val="18"/>
              </w:rPr>
            </w:pPr>
            <w:r>
              <w:rPr>
                <w:rFonts w:ascii="宋体"/>
                <w:sz w:val="18"/>
              </w:rPr>
              <w:t>/</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倪琪如</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2,981,200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2,981,200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8" w:right="0"/>
              <w:jc w:val="left"/>
              <w:rPr>
                <w:rFonts w:ascii="宋体" w:hAnsi="宋体" w:cs="宋体" w:eastAsia="宋体" w:hint="default"/>
                <w:sz w:val="18"/>
                <w:szCs w:val="18"/>
              </w:rPr>
            </w:pPr>
            <w:r>
              <w:rPr>
                <w:rFonts w:ascii="宋体"/>
                <w:sz w:val="18"/>
              </w:rPr>
              <w:t>/</w:t>
            </w:r>
          </w:p>
        </w:tc>
      </w:tr>
      <w:tr>
        <w:trPr>
          <w:trHeight w:val="161" w:hRule="exact"/>
        </w:trPr>
        <w:tc>
          <w:tcPr>
            <w:tcW w:w="31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450" w:type="dxa"/>
            <w:gridSpan w:val="9"/>
            <w:vMerge w:val="restart"/>
            <w:tcBorders>
              <w:top w:val="single" w:sz="4" w:space="0" w:color="000000"/>
              <w:left w:val="single" w:sz="10" w:space="0" w:color="D2D2D2"/>
              <w:right w:val="single" w:sz="4" w:space="0" w:color="000000"/>
            </w:tcBorders>
          </w:tcPr>
          <w:p>
            <w:pPr>
              <w:pStyle w:val="TableParagraph"/>
              <w:spacing w:line="316" w:lineRule="auto" w:before="49"/>
              <w:ind w:left="16" w:right="20"/>
              <w:jc w:val="left"/>
              <w:rPr>
                <w:rFonts w:ascii="宋体" w:hAnsi="宋体" w:cs="宋体" w:eastAsia="宋体" w:hint="default"/>
                <w:sz w:val="18"/>
                <w:szCs w:val="18"/>
              </w:rPr>
            </w:pPr>
            <w:r>
              <w:rPr>
                <w:rFonts w:ascii="宋体" w:hAnsi="宋体" w:cs="宋体" w:eastAsia="宋体" w:hint="default"/>
                <w:spacing w:val="-3"/>
                <w:sz w:val="18"/>
                <w:szCs w:val="18"/>
              </w:rPr>
              <w:t>公司第一大股东何平女士与第三大股东任金生先生是夫妻关系，两者合计持有公司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股份占公司股本总额的比例为</w:t>
            </w:r>
            <w:r>
              <w:rPr>
                <w:rFonts w:ascii="宋体" w:hAnsi="宋体" w:cs="宋体" w:eastAsia="宋体" w:hint="default"/>
                <w:spacing w:val="-45"/>
                <w:sz w:val="18"/>
                <w:szCs w:val="18"/>
              </w:rPr>
              <w:t> </w:t>
            </w:r>
            <w:r>
              <w:rPr>
                <w:rFonts w:ascii="宋体" w:hAnsi="宋体" w:cs="宋体" w:eastAsia="宋体" w:hint="default"/>
                <w:sz w:val="18"/>
                <w:szCs w:val="18"/>
              </w:rPr>
              <w:t>11.22</w:t>
            </w:r>
            <w:r>
              <w:rPr>
                <w:rFonts w:ascii="宋体" w:hAnsi="宋体" w:cs="宋体" w:eastAsia="宋体" w:hint="default"/>
                <w:sz w:val="18"/>
                <w:szCs w:val="18"/>
              </w:rPr>
              <w:t>％，其他股东之间关系不详。</w:t>
            </w:r>
          </w:p>
        </w:tc>
      </w:tr>
      <w:tr>
        <w:trPr>
          <w:trHeight w:val="391" w:hRule="exact"/>
        </w:trPr>
        <w:tc>
          <w:tcPr>
            <w:tcW w:w="31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50" w:type="dxa"/>
            <w:gridSpan w:val="9"/>
            <w:vMerge/>
            <w:tcBorders>
              <w:left w:val="single" w:sz="10" w:space="0" w:color="D2D2D2"/>
              <w:right w:val="single" w:sz="4" w:space="0" w:color="000000"/>
            </w:tcBorders>
          </w:tcPr>
          <w:p>
            <w:pPr/>
          </w:p>
        </w:tc>
      </w:tr>
      <w:tr>
        <w:trPr>
          <w:trHeight w:val="161" w:hRule="exact"/>
        </w:trPr>
        <w:tc>
          <w:tcPr>
            <w:tcW w:w="31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450" w:type="dxa"/>
            <w:gridSpan w:val="9"/>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06" w:hRule="exact"/>
        </w:trPr>
        <w:tc>
          <w:tcPr>
            <w:tcW w:w="31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1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5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21" w:type="dxa"/>
            <w:gridSpan w:val="2"/>
            <w:vMerge/>
            <w:tcBorders>
              <w:left w:val="single" w:sz="4" w:space="0" w:color="000000"/>
              <w:bottom w:val="nil" w:sz="6" w:space="0" w:color="auto"/>
              <w:right w:val="single" w:sz="4" w:space="0" w:color="000000"/>
            </w:tcBorders>
            <w:shd w:val="clear" w:color="auto" w:fill="D2D2D2"/>
          </w:tcPr>
          <w:p>
            <w:pPr/>
          </w:p>
        </w:tc>
        <w:tc>
          <w:tcPr>
            <w:tcW w:w="3752" w:type="dxa"/>
            <w:gridSpan w:val="4"/>
            <w:vMerge/>
            <w:tcBorders>
              <w:left w:val="single" w:sz="4" w:space="0" w:color="000000"/>
              <w:bottom w:val="nil" w:sz="6" w:space="0" w:color="auto"/>
              <w:right w:val="single" w:sz="4" w:space="0" w:color="000000"/>
            </w:tcBorders>
            <w:shd w:val="clear" w:color="auto" w:fill="D2D2D2"/>
          </w:tcPr>
          <w:p>
            <w:pP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75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70,167,755</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70,167,755</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28,882,200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28,882,200</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16,568,662</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16,568,662</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张景华</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6,500,000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6,500,000</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广东粤港股权投资基金有限公司</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6,145,160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6,145,160</w:t>
            </w:r>
          </w:p>
        </w:tc>
      </w:tr>
      <w:tr>
        <w:trPr>
          <w:trHeight w:val="716"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5"/>
                <w:sz w:val="18"/>
                <w:szCs w:val="18"/>
              </w:rPr>
              <w:t> </w:t>
            </w:r>
            <w:r>
              <w:rPr>
                <w:rFonts w:ascii="宋体" w:hAnsi="宋体" w:cs="宋体" w:eastAsia="宋体" w:hint="default"/>
                <w:sz w:val="18"/>
                <w:szCs w:val="18"/>
              </w:rPr>
              <w:t>500 </w:t>
            </w:r>
            <w:r>
              <w:rPr>
                <w:rFonts w:ascii="宋体" w:hAnsi="宋体" w:cs="宋体" w:eastAsia="宋体" w:hint="default"/>
                <w:sz w:val="18"/>
                <w:szCs w:val="18"/>
              </w:rPr>
              <w:t>交易型开放式指数证券投资基金</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3,608,099</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sz w:val="18"/>
              </w:rPr>
              <w:t>3,608,099</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苏军锋</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3,515,480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3,515,480</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倪琪如</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2,981,200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2,981,200</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苏军福</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2,800,000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2,800,000</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庄洪贞</w:t>
            </w:r>
          </w:p>
        </w:tc>
        <w:tc>
          <w:tcPr>
            <w:tcW w:w="3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2,770,301</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2,770,301</w:t>
            </w:r>
          </w:p>
        </w:tc>
      </w:tr>
      <w:tr>
        <w:trPr>
          <w:trHeight w:val="1025"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16" w:lineRule="auto" w:before="76"/>
              <w:ind w:left="24" w:right="68"/>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 之间关联关系或一致行动的说明</w:t>
            </w:r>
          </w:p>
        </w:tc>
        <w:tc>
          <w:tcPr>
            <w:tcW w:w="64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公司第一大股东何平女士与第三大股东任金生先生是夫妻关系，两者合计持有公司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股份占公司股本总额的比例为</w:t>
            </w:r>
            <w:r>
              <w:rPr>
                <w:rFonts w:ascii="宋体" w:hAnsi="宋体" w:cs="宋体" w:eastAsia="宋体" w:hint="default"/>
                <w:spacing w:val="-45"/>
                <w:sz w:val="18"/>
                <w:szCs w:val="18"/>
              </w:rPr>
              <w:t> </w:t>
            </w:r>
            <w:r>
              <w:rPr>
                <w:rFonts w:ascii="宋体" w:hAnsi="宋体" w:cs="宋体" w:eastAsia="宋体" w:hint="default"/>
                <w:sz w:val="18"/>
                <w:szCs w:val="18"/>
              </w:rPr>
              <w:t>11.22</w:t>
            </w:r>
            <w:r>
              <w:rPr>
                <w:rFonts w:ascii="宋体" w:hAnsi="宋体" w:cs="宋体" w:eastAsia="宋体" w:hint="default"/>
                <w:sz w:val="18"/>
                <w:szCs w:val="18"/>
              </w:rPr>
              <w:t>％，其他无限售条件股东之间关系不详。</w:t>
            </w:r>
          </w:p>
        </w:tc>
      </w:tr>
    </w:tbl>
    <w:p>
      <w:pPr>
        <w:pStyle w:val="BodyText"/>
        <w:spacing w:line="240" w:lineRule="auto" w:before="49"/>
        <w:ind w:right="153"/>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8"/>
        <w:ind w:right="153"/>
        <w:jc w:val="left"/>
      </w:pPr>
      <w:r>
        <w:rPr/>
        <w:t>□ 是 √</w:t>
      </w:r>
      <w:r>
        <w:rPr>
          <w:spacing w:val="3"/>
        </w:rPr>
        <w:t> </w:t>
      </w:r>
      <w:r>
        <w:rPr/>
        <w:t>否</w:t>
      </w:r>
    </w:p>
    <w:p>
      <w:pPr>
        <w:pStyle w:val="BodyText"/>
        <w:spacing w:line="240" w:lineRule="auto" w:before="115"/>
        <w:ind w:right="153"/>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、公司控股股东情况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4537"/>
        <w:gridCol w:w="2410"/>
        <w:gridCol w:w="2624"/>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未在本公司担任任何职务</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525"/>
        <w:gridCol w:w="5045"/>
      </w:tblGrid>
      <w:tr>
        <w:trPr>
          <w:trHeight w:val="334" w:hRule="exact"/>
        </w:trPr>
        <w:tc>
          <w:tcPr>
            <w:tcW w:w="4525" w:type="dxa"/>
            <w:tcBorders>
              <w:top w:val="single" w:sz="6" w:space="0" w:color="000000"/>
              <w:left w:val="nil" w:sz="6" w:space="0" w:color="auto"/>
              <w:bottom w:val="single" w:sz="4" w:space="0" w:color="000000"/>
              <w:right w:val="nil" w:sz="6" w:space="0" w:color="auto"/>
            </w:tcBorders>
          </w:tcPr>
          <w:p>
            <w:pPr/>
          </w:p>
        </w:tc>
        <w:tc>
          <w:tcPr>
            <w:tcW w:w="504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报告期内未控股和参股其他境内外上市公司</w:t>
            </w:r>
          </w:p>
        </w:tc>
      </w:tr>
    </w:tbl>
    <w:p>
      <w:pPr>
        <w:spacing w:line="240" w:lineRule="auto" w:before="2"/>
        <w:rPr>
          <w:rFonts w:ascii="宋体" w:hAnsi="宋体" w:cs="宋体" w:eastAsia="宋体" w:hint="default"/>
          <w:sz w:val="27"/>
          <w:szCs w:val="27"/>
        </w:rPr>
      </w:pPr>
    </w:p>
    <w:p>
      <w:pPr>
        <w:pStyle w:val="BodyText"/>
        <w:spacing w:line="240" w:lineRule="auto" w:before="44"/>
        <w:ind w:left="112" w:right="7394"/>
        <w:jc w:val="left"/>
      </w:pPr>
      <w:r>
        <w:rPr/>
        <w:t>控股股东报告期内变更</w:t>
      </w:r>
    </w:p>
    <w:p>
      <w:pPr>
        <w:pStyle w:val="BodyText"/>
        <w:spacing w:line="240" w:lineRule="auto" w:before="117"/>
        <w:ind w:left="112" w:right="7394"/>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何平、任金生</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
                <w:sz w:val="18"/>
                <w:szCs w:val="18"/>
              </w:rPr>
              <w:t>）上的《关于股东减持暨第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一大股东变更的提示性公告》（公告编号：</w:t>
            </w:r>
            <w:r>
              <w:rPr>
                <w:rFonts w:ascii="宋体" w:hAnsi="宋体" w:cs="宋体" w:eastAsia="宋体" w:hint="default"/>
                <w:spacing w:val="-4"/>
                <w:sz w:val="18"/>
                <w:szCs w:val="18"/>
              </w:rPr>
              <w:t>2015-033</w:t>
            </w:r>
            <w:r>
              <w:rPr>
                <w:rFonts w:ascii="宋体" w:hAnsi="宋体" w:cs="宋体" w:eastAsia="宋体" w:hint="default"/>
                <w:spacing w:val="-4"/>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left="112" w:right="7394"/>
        <w:jc w:val="left"/>
        <w:rPr>
          <w:b w:val="0"/>
          <w:bCs w:val="0"/>
        </w:rPr>
      </w:pPr>
      <w:r>
        <w:rPr>
          <w:rFonts w:ascii="宋体" w:hAnsi="宋体" w:cs="宋体" w:eastAsia="宋体" w:hint="default"/>
        </w:rPr>
        <w:t>3</w:t>
      </w:r>
      <w:r>
        <w:rPr/>
        <w:t>、公司实际控制人情况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left="112" w:right="7394"/>
        <w:jc w:val="left"/>
      </w:pPr>
      <w:r>
        <w:rPr/>
        <w:t>实际控制人性质：境内自然人 实际控制人类型：自然人</w:t>
      </w:r>
    </w:p>
    <w:tbl>
      <w:tblPr>
        <w:tblW w:w="0" w:type="auto"/>
        <w:jc w:val="left"/>
        <w:tblInd w:w="108" w:type="dxa"/>
        <w:tblLayout w:type="fixed"/>
        <w:tblCellMar>
          <w:top w:w="0" w:type="dxa"/>
          <w:left w:w="0" w:type="dxa"/>
          <w:bottom w:w="0" w:type="dxa"/>
          <w:right w:w="0" w:type="dxa"/>
        </w:tblCellMar>
        <w:tblLook w:val="01E0"/>
      </w:tblPr>
      <w:tblGrid>
        <w:gridCol w:w="3419"/>
        <w:gridCol w:w="2302"/>
        <w:gridCol w:w="3850"/>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未在本公司担任任何职务</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报告期内未控股和参股其他境内外上市公司</w:t>
            </w:r>
          </w:p>
        </w:tc>
      </w:tr>
    </w:tbl>
    <w:p>
      <w:pPr>
        <w:pStyle w:val="BodyText"/>
        <w:spacing w:line="240" w:lineRule="auto" w:before="67"/>
        <w:ind w:left="112" w:right="7394"/>
        <w:jc w:val="left"/>
      </w:pPr>
      <w:r>
        <w:rPr/>
        <w:t>实际控制人报告期内变更</w:t>
      </w:r>
    </w:p>
    <w:p>
      <w:pPr>
        <w:pStyle w:val="BodyText"/>
        <w:spacing w:line="240" w:lineRule="auto" w:before="115"/>
        <w:ind w:left="112" w:right="7394"/>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何平、任金生</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
                <w:sz w:val="18"/>
                <w:szCs w:val="18"/>
              </w:rPr>
              <w:t>）上的《关于公司实际控制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人已发生变更的提示性公告》（公告编号：</w:t>
            </w:r>
            <w:r>
              <w:rPr>
                <w:rFonts w:ascii="宋体" w:hAnsi="宋体" w:cs="宋体" w:eastAsia="宋体" w:hint="default"/>
                <w:spacing w:val="-4"/>
                <w:sz w:val="18"/>
                <w:szCs w:val="18"/>
              </w:rPr>
              <w:t>2015-075</w:t>
            </w:r>
            <w:r>
              <w:rPr>
                <w:rFonts w:ascii="宋体" w:hAnsi="宋体" w:cs="宋体" w:eastAsia="宋体" w:hint="default"/>
                <w:spacing w:val="-4"/>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pStyle w:val="BodyText"/>
        <w:spacing w:line="240" w:lineRule="auto" w:before="49"/>
        <w:ind w:left="112" w:right="0"/>
        <w:jc w:val="left"/>
      </w:pPr>
      <w:r>
        <w:rPr/>
        <w:t>公司与实际控制人之间的产权及控制关系的方框图</w:t>
      </w:r>
    </w:p>
    <w:p>
      <w:pPr>
        <w:spacing w:after="0" w:line="240" w:lineRule="auto"/>
        <w:jc w:val="left"/>
        <w:sectPr>
          <w:pgSz w:w="11910" w:h="16840"/>
          <w:pgMar w:header="877" w:footer="1186" w:top="106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4455" w:lineRule="exact"/>
        <w:ind w:left="1355"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91528" cy="28289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4591528" cy="282892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4"/>
        <w:rPr>
          <w:rFonts w:ascii="宋体" w:hAnsi="宋体" w:cs="宋体" w:eastAsia="宋体" w:hint="default"/>
          <w:sz w:val="21"/>
          <w:szCs w:val="21"/>
        </w:rPr>
      </w:pPr>
    </w:p>
    <w:p>
      <w:pPr>
        <w:pStyle w:val="BodyText"/>
        <w:spacing w:line="240" w:lineRule="auto" w:before="44"/>
        <w:ind w:right="153"/>
        <w:jc w:val="left"/>
      </w:pPr>
      <w:r>
        <w:rPr/>
        <w:t>实际控制人通过信托或其他资产管理方式控制公司</w:t>
      </w:r>
    </w:p>
    <w:p>
      <w:pPr>
        <w:pStyle w:val="BodyText"/>
        <w:spacing w:line="240" w:lineRule="auto" w:before="117"/>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、其他持股在</w:t>
      </w:r>
      <w:r>
        <w:rPr>
          <w:spacing w:val="-52"/>
        </w:rPr>
        <w:t> </w:t>
      </w:r>
      <w:r>
        <w:rPr>
          <w:rFonts w:ascii="宋体" w:hAnsi="宋体" w:cs="宋体" w:eastAsia="宋体" w:hint="default"/>
        </w:rPr>
        <w:t>10%</w:t>
      </w:r>
      <w:r>
        <w:rPr/>
        <w:t>以上的法人股东</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4"/>
        <w:ind w:right="7614"/>
        <w:jc w:val="left"/>
      </w:pPr>
      <w:r>
        <w:rPr/>
        <w:t>□ 适用 √</w:t>
      </w:r>
      <w:r>
        <w:rPr>
          <w:spacing w:val="3"/>
        </w:rPr>
        <w:t> </w:t>
      </w:r>
      <w:r>
        <w:rPr/>
        <w:t>不适用</w:t>
      </w:r>
      <w:r>
        <w:rPr/>
        <w:t> 报告期公司不存在优先股。</w:t>
      </w:r>
    </w:p>
    <w:p>
      <w:pPr>
        <w:spacing w:after="0" w:line="357"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710"/>
        <w:gridCol w:w="566"/>
        <w:gridCol w:w="425"/>
        <w:gridCol w:w="425"/>
        <w:gridCol w:w="1702"/>
        <w:gridCol w:w="1548"/>
        <w:gridCol w:w="720"/>
        <w:gridCol w:w="1021"/>
        <w:gridCol w:w="682"/>
        <w:gridCol w:w="1058"/>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8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53" w:firstLine="31"/>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6"/>
                <w:sz w:val="18"/>
                <w:szCs w:val="18"/>
              </w:rPr>
              <w:t>份数量（股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left"/>
              <w:rPr>
                <w:rFonts w:ascii="宋体" w:hAnsi="宋体" w:cs="宋体" w:eastAsia="宋体" w:hint="default"/>
                <w:sz w:val="18"/>
                <w:szCs w:val="18"/>
              </w:rPr>
            </w:pPr>
            <w:r>
              <w:rPr>
                <w:rFonts w:ascii="宋体" w:hAnsi="宋体" w:cs="宋体" w:eastAsia="宋体" w:hint="default"/>
                <w:sz w:val="18"/>
                <w:szCs w:val="18"/>
              </w:rPr>
              <w:t>本期减 持股份</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数量</w:t>
            </w:r>
          </w:p>
          <w:p>
            <w:pPr>
              <w:pStyle w:val="TableParagraph"/>
              <w:spacing w:line="240" w:lineRule="auto" w:before="76"/>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5,700,000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7"/>
                <w:sz w:val="18"/>
                <w:szCs w:val="18"/>
              </w:rPr>
              <w:t>董事、总</w:t>
            </w:r>
            <w:r>
              <w:rPr>
                <w:rFonts w:ascii="宋体" w:hAnsi="宋体" w:cs="宋体" w:eastAsia="宋体" w:hint="default"/>
                <w:sz w:val="18"/>
                <w:szCs w:val="18"/>
              </w:rPr>
              <w:t>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5,700,000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pacing w:val="-17"/>
                <w:sz w:val="18"/>
                <w:szCs w:val="18"/>
              </w:rPr>
              <w:t>董事、财</w:t>
            </w:r>
            <w:r>
              <w:rPr>
                <w:rFonts w:ascii="宋体" w:hAnsi="宋体" w:cs="宋体" w:eastAsia="宋体" w:hint="default"/>
                <w:sz w:val="18"/>
                <w:szCs w:val="18"/>
              </w:rPr>
              <w:t> 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许为宁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800,000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800,000</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董事会 </w:t>
            </w:r>
            <w:r>
              <w:rPr>
                <w:rFonts w:ascii="宋体" w:hAnsi="宋体" w:cs="宋体" w:eastAsia="宋体" w:hint="default"/>
                <w:spacing w:val="-17"/>
                <w:sz w:val="18"/>
                <w:szCs w:val="18"/>
              </w:rPr>
              <w:t>秘书、副</w:t>
            </w:r>
            <w:r>
              <w:rPr>
                <w:rFonts w:ascii="宋体" w:hAnsi="宋体" w:cs="宋体" w:eastAsia="宋体" w:hint="default"/>
                <w:sz w:val="18"/>
                <w:szCs w:val="18"/>
              </w:rPr>
              <w:t>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800,000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800,000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谢战军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7"/>
                <w:sz w:val="18"/>
                <w:szCs w:val="18"/>
              </w:rPr>
              <w:t>监事、证</w:t>
            </w:r>
            <w:r>
              <w:rPr>
                <w:rFonts w:ascii="宋体" w:hAnsi="宋体" w:cs="宋体" w:eastAsia="宋体" w:hint="default"/>
                <w:sz w:val="18"/>
                <w:szCs w:val="18"/>
              </w:rPr>
              <w:t> 券事务 代表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2"/>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14,600,000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14,600,000</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二、公司董事、监事、高级管理人员变动情况：无。</w:t>
      </w:r>
      <w:r>
        <w:rPr>
          <w:b w:val="0"/>
          <w:bCs w:val="0"/>
        </w:rPr>
      </w:r>
    </w:p>
    <w:p>
      <w:pPr>
        <w:spacing w:after="0" w:line="240" w:lineRule="auto"/>
        <w:jc w:val="left"/>
        <w:sectPr>
          <w:pgSz w:w="11910" w:h="16840"/>
          <w:pgMar w:header="877" w:footer="1186" w:top="1060" w:bottom="13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5748"/>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77" w:hanging="361"/>
        <w:jc w:val="left"/>
      </w:pPr>
      <w:r>
        <w:rPr/>
        <w:t>公司现任董事、监事、高级管理人员专业背景、主要工作经历以及目前在公司的主要职责 </w:t>
      </w:r>
      <w:r>
        <w:rPr>
          <w:rFonts w:ascii="宋体" w:hAnsi="宋体" w:cs="宋体" w:eastAsia="宋体" w:hint="default"/>
          <w:b/>
          <w:bCs/>
        </w:rPr>
        <w:t>1</w:t>
      </w:r>
      <w:r>
        <w:rPr>
          <w:rFonts w:ascii="宋体" w:hAnsi="宋体" w:cs="宋体" w:eastAsia="宋体" w:hint="default"/>
          <w:b/>
          <w:bCs/>
        </w:rPr>
        <w:t>、纪晓文先生：</w:t>
      </w:r>
      <w:r>
        <w:rPr/>
        <w:t>中国籍，汉族，</w:t>
      </w:r>
      <w:r>
        <w:rPr>
          <w:rFonts w:ascii="宋体" w:hAnsi="宋体" w:cs="宋体" w:eastAsia="宋体" w:hint="default"/>
        </w:rPr>
        <w:t>1972</w:t>
      </w:r>
      <w:r>
        <w:rPr/>
        <w:t>年出生，天津大学经济法专业、工业工程管理专业毕业，山东大学</w:t>
      </w:r>
      <w:r>
        <w:rPr>
          <w:rFonts w:ascii="宋体" w:hAnsi="宋体" w:cs="宋体" w:eastAsia="宋体" w:hint="default"/>
        </w:rPr>
        <w:t>EMBA</w:t>
      </w:r>
      <w:r>
        <w:rPr/>
        <w:t>，获得国</w:t>
      </w:r>
    </w:p>
    <w:p>
      <w:pPr>
        <w:pStyle w:val="BodyText"/>
        <w:spacing w:line="224" w:lineRule="exact"/>
        <w:ind w:right="0"/>
        <w:jc w:val="left"/>
      </w:pPr>
      <w:r>
        <w:rPr/>
        <w:t>家律师资格、证券从业资格、独立董事任职资格、董事会秘书任职资格。先后担任中国银行山东省分行法律事务处主管、中</w:t>
      </w:r>
    </w:p>
    <w:p>
      <w:pPr>
        <w:pStyle w:val="BodyText"/>
        <w:spacing w:line="316" w:lineRule="auto" w:before="76"/>
        <w:ind w:right="94"/>
        <w:jc w:val="left"/>
      </w:pPr>
      <w:r>
        <w:rPr>
          <w:spacing w:val="-2"/>
        </w:rPr>
        <w:t>国东方资产管理公司青岛办事处投资部经理、山东九发食用菌股份有限公司董事长兼总经理、瑞茂通供应链管理股份有限公</w:t>
      </w:r>
      <w:r>
        <w:rPr>
          <w:spacing w:val="-64"/>
        </w:rPr>
        <w:t> </w:t>
      </w:r>
      <w:r>
        <w:rPr>
          <w:spacing w:val="-64"/>
        </w:rPr>
      </w:r>
      <w:r>
        <w:rPr/>
        <w:t>司董事。现任本公司董事长、董事会战略委员会主任委员、董事会提名委员会委员。</w:t>
      </w:r>
    </w:p>
    <w:p>
      <w:pPr>
        <w:pStyle w:val="BodyText"/>
        <w:spacing w:line="319" w:lineRule="auto" w:before="59"/>
        <w:ind w:right="94" w:firstLine="360"/>
        <w:jc w:val="left"/>
      </w:pPr>
      <w:r>
        <w:rPr>
          <w:rFonts w:ascii="宋体" w:hAnsi="宋体" w:cs="宋体" w:eastAsia="宋体" w:hint="default"/>
          <w:b/>
          <w:bCs/>
        </w:rPr>
        <w:t>2</w:t>
      </w:r>
      <w:r>
        <w:rPr>
          <w:rFonts w:ascii="宋体" w:hAnsi="宋体" w:cs="宋体" w:eastAsia="宋体" w:hint="default"/>
          <w:b/>
          <w:bCs/>
        </w:rPr>
        <w:t>、杨富年先生：</w:t>
      </w:r>
      <w:r>
        <w:rPr/>
        <w:t>中国籍，汉族，</w:t>
      </w:r>
      <w:r>
        <w:rPr>
          <w:rFonts w:ascii="宋体" w:hAnsi="宋体" w:cs="宋体" w:eastAsia="宋体" w:hint="default"/>
        </w:rPr>
        <w:t>1962</w:t>
      </w:r>
      <w:r>
        <w:rPr/>
        <w:t>年生，法律专业、工商管理专业研究生、博士，曾经接受麦肯锡等国际著名咨询 </w:t>
      </w:r>
      <w:r>
        <w:rPr>
          <w:spacing w:val="-2"/>
        </w:rPr>
        <w:t>公司培训。</w:t>
      </w:r>
      <w:r>
        <w:rPr>
          <w:rFonts w:ascii="宋体" w:hAnsi="宋体" w:cs="宋体" w:eastAsia="宋体" w:hint="default"/>
          <w:spacing w:val="-2"/>
        </w:rPr>
        <w:t>1990</w:t>
      </w:r>
      <w:r>
        <w:rPr>
          <w:spacing w:val="-2"/>
        </w:rPr>
        <w:t>年至</w:t>
      </w:r>
      <w:r>
        <w:rPr>
          <w:rFonts w:ascii="宋体" w:hAnsi="宋体" w:cs="宋体" w:eastAsia="宋体" w:hint="default"/>
          <w:spacing w:val="-2"/>
        </w:rPr>
        <w:t>2010</w:t>
      </w:r>
      <w:r>
        <w:rPr>
          <w:spacing w:val="-2"/>
        </w:rPr>
        <w:t>年先后任广州富立（中日合资）电业有限公司执行总裁、北京中原科工业应用技术研究所所长、美</w:t>
      </w:r>
      <w:r>
        <w:rPr>
          <w:spacing w:val="-63"/>
        </w:rPr>
        <w:t> </w:t>
      </w:r>
      <w:r>
        <w:rPr>
          <w:spacing w:val="-63"/>
        </w:rPr>
      </w:r>
      <w:r>
        <w:rPr/>
        <w:t>国欧芬环境投资有限公司总裁、中奥环保高科技公司董事长兼总经理、美国</w:t>
      </w:r>
      <w:r>
        <w:rPr>
          <w:rFonts w:ascii="宋体" w:hAnsi="宋体" w:cs="宋体" w:eastAsia="宋体" w:hint="default"/>
        </w:rPr>
        <w:t>LPC</w:t>
      </w:r>
      <w:r>
        <w:rPr/>
        <w:t>投资（中国）有限公司合伙人投融资顾问、 北京市邦盛律师事务所高级顾问，</w:t>
      </w:r>
      <w:r>
        <w:rPr>
          <w:rFonts w:ascii="宋体" w:hAnsi="宋体" w:cs="宋体" w:eastAsia="宋体" w:hint="default"/>
        </w:rPr>
        <w:t>2010</w:t>
      </w:r>
      <w:r>
        <w:rPr/>
        <w:t>年至</w:t>
      </w:r>
      <w:r>
        <w:rPr>
          <w:rFonts w:ascii="宋体" w:hAnsi="宋体" w:cs="宋体" w:eastAsia="宋体" w:hint="default"/>
        </w:rPr>
        <w:t>2013</w:t>
      </w:r>
      <w:r>
        <w:rPr/>
        <w:t>年任湖北博盈投资股份有限公司董事长兼总经理。现任本公司董事、总裁、 董事会战略委员会委员、董事会薪酬与考核委员会委员。</w:t>
      </w:r>
    </w:p>
    <w:p>
      <w:pPr>
        <w:pStyle w:val="BodyText"/>
        <w:spacing w:line="316" w:lineRule="auto" w:before="58"/>
        <w:ind w:right="190" w:firstLine="360"/>
        <w:jc w:val="both"/>
      </w:pPr>
      <w:r>
        <w:rPr>
          <w:rFonts w:ascii="宋体" w:hAnsi="宋体" w:cs="宋体" w:eastAsia="宋体" w:hint="default"/>
          <w:b/>
          <w:bCs/>
        </w:rPr>
        <w:t>3</w:t>
      </w:r>
      <w:r>
        <w:rPr>
          <w:rFonts w:ascii="宋体" w:hAnsi="宋体" w:cs="宋体" w:eastAsia="宋体" w:hint="default"/>
          <w:b/>
          <w:bCs/>
        </w:rPr>
        <w:t>、田青先生：</w:t>
      </w:r>
      <w:r>
        <w:rPr/>
        <w:t>中国籍，汉族，</w:t>
      </w:r>
      <w:r>
        <w:rPr>
          <w:rFonts w:ascii="宋体" w:hAnsi="宋体" w:cs="宋体" w:eastAsia="宋体" w:hint="default"/>
        </w:rPr>
        <w:t>1979</w:t>
      </w:r>
      <w:r>
        <w:rPr/>
        <w:t>年出生，香港中文大学工商管理硕士，先后获得中国注册会计师、国际注册审计师 </w:t>
      </w:r>
      <w:r>
        <w:rPr>
          <w:spacing w:val="-2"/>
        </w:rPr>
        <w:t>资格。历任普华永道会计师事务所审计经理，华为赛门铁克科技有限公司财务经理兼审计总监，华为技术有限公司中国区企</w:t>
      </w:r>
      <w:r>
        <w:rPr>
          <w:spacing w:val="-63"/>
        </w:rPr>
        <w:t> </w:t>
      </w:r>
      <w:r>
        <w:rPr>
          <w:spacing w:val="-63"/>
        </w:rPr>
      </w:r>
      <w:r>
        <w:rPr/>
        <w:t>业业务稽查部部长。现任本公司董事、财务总监。</w:t>
      </w:r>
    </w:p>
    <w:p>
      <w:pPr>
        <w:pStyle w:val="BodyText"/>
        <w:spacing w:line="316" w:lineRule="auto" w:before="57"/>
        <w:ind w:right="190" w:firstLine="360"/>
        <w:jc w:val="both"/>
      </w:pPr>
      <w:r>
        <w:rPr>
          <w:rFonts w:ascii="宋体" w:hAnsi="宋体" w:cs="宋体" w:eastAsia="宋体" w:hint="default"/>
          <w:b/>
          <w:bCs/>
        </w:rPr>
        <w:t>4</w:t>
      </w:r>
      <w:r>
        <w:rPr>
          <w:rFonts w:ascii="宋体" w:hAnsi="宋体" w:cs="宋体" w:eastAsia="宋体" w:hint="default"/>
          <w:b/>
          <w:bCs/>
        </w:rPr>
        <w:t>、王东先生：</w:t>
      </w:r>
      <w:r>
        <w:rPr/>
        <w:t>中国籍，汉族，</w:t>
      </w:r>
      <w:r>
        <w:rPr>
          <w:rFonts w:ascii="宋体" w:hAnsi="宋体" w:cs="宋体" w:eastAsia="宋体" w:hint="default"/>
        </w:rPr>
        <w:t>1965</w:t>
      </w:r>
      <w:r>
        <w:rPr/>
        <w:t>年出生，武汉大学工学硕士、华南理工大学</w:t>
      </w:r>
      <w:r>
        <w:rPr>
          <w:rFonts w:ascii="宋体" w:hAnsi="宋体" w:cs="宋体" w:eastAsia="宋体" w:hint="default"/>
        </w:rPr>
        <w:t>EMBA</w:t>
      </w:r>
      <w:r>
        <w:rPr/>
        <w:t>，高级经济师，具有律师资格，曾 </w:t>
      </w:r>
      <w:r>
        <w:rPr>
          <w:spacing w:val="-2"/>
        </w:rPr>
        <w:t>经担任中国贸易仲裁委员会仲裁员。从</w:t>
      </w:r>
      <w:r>
        <w:rPr>
          <w:rFonts w:ascii="宋体" w:hAnsi="宋体" w:cs="宋体" w:eastAsia="宋体" w:hint="default"/>
          <w:spacing w:val="-2"/>
        </w:rPr>
        <w:t>1987</w:t>
      </w:r>
      <w:r>
        <w:rPr>
          <w:spacing w:val="-2"/>
        </w:rPr>
        <w:t>年起先后在中国工商银行省行、总行从事人力资源、信贷业务、资产保全、风险</w:t>
      </w:r>
      <w:r>
        <w:rPr>
          <w:spacing w:val="-63"/>
        </w:rPr>
        <w:t> </w:t>
      </w:r>
      <w:r>
        <w:rPr>
          <w:spacing w:val="-63"/>
        </w:rPr>
      </w:r>
      <w:r>
        <w:rPr>
          <w:spacing w:val="-2"/>
        </w:rPr>
        <w:t>管理、法律事务工作。</w:t>
      </w:r>
      <w:r>
        <w:rPr>
          <w:rFonts w:ascii="宋体" w:hAnsi="宋体" w:cs="宋体" w:eastAsia="宋体" w:hint="default"/>
          <w:spacing w:val="-2"/>
        </w:rPr>
        <w:t>2012</w:t>
      </w:r>
      <w:r>
        <w:rPr>
          <w:spacing w:val="-2"/>
        </w:rPr>
        <w:t>年起在广东南粤银行负责法律合规部工作，担任广东银行业公会法律委员会常委。现任本公司董</w:t>
      </w:r>
      <w:r>
        <w:rPr>
          <w:spacing w:val="-61"/>
        </w:rPr>
        <w:t> </w:t>
      </w:r>
      <w:r>
        <w:rPr>
          <w:spacing w:val="-61"/>
        </w:rPr>
      </w:r>
      <w:r>
        <w:rPr/>
        <w:t>事、副总裁、董事会审计委员会委员。</w:t>
      </w:r>
    </w:p>
    <w:p>
      <w:pPr>
        <w:pStyle w:val="BodyText"/>
        <w:spacing w:line="319" w:lineRule="auto" w:before="59"/>
        <w:ind w:right="94" w:firstLine="360"/>
        <w:jc w:val="left"/>
      </w:pPr>
      <w:r>
        <w:rPr>
          <w:rFonts w:ascii="宋体" w:hAnsi="宋体" w:cs="宋体" w:eastAsia="宋体" w:hint="default"/>
          <w:b/>
          <w:bCs/>
        </w:rPr>
        <w:t>5</w:t>
      </w:r>
      <w:r>
        <w:rPr>
          <w:rFonts w:ascii="宋体" w:hAnsi="宋体" w:cs="宋体" w:eastAsia="宋体" w:hint="default"/>
          <w:b/>
          <w:bCs/>
        </w:rPr>
        <w:t>、马静玉女士：</w:t>
      </w:r>
      <w:r>
        <w:rPr/>
        <w:t>中国籍，回族，</w:t>
      </w:r>
      <w:r>
        <w:rPr>
          <w:rFonts w:ascii="宋体" w:hAnsi="宋体" w:cs="宋体" w:eastAsia="宋体" w:hint="default"/>
        </w:rPr>
        <w:t>1963</w:t>
      </w:r>
      <w:r>
        <w:rPr/>
        <w:t>年出生，首都经济贸易大学会计学硕士，先后获得注册会计师、注册税务师、注 册资产评估师、注册造价工程师、高级会计师等资格。曾任中经会计师事务所项目经理、北京正大会计师事务所项目经理。 </w:t>
      </w:r>
      <w:r>
        <w:rPr>
          <w:spacing w:val="-2"/>
        </w:rPr>
        <w:t>现任北京筑标会计师事务所有限公司合伙人、本公司独立董事、本公司董事会审计委员会主任委员、本公司董事会薪酬与考</w:t>
      </w:r>
      <w:r>
        <w:rPr>
          <w:spacing w:val="-63"/>
        </w:rPr>
        <w:t> </w:t>
      </w:r>
      <w:r>
        <w:rPr>
          <w:spacing w:val="-63"/>
        </w:rPr>
      </w:r>
      <w:r>
        <w:rPr/>
        <w:t>核委员会委员。</w:t>
      </w:r>
    </w:p>
    <w:p>
      <w:pPr>
        <w:pStyle w:val="BodyText"/>
        <w:spacing w:line="316" w:lineRule="auto" w:before="58"/>
        <w:ind w:right="190" w:firstLine="360"/>
        <w:jc w:val="both"/>
      </w:pPr>
      <w:r>
        <w:rPr>
          <w:rFonts w:ascii="宋体" w:hAnsi="宋体" w:cs="宋体" w:eastAsia="宋体" w:hint="default"/>
          <w:b/>
          <w:bCs/>
        </w:rPr>
        <w:t>6</w:t>
      </w:r>
      <w:r>
        <w:rPr>
          <w:rFonts w:ascii="宋体" w:hAnsi="宋体" w:cs="宋体" w:eastAsia="宋体" w:hint="default"/>
          <w:b/>
          <w:bCs/>
        </w:rPr>
        <w:t>、邢伟先生：</w:t>
      </w:r>
      <w:r>
        <w:rPr/>
        <w:t>中国籍，汉族，</w:t>
      </w:r>
      <w:r>
        <w:rPr>
          <w:rFonts w:ascii="宋体" w:hAnsi="宋体" w:cs="宋体" w:eastAsia="宋体" w:hint="default"/>
        </w:rPr>
        <w:t>1971</w:t>
      </w:r>
      <w:r>
        <w:rPr/>
        <w:t>年出生，西南农业大学经济学学士，先后获得审计师、注册会计师、律师等资格。 </w:t>
      </w:r>
      <w:r>
        <w:rPr>
          <w:spacing w:val="-2"/>
        </w:rPr>
        <w:t>曾任山东华鲁审计事务所项目经理、山东天恒信有限责任会计师事务所济南分所项目经理、山东德衡律师事务所济南分所律</w:t>
      </w:r>
      <w:r>
        <w:rPr>
          <w:spacing w:val="-63"/>
        </w:rPr>
        <w:t> </w:t>
      </w:r>
      <w:r>
        <w:rPr>
          <w:spacing w:val="-63"/>
        </w:rPr>
      </w:r>
      <w:r>
        <w:rPr>
          <w:spacing w:val="-2"/>
        </w:rPr>
        <w:t>师、山东华兴会计师事务所有限公司项目经理、山东新永信会计师事务所有限公司部门经理、山东大华会计师事务所有限公</w:t>
      </w:r>
      <w:r>
        <w:rPr>
          <w:spacing w:val="-63"/>
        </w:rPr>
        <w:t> </w:t>
      </w:r>
      <w:r>
        <w:rPr>
          <w:spacing w:val="-63"/>
        </w:rPr>
      </w:r>
      <w:r>
        <w:rPr>
          <w:spacing w:val="-2"/>
        </w:rPr>
        <w:t>司副董事长。现任山东东和会计师事务所（普通合伙）执行事务合伙人、本公司独立董事、本公司董事会提名委员会主任委</w:t>
      </w:r>
      <w:r>
        <w:rPr>
          <w:spacing w:val="-67"/>
        </w:rPr>
        <w:t> </w:t>
      </w:r>
      <w:r>
        <w:rPr>
          <w:spacing w:val="-67"/>
        </w:rPr>
      </w:r>
      <w:r>
        <w:rPr/>
        <w:t>员、本公司董事会审计委员会委员。</w:t>
      </w:r>
    </w:p>
    <w:p>
      <w:pPr>
        <w:pStyle w:val="BodyText"/>
        <w:spacing w:line="319" w:lineRule="auto" w:before="57"/>
        <w:ind w:right="188" w:firstLine="360"/>
        <w:jc w:val="both"/>
      </w:pPr>
      <w:r>
        <w:rPr>
          <w:rFonts w:ascii="宋体" w:hAnsi="宋体" w:cs="宋体" w:eastAsia="宋体" w:hint="default"/>
          <w:b/>
          <w:bCs/>
        </w:rPr>
        <w:t>7</w:t>
      </w:r>
      <w:r>
        <w:rPr>
          <w:rFonts w:ascii="宋体" w:hAnsi="宋体" w:cs="宋体" w:eastAsia="宋体" w:hint="default"/>
          <w:b/>
          <w:bCs/>
        </w:rPr>
        <w:t>、郑武先生：</w:t>
      </w:r>
      <w:r>
        <w:rPr/>
        <w:t>中国籍，汉族，</w:t>
      </w:r>
      <w:r>
        <w:rPr>
          <w:rFonts w:ascii="宋体" w:hAnsi="宋体" w:cs="宋体" w:eastAsia="宋体" w:hint="default"/>
        </w:rPr>
        <w:t>1968</w:t>
      </w:r>
      <w:r>
        <w:rPr/>
        <w:t>年出生，中共党员，安徽师范大学文学学士，中国人民大学管理学学士。曾任中国 </w:t>
      </w:r>
      <w:r>
        <w:rPr>
          <w:spacing w:val="-2"/>
        </w:rPr>
        <w:t>东方信托上海上南路营业部财务经理、中国银河证券上海沪南路营业部财务经理、中国银河证券上海总部财务经理、亚洲证</w:t>
      </w:r>
      <w:r>
        <w:rPr>
          <w:spacing w:val="-61"/>
        </w:rPr>
        <w:t> </w:t>
      </w:r>
      <w:r>
        <w:rPr>
          <w:spacing w:val="-61"/>
        </w:rPr>
      </w:r>
      <w:r>
        <w:rPr>
          <w:spacing w:val="-2"/>
        </w:rPr>
        <w:t>券有限责任公司稽核总部副总经理。现任国金证券股份有限公司审计稽核部副总经理、本公司独立董事、本公司董事会薪酬</w:t>
      </w:r>
      <w:r>
        <w:rPr>
          <w:spacing w:val="-63"/>
        </w:rPr>
        <w:t> </w:t>
      </w:r>
      <w:r>
        <w:rPr>
          <w:spacing w:val="-63"/>
        </w:rPr>
      </w:r>
      <w:r>
        <w:rPr/>
        <w:t>与考核委员会主任委员、本公司董事会提名委员会委员。</w:t>
      </w:r>
    </w:p>
    <w:p>
      <w:pPr>
        <w:pStyle w:val="BodyText"/>
        <w:spacing w:line="316" w:lineRule="auto" w:before="58"/>
        <w:ind w:right="191" w:firstLine="360"/>
        <w:jc w:val="both"/>
      </w:pPr>
      <w:r>
        <w:rPr>
          <w:rFonts w:ascii="宋体" w:hAnsi="宋体" w:cs="宋体" w:eastAsia="宋体" w:hint="default"/>
          <w:b/>
          <w:bCs/>
        </w:rPr>
        <w:t>8</w:t>
      </w:r>
      <w:r>
        <w:rPr>
          <w:rFonts w:ascii="宋体" w:hAnsi="宋体" w:cs="宋体" w:eastAsia="宋体" w:hint="default"/>
          <w:b/>
          <w:bCs/>
        </w:rPr>
        <w:t>、许为宁先生：</w:t>
      </w:r>
      <w:r>
        <w:rPr/>
        <w:t>加拿大国籍，</w:t>
      </w:r>
      <w:r>
        <w:rPr>
          <w:rFonts w:ascii="宋体" w:hAnsi="宋体" w:cs="宋体" w:eastAsia="宋体" w:hint="default"/>
        </w:rPr>
        <w:t>1963</w:t>
      </w:r>
      <w:r>
        <w:rPr/>
        <w:t>年出生，本科专业电气工程自动化，加拿大多伦多皇家学院工商管理硕士。</w:t>
      </w:r>
      <w:r>
        <w:rPr>
          <w:rFonts w:ascii="宋体" w:hAnsi="宋体" w:cs="宋体" w:eastAsia="宋体" w:hint="default"/>
        </w:rPr>
        <w:t>1988</w:t>
      </w:r>
      <w:r>
        <w:rPr/>
        <w:t>年 </w:t>
      </w:r>
      <w:r>
        <w:rPr>
          <w:spacing w:val="-2"/>
        </w:rPr>
        <w:t>至</w:t>
      </w:r>
      <w:r>
        <w:rPr>
          <w:rFonts w:ascii="宋体" w:hAnsi="宋体" w:cs="宋体" w:eastAsia="宋体" w:hint="default"/>
          <w:spacing w:val="-2"/>
        </w:rPr>
        <w:t>2013</w:t>
      </w:r>
      <w:r>
        <w:rPr>
          <w:spacing w:val="-2"/>
        </w:rPr>
        <w:t>年先后担任温哥华通用汽车公司销售经理、香港招商局中国基金投资管理有限公司副总经理、上海欧特环境高科技有</w:t>
      </w:r>
      <w:r>
        <w:rPr>
          <w:spacing w:val="-62"/>
        </w:rPr>
        <w:t> </w:t>
      </w:r>
      <w:r>
        <w:rPr>
          <w:spacing w:val="-62"/>
        </w:rPr>
      </w:r>
      <w:r>
        <w:rPr>
          <w:spacing w:val="-2"/>
        </w:rPr>
        <w:t>限公司副总经理、吉利控股集团上海吉利美嘉峰国际贸易有限公司国际部销售副总经理、上海汽车集团股份有限公司乘用车</w:t>
      </w:r>
      <w:r>
        <w:rPr>
          <w:spacing w:val="-62"/>
        </w:rPr>
        <w:t> </w:t>
      </w:r>
      <w:r>
        <w:rPr>
          <w:spacing w:val="-62"/>
        </w:rPr>
      </w:r>
      <w:r>
        <w:rPr/>
        <w:t>公司海外市场部执行总监。现任本公司副总裁。</w:t>
      </w:r>
    </w:p>
    <w:p>
      <w:pPr>
        <w:pStyle w:val="BodyText"/>
        <w:spacing w:line="316" w:lineRule="auto" w:before="57"/>
        <w:ind w:right="190" w:firstLine="360"/>
        <w:jc w:val="both"/>
      </w:pPr>
      <w:r>
        <w:rPr>
          <w:rFonts w:ascii="宋体" w:hAnsi="宋体" w:cs="宋体" w:eastAsia="宋体" w:hint="default"/>
          <w:b/>
          <w:bCs/>
        </w:rPr>
        <w:t>9</w:t>
      </w:r>
      <w:r>
        <w:rPr>
          <w:rFonts w:ascii="宋体" w:hAnsi="宋体" w:cs="宋体" w:eastAsia="宋体" w:hint="default"/>
          <w:b/>
          <w:bCs/>
        </w:rPr>
        <w:t>、朱丽梅女士：</w:t>
      </w:r>
      <w:r>
        <w:rPr/>
        <w:t>中国籍，汉族，</w:t>
      </w:r>
      <w:r>
        <w:rPr>
          <w:rFonts w:ascii="宋体" w:hAnsi="宋体" w:cs="宋体" w:eastAsia="宋体" w:hint="default"/>
        </w:rPr>
        <w:t>1974</w:t>
      </w:r>
      <w:r>
        <w:rPr/>
        <w:t>年出生，中国社会科学院经济管理专业毕业，硕士研究生，获得证券从业资格、 </w:t>
      </w:r>
      <w:r>
        <w:rPr>
          <w:spacing w:val="-2"/>
        </w:rPr>
        <w:t>独立董事任职资格、董事会秘书资格证。曾先后任职于深圳市福田保税区管理局经济发展处副主任科员、北京瀛海威信息技</w:t>
      </w:r>
      <w:r>
        <w:rPr>
          <w:spacing w:val="-63"/>
        </w:rPr>
        <w:t> </w:t>
      </w:r>
      <w:r>
        <w:rPr>
          <w:spacing w:val="-63"/>
        </w:rPr>
      </w:r>
      <w:r>
        <w:rPr>
          <w:spacing w:val="-2"/>
        </w:rPr>
        <w:t>术有限公司市场管理部经理、中关村证券股份有限公司清理组综合组组长，最近五年担任太平洋证券股份有限公司研究院综</w:t>
      </w:r>
      <w:r>
        <w:rPr>
          <w:spacing w:val="-64"/>
        </w:rPr>
        <w:t> </w:t>
      </w:r>
      <w:r>
        <w:rPr>
          <w:spacing w:val="-64"/>
        </w:rPr>
      </w:r>
      <w:r>
        <w:rPr/>
        <w:t>合管理部总经理。现任本公司副总裁。</w:t>
      </w:r>
    </w:p>
    <w:p>
      <w:pPr>
        <w:pStyle w:val="BodyText"/>
        <w:spacing w:line="319" w:lineRule="auto" w:before="59"/>
        <w:ind w:right="190" w:firstLine="360"/>
        <w:jc w:val="both"/>
      </w:pPr>
      <w:r>
        <w:rPr>
          <w:rFonts w:ascii="宋体" w:hAnsi="宋体" w:cs="宋体" w:eastAsia="宋体" w:hint="default"/>
          <w:b/>
          <w:bCs/>
          <w:spacing w:val="-2"/>
        </w:rPr>
        <w:t>10</w:t>
      </w:r>
      <w:r>
        <w:rPr>
          <w:rFonts w:ascii="宋体" w:hAnsi="宋体" w:cs="宋体" w:eastAsia="宋体" w:hint="default"/>
          <w:b/>
          <w:bCs/>
          <w:spacing w:val="-2"/>
        </w:rPr>
        <w:t>、方莉女士：</w:t>
      </w:r>
      <w:r>
        <w:rPr>
          <w:spacing w:val="-2"/>
        </w:rPr>
        <w:t>中国籍，汉族，</w:t>
      </w:r>
      <w:r>
        <w:rPr>
          <w:rFonts w:ascii="宋体" w:hAnsi="宋体" w:cs="宋体" w:eastAsia="宋体" w:hint="default"/>
          <w:spacing w:val="-2"/>
        </w:rPr>
        <w:t>1978</w:t>
      </w:r>
      <w:r>
        <w:rPr>
          <w:spacing w:val="-2"/>
        </w:rPr>
        <w:t>年出生，毕业于武汉大学法学专业，厦门大学</w:t>
      </w:r>
      <w:r>
        <w:rPr>
          <w:rFonts w:ascii="宋体" w:hAnsi="宋体" w:cs="宋体" w:eastAsia="宋体" w:hint="default"/>
          <w:spacing w:val="-2"/>
        </w:rPr>
        <w:t>EMBA</w:t>
      </w:r>
      <w:r>
        <w:rPr>
          <w:spacing w:val="-2"/>
        </w:rPr>
        <w:t>，已取得董事会秘书资格证。曾</w:t>
      </w:r>
      <w:r>
        <w:rPr/>
        <w:t> </w:t>
      </w:r>
      <w:r>
        <w:rPr>
          <w:spacing w:val="-2"/>
        </w:rPr>
        <w:t>任上海证券报华中总部编辑，东方金钰股份有限公司证券事务代表；最近五年担任东方金钰股份有限公司总裁助理、证券事</w:t>
      </w:r>
      <w:r>
        <w:rPr>
          <w:spacing w:val="-63"/>
        </w:rPr>
        <w:t> </w:t>
      </w:r>
      <w:r>
        <w:rPr>
          <w:spacing w:val="-63"/>
        </w:rPr>
      </w:r>
      <w:r>
        <w:rPr/>
        <w:t>务代表、董事会秘书。现任本公司董事会秘书、副总裁。</w:t>
      </w:r>
    </w:p>
    <w:p>
      <w:pPr>
        <w:spacing w:after="0" w:line="319" w:lineRule="auto"/>
        <w:jc w:val="both"/>
        <w:sectPr>
          <w:pgSz w:w="11910" w:h="16840"/>
          <w:pgMar w:header="877" w:footer="1186" w:top="1060" w:bottom="138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88" w:firstLine="360"/>
        <w:jc w:val="left"/>
      </w:pPr>
      <w:r>
        <w:rPr>
          <w:rFonts w:ascii="宋体" w:hAnsi="宋体" w:cs="宋体" w:eastAsia="宋体" w:hint="default"/>
          <w:b/>
          <w:bCs/>
        </w:rPr>
        <w:t>11</w:t>
      </w:r>
      <w:r>
        <w:rPr>
          <w:rFonts w:ascii="宋体" w:hAnsi="宋体" w:cs="宋体" w:eastAsia="宋体" w:hint="default"/>
          <w:b/>
          <w:bCs/>
        </w:rPr>
        <w:t>、谢战军先生：</w:t>
      </w:r>
      <w:r>
        <w:rPr/>
        <w:t>中国籍，汉族，</w:t>
      </w:r>
      <w:r>
        <w:rPr>
          <w:rFonts w:ascii="宋体" w:hAnsi="宋体" w:cs="宋体" w:eastAsia="宋体" w:hint="default"/>
        </w:rPr>
        <w:t>1978</w:t>
      </w:r>
      <w:r>
        <w:rPr/>
        <w:t>年出生，黄河科技学院英语专业本科毕业，同济大学车辆工程专业研究生在读。 </w:t>
      </w:r>
      <w:r>
        <w:rPr>
          <w:spacing w:val="-2"/>
        </w:rPr>
        <w:t>历任河南省南光实业有限公司副总经理；上海吉利美嘉峰国际贸易有限公司经理；上海汽车集团股份有限公司乘用车分公司</w:t>
      </w:r>
      <w:r>
        <w:rPr>
          <w:spacing w:val="-64"/>
        </w:rPr>
        <w:t> </w:t>
      </w:r>
      <w:r>
        <w:rPr>
          <w:spacing w:val="-64"/>
        </w:rPr>
      </w:r>
      <w:r>
        <w:rPr/>
        <w:t>战略规划经理。现任本公司监事会主席。</w:t>
      </w:r>
    </w:p>
    <w:p>
      <w:pPr>
        <w:pStyle w:val="BodyText"/>
        <w:spacing w:line="316" w:lineRule="auto" w:before="59"/>
        <w:ind w:right="94" w:firstLine="360"/>
        <w:jc w:val="left"/>
      </w:pPr>
      <w:r>
        <w:rPr>
          <w:rFonts w:ascii="宋体" w:hAnsi="宋体" w:cs="宋体" w:eastAsia="宋体" w:hint="default"/>
          <w:b/>
          <w:bCs/>
          <w:spacing w:val="-4"/>
        </w:rPr>
        <w:t>12</w:t>
      </w:r>
      <w:r>
        <w:rPr>
          <w:rFonts w:ascii="宋体" w:hAnsi="宋体" w:cs="宋体" w:eastAsia="宋体" w:hint="default"/>
          <w:b/>
          <w:bCs/>
          <w:spacing w:val="-4"/>
        </w:rPr>
        <w:t>、安鹏啸先生：</w:t>
      </w:r>
      <w:r>
        <w:rPr>
          <w:spacing w:val="-4"/>
        </w:rPr>
        <w:t>中国籍，汉族，</w:t>
      </w:r>
      <w:r>
        <w:rPr>
          <w:rFonts w:ascii="宋体" w:hAnsi="宋体" w:cs="宋体" w:eastAsia="宋体" w:hint="default"/>
          <w:spacing w:val="-4"/>
        </w:rPr>
        <w:t>1976</w:t>
      </w:r>
      <w:r>
        <w:rPr>
          <w:spacing w:val="-4"/>
        </w:rPr>
        <w:t>年出生，西安交通大学法学专业本科毕业。历任山东中创软件股份有限公司职员、</w:t>
      </w:r>
      <w:r>
        <w:rPr/>
        <w:t> 山东建邦集团部门总经理。现任蓝色经济区产业投资基金副总经理、本公司监事。</w:t>
      </w:r>
    </w:p>
    <w:p>
      <w:pPr>
        <w:pStyle w:val="BodyText"/>
        <w:spacing w:line="316" w:lineRule="auto" w:before="57"/>
        <w:ind w:right="189" w:firstLine="360"/>
        <w:jc w:val="both"/>
      </w:pPr>
      <w:r>
        <w:rPr>
          <w:rFonts w:ascii="宋体" w:hAnsi="宋体" w:cs="宋体" w:eastAsia="宋体" w:hint="default"/>
          <w:b/>
          <w:bCs/>
          <w:spacing w:val="-2"/>
        </w:rPr>
        <w:t>13</w:t>
      </w:r>
      <w:r>
        <w:rPr>
          <w:rFonts w:ascii="宋体" w:hAnsi="宋体" w:cs="宋体" w:eastAsia="宋体" w:hint="default"/>
          <w:b/>
          <w:bCs/>
          <w:spacing w:val="-2"/>
        </w:rPr>
        <w:t>、温秋萍女士：</w:t>
      </w:r>
      <w:r>
        <w:rPr>
          <w:spacing w:val="-2"/>
        </w:rPr>
        <w:t>中国籍，汉族，</w:t>
      </w:r>
      <w:r>
        <w:rPr>
          <w:rFonts w:ascii="宋体" w:hAnsi="宋体" w:cs="宋体" w:eastAsia="宋体" w:hint="default"/>
          <w:spacing w:val="-2"/>
        </w:rPr>
        <w:t>1990</w:t>
      </w:r>
      <w:r>
        <w:rPr>
          <w:spacing w:val="-2"/>
        </w:rPr>
        <w:t>年出生，华南农业大学法学专业本科毕业，获法律职业资格证、董事会秘书资格</w:t>
      </w:r>
      <w:r>
        <w:rPr/>
        <w:t> </w:t>
      </w:r>
      <w:r>
        <w:rPr>
          <w:spacing w:val="-2"/>
        </w:rPr>
        <w:t>证、证券从业资格证。曾任广州市尚之诚置业有限公司法务专员、广州阳晨置业有限公司法务专员。现任本公司职工代表监</w:t>
      </w:r>
      <w:r>
        <w:rPr>
          <w:spacing w:val="-64"/>
        </w:rPr>
        <w:t> </w:t>
      </w:r>
      <w:r>
        <w:rPr>
          <w:spacing w:val="-64"/>
        </w:rPr>
      </w:r>
      <w:r>
        <w:rPr/>
        <w:t>事、证券事务代表。</w:t>
      </w:r>
    </w:p>
    <w:p>
      <w:pPr>
        <w:pStyle w:val="BodyText"/>
        <w:spacing w:line="240" w:lineRule="auto" w:before="59"/>
        <w:ind w:right="5748"/>
        <w:jc w:val="left"/>
      </w:pPr>
      <w:r>
        <w:rPr/>
        <w:t>在股东单位任职情况</w:t>
      </w:r>
    </w:p>
    <w:p>
      <w:pPr>
        <w:pStyle w:val="BodyText"/>
        <w:spacing w:line="357" w:lineRule="auto" w:before="117"/>
        <w:ind w:right="8194"/>
        <w:jc w:val="left"/>
      </w:pPr>
      <w:r>
        <w:rPr/>
        <w:t>□ 适用 √</w:t>
      </w:r>
      <w:r>
        <w:rPr>
          <w:spacing w:val="3"/>
        </w:rPr>
        <w:t> </w:t>
      </w:r>
      <w:r>
        <w:rPr/>
        <w:t>不适用</w:t>
      </w:r>
      <w:r>
        <w:rPr/>
        <w:t> 在其他单位任职情况</w:t>
      </w:r>
    </w:p>
    <w:p>
      <w:pPr>
        <w:pStyle w:val="BodyText"/>
        <w:spacing w:line="240" w:lineRule="auto" w:before="29"/>
        <w:ind w:right="5748"/>
        <w:jc w:val="left"/>
      </w:pPr>
      <w:r>
        <w:rPr/>
        <w:pict>
          <v:group style="position:absolute;margin-left:262.609985pt;margin-top:94.461693pt;width:47.9pt;height:36.4pt;mso-position-horizontal-relative:page;mso-position-vertical-relative:paragraph;z-index:-1060576" coordorigin="5252,1889" coordsize="958,728">
            <v:group style="position:absolute;left:5263;top:1900;width:2;height:706" coordorigin="5263,1900" coordsize="2,706">
              <v:shape style="position:absolute;left:5263;top:1900;width:2;height:706" coordorigin="5263,1900" coordsize="0,706" path="m5263,1900l5263,2606e" filled="false" stroked="true" strokeweight="1.08pt" strokecolor="#ffffff">
                <v:path arrowok="t"/>
              </v:shape>
            </v:group>
            <v:group style="position:absolute;left:5274;top:1900;width:936;height:353" coordorigin="5274,1900" coordsize="936,353">
              <v:shape style="position:absolute;left:5274;top:1900;width:936;height:353" coordorigin="5274,1900" coordsize="936,353" path="m5274,2253l6210,2253,6210,1900,5274,1900,5274,2253xe" filled="true" fillcolor="#ffffff" stroked="false">
                <v:path arrowok="t"/>
                <v:fill type="solid"/>
              </v:shape>
            </v:group>
            <v:group style="position:absolute;left:5274;top:2253;width:936;height:353" coordorigin="5274,2253" coordsize="936,353">
              <v:shape style="position:absolute;left:5274;top:2253;width:936;height:353" coordorigin="5274,2253" coordsize="936,353" path="m5274,2606l6210,2606,6210,2253,5274,2253,5274,2606xe" filled="true" fillcolor="#ffffff" stroked="false">
                <v:path arrowok="t"/>
                <v:fill type="solid"/>
              </v:shape>
            </v:group>
            <w10:wrap type="none"/>
          </v:group>
        </w:pict>
      </w: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2835"/>
        <w:gridCol w:w="991"/>
        <w:gridCol w:w="1560"/>
        <w:gridCol w:w="1561"/>
        <w:gridCol w:w="1344"/>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北京筑标会计师事务所有限公司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山东大华会计师事务所有限公司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山东东和会计师事务所（普通合伙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23"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审计稽核部 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蓝色经济区产业投资基金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91"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日，公司</w:t>
            </w:r>
            <w:r>
              <w:rPr>
                <w:rFonts w:ascii="宋体" w:hAnsi="宋体" w:cs="宋体" w:eastAsia="宋体" w:hint="default"/>
                <w:spacing w:val="-43"/>
                <w:sz w:val="18"/>
                <w:szCs w:val="18"/>
              </w:rPr>
              <w:t> </w:t>
            </w:r>
            <w:r>
              <w:rPr>
                <w:rFonts w:ascii="宋体" w:hAnsi="宋体" w:cs="宋体" w:eastAsia="宋体" w:hint="default"/>
                <w:spacing w:val="-1"/>
                <w:sz w:val="18"/>
                <w:szCs w:val="18"/>
              </w:rPr>
              <w:t>2014</w:t>
            </w:r>
            <w:r>
              <w:rPr>
                <w:rFonts w:ascii="宋体" w:hAnsi="宋体" w:cs="宋体" w:eastAsia="宋体" w:hint="default"/>
                <w:spacing w:val="-46"/>
                <w:sz w:val="18"/>
                <w:szCs w:val="18"/>
              </w:rPr>
              <w:t> </w:t>
            </w:r>
            <w:r>
              <w:rPr>
                <w:rFonts w:ascii="宋体" w:hAnsi="宋体" w:cs="宋体" w:eastAsia="宋体" w:hint="default"/>
                <w:spacing w:val="-3"/>
                <w:sz w:val="18"/>
                <w:szCs w:val="18"/>
              </w:rPr>
              <w:t>年第六次临时股东大会审议通过了《关于选举第五届董事会成员的议案》，</w:t>
            </w:r>
            <w:r>
              <w:rPr>
                <w:rFonts w:ascii="宋体" w:hAnsi="宋体" w:cs="宋体" w:eastAsia="宋体" w:hint="default"/>
                <w:sz w:val="18"/>
                <w:szCs w:val="18"/>
              </w:rPr>
              <w:t> 马静玉、邢伟、郑武当选为公司第五届董事会独立董事，安鹏啸当选为公司第五届董事会监事，马静玉、 邢伟、郑武、安鹏啸在公司未有具体行政职务，在其他单位任职。</w:t>
            </w:r>
          </w:p>
        </w:tc>
      </w:tr>
    </w:tbl>
    <w:p>
      <w:pPr>
        <w:pStyle w:val="BodyText"/>
        <w:spacing w:line="240" w:lineRule="auto" w:before="49"/>
        <w:ind w:right="94"/>
        <w:jc w:val="left"/>
      </w:pPr>
      <w:r>
        <w:rPr/>
        <w:t>公司现任及报告期内离任董事、监事和高级管理人员近三年证券监管机构处罚的情况</w:t>
      </w:r>
    </w:p>
    <w:p>
      <w:pPr>
        <w:pStyle w:val="BodyText"/>
        <w:spacing w:line="240" w:lineRule="auto" w:before="117"/>
        <w:ind w:right="5748"/>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4234" w:hanging="361"/>
        <w:jc w:val="left"/>
        <w:rPr>
          <w:rFonts w:ascii="宋体" w:hAnsi="宋体" w:cs="宋体" w:eastAsia="宋体" w:hint="default"/>
        </w:rPr>
      </w:pPr>
      <w:r>
        <w:rPr/>
        <w:t>董事、监事、高级管理人员报酬的决策程序、确定依据、实际支付情况 </w:t>
      </w:r>
      <w:r>
        <w:rPr>
          <w:rFonts w:ascii="宋体" w:hAnsi="宋体" w:cs="宋体" w:eastAsia="宋体" w:hint="default"/>
          <w:b/>
          <w:bCs/>
        </w:rPr>
        <w:t>1</w:t>
      </w:r>
      <w:r>
        <w:rPr>
          <w:rFonts w:ascii="宋体" w:hAnsi="宋体" w:cs="宋体" w:eastAsia="宋体" w:hint="default"/>
          <w:b/>
          <w:bCs/>
        </w:rPr>
        <w:t>、决策程序：</w:t>
      </w:r>
      <w:r>
        <w:rPr>
          <w:rFonts w:ascii="宋体" w:hAnsi="宋体" w:cs="宋体" w:eastAsia="宋体" w:hint="default"/>
        </w:rPr>
      </w:r>
    </w:p>
    <w:p>
      <w:pPr>
        <w:pStyle w:val="BodyText"/>
        <w:spacing w:line="240" w:lineRule="auto" w:before="27"/>
        <w:ind w:left="513" w:right="94"/>
        <w:jc w:val="left"/>
      </w:pPr>
      <w:r>
        <w:rPr/>
        <w:t>（</w:t>
      </w:r>
      <w:r>
        <w:rPr>
          <w:rFonts w:ascii="宋体" w:hAnsi="宋体" w:cs="宋体" w:eastAsia="宋体" w:hint="default"/>
        </w:rPr>
        <w:t>1</w:t>
      </w:r>
      <w:r>
        <w:rPr/>
        <w:t>）董事会薪酬与考核委员会负责拟订公司董事、监事薪酬方案及独立董事津贴方案经公司股东大会批准后实施。</w:t>
      </w:r>
    </w:p>
    <w:p>
      <w:pPr>
        <w:pStyle w:val="BodyText"/>
        <w:spacing w:line="316" w:lineRule="auto" w:before="115"/>
        <w:ind w:right="193" w:firstLine="360"/>
        <w:jc w:val="both"/>
      </w:pPr>
      <w:r>
        <w:rPr/>
        <w:t>（</w:t>
      </w:r>
      <w:r>
        <w:rPr>
          <w:rFonts w:ascii="宋体" w:hAnsi="宋体" w:cs="宋体" w:eastAsia="宋体" w:hint="default"/>
        </w:rPr>
        <w:t>2</w:t>
      </w:r>
      <w:r>
        <w:rPr/>
        <w:t>）董事会薪酬与考核委员会是确定公司高管人员薪酬方案、负责薪酬管理、考核和监督的专门机构，对于公司引进 </w:t>
      </w:r>
      <w:r>
        <w:rPr>
          <w:spacing w:val="-2"/>
        </w:rPr>
        <w:t>高管人员或对公司有杰出贡献的人员，可由总经理参考引进人员原有的薪酬水平及引进人员对公司的贡献情况另行拟订其薪</w:t>
      </w:r>
      <w:r>
        <w:rPr>
          <w:spacing w:val="-64"/>
        </w:rPr>
        <w:t> </w:t>
      </w:r>
      <w:r>
        <w:rPr>
          <w:spacing w:val="-64"/>
        </w:rPr>
      </w:r>
      <w:r>
        <w:rPr/>
        <w:t>酬方案。</w:t>
      </w:r>
    </w:p>
    <w:p>
      <w:pPr>
        <w:pStyle w:val="BodyText"/>
        <w:spacing w:line="316" w:lineRule="auto" w:before="59"/>
        <w:ind w:right="191" w:firstLine="360"/>
        <w:jc w:val="both"/>
      </w:pPr>
      <w:r>
        <w:rPr>
          <w:rFonts w:ascii="宋体" w:hAnsi="宋体" w:cs="宋体" w:eastAsia="宋体" w:hint="default"/>
          <w:b/>
          <w:bCs/>
        </w:rPr>
        <w:t>2</w:t>
      </w:r>
      <w:r>
        <w:rPr>
          <w:rFonts w:ascii="宋体" w:hAnsi="宋体" w:cs="宋体" w:eastAsia="宋体" w:hint="default"/>
          <w:b/>
          <w:bCs/>
        </w:rPr>
        <w:t>、确定依据：</w:t>
      </w:r>
      <w:r>
        <w:rPr/>
        <w:t>《董事、监事、高级管理人员薪酬制度》（</w:t>
      </w:r>
      <w:r>
        <w:rPr>
          <w:rFonts w:ascii="宋体" w:hAnsi="宋体" w:cs="宋体" w:eastAsia="宋体" w:hint="default"/>
        </w:rPr>
        <w:t>2014</w:t>
      </w:r>
      <w:r>
        <w:rPr/>
        <w:t>年修订）、《高级管理人员绩效考核实施细则》、《关 </w:t>
      </w:r>
      <w:r>
        <w:rPr>
          <w:spacing w:val="-2"/>
        </w:rPr>
        <w:t>于公司第五届董事会董事、第五届监事会监事薪酬的议案》、《关于确定高级管理人员和高级技术人员薪酬的议案》、《深</w:t>
      </w:r>
      <w:r>
        <w:rPr>
          <w:spacing w:val="-69"/>
        </w:rPr>
        <w:t> </w:t>
      </w:r>
      <w:r>
        <w:rPr>
          <w:spacing w:val="-69"/>
        </w:rPr>
      </w:r>
      <w:r>
        <w:rPr/>
        <w:t>圳市惠程电气股份有限公司第二期限制性股票与股票期权激励计划（草案）》。</w:t>
      </w:r>
    </w:p>
    <w:p>
      <w:pPr>
        <w:pStyle w:val="Heading4"/>
        <w:spacing w:line="240" w:lineRule="auto" w:before="57"/>
        <w:ind w:right="5748"/>
        <w:jc w:val="left"/>
        <w:rPr>
          <w:b w:val="0"/>
          <w:bCs w:val="0"/>
        </w:rPr>
      </w:pPr>
      <w:r>
        <w:rPr>
          <w:rFonts w:ascii="宋体" w:hAnsi="宋体" w:cs="宋体" w:eastAsia="宋体" w:hint="default"/>
        </w:rPr>
        <w:t>3</w:t>
      </w:r>
      <w:r>
        <w:rPr/>
        <w:t>、实际支付情况：</w:t>
      </w:r>
      <w:r>
        <w:rPr>
          <w:b w:val="0"/>
          <w:bCs w:val="0"/>
        </w:rPr>
      </w:r>
    </w:p>
    <w:p>
      <w:pPr>
        <w:pStyle w:val="BodyText"/>
        <w:spacing w:line="240" w:lineRule="auto" w:before="117"/>
        <w:ind w:left="513" w:right="94"/>
        <w:jc w:val="left"/>
      </w:pPr>
      <w:r>
        <w:rPr/>
        <w:t>（</w:t>
      </w:r>
      <w:r>
        <w:rPr>
          <w:rFonts w:ascii="宋体" w:hAnsi="宋体" w:cs="宋体" w:eastAsia="宋体" w:hint="default"/>
        </w:rPr>
        <w:t>1</w:t>
      </w:r>
      <w:r>
        <w:rPr/>
        <w:t>）报告期内，公司董事、监事的薪酬根据</w:t>
      </w:r>
      <w:r>
        <w:rPr>
          <w:rFonts w:ascii="宋体" w:hAnsi="宋体" w:cs="宋体" w:eastAsia="宋体" w:hint="default"/>
        </w:rPr>
        <w:t>2014</w:t>
      </w:r>
      <w:r>
        <w:rPr/>
        <w:t>年第六次临时股东大会审议通过的《关于公司第五届董事会董事、第</w:t>
      </w:r>
    </w:p>
    <w:p>
      <w:pPr>
        <w:spacing w:after="0" w:line="240" w:lineRule="auto"/>
        <w:jc w:val="left"/>
        <w:sectPr>
          <w:pgSz w:w="11910" w:h="16840"/>
          <w:pgMar w:header="877" w:footer="1186" w:top="1060" w:bottom="138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53"/>
        <w:jc w:val="left"/>
      </w:pPr>
      <w:r>
        <w:rPr/>
        <w:t>五届监事会监事薪酬的议案》按月发放。</w:t>
      </w:r>
    </w:p>
    <w:p>
      <w:pPr>
        <w:pStyle w:val="BodyText"/>
        <w:spacing w:line="316" w:lineRule="auto" w:before="117"/>
        <w:ind w:right="151" w:firstLine="360"/>
        <w:jc w:val="both"/>
      </w:pPr>
      <w:r>
        <w:rPr/>
        <w:t>（</w:t>
      </w:r>
      <w:r>
        <w:rPr>
          <w:rFonts w:ascii="宋体" w:hAnsi="宋体" w:cs="宋体" w:eastAsia="宋体" w:hint="default"/>
        </w:rPr>
        <w:t>2</w:t>
      </w:r>
      <w:r>
        <w:rPr/>
        <w:t>）报告期内，公司高级管理人员的基本工资根据第四届董事会薪酬与考核委员会</w:t>
      </w:r>
      <w:r>
        <w:rPr>
          <w:rFonts w:ascii="宋体" w:hAnsi="宋体" w:cs="宋体" w:eastAsia="宋体" w:hint="default"/>
        </w:rPr>
        <w:t>2014</w:t>
      </w:r>
      <w:r>
        <w:rPr/>
        <w:t>年第一次会议和第四届董事会 </w:t>
      </w:r>
      <w:r>
        <w:rPr>
          <w:spacing w:val="-2"/>
        </w:rPr>
        <w:t>第二十一次会议审议通过的《关于确定高级管理人员和高级技术人员薪酬的议案》按月发放，绩效奖金根据《高级管理人员</w:t>
      </w:r>
      <w:r>
        <w:rPr>
          <w:spacing w:val="-64"/>
        </w:rPr>
        <w:t> </w:t>
      </w:r>
      <w:r>
        <w:rPr>
          <w:spacing w:val="-64"/>
        </w:rPr>
      </w:r>
      <w:r>
        <w:rPr/>
        <w:t>绩效考核实施细则》在年度绩效考评结束后发放。</w:t>
      </w:r>
    </w:p>
    <w:p>
      <w:pPr>
        <w:pStyle w:val="BodyText"/>
        <w:spacing w:line="338" w:lineRule="auto" w:before="57"/>
        <w:ind w:right="144" w:firstLine="360"/>
        <w:jc w:val="left"/>
      </w:pPr>
      <w:r>
        <w:rPr/>
        <w:t>（</w:t>
      </w:r>
      <w:r>
        <w:rPr>
          <w:rFonts w:ascii="宋体" w:hAnsi="宋体" w:cs="宋体" w:eastAsia="宋体" w:hint="default"/>
        </w:rPr>
        <w:t>3</w:t>
      </w:r>
      <w:r>
        <w:rPr/>
        <w:t>）报告期内，公司董事、高级管理人员的股权激励根据</w:t>
      </w:r>
      <w:r>
        <w:rPr>
          <w:rFonts w:ascii="宋体" w:hAnsi="宋体" w:cs="宋体" w:eastAsia="宋体" w:hint="default"/>
        </w:rPr>
        <w:t>2015</w:t>
      </w:r>
      <w:r>
        <w:rPr/>
        <w:t>年第六次临时股东大会审议通过的《深圳市惠程电气股 份有限公司第二期限制性股票与股票期权激励计划（草案）》获授限制性股票与股票期权。 公司报告期内董事、监事和高级管理人员报酬情况</w:t>
      </w:r>
    </w:p>
    <w:p>
      <w:pPr>
        <w:pStyle w:val="BodyText"/>
        <w:spacing w:line="240" w:lineRule="auto" w:before="43"/>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894"/>
        <w:gridCol w:w="842"/>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许为宁</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董事会秘书、副总裁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谢战军</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监事、证券事务代表</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sz w:val="18"/>
              </w:rPr>
              <w:t>--</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796.24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186" w:top="1060" w:bottom="1380" w:left="980" w:right="980"/>
        </w:sectPr>
      </w:pPr>
    </w:p>
    <w:p>
      <w:pPr>
        <w:pStyle w:val="BodyText"/>
        <w:spacing w:line="240" w:lineRule="auto" w:before="49"/>
        <w:ind w:right="-20"/>
        <w:jc w:val="left"/>
      </w:pPr>
      <w:r>
        <w:rPr/>
        <w:t>公司董事、监事、高级管理人员报告期内被授予的股权激励情况</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380" w:left="980" w:right="980"/>
          <w:cols w:num="2" w:equalWidth="0">
            <w:col w:w="5193" w:space="372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742"/>
        <w:gridCol w:w="708"/>
        <w:gridCol w:w="994"/>
        <w:gridCol w:w="850"/>
        <w:gridCol w:w="1058"/>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firstLine="1"/>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w:t>
            </w:r>
          </w:p>
          <w:p>
            <w:pPr>
              <w:pStyle w:val="TableParagraph"/>
              <w:spacing w:line="196" w:lineRule="exact" w:before="20"/>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5"/>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hanging="2"/>
              <w:jc w:val="center"/>
              <w:rPr>
                <w:rFonts w:ascii="宋体" w:hAnsi="宋体" w:cs="宋体" w:eastAsia="宋体" w:hint="default"/>
                <w:sz w:val="18"/>
                <w:szCs w:val="18"/>
              </w:rPr>
            </w:pPr>
            <w:r>
              <w:rPr>
                <w:rFonts w:ascii="宋体" w:hAnsi="宋体" w:cs="宋体" w:eastAsia="宋体" w:hint="default"/>
                <w:sz w:val="18"/>
                <w:szCs w:val="18"/>
              </w:rPr>
              <w:t>限制性股 票的授予 </w:t>
            </w:r>
            <w:r>
              <w:rPr>
                <w:rFonts w:ascii="宋体" w:hAnsi="宋体" w:cs="宋体" w:eastAsia="宋体" w:hint="default"/>
                <w:spacing w:val="-4"/>
                <w:sz w:val="18"/>
                <w:szCs w:val="18"/>
              </w:rPr>
              <w:t>价格（元</w:t>
            </w:r>
            <w:r>
              <w:rPr>
                <w:rFonts w:ascii="宋体" w:hAnsi="宋体" w:cs="宋体" w:eastAsia="宋体" w:hint="default"/>
                <w:spacing w:val="-4"/>
                <w:sz w:val="18"/>
                <w:szCs w:val="18"/>
              </w:rPr>
              <w:t>/</w:t>
            </w:r>
            <w:r>
              <w:rPr>
                <w:rFonts w:ascii="宋体" w:hAnsi="宋体" w:cs="宋体" w:eastAsia="宋体" w:hint="default"/>
                <w:sz w:val="18"/>
                <w:szCs w:val="18"/>
              </w:rPr>
              <w:t> </w:t>
            </w:r>
            <w:r>
              <w:rPr>
                <w:rFonts w:ascii="宋体" w:hAnsi="宋体" w:cs="宋体" w:eastAsia="宋体" w:hint="default"/>
                <w:sz w:val="18"/>
                <w:szCs w:val="18"/>
              </w:rPr>
              <w:t>股）</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11.83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11.83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800,000</w:t>
            </w:r>
          </w:p>
        </w:tc>
      </w:tr>
    </w:tbl>
    <w:p>
      <w:pPr>
        <w:spacing w:after="0" w:line="240" w:lineRule="auto"/>
        <w:jc w:val="right"/>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72"/>
        <w:gridCol w:w="869"/>
        <w:gridCol w:w="869"/>
        <w:gridCol w:w="742"/>
        <w:gridCol w:w="708"/>
        <w:gridCol w:w="994"/>
        <w:gridCol w:w="850"/>
        <w:gridCol w:w="1058"/>
      </w:tblGrid>
      <w:tr>
        <w:trPr>
          <w:trHeight w:val="40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289"/>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11.83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800,000</w:t>
            </w: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书、副总裁</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11.83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800,000</w:t>
            </w:r>
          </w:p>
        </w:tc>
      </w:tr>
      <w:tr>
        <w:trPr>
          <w:trHeight w:val="401"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49"/>
              <w:ind w:right="330"/>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sz w:val="18"/>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14,600,000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14,600,000</w:t>
            </w:r>
          </w:p>
        </w:tc>
      </w:tr>
      <w:tr>
        <w:trPr>
          <w:trHeight w:val="2276" w:hRule="exact"/>
        </w:trPr>
        <w:tc>
          <w:tcPr>
            <w:tcW w:w="1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日公司以定向发行的方式首次授予部分董事、高级管理人员以及核心管理人员等</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4"/>
              <w:ind w:left="19" w:right="0"/>
              <w:jc w:val="left"/>
              <w:rPr>
                <w:rFonts w:ascii="宋体" w:hAnsi="宋体" w:cs="宋体" w:eastAsia="宋体" w:hint="default"/>
                <w:sz w:val="18"/>
                <w:szCs w:val="18"/>
              </w:rPr>
            </w:pPr>
            <w:r>
              <w:rPr>
                <w:rFonts w:ascii="宋体" w:hAnsi="宋体" w:cs="宋体" w:eastAsia="宋体" w:hint="default"/>
                <w:sz w:val="18"/>
                <w:szCs w:val="18"/>
              </w:rPr>
              <w:t>名激励对象</w:t>
            </w:r>
            <w:r>
              <w:rPr>
                <w:rFonts w:ascii="宋体" w:hAnsi="宋体" w:cs="宋体" w:eastAsia="宋体" w:hint="default"/>
                <w:spacing w:val="-40"/>
                <w:sz w:val="18"/>
                <w:szCs w:val="18"/>
              </w:rPr>
              <w:t> </w:t>
            </w:r>
            <w:r>
              <w:rPr>
                <w:rFonts w:ascii="宋体" w:hAnsi="宋体" w:cs="宋体" w:eastAsia="宋体" w:hint="default"/>
                <w:sz w:val="18"/>
                <w:szCs w:val="18"/>
              </w:rPr>
              <w:t>1570</w:t>
            </w:r>
            <w:r>
              <w:rPr>
                <w:rFonts w:ascii="宋体" w:hAnsi="宋体" w:cs="宋体" w:eastAsia="宋体" w:hint="default"/>
                <w:spacing w:val="-39"/>
                <w:sz w:val="18"/>
                <w:szCs w:val="18"/>
              </w:rPr>
              <w:t> </w:t>
            </w:r>
            <w:r>
              <w:rPr>
                <w:rFonts w:ascii="宋体" w:hAnsi="宋体" w:cs="宋体" w:eastAsia="宋体" w:hint="default"/>
                <w:sz w:val="18"/>
                <w:szCs w:val="18"/>
              </w:rPr>
              <w:t>万股限制性股票和</w:t>
            </w:r>
            <w:r>
              <w:rPr>
                <w:rFonts w:ascii="宋体" w:hAnsi="宋体" w:cs="宋体" w:eastAsia="宋体" w:hint="default"/>
                <w:spacing w:val="-41"/>
                <w:sz w:val="18"/>
                <w:szCs w:val="18"/>
              </w:rPr>
              <w:t> </w:t>
            </w:r>
            <w:r>
              <w:rPr>
                <w:rFonts w:ascii="宋体" w:hAnsi="宋体" w:cs="宋体" w:eastAsia="宋体" w:hint="default"/>
                <w:sz w:val="18"/>
                <w:szCs w:val="18"/>
              </w:rPr>
              <w:t>650</w:t>
            </w:r>
            <w:r>
              <w:rPr>
                <w:rFonts w:ascii="宋体" w:hAnsi="宋体" w:cs="宋体" w:eastAsia="宋体" w:hint="default"/>
                <w:spacing w:val="-40"/>
                <w:sz w:val="18"/>
                <w:szCs w:val="18"/>
              </w:rPr>
              <w:t> </w:t>
            </w:r>
            <w:r>
              <w:rPr>
                <w:rFonts w:ascii="宋体" w:hAnsi="宋体" w:cs="宋体" w:eastAsia="宋体" w:hint="default"/>
                <w:spacing w:val="-3"/>
                <w:sz w:val="18"/>
                <w:szCs w:val="18"/>
              </w:rPr>
              <w:t>万份股票期权，其中董事长纪晓文先生、董事兼总裁杨富年</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先生各获授</w:t>
            </w:r>
            <w:r>
              <w:rPr>
                <w:rFonts w:ascii="宋体" w:hAnsi="宋体" w:cs="宋体" w:eastAsia="宋体" w:hint="default"/>
                <w:spacing w:val="-46"/>
                <w:sz w:val="18"/>
                <w:szCs w:val="18"/>
              </w:rPr>
              <w:t> </w:t>
            </w:r>
            <w:r>
              <w:rPr>
                <w:rFonts w:ascii="宋体" w:hAnsi="宋体" w:cs="宋体" w:eastAsia="宋体" w:hint="default"/>
                <w:sz w:val="18"/>
                <w:szCs w:val="18"/>
              </w:rPr>
              <w:t>570</w:t>
            </w:r>
            <w:r>
              <w:rPr>
                <w:rFonts w:ascii="宋体" w:hAnsi="宋体" w:cs="宋体" w:eastAsia="宋体" w:hint="default"/>
                <w:spacing w:val="-46"/>
                <w:sz w:val="18"/>
                <w:szCs w:val="18"/>
              </w:rPr>
              <w:t> </w:t>
            </w:r>
            <w:r>
              <w:rPr>
                <w:rFonts w:ascii="宋体" w:hAnsi="宋体" w:cs="宋体" w:eastAsia="宋体" w:hint="default"/>
                <w:sz w:val="18"/>
                <w:szCs w:val="18"/>
              </w:rPr>
              <w:t>万股限制性股票和</w:t>
            </w:r>
            <w:r>
              <w:rPr>
                <w:rFonts w:ascii="宋体" w:hAnsi="宋体" w:cs="宋体" w:eastAsia="宋体" w:hint="default"/>
                <w:spacing w:val="-47"/>
                <w:sz w:val="18"/>
                <w:szCs w:val="18"/>
              </w:rPr>
              <w:t> </w:t>
            </w:r>
            <w:r>
              <w:rPr>
                <w:rFonts w:ascii="宋体" w:hAnsi="宋体" w:cs="宋体" w:eastAsia="宋体" w:hint="default"/>
                <w:sz w:val="18"/>
                <w:szCs w:val="18"/>
              </w:rPr>
              <w:t>185</w:t>
            </w:r>
            <w:r>
              <w:rPr>
                <w:rFonts w:ascii="宋体" w:hAnsi="宋体" w:cs="宋体" w:eastAsia="宋体" w:hint="default"/>
                <w:spacing w:val="-46"/>
                <w:sz w:val="18"/>
                <w:szCs w:val="18"/>
              </w:rPr>
              <w:t> </w:t>
            </w:r>
            <w:r>
              <w:rPr>
                <w:rFonts w:ascii="宋体" w:hAnsi="宋体" w:cs="宋体" w:eastAsia="宋体" w:hint="default"/>
                <w:sz w:val="18"/>
                <w:szCs w:val="18"/>
              </w:rPr>
              <w:t>万份股票期权，董事兼副总裁王东先生、董事兼财务总监田</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青先生、副总裁朱丽梅女士、董事会秘书兼副总裁方莉女士各获授</w:t>
            </w:r>
            <w:r>
              <w:rPr>
                <w:rFonts w:ascii="宋体" w:hAnsi="宋体" w:cs="宋体" w:eastAsia="宋体" w:hint="default"/>
                <w:spacing w:val="-45"/>
                <w:sz w:val="18"/>
                <w:szCs w:val="18"/>
              </w:rPr>
              <w:t> </w:t>
            </w:r>
            <w:r>
              <w:rPr>
                <w:rFonts w:ascii="宋体" w:hAnsi="宋体" w:cs="宋体" w:eastAsia="宋体" w:hint="default"/>
                <w:sz w:val="18"/>
                <w:szCs w:val="18"/>
              </w:rPr>
              <w:t>80</w:t>
            </w:r>
            <w:r>
              <w:rPr>
                <w:rFonts w:ascii="宋体" w:hAnsi="宋体" w:cs="宋体" w:eastAsia="宋体" w:hint="default"/>
                <w:spacing w:val="-45"/>
                <w:sz w:val="18"/>
                <w:szCs w:val="18"/>
              </w:rPr>
              <w:t> </w:t>
            </w:r>
            <w:r>
              <w:rPr>
                <w:rFonts w:ascii="宋体" w:hAnsi="宋体" w:cs="宋体" w:eastAsia="宋体" w:hint="default"/>
                <w:sz w:val="18"/>
                <w:szCs w:val="18"/>
              </w:rPr>
              <w:t>万股限制性股票和</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万份股</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票期权。本次股权激励首次授予股份于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日股份到账，上市日期为</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319" w:lineRule="auto" w:before="76"/>
              <w:ind w:left="19" w:right="24"/>
              <w:jc w:val="left"/>
              <w:rPr>
                <w:rFonts w:ascii="宋体" w:hAnsi="宋体" w:cs="宋体" w:eastAsia="宋体" w:hint="default"/>
                <w:sz w:val="18"/>
                <w:szCs w:val="18"/>
              </w:rPr>
            </w:pPr>
            <w:r>
              <w:rPr>
                <w:rFonts w:ascii="宋体" w:hAnsi="宋体" w:cs="宋体" w:eastAsia="宋体" w:hint="default"/>
                <w:sz w:val="18"/>
                <w:szCs w:val="18"/>
              </w:rPr>
              <w:t>日。本次授予权益分三期解锁和行权，锁定期和等待期均分别为</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7"/>
                <w:sz w:val="18"/>
                <w:szCs w:val="18"/>
              </w:rPr>
              <w:t> </w:t>
            </w:r>
            <w:r>
              <w:rPr>
                <w:rFonts w:ascii="宋体" w:hAnsi="宋体" w:cs="宋体" w:eastAsia="宋体" w:hint="default"/>
                <w:sz w:val="18"/>
                <w:szCs w:val="18"/>
              </w:rPr>
              <w:t>个月和</w:t>
            </w:r>
            <w:r>
              <w:rPr>
                <w:rFonts w:ascii="宋体" w:hAnsi="宋体" w:cs="宋体" w:eastAsia="宋体" w:hint="default"/>
                <w:spacing w:val="-49"/>
                <w:sz w:val="18"/>
                <w:szCs w:val="18"/>
              </w:rPr>
              <w:t> </w:t>
            </w: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个月，目前 上述人员所获限制性股票和股票期权均在锁定期和等待期，尚未解锁或行权。</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五、公司员工情况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95" w:right="153"/>
        <w:jc w:val="left"/>
      </w:pPr>
      <w:r>
        <w:rPr>
          <w:rFonts w:ascii="宋体" w:hAnsi="宋体" w:cs="宋体" w:eastAsia="宋体" w:hint="default"/>
        </w:rPr>
        <w:t>1</w:t>
      </w: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日，公司（包括主要子公司）共有在职员工人数为</w:t>
      </w:r>
      <w:r>
        <w:rPr>
          <w:rFonts w:ascii="宋体" w:hAnsi="宋体" w:cs="宋体" w:eastAsia="宋体" w:hint="default"/>
        </w:rPr>
        <w:t>429</w:t>
      </w:r>
      <w:r>
        <w:rPr/>
        <w:t>人。</w:t>
      </w:r>
    </w:p>
    <w:p>
      <w:pPr>
        <w:pStyle w:val="BodyText"/>
        <w:spacing w:line="240" w:lineRule="auto" w:before="76"/>
        <w:ind w:left="695" w:right="153"/>
        <w:jc w:val="left"/>
      </w:pPr>
      <w:r>
        <w:rPr>
          <w:rFonts w:ascii="宋体" w:hAnsi="宋体" w:cs="宋体" w:eastAsia="宋体" w:hint="default"/>
        </w:rPr>
        <w:t>2</w:t>
      </w:r>
      <w:r>
        <w:rPr/>
        <w:t>、公司（包括主要子公司）在职员工专业构成</w:t>
      </w:r>
    </w:p>
    <w:p>
      <w:pPr>
        <w:spacing w:line="240" w:lineRule="auto" w:before="3"/>
        <w:rPr>
          <w:rFonts w:ascii="宋体" w:hAnsi="宋体" w:cs="宋体" w:eastAsia="宋体" w:hint="default"/>
          <w:sz w:val="5"/>
          <w:szCs w:val="5"/>
        </w:rPr>
      </w:pPr>
    </w:p>
    <w:tbl>
      <w:tblPr>
        <w:tblW w:w="0" w:type="auto"/>
        <w:jc w:val="left"/>
        <w:tblInd w:w="712" w:type="dxa"/>
        <w:tblLayout w:type="fixed"/>
        <w:tblCellMar>
          <w:top w:w="0" w:type="dxa"/>
          <w:left w:w="0" w:type="dxa"/>
          <w:bottom w:w="0" w:type="dxa"/>
          <w:right w:w="0" w:type="dxa"/>
        </w:tblCellMar>
        <w:tblLook w:val="01E0"/>
      </w:tblPr>
      <w:tblGrid>
        <w:gridCol w:w="1560"/>
        <w:gridCol w:w="850"/>
        <w:gridCol w:w="1750"/>
      </w:tblGrid>
      <w:tr>
        <w:trPr>
          <w:trHeight w:val="5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9" w:right="0"/>
              <w:jc w:val="left"/>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5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17</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3.96%</w:t>
            </w:r>
          </w:p>
        </w:tc>
      </w:tr>
      <w:tr>
        <w:trPr>
          <w:trHeight w:val="54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177</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41.26%</w:t>
            </w:r>
          </w:p>
        </w:tc>
      </w:tr>
      <w:tr>
        <w:trPr>
          <w:trHeight w:val="5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z w:val="18"/>
              </w:rPr>
              <w:t>42</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9.79%</w:t>
            </w:r>
          </w:p>
        </w:tc>
      </w:tr>
      <w:tr>
        <w:trPr>
          <w:trHeight w:val="5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z w:val="18"/>
              </w:rPr>
              <w:t>141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32.87%</w:t>
            </w:r>
          </w:p>
        </w:tc>
      </w:tr>
      <w:tr>
        <w:trPr>
          <w:trHeight w:val="5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z w:val="18"/>
              </w:rPr>
              <w:t>13</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3.03%</w:t>
            </w:r>
          </w:p>
        </w:tc>
      </w:tr>
      <w:tr>
        <w:trPr>
          <w:trHeight w:val="5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z w:val="18"/>
              </w:rPr>
              <w:t>39</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9.09%</w:t>
            </w:r>
          </w:p>
        </w:tc>
      </w:tr>
      <w:tr>
        <w:trPr>
          <w:trHeight w:val="5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z w:val="18"/>
              </w:rPr>
              <w:t>429</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100.00%</w:t>
            </w:r>
          </w:p>
        </w:tc>
      </w:tr>
    </w:tbl>
    <w:p>
      <w:pPr>
        <w:pStyle w:val="BodyText"/>
        <w:spacing w:line="240" w:lineRule="auto" w:before="8"/>
        <w:ind w:left="784" w:right="153"/>
        <w:jc w:val="left"/>
      </w:pPr>
      <w:r>
        <w:rPr>
          <w:rFonts w:ascii="宋体" w:hAnsi="宋体" w:cs="宋体" w:eastAsia="宋体" w:hint="default"/>
        </w:rPr>
        <w:t>3</w:t>
      </w:r>
      <w:r>
        <w:rPr/>
        <w:t>、公司（包括主要子公司）在职员工教育程度</w:t>
      </w:r>
    </w:p>
    <w:p>
      <w:pPr>
        <w:spacing w:line="240" w:lineRule="auto" w:before="3"/>
        <w:rPr>
          <w:rFonts w:ascii="宋体" w:hAnsi="宋体" w:cs="宋体" w:eastAsia="宋体" w:hint="default"/>
          <w:sz w:val="5"/>
          <w:szCs w:val="5"/>
        </w:rPr>
      </w:pPr>
    </w:p>
    <w:tbl>
      <w:tblPr>
        <w:tblW w:w="0" w:type="auto"/>
        <w:jc w:val="left"/>
        <w:tblInd w:w="772" w:type="dxa"/>
        <w:tblLayout w:type="fixed"/>
        <w:tblCellMar>
          <w:top w:w="0" w:type="dxa"/>
          <w:left w:w="0" w:type="dxa"/>
          <w:bottom w:w="0" w:type="dxa"/>
          <w:right w:w="0" w:type="dxa"/>
        </w:tblCellMar>
        <w:tblLook w:val="01E0"/>
      </w:tblPr>
      <w:tblGrid>
        <w:gridCol w:w="1570"/>
        <w:gridCol w:w="850"/>
        <w:gridCol w:w="1834"/>
      </w:tblGrid>
      <w:tr>
        <w:trPr>
          <w:trHeight w:val="547"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93"/>
              <w:jc w:val="right"/>
              <w:rPr>
                <w:rFonts w:ascii="宋体" w:hAnsi="宋体" w:cs="宋体" w:eastAsia="宋体" w:hint="default"/>
                <w:sz w:val="18"/>
                <w:szCs w:val="18"/>
              </w:rPr>
            </w:pPr>
            <w:r>
              <w:rPr>
                <w:rFonts w:ascii="宋体" w:hAnsi="宋体" w:cs="宋体" w:eastAsia="宋体" w:hint="default"/>
                <w:sz w:val="18"/>
                <w:szCs w:val="18"/>
              </w:rPr>
              <w:t>学历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0"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547"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1</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0.23%</w:t>
            </w:r>
          </w:p>
        </w:tc>
      </w:tr>
      <w:tr>
        <w:trPr>
          <w:trHeight w:val="547"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z w:val="18"/>
              </w:rPr>
              <w:t>13</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3.03%</w:t>
            </w:r>
          </w:p>
        </w:tc>
      </w:tr>
      <w:tr>
        <w:trPr>
          <w:trHeight w:val="547"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66</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15.39%</w:t>
            </w:r>
          </w:p>
        </w:tc>
      </w:tr>
      <w:tr>
        <w:trPr>
          <w:trHeight w:val="547"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96</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22.38%</w:t>
            </w:r>
          </w:p>
        </w:tc>
      </w:tr>
      <w:tr>
        <w:trPr>
          <w:trHeight w:val="548"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253</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58.97%</w:t>
            </w:r>
          </w:p>
        </w:tc>
      </w:tr>
      <w:tr>
        <w:trPr>
          <w:trHeight w:val="547"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3"/>
              <w:jc w:val="righ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429</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515" w:right="0"/>
        <w:jc w:val="left"/>
      </w:pPr>
      <w:r>
        <w:rPr>
          <w:rFonts w:ascii="宋体" w:hAnsi="宋体" w:cs="宋体" w:eastAsia="宋体" w:hint="default"/>
        </w:rPr>
        <w:t>4</w:t>
      </w:r>
      <w:r>
        <w:rPr/>
        <w:t>、公司在职员工薪酬政策 </w:t>
      </w:r>
      <w:r>
        <w:rPr>
          <w:spacing w:val="-2"/>
        </w:rPr>
        <w:t>公司薪酬结构包括基本薪金、绩效工资及津贴，坚持公司与员工共同发展原则，为员工提供公平、有竞争力的薪酬福利</w:t>
      </w:r>
    </w:p>
    <w:p>
      <w:pPr>
        <w:pStyle w:val="BodyText"/>
        <w:spacing w:line="316" w:lineRule="auto" w:before="19"/>
        <w:ind w:right="149"/>
        <w:jc w:val="both"/>
      </w:pPr>
      <w:r>
        <w:rPr>
          <w:spacing w:val="-2"/>
        </w:rPr>
        <w:t>待遇，对工资核算、发放制定了严格的审批流程，确保员工工资发放的准确、及时，定期根据员工上年度绩效考核结果对员</w:t>
      </w:r>
      <w:r>
        <w:rPr>
          <w:spacing w:val="-67"/>
        </w:rPr>
        <w:t> </w:t>
      </w:r>
      <w:r>
        <w:rPr>
          <w:spacing w:val="-67"/>
        </w:rPr>
      </w:r>
      <w:r>
        <w:rPr>
          <w:spacing w:val="-2"/>
        </w:rPr>
        <w:t>工重新进行定薪定级。公司严格遵照劳动法及劳动合同法规定，对全体员工实行劳动合同制，并根据相关规定缴纳各类社会</w:t>
      </w:r>
      <w:r>
        <w:rPr>
          <w:spacing w:val="-62"/>
        </w:rPr>
        <w:t> </w:t>
      </w:r>
      <w:r>
        <w:rPr>
          <w:spacing w:val="-62"/>
        </w:rPr>
      </w:r>
      <w:r>
        <w:rPr/>
        <w:t>保险及住房公积金，针对部分特殊岗位购买意外险，严格遵照劳动法及相关法律法规执行各类法定假期。</w:t>
      </w:r>
    </w:p>
    <w:p>
      <w:pPr>
        <w:pStyle w:val="BodyText"/>
        <w:spacing w:line="360" w:lineRule="auto" w:before="19"/>
        <w:ind w:right="4282" w:firstLine="362"/>
        <w:jc w:val="left"/>
      </w:pPr>
      <w:r>
        <w:rPr>
          <w:rFonts w:ascii="宋体" w:hAnsi="宋体" w:cs="宋体" w:eastAsia="宋体" w:hint="default"/>
        </w:rPr>
        <w:t>5</w:t>
      </w: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日，公司没有需要承担费用的离退休职工。 企业薪酬成本情况</w:t>
      </w:r>
    </w:p>
    <w:tbl>
      <w:tblPr>
        <w:tblW w:w="0" w:type="auto"/>
        <w:jc w:val="left"/>
        <w:tblInd w:w="160" w:type="dxa"/>
        <w:tblLayout w:type="fixed"/>
        <w:tblCellMar>
          <w:top w:w="0" w:type="dxa"/>
          <w:left w:w="0" w:type="dxa"/>
          <w:bottom w:w="0" w:type="dxa"/>
          <w:right w:w="0" w:type="dxa"/>
        </w:tblCellMar>
        <w:tblLook w:val="01E0"/>
      </w:tblPr>
      <w:tblGrid>
        <w:gridCol w:w="3703"/>
        <w:gridCol w:w="5856"/>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429</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5,110.6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24.41%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宋体" w:hAnsi="宋体" w:cs="宋体" w:eastAsia="宋体"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102.97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宋体" w:hAnsi="宋体" w:cs="宋体" w:eastAsia="宋体"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11.91</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4"/>
        </w:rPr>
        <w:t>公司严格按照《公司法》、《证券法》、《上市公司治理准则》、《深圳证券交易所中小企业板上市公司规范运作指引》</w:t>
      </w:r>
      <w:r>
        <w:rPr/>
        <w:t> </w:t>
      </w:r>
      <w:r>
        <w:rPr>
          <w:spacing w:val="-4"/>
        </w:rPr>
        <w:t>和中国证监会有关法律法规等的要求，不断完善公司法人治理结构，建立健全内部控制制度，进一步加强公司信息披露工作，</w:t>
      </w:r>
      <w:r>
        <w:rPr>
          <w:spacing w:val="-44"/>
        </w:rPr>
        <w:t> </w:t>
      </w:r>
      <w:r>
        <w:rPr>
          <w:spacing w:val="-44"/>
        </w:rPr>
      </w:r>
      <w:r>
        <w:rPr>
          <w:spacing w:val="-2"/>
        </w:rPr>
        <w:t>积极开展投资者关系管理，维护公司及股东的利益，确保公司规范、健康发展。报告期内，公司未收到证券监管部门采取行</w:t>
      </w:r>
      <w:r>
        <w:rPr>
          <w:spacing w:val="-67"/>
        </w:rPr>
        <w:t> </w:t>
      </w:r>
      <w:r>
        <w:rPr>
          <w:spacing w:val="-67"/>
        </w:rPr>
      </w:r>
      <w:r>
        <w:rPr/>
        <w:t>政监管措施的相关文件。</w:t>
      </w:r>
    </w:p>
    <w:p>
      <w:pPr>
        <w:pStyle w:val="BodyText"/>
        <w:spacing w:line="319" w:lineRule="auto" w:before="19"/>
        <w:ind w:right="189" w:firstLine="360"/>
        <w:jc w:val="both"/>
      </w:pPr>
      <w:r>
        <w:rPr>
          <w:spacing w:val="-2"/>
        </w:rPr>
        <w:t>报告期内，公司修订了《公司章程》、《董事、监事和高级管理人员买卖本公司股票管理制度》、《控股子公司管理办</w:t>
      </w:r>
      <w:r>
        <w:rPr/>
        <w:t> </w:t>
      </w:r>
      <w:r>
        <w:rPr>
          <w:spacing w:val="-2"/>
        </w:rPr>
        <w:t>法》、《投融资管理制度》，制订了《证券投资管理制度》、《董事会秘书工作细则》、《独立董事工作制度》、《业绩预</w:t>
      </w:r>
      <w:r>
        <w:rPr>
          <w:spacing w:val="-65"/>
        </w:rPr>
        <w:t> </w:t>
      </w:r>
      <w:r>
        <w:rPr>
          <w:spacing w:val="-65"/>
        </w:rPr>
      </w:r>
      <w:r>
        <w:rPr/>
        <w:t>告、业绩快报编制制度》，进一步完善了公司制度体系，防范风险，保护投资者的权益和公司利益。</w:t>
      </w:r>
    </w:p>
    <w:p>
      <w:pPr>
        <w:pStyle w:val="BodyText"/>
        <w:spacing w:line="316" w:lineRule="auto" w:before="17"/>
        <w:ind w:right="101" w:firstLine="360"/>
        <w:jc w:val="both"/>
      </w:pPr>
      <w:r>
        <w:rPr>
          <w:spacing w:val="-4"/>
        </w:rPr>
        <w:t>截至报告期末，公司治理的实际状况符合《上市公司治理准则》、《深圳证券交易所中小企业板上市公司规范运作指引》</w:t>
      </w:r>
      <w:r>
        <w:rPr/>
        <w:t> 等相关法律法规的要求，具体情况如下：</w:t>
      </w:r>
    </w:p>
    <w:p>
      <w:pPr>
        <w:pStyle w:val="Heading4"/>
        <w:spacing w:line="240" w:lineRule="auto"/>
        <w:ind w:right="5748"/>
        <w:jc w:val="left"/>
        <w:rPr>
          <w:b w:val="0"/>
          <w:bCs w:val="0"/>
        </w:rPr>
      </w:pPr>
      <w:r>
        <w:rPr/>
        <w:t>（一）公司治理结构</w:t>
      </w:r>
      <w:r>
        <w:rPr>
          <w:b w:val="0"/>
          <w:bCs w:val="0"/>
        </w:rPr>
      </w:r>
    </w:p>
    <w:p>
      <w:pPr>
        <w:pStyle w:val="BodyText"/>
        <w:spacing w:line="316" w:lineRule="auto" w:before="76"/>
        <w:ind w:left="513" w:right="94"/>
        <w:jc w:val="left"/>
      </w:pPr>
      <w:r>
        <w:rPr/>
        <w:t>（</w:t>
      </w:r>
      <w:r>
        <w:rPr>
          <w:rFonts w:ascii="宋体" w:hAnsi="宋体" w:cs="宋体" w:eastAsia="宋体" w:hint="default"/>
        </w:rPr>
        <w:t>1</w:t>
      </w:r>
      <w:r>
        <w:rPr/>
        <w:t>）股东与股东大会 </w:t>
      </w:r>
      <w:r>
        <w:rPr>
          <w:spacing w:val="-2"/>
        </w:rPr>
        <w:t>公司依据《公司法》、《公司章程》、《上市公司治理准则》等文件制定了《股东大会议事规则》、《控股股东实际控</w:t>
      </w:r>
    </w:p>
    <w:p>
      <w:pPr>
        <w:pStyle w:val="BodyText"/>
        <w:spacing w:line="316" w:lineRule="auto" w:before="19"/>
        <w:ind w:right="191"/>
        <w:jc w:val="both"/>
      </w:pPr>
      <w:r>
        <w:rPr>
          <w:spacing w:val="-2"/>
        </w:rPr>
        <w:t>制人行为规范》，对股东大会的权力、召开程序、提案、表决和控股股东及实际控制人行为进行了规范，通过规章对中小股</w:t>
      </w:r>
      <w:r>
        <w:rPr>
          <w:spacing w:val="-67"/>
        </w:rPr>
        <w:t> </w:t>
      </w:r>
      <w:r>
        <w:rPr>
          <w:spacing w:val="-67"/>
        </w:rPr>
      </w:r>
      <w:r>
        <w:rPr/>
        <w:t>东权益提供制度保障。</w:t>
      </w:r>
    </w:p>
    <w:p>
      <w:pPr>
        <w:pStyle w:val="BodyText"/>
        <w:spacing w:line="319" w:lineRule="auto" w:before="19"/>
        <w:ind w:right="193" w:firstLine="360"/>
        <w:jc w:val="both"/>
      </w:pPr>
      <w:r>
        <w:rPr>
          <w:spacing w:val="-2"/>
        </w:rPr>
        <w:t>公司股东严格根据《上市公司治理准则》、《深圳证券交易所股票上市规则》、《公司章程》规范股东行为，通过股东</w:t>
      </w:r>
      <w:r>
        <w:rPr/>
        <w:t> 大会行使股东权利，未发生超越股东大会及董事会而直接干预公司经营与决策的行为。</w:t>
      </w:r>
    </w:p>
    <w:p>
      <w:pPr>
        <w:pStyle w:val="BodyText"/>
        <w:spacing w:line="316" w:lineRule="auto" w:before="17"/>
        <w:ind w:right="192" w:firstLine="360"/>
        <w:jc w:val="both"/>
      </w:pPr>
      <w:r>
        <w:rPr>
          <w:spacing w:val="-2"/>
        </w:rPr>
        <w:t>公司依据《上市公司股东大会规则（</w:t>
      </w:r>
      <w:r>
        <w:rPr>
          <w:rFonts w:ascii="宋体" w:hAnsi="宋体" w:cs="宋体" w:eastAsia="宋体" w:hint="default"/>
          <w:spacing w:val="-2"/>
        </w:rPr>
        <w:t>2014</w:t>
      </w:r>
      <w:r>
        <w:rPr>
          <w:spacing w:val="-2"/>
        </w:rPr>
        <w:t>年修订》的要求，报告期内召开股东大会均采取现场及网络投票相结合的表决</w:t>
      </w:r>
      <w:r>
        <w:rPr/>
        <w:t> 方式，方便中小投资者通过股东大会行使股东权利，提高中小投资者对公司决策的参与度。</w:t>
      </w:r>
    </w:p>
    <w:p>
      <w:pPr>
        <w:pStyle w:val="BodyText"/>
        <w:spacing w:line="316" w:lineRule="auto" w:before="19"/>
        <w:ind w:right="198" w:firstLine="360"/>
        <w:jc w:val="both"/>
      </w:pPr>
      <w:r>
        <w:rPr/>
        <w:t>报告期内，公司共召开</w:t>
      </w:r>
      <w:r>
        <w:rPr>
          <w:rFonts w:ascii="宋体" w:hAnsi="宋体" w:cs="宋体" w:eastAsia="宋体" w:hint="default"/>
        </w:rPr>
        <w:t>7</w:t>
      </w:r>
      <w:r>
        <w:rPr/>
        <w:t>次股东大会，会议的召集与召开程序、出席会议人员的资格、会议表决程序、表决结果和决议 内容均符合法律法规和《公司章程》的规定。</w:t>
      </w:r>
    </w:p>
    <w:p>
      <w:pPr>
        <w:pStyle w:val="BodyText"/>
        <w:spacing w:line="316" w:lineRule="auto" w:before="19"/>
        <w:ind w:left="513" w:right="94"/>
        <w:jc w:val="left"/>
      </w:pPr>
      <w:r>
        <w:rPr/>
        <w:t>（</w:t>
      </w:r>
      <w:r>
        <w:rPr>
          <w:rFonts w:ascii="宋体" w:hAnsi="宋体" w:cs="宋体" w:eastAsia="宋体" w:hint="default"/>
        </w:rPr>
        <w:t>2</w:t>
      </w:r>
      <w:r>
        <w:rPr/>
        <w:t>）公司与实际控制人 </w:t>
      </w:r>
      <w:r>
        <w:rPr>
          <w:spacing w:val="-2"/>
        </w:rPr>
        <w:t>公司实际控制人按照《上市公司治理准则》、《深圳证券交易所中小企业板上市公司规范运作指引》、《公司章程》等</w:t>
      </w:r>
    </w:p>
    <w:p>
      <w:pPr>
        <w:pStyle w:val="BodyText"/>
        <w:spacing w:line="316" w:lineRule="auto" w:before="19"/>
        <w:ind w:right="190"/>
        <w:jc w:val="both"/>
      </w:pPr>
      <w:r>
        <w:rPr>
          <w:spacing w:val="-2"/>
        </w:rPr>
        <w:t>的规定和要求规范自己的行为，没有超越股东权限直接或间接干预公司的决策及生产经营活动，没有损害公司及其他股东的</w:t>
      </w:r>
      <w:r>
        <w:rPr>
          <w:spacing w:val="-64"/>
        </w:rPr>
        <w:t> </w:t>
      </w:r>
      <w:r>
        <w:rPr>
          <w:spacing w:val="-64"/>
        </w:rPr>
      </w:r>
      <w:r>
        <w:rPr>
          <w:spacing w:val="-2"/>
        </w:rPr>
        <w:t>利益。公司与实际控制人在人员、资产、财务、机构、业务上均保持独立，拥有独立完整的自主经营能力；公司董事会、监</w:t>
      </w:r>
      <w:r>
        <w:rPr>
          <w:spacing w:val="-65"/>
        </w:rPr>
        <w:t> </w:t>
      </w:r>
      <w:r>
        <w:rPr>
          <w:spacing w:val="-65"/>
        </w:rPr>
      </w:r>
      <w:r>
        <w:rPr/>
        <w:t>事会及其他内部机构均独立运作。</w:t>
      </w:r>
    </w:p>
    <w:p>
      <w:pPr>
        <w:pStyle w:val="BodyText"/>
        <w:spacing w:line="316" w:lineRule="auto" w:before="19"/>
        <w:ind w:left="513" w:right="94"/>
        <w:jc w:val="left"/>
      </w:pPr>
      <w:r>
        <w:rPr/>
        <w:t>（</w:t>
      </w:r>
      <w:r>
        <w:rPr>
          <w:rFonts w:ascii="宋体" w:hAnsi="宋体" w:cs="宋体" w:eastAsia="宋体" w:hint="default"/>
        </w:rPr>
        <w:t>3</w:t>
      </w:r>
      <w:r>
        <w:rPr/>
        <w:t>）董事与董事会 </w:t>
      </w:r>
      <w:r>
        <w:rPr>
          <w:spacing w:val="-2"/>
        </w:rPr>
        <w:t>公司依据《公司法》、《公司章程》、《上市公司治理准则》等文件制定了《董事会议事规则》、《独立董事年报工作</w:t>
      </w:r>
    </w:p>
    <w:p>
      <w:pPr>
        <w:pStyle w:val="BodyText"/>
        <w:spacing w:line="316" w:lineRule="auto" w:before="19"/>
        <w:ind w:right="111"/>
        <w:jc w:val="both"/>
      </w:pPr>
      <w:r>
        <w:rPr>
          <w:spacing w:val="-2"/>
        </w:rPr>
        <w:t>制度》、《总经理工作细则》，公司董事会设董事</w:t>
      </w:r>
      <w:r>
        <w:rPr>
          <w:rFonts w:ascii="宋体" w:hAnsi="宋体" w:cs="宋体" w:eastAsia="宋体" w:hint="default"/>
          <w:spacing w:val="-2"/>
        </w:rPr>
        <w:t>7</w:t>
      </w:r>
      <w:r>
        <w:rPr>
          <w:spacing w:val="-2"/>
        </w:rPr>
        <w:t>名，其中独立董事</w:t>
      </w:r>
      <w:r>
        <w:rPr>
          <w:rFonts w:ascii="宋体" w:hAnsi="宋体" w:cs="宋体" w:eastAsia="宋体" w:hint="default"/>
          <w:spacing w:val="-2"/>
        </w:rPr>
        <w:t>3</w:t>
      </w:r>
      <w:r>
        <w:rPr>
          <w:spacing w:val="-2"/>
        </w:rPr>
        <w:t>名，公司董事选举程序、董事会人数及人员构成符合</w:t>
      </w:r>
      <w:r>
        <w:rPr>
          <w:spacing w:val="-66"/>
        </w:rPr>
        <w:t> </w:t>
      </w:r>
      <w:r>
        <w:rPr>
          <w:spacing w:val="-66"/>
        </w:rPr>
      </w:r>
      <w:r>
        <w:rPr/>
        <w:t>法律、法规的要求，公司董事勤勉尽责履行职责，维护公司和全体股东的合法权益。独立董事能够严格按照《公司章程》、</w:t>
      </w:r>
    </w:p>
    <w:p>
      <w:pPr>
        <w:pStyle w:val="BodyText"/>
        <w:spacing w:line="316" w:lineRule="auto" w:before="19"/>
        <w:ind w:right="193"/>
        <w:jc w:val="both"/>
      </w:pPr>
      <w:r>
        <w:rPr>
          <w:spacing w:val="-2"/>
        </w:rPr>
        <w:t>《独立董事制度》，不受影响独立履行职责，对公司生产经营、关联交易、人事任免等事项发表独立意见，保证公司的规范</w:t>
      </w:r>
      <w:r>
        <w:rPr>
          <w:spacing w:val="-68"/>
        </w:rPr>
        <w:t> </w:t>
      </w:r>
      <w:r>
        <w:rPr>
          <w:spacing w:val="-68"/>
        </w:rPr>
      </w:r>
      <w:r>
        <w:rPr/>
        <w:t>运作。</w:t>
      </w:r>
    </w:p>
    <w:p>
      <w:pPr>
        <w:pStyle w:val="BodyText"/>
        <w:spacing w:line="316" w:lineRule="auto" w:before="19"/>
        <w:ind w:right="194" w:firstLine="360"/>
        <w:jc w:val="both"/>
      </w:pPr>
      <w:r>
        <w:rPr>
          <w:spacing w:val="-2"/>
        </w:rPr>
        <w:t>报告期内，公司共召开</w:t>
      </w:r>
      <w:r>
        <w:rPr>
          <w:rFonts w:ascii="宋体" w:hAnsi="宋体" w:cs="宋体" w:eastAsia="宋体" w:hint="default"/>
          <w:spacing w:val="-2"/>
        </w:rPr>
        <w:t>19</w:t>
      </w:r>
      <w:r>
        <w:rPr>
          <w:spacing w:val="-2"/>
        </w:rPr>
        <w:t>次董事会会议，会议的召集与召开程序、出席会议人员的资格、会议表决程序、表决结果和决</w:t>
      </w:r>
      <w:r>
        <w:rPr/>
        <w:t> 议内容均符合法律法规和《公司章程》的规定。</w:t>
      </w:r>
    </w:p>
    <w:p>
      <w:pPr>
        <w:pStyle w:val="BodyText"/>
        <w:spacing w:line="316" w:lineRule="auto" w:before="19"/>
        <w:ind w:right="190" w:firstLine="360"/>
        <w:jc w:val="both"/>
      </w:pPr>
      <w:r>
        <w:rPr>
          <w:spacing w:val="-2"/>
        </w:rPr>
        <w:t>公司董事会设立了审计、薪酬与考核、提名、战略四个专业委员会，建立并完善了议事规则，各委员会分工明确，报告</w:t>
      </w:r>
      <w:r>
        <w:rPr/>
        <w:t> </w:t>
      </w:r>
      <w:r>
        <w:rPr>
          <w:spacing w:val="-2"/>
        </w:rPr>
        <w:t>期内，公司共召开</w:t>
      </w:r>
      <w:r>
        <w:rPr>
          <w:rFonts w:ascii="宋体" w:hAnsi="宋体" w:cs="宋体" w:eastAsia="宋体" w:hint="default"/>
          <w:spacing w:val="-2"/>
        </w:rPr>
        <w:t>7</w:t>
      </w:r>
      <w:r>
        <w:rPr>
          <w:spacing w:val="-2"/>
        </w:rPr>
        <w:t>次审计委员会会议、</w:t>
      </w:r>
      <w:r>
        <w:rPr>
          <w:rFonts w:ascii="宋体" w:hAnsi="宋体" w:cs="宋体" w:eastAsia="宋体" w:hint="default"/>
          <w:spacing w:val="-2"/>
        </w:rPr>
        <w:t>2</w:t>
      </w:r>
      <w:r>
        <w:rPr>
          <w:spacing w:val="-2"/>
        </w:rPr>
        <w:t>次薪酬与考核委员会会议，为董事会的决策提供科学和专业的意见，确保董事会对</w:t>
      </w:r>
      <w:r>
        <w:rPr>
          <w:spacing w:val="-61"/>
        </w:rPr>
        <w:t> </w:t>
      </w:r>
      <w:r>
        <w:rPr>
          <w:spacing w:val="-61"/>
        </w:rPr>
      </w:r>
      <w:r>
        <w:rPr/>
        <w:t>经营层的有效监督。</w:t>
      </w:r>
    </w:p>
    <w:p>
      <w:pPr>
        <w:pStyle w:val="BodyText"/>
        <w:spacing w:line="316" w:lineRule="auto" w:before="19"/>
        <w:ind w:left="513" w:right="183"/>
        <w:jc w:val="left"/>
        <w:rPr>
          <w:rFonts w:ascii="宋体" w:hAnsi="宋体" w:cs="宋体" w:eastAsia="宋体" w:hint="default"/>
        </w:rPr>
      </w:pPr>
      <w:r>
        <w:rPr/>
        <w:t>（</w:t>
      </w:r>
      <w:r>
        <w:rPr>
          <w:rFonts w:ascii="宋体" w:hAnsi="宋体" w:cs="宋体" w:eastAsia="宋体" w:hint="default"/>
        </w:rPr>
        <w:t>4</w:t>
      </w:r>
      <w:r>
        <w:rPr/>
        <w:t>）监事与监事会 公司依据《公司法》、《公司章程》、《上市公司治理准则》等文件制定了《监事会议事规则》，公司监事会设监事</w:t>
      </w:r>
      <w:r>
        <w:rPr>
          <w:rFonts w:ascii="宋体" w:hAnsi="宋体" w:cs="宋体" w:eastAsia="宋体" w:hint="default"/>
        </w:rPr>
        <w:t>3</w:t>
      </w:r>
    </w:p>
    <w:p>
      <w:pPr>
        <w:spacing w:after="0" w:line="316" w:lineRule="auto"/>
        <w:jc w:val="left"/>
        <w:rPr>
          <w:rFonts w:ascii="宋体" w:hAnsi="宋体" w:cs="宋体" w:eastAsia="宋体" w:hint="default"/>
        </w:rPr>
        <w:sectPr>
          <w:pgSz w:w="11910" w:h="16840"/>
          <w:pgMar w:header="877" w:footer="1186" w:top="1060" w:bottom="138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201"/>
        <w:jc w:val="both"/>
      </w:pPr>
      <w:r>
        <w:rPr/>
        <w:t>名，其中职工代表监事</w:t>
      </w:r>
      <w:r>
        <w:rPr>
          <w:rFonts w:ascii="宋体" w:hAnsi="宋体" w:cs="宋体" w:eastAsia="宋体" w:hint="default"/>
        </w:rPr>
        <w:t>1</w:t>
      </w:r>
      <w:r>
        <w:rPr/>
        <w:t>名，监事会的人数、构成及选聘程序均符合相关法律法规的规定。公司监事按规定出席监事会，认 真履行职责，对公司重大事项、关联交易、财务状况等进行监督并发表意见，维护公司及股东的合法权益。</w:t>
      </w:r>
    </w:p>
    <w:p>
      <w:pPr>
        <w:pStyle w:val="BodyText"/>
        <w:spacing w:line="316" w:lineRule="auto" w:before="19"/>
        <w:ind w:right="194" w:firstLine="360"/>
        <w:jc w:val="both"/>
      </w:pPr>
      <w:r>
        <w:rPr>
          <w:spacing w:val="-2"/>
        </w:rPr>
        <w:t>报告期内，公司共召开</w:t>
      </w:r>
      <w:r>
        <w:rPr>
          <w:rFonts w:ascii="宋体" w:hAnsi="宋体" w:cs="宋体" w:eastAsia="宋体" w:hint="default"/>
          <w:spacing w:val="-2"/>
        </w:rPr>
        <w:t>10</w:t>
      </w:r>
      <w:r>
        <w:rPr>
          <w:spacing w:val="-2"/>
        </w:rPr>
        <w:t>次监事会会议，会议的召集与召开程序、出席会议人员的资格、会议表决程序、表决结果和决</w:t>
      </w:r>
      <w:r>
        <w:rPr/>
        <w:t> 议内容均符合法律法规和《公司章程》的规定。</w:t>
      </w:r>
    </w:p>
    <w:p>
      <w:pPr>
        <w:pStyle w:val="BodyText"/>
        <w:spacing w:line="316" w:lineRule="auto" w:before="19"/>
        <w:ind w:left="513" w:right="94"/>
        <w:jc w:val="left"/>
      </w:pPr>
      <w:r>
        <w:rPr/>
        <w:t>（</w:t>
      </w:r>
      <w:r>
        <w:rPr>
          <w:rFonts w:ascii="宋体" w:hAnsi="宋体" w:cs="宋体" w:eastAsia="宋体" w:hint="default"/>
        </w:rPr>
        <w:t>5</w:t>
      </w:r>
      <w:r>
        <w:rPr/>
        <w:t>）信息披露 </w:t>
      </w:r>
      <w:r>
        <w:rPr>
          <w:spacing w:val="-2"/>
        </w:rPr>
        <w:t>公司上市前就根据相关文件制度制定了《信息披露制度》和《投资者关系管理制度》，公司上市后按照中国证监会、深</w:t>
      </w:r>
    </w:p>
    <w:p>
      <w:pPr>
        <w:pStyle w:val="BodyText"/>
        <w:spacing w:line="240" w:lineRule="auto" w:before="19"/>
        <w:ind w:right="0"/>
        <w:jc w:val="both"/>
      </w:pPr>
      <w:r>
        <w:rPr/>
        <w:t>圳证券交易所发布的相关法规修订了《信息披露制度》、《年报信息披露重大差错责任追究制度》、《推广和接待制度》、</w:t>
      </w:r>
    </w:p>
    <w:p>
      <w:pPr>
        <w:pStyle w:val="BodyText"/>
        <w:spacing w:line="240" w:lineRule="auto" w:before="76"/>
        <w:ind w:right="0"/>
        <w:jc w:val="both"/>
      </w:pPr>
      <w:r>
        <w:rPr/>
        <w:t>《重大信息内部报告制度》、《董事会审计委员会年报工作规程》、《独立董事年报工作制度》、《内部信息保密制度》、</w:t>
      </w:r>
    </w:p>
    <w:p>
      <w:pPr>
        <w:pStyle w:val="BodyText"/>
        <w:spacing w:line="316" w:lineRule="auto" w:before="76"/>
        <w:ind w:right="191"/>
        <w:jc w:val="both"/>
      </w:pPr>
      <w:r>
        <w:rPr>
          <w:spacing w:val="-2"/>
        </w:rPr>
        <w:t>《内幕信息知情人登记和报备制度》，指定公司董事会秘书负责信息披露工作，规范公司内部重大信息传递的程序，对年报</w:t>
      </w:r>
      <w:r>
        <w:rPr>
          <w:spacing w:val="-64"/>
        </w:rPr>
        <w:t> </w:t>
      </w:r>
      <w:r>
        <w:rPr>
          <w:spacing w:val="-64"/>
        </w:rPr>
      </w:r>
      <w:r>
        <w:rPr>
          <w:spacing w:val="-2"/>
        </w:rPr>
        <w:t>信息披露重大差错责任追究作出明确规定，切实履行信息披露义务。公司指定《中国证券报》、《证券时报》和巨潮资讯网</w:t>
      </w:r>
      <w:r>
        <w:rPr>
          <w:spacing w:val="-69"/>
        </w:rPr>
        <w:t> </w:t>
      </w:r>
      <w:r>
        <w:rPr>
          <w:spacing w:val="-69"/>
        </w:rPr>
      </w:r>
      <w:r>
        <w:rPr/>
        <w:t>站为公司信息披露的报纸和网站，真实、准确、及时地披露公司信息，确保公司所有股东公平的获得公司相关信息。</w:t>
      </w:r>
    </w:p>
    <w:p>
      <w:pPr>
        <w:pStyle w:val="BodyText"/>
        <w:spacing w:line="316" w:lineRule="auto" w:before="19"/>
        <w:ind w:left="513" w:right="94"/>
        <w:jc w:val="left"/>
      </w:pPr>
      <w:r>
        <w:rPr/>
        <w:t>（</w:t>
      </w:r>
      <w:r>
        <w:rPr>
          <w:rFonts w:ascii="宋体" w:hAnsi="宋体" w:cs="宋体" w:eastAsia="宋体" w:hint="default"/>
        </w:rPr>
        <w:t>6</w:t>
      </w:r>
      <w:r>
        <w:rPr/>
        <w:t>）投资者关系管理 </w:t>
      </w:r>
      <w:r>
        <w:rPr>
          <w:spacing w:val="-2"/>
        </w:rPr>
        <w:t>公司重视投资者关系管理工作，指定董事会秘书为投资者关系管理负责人，公司证券部作为投资者关系管理的具体实施</w:t>
      </w:r>
    </w:p>
    <w:p>
      <w:pPr>
        <w:pStyle w:val="BodyText"/>
        <w:spacing w:line="316" w:lineRule="auto" w:before="19"/>
        <w:ind w:right="191"/>
        <w:jc w:val="both"/>
      </w:pPr>
      <w:r>
        <w:rPr>
          <w:spacing w:val="-2"/>
        </w:rPr>
        <w:t>机构，协助实施投资者关系的日常管理工作，包括投资者来访接待工作、股东大会的安排组织工作、投资者关系互动平台答</w:t>
      </w:r>
      <w:r>
        <w:rPr>
          <w:spacing w:val="-65"/>
        </w:rPr>
        <w:t> </w:t>
      </w:r>
      <w:r>
        <w:rPr>
          <w:spacing w:val="-65"/>
        </w:rPr>
      </w:r>
      <w:r>
        <w:rPr/>
        <w:t>疑工作等。</w:t>
      </w:r>
    </w:p>
    <w:p>
      <w:pPr>
        <w:pStyle w:val="BodyText"/>
        <w:spacing w:line="316" w:lineRule="auto" w:before="19"/>
        <w:ind w:left="513" w:right="94"/>
        <w:jc w:val="left"/>
      </w:pPr>
      <w:r>
        <w:rPr/>
        <w:t>（</w:t>
      </w:r>
      <w:r>
        <w:rPr>
          <w:rFonts w:ascii="宋体" w:hAnsi="宋体" w:cs="宋体" w:eastAsia="宋体" w:hint="default"/>
        </w:rPr>
        <w:t>7</w:t>
      </w:r>
      <w:r>
        <w:rPr/>
        <w:t>）关于利益相关者 </w:t>
      </w:r>
      <w:r>
        <w:rPr>
          <w:spacing w:val="-4"/>
        </w:rPr>
        <w:t>公司充分尊重和维护利益相关者（债权人、员工、关联方等）的合法权益，重视公司的社会责任，努力实现股东、员工、</w:t>
      </w:r>
    </w:p>
    <w:p>
      <w:pPr>
        <w:pStyle w:val="BodyText"/>
        <w:spacing w:line="240" w:lineRule="auto" w:before="19"/>
        <w:ind w:right="0"/>
        <w:jc w:val="both"/>
      </w:pPr>
      <w:r>
        <w:rPr/>
        <w:t>社会等各方利益的协调平衡，积极合作，共同推动公司持续、健康的发展。</w:t>
      </w:r>
    </w:p>
    <w:p>
      <w:pPr>
        <w:spacing w:line="316" w:lineRule="auto" w:before="76"/>
        <w:ind w:left="604" w:right="182" w:hanging="92"/>
        <w:jc w:val="left"/>
        <w:rPr>
          <w:rFonts w:ascii="宋体" w:hAnsi="宋体" w:cs="宋体" w:eastAsia="宋体" w:hint="default"/>
          <w:sz w:val="18"/>
          <w:szCs w:val="18"/>
        </w:rPr>
      </w:pPr>
      <w:r>
        <w:rPr>
          <w:rFonts w:ascii="宋体" w:hAnsi="宋体" w:cs="宋体" w:eastAsia="宋体" w:hint="default"/>
          <w:b/>
          <w:bCs/>
          <w:sz w:val="18"/>
          <w:szCs w:val="18"/>
        </w:rPr>
        <w:t>（二）公司董事履行职责情况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报告期内，公司董事长能够积极推动公司内部各项制度的制定和完善，加强董事会建设，确保董事会会议依法正常召</w:t>
      </w:r>
    </w:p>
    <w:p>
      <w:pPr>
        <w:pStyle w:val="BodyText"/>
        <w:spacing w:line="319" w:lineRule="auto" w:before="19"/>
        <w:ind w:right="189"/>
        <w:jc w:val="both"/>
      </w:pPr>
      <w:r>
        <w:rPr>
          <w:spacing w:val="-2"/>
        </w:rPr>
        <w:t>集和召开。董事长未有从事超越其职权范围的行为，能够积极督促董事会决议的执行，及时将有关情况告知其他董事，能够</w:t>
      </w:r>
      <w:r>
        <w:rPr>
          <w:spacing w:val="-63"/>
        </w:rPr>
        <w:t> </w:t>
      </w:r>
      <w:r>
        <w:rPr>
          <w:spacing w:val="-63"/>
        </w:rPr>
      </w:r>
      <w:r>
        <w:rPr/>
        <w:t>保证独立董事和董事会秘书的知情权，为其行使职能和发挥作用提供了平台和保障。</w:t>
      </w:r>
    </w:p>
    <w:p>
      <w:pPr>
        <w:pStyle w:val="BodyText"/>
        <w:spacing w:line="316" w:lineRule="auto" w:before="17"/>
        <w:ind w:right="192" w:firstLine="360"/>
        <w:jc w:val="both"/>
      </w:pPr>
      <w:r>
        <w:rPr>
          <w:spacing w:val="-2"/>
        </w:rPr>
        <w:t>报告期内，公司董事能够恪尽职守、廉洁自律、忠实勤勉、勤免尽责的履行职责，尽力保护公司及股东特别是中小投资</w:t>
      </w:r>
      <w:r>
        <w:rPr/>
        <w:t> 者的权益并致力于保护公司和股东利益。</w:t>
      </w:r>
    </w:p>
    <w:p>
      <w:pPr>
        <w:pStyle w:val="BodyText"/>
        <w:spacing w:line="316" w:lineRule="auto" w:before="19"/>
        <w:ind w:right="193" w:firstLine="360"/>
        <w:jc w:val="both"/>
      </w:pPr>
      <w:r>
        <w:rPr>
          <w:spacing w:val="-2"/>
        </w:rPr>
        <w:t>报告期内，公司全体董事能够依照《公司法》、《公司章程》的规定出席公司召开的董事会会议并独立、客观的发表意</w:t>
      </w:r>
      <w:r>
        <w:rPr/>
        <w:t> 见，未出现违反国家法律法规、《公司章程》等不能担任公司董事职责规定的行为。</w:t>
      </w:r>
    </w:p>
    <w:p>
      <w:pPr>
        <w:pStyle w:val="BodyText"/>
        <w:spacing w:line="316" w:lineRule="auto" w:before="19"/>
        <w:ind w:right="188" w:firstLine="360"/>
        <w:jc w:val="both"/>
      </w:pPr>
      <w:r>
        <w:rPr>
          <w:spacing w:val="-2"/>
        </w:rPr>
        <w:t>报告期内，公司独立董事能够定期了解公司经营情况，对公司的重大决策提供了专业性意见，对公司重大生产经营活动</w:t>
      </w:r>
      <w:r>
        <w:rPr/>
        <w:t> 进行有效监督，保证了公司决策的科学性。对公司未来三年股东回报规划、利用自有资金进行证券投资、出资</w:t>
      </w:r>
      <w:r>
        <w:rPr>
          <w:rFonts w:ascii="宋体" w:hAnsi="宋体" w:cs="宋体" w:eastAsia="宋体" w:hint="default"/>
        </w:rPr>
        <w:t>4</w:t>
      </w:r>
      <w:r>
        <w:rPr/>
        <w:t>亿元设立产</w:t>
      </w:r>
      <w:r>
        <w:rPr>
          <w:spacing w:val="-87"/>
        </w:rPr>
        <w:t> </w:t>
      </w:r>
      <w:r>
        <w:rPr/>
        <w:t>业投资并购基金、放弃长春高琦和江西先材股权的托管权及回购权、公司向股东吕晓义转让长春高琦</w:t>
      </w:r>
      <w:r>
        <w:rPr>
          <w:rFonts w:ascii="宋体" w:hAnsi="宋体" w:cs="宋体" w:eastAsia="宋体" w:hint="default"/>
        </w:rPr>
        <w:t>18%</w:t>
      </w:r>
      <w:r>
        <w:rPr/>
        <w:t>股权、增加理财产 </w:t>
      </w:r>
      <w:r>
        <w:rPr>
          <w:spacing w:val="-2"/>
        </w:rPr>
        <w:t>品投资额度、第一期和第二期股权激励计划草案和首次授予等事项等重大事项进行审核并发表了独立意见，为完善公司监督</w:t>
      </w:r>
      <w:r>
        <w:rPr>
          <w:spacing w:val="-64"/>
        </w:rPr>
        <w:t> </w:t>
      </w:r>
      <w:r>
        <w:rPr>
          <w:spacing w:val="-64"/>
        </w:rPr>
      </w:r>
      <w:r>
        <w:rPr/>
        <w:t>机制、维护公司和全体股东的合法权益发挥了应有的作用。报告期内，独立董事没有对公司有关事项提出异议。</w:t>
      </w:r>
    </w:p>
    <w:p>
      <w:pPr>
        <w:pStyle w:val="BodyText"/>
        <w:spacing w:line="240" w:lineRule="auto" w:before="19"/>
        <w:ind w:left="513" w:right="5748"/>
        <w:jc w:val="left"/>
      </w:pPr>
      <w:r>
        <w:rPr/>
        <w:t>报告期内董事出席董事会的情况：</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025"/>
        <w:gridCol w:w="1152"/>
        <w:gridCol w:w="1369"/>
        <w:gridCol w:w="1510"/>
        <w:gridCol w:w="1196"/>
        <w:gridCol w:w="838"/>
        <w:gridCol w:w="853"/>
        <w:gridCol w:w="1416"/>
      </w:tblGrid>
      <w:tr>
        <w:trPr>
          <w:trHeight w:val="735" w:hRule="exact"/>
        </w:trPr>
        <w:tc>
          <w:tcPr>
            <w:tcW w:w="1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1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3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4"/>
              <w:ind w:left="225" w:right="4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1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4"/>
              <w:ind w:left="319" w:right="48" w:hanging="270"/>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4"/>
              <w:ind w:left="232" w:right="48"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8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4"/>
              <w:ind w:left="160" w:right="71"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27"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纪晓文</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现任董事长</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83"/>
              <w:jc w:val="right"/>
              <w:rPr>
                <w:rFonts w:ascii="宋体" w:hAnsi="宋体" w:cs="宋体" w:eastAsia="宋体" w:hint="default"/>
                <w:sz w:val="18"/>
                <w:szCs w:val="18"/>
              </w:rPr>
            </w:pPr>
            <w:r>
              <w:rPr>
                <w:rFonts w:ascii="宋体"/>
                <w:sz w:val="18"/>
              </w:rPr>
              <w:t>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16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3</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杨富年</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现任董事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83"/>
              <w:jc w:val="right"/>
              <w:rPr>
                <w:rFonts w:ascii="宋体" w:hAnsi="宋体" w:cs="宋体" w:eastAsia="宋体" w:hint="default"/>
                <w:sz w:val="18"/>
                <w:szCs w:val="18"/>
              </w:rPr>
            </w:pPr>
            <w:r>
              <w:rPr>
                <w:rFonts w:ascii="宋体"/>
                <w:sz w:val="18"/>
              </w:rPr>
              <w:t>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17</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田青</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现任董事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83"/>
              <w:jc w:val="right"/>
              <w:rPr>
                <w:rFonts w:ascii="宋体" w:hAnsi="宋体" w:cs="宋体" w:eastAsia="宋体" w:hint="default"/>
                <w:sz w:val="18"/>
                <w:szCs w:val="18"/>
              </w:rPr>
            </w:pPr>
            <w:r>
              <w:rPr>
                <w:rFonts w:ascii="宋体"/>
                <w:sz w:val="18"/>
              </w:rPr>
              <w:t>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13</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6</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王东</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现任董事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83"/>
              <w:jc w:val="right"/>
              <w:rPr>
                <w:rFonts w:ascii="宋体" w:hAnsi="宋体" w:cs="宋体" w:eastAsia="宋体" w:hint="default"/>
                <w:sz w:val="18"/>
                <w:szCs w:val="18"/>
              </w:rPr>
            </w:pPr>
            <w:r>
              <w:rPr>
                <w:rFonts w:ascii="宋体"/>
                <w:sz w:val="18"/>
              </w:rPr>
              <w:t>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14</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3</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2</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马静玉</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现任独立董事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83"/>
              <w:jc w:val="right"/>
              <w:rPr>
                <w:rFonts w:ascii="宋体" w:hAnsi="宋体" w:cs="宋体" w:eastAsia="宋体" w:hint="default"/>
                <w:sz w:val="18"/>
                <w:szCs w:val="18"/>
              </w:rPr>
            </w:pPr>
            <w:r>
              <w:rPr>
                <w:rFonts w:ascii="宋体"/>
                <w:sz w:val="18"/>
              </w:rPr>
              <w:t>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19</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邢伟</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现任独立董事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3"/>
              <w:jc w:val="right"/>
              <w:rPr>
                <w:rFonts w:ascii="宋体" w:hAnsi="宋体" w:cs="宋体" w:eastAsia="宋体" w:hint="default"/>
                <w:sz w:val="18"/>
                <w:szCs w:val="18"/>
              </w:rPr>
            </w:pPr>
            <w:r>
              <w:rPr>
                <w:rFonts w:ascii="宋体"/>
                <w:sz w:val="18"/>
              </w:rPr>
              <w:t>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19</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0"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郑武</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现任独立董事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3"/>
              <w:jc w:val="right"/>
              <w:rPr>
                <w:rFonts w:ascii="宋体" w:hAnsi="宋体" w:cs="宋体" w:eastAsia="宋体" w:hint="default"/>
                <w:sz w:val="18"/>
                <w:szCs w:val="18"/>
              </w:rPr>
            </w:pPr>
            <w:r>
              <w:rPr>
                <w:rFonts w:ascii="宋体"/>
                <w:sz w:val="18"/>
              </w:rPr>
              <w:t>19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19</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186" w:top="1060" w:bottom="1380" w:left="980" w:right="940"/>
        </w:sectPr>
      </w:pPr>
    </w:p>
    <w:p>
      <w:pPr>
        <w:spacing w:line="240" w:lineRule="auto" w:before="10"/>
        <w:rPr>
          <w:rFonts w:ascii="宋体" w:hAnsi="宋体" w:cs="宋体" w:eastAsia="宋体" w:hint="default"/>
          <w:sz w:val="25"/>
          <w:szCs w:val="25"/>
        </w:rPr>
      </w:pPr>
    </w:p>
    <w:p>
      <w:pPr>
        <w:spacing w:line="316" w:lineRule="auto" w:before="44"/>
        <w:ind w:left="513" w:right="94" w:firstLine="4"/>
        <w:jc w:val="left"/>
        <w:rPr>
          <w:rFonts w:ascii="宋体" w:hAnsi="宋体" w:cs="宋体" w:eastAsia="宋体" w:hint="default"/>
          <w:sz w:val="18"/>
          <w:szCs w:val="18"/>
        </w:rPr>
      </w:pPr>
      <w:r>
        <w:rPr>
          <w:rFonts w:ascii="宋体" w:hAnsi="宋体" w:cs="宋体" w:eastAsia="宋体" w:hint="default"/>
          <w:b/>
          <w:bCs/>
          <w:sz w:val="18"/>
          <w:szCs w:val="18"/>
        </w:rPr>
        <w:t>（三）公司内部审计制度的建立和执行</w:t>
      </w:r>
      <w:r>
        <w:rPr>
          <w:rFonts w:ascii="宋体" w:hAnsi="宋体" w:cs="宋体" w:eastAsia="宋体" w:hint="default"/>
          <w:b/>
          <w:bCs/>
          <w:w w:val="99"/>
          <w:sz w:val="18"/>
          <w:szCs w:val="18"/>
        </w:rPr>
        <w:t> </w:t>
      </w:r>
      <w:r>
        <w:rPr>
          <w:rFonts w:ascii="宋体" w:hAnsi="宋体" w:cs="宋体" w:eastAsia="宋体" w:hint="default"/>
          <w:spacing w:val="-2"/>
          <w:sz w:val="18"/>
          <w:szCs w:val="18"/>
        </w:rPr>
        <w:t>公司根据《中华人民共和国审计法》、《审计署关于内部审计工作的规定》等法律法规和《公司章程》的有关规定，结</w:t>
      </w:r>
    </w:p>
    <w:p>
      <w:pPr>
        <w:pStyle w:val="BodyText"/>
        <w:spacing w:line="316" w:lineRule="auto" w:before="19"/>
        <w:ind w:left="513" w:right="94" w:hanging="361"/>
        <w:jc w:val="left"/>
      </w:pPr>
      <w:r>
        <w:rPr/>
        <w:t>合公司实际情况，制定了《内部审计制度》。 </w:t>
      </w:r>
      <w:r>
        <w:rPr>
          <w:spacing w:val="-2"/>
        </w:rPr>
        <w:t>根据《内部审计制度》，公司董事会设审计委员会，审计委员会下设审计室作为公司内部审计的执行机构，审计室负责</w:t>
      </w:r>
    </w:p>
    <w:p>
      <w:pPr>
        <w:pStyle w:val="BodyText"/>
        <w:spacing w:line="316" w:lineRule="auto" w:before="19"/>
        <w:ind w:right="94"/>
        <w:jc w:val="left"/>
      </w:pPr>
      <w:r>
        <w:rPr>
          <w:spacing w:val="-2"/>
        </w:rPr>
        <w:t>人由董事会审计委员会提名，董事会任免。内部审计机构对审计委员会负责，向审计委员会报告工作，对公司及所属的经营</w:t>
      </w:r>
      <w:r>
        <w:rPr>
          <w:spacing w:val="-65"/>
        </w:rPr>
        <w:t> </w:t>
      </w:r>
      <w:r>
        <w:rPr>
          <w:spacing w:val="-65"/>
        </w:rPr>
      </w:r>
      <w:r>
        <w:rPr/>
        <w:t>管理活动进行审计监督。</w:t>
      </w:r>
    </w:p>
    <w:p>
      <w:pPr>
        <w:pStyle w:val="BodyText"/>
        <w:spacing w:line="316" w:lineRule="auto" w:before="59"/>
        <w:ind w:right="94" w:firstLine="362"/>
        <w:jc w:val="left"/>
      </w:pPr>
      <w:r>
        <w:rPr>
          <w:spacing w:val="-2"/>
        </w:rPr>
        <w:t>审计室负责组织实施公司内部审计制度，对公司财务计划、成本计划或公司预算的执行和决算情况，财务收支及其有关</w:t>
      </w:r>
      <w:r>
        <w:rPr/>
        <w:t> </w:t>
      </w:r>
      <w:r>
        <w:rPr>
          <w:spacing w:val="-4"/>
        </w:rPr>
        <w:t>的经济活动，生产、经营、开发的经济效益和资产保值增值情况，建设项目概预算和决算情况、经济合同的签订及履行情况、</w:t>
      </w:r>
      <w:r>
        <w:rPr>
          <w:spacing w:val="-42"/>
        </w:rPr>
        <w:t> </w:t>
      </w:r>
      <w:r>
        <w:rPr>
          <w:spacing w:val="-42"/>
        </w:rPr>
      </w:r>
      <w:r>
        <w:rPr>
          <w:spacing w:val="-2"/>
        </w:rPr>
        <w:t>内部控制制度等事项的合法性、合规性、真实性和完整性进行审计监督，负责监督检查公司董事会各项经营决策的贯彻执行</w:t>
      </w:r>
      <w:r>
        <w:rPr>
          <w:spacing w:val="-66"/>
        </w:rPr>
        <w:t> </w:t>
      </w:r>
      <w:r>
        <w:rPr>
          <w:spacing w:val="-66"/>
        </w:rPr>
      </w:r>
      <w:r>
        <w:rPr/>
        <w:t>情况，确定反舞弊的重点领域、关键环节和主要内容，并在内部审计过程中合理关注和检查可能存在的舞弊行为。</w:t>
      </w:r>
    </w:p>
    <w:p>
      <w:pPr>
        <w:pStyle w:val="BodyText"/>
        <w:spacing w:line="240" w:lineRule="auto" w:before="57"/>
        <w:ind w:right="94"/>
        <w:jc w:val="left"/>
      </w:pPr>
      <w:r>
        <w:rPr/>
        <w:t>公司治理的实际状况与中国证监会发布的有关上市公司治理的规范性文件是否存在重大差异</w:t>
      </w:r>
    </w:p>
    <w:p>
      <w:pPr>
        <w:pStyle w:val="BodyText"/>
        <w:spacing w:line="360" w:lineRule="auto" w:before="118"/>
        <w:ind w:right="261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98" w:right="194"/>
        <w:jc w:val="left"/>
      </w:pPr>
      <w:r>
        <w:rPr/>
        <w:t>公司与控股股东在业务、人员、资产、机构、财务等方面完全分开，具有独立完整的业务及自主经营能力。 </w:t>
      </w:r>
      <w:r>
        <w:rPr>
          <w:rFonts w:ascii="宋体" w:hAnsi="宋体" w:cs="宋体" w:eastAsia="宋体" w:hint="default"/>
          <w:b/>
          <w:bCs/>
        </w:rPr>
        <w:t>1</w:t>
      </w:r>
      <w:r>
        <w:rPr>
          <w:rFonts w:ascii="宋体" w:hAnsi="宋体" w:cs="宋体" w:eastAsia="宋体" w:hint="default"/>
          <w:b/>
          <w:bCs/>
        </w:rPr>
        <w:t>、业务：</w:t>
      </w:r>
      <w:r>
        <w:rPr/>
        <w:t>公司业务结构完整，自主独立经营，不依赖于控股股东或其他任何关联方，与控股股东、实际控制人及其控</w:t>
      </w:r>
    </w:p>
    <w:p>
      <w:pPr>
        <w:pStyle w:val="BodyText"/>
        <w:spacing w:line="222" w:lineRule="exact"/>
        <w:ind w:right="94"/>
        <w:jc w:val="left"/>
      </w:pPr>
      <w:r>
        <w:rPr/>
        <w:t>制的其他企业间不存在同业竞争或者显失公平的关联交易，也不存在控股股东直接或间接干预公司经营运作的情形。</w:t>
      </w:r>
    </w:p>
    <w:p>
      <w:pPr>
        <w:pStyle w:val="BodyText"/>
        <w:spacing w:line="316" w:lineRule="auto" w:before="117"/>
        <w:ind w:right="194" w:firstLine="346"/>
        <w:jc w:val="left"/>
      </w:pPr>
      <w:r>
        <w:rPr>
          <w:rFonts w:ascii="宋体" w:hAnsi="宋体" w:cs="宋体" w:eastAsia="宋体" w:hint="default"/>
          <w:b/>
          <w:bCs/>
        </w:rPr>
        <w:t>2</w:t>
      </w:r>
      <w:r>
        <w:rPr>
          <w:rFonts w:ascii="宋体" w:hAnsi="宋体" w:cs="宋体" w:eastAsia="宋体" w:hint="default"/>
          <w:b/>
          <w:bCs/>
        </w:rPr>
        <w:t>、人员：</w:t>
      </w:r>
      <w:r>
        <w:rPr/>
        <w:t>公司在劳动、人事及工资等方面均完全独立于控股股东。公司董事长、总裁、副总裁、董事会秘书、财务负 责人等人员均在公司领取薪酬，未在控股股东及其下属企业担任董事、监事以外的任何职务。</w:t>
      </w:r>
    </w:p>
    <w:p>
      <w:pPr>
        <w:pStyle w:val="BodyText"/>
        <w:spacing w:line="316" w:lineRule="auto" w:before="57"/>
        <w:ind w:right="195" w:firstLine="346"/>
        <w:jc w:val="both"/>
      </w:pPr>
      <w:r>
        <w:rPr>
          <w:rFonts w:ascii="宋体" w:hAnsi="宋体" w:cs="宋体" w:eastAsia="宋体" w:hint="default"/>
          <w:b/>
          <w:bCs/>
        </w:rPr>
        <w:t>3</w:t>
      </w:r>
      <w:r>
        <w:rPr>
          <w:rFonts w:ascii="宋体" w:hAnsi="宋体" w:cs="宋体" w:eastAsia="宋体" w:hint="default"/>
          <w:b/>
          <w:bCs/>
        </w:rPr>
        <w:t>、资产：</w:t>
      </w:r>
      <w:r>
        <w:rPr/>
        <w:t>公司拥有独立于控股股东的生产经营场所，拥有独立完整的资产结构，拥有独立的生产系统、辅助生产系统 </w:t>
      </w:r>
      <w:r>
        <w:rPr>
          <w:spacing w:val="-2"/>
        </w:rPr>
        <w:t>和配套设施、土地使用权、房屋所有权等资产，拥有独立的采购和销售系统，对所有资产拥有完全的控制支配权，不存在资</w:t>
      </w:r>
      <w:r>
        <w:rPr>
          <w:spacing w:val="-67"/>
        </w:rPr>
        <w:t> </w:t>
      </w:r>
      <w:r>
        <w:rPr>
          <w:spacing w:val="-67"/>
        </w:rPr>
      </w:r>
      <w:r>
        <w:rPr/>
        <w:t>产、资金被控股股东、实际控制人及其控制的其他企业违规占用而损害公司利益的情况。</w:t>
      </w:r>
    </w:p>
    <w:p>
      <w:pPr>
        <w:pStyle w:val="BodyText"/>
        <w:spacing w:line="240" w:lineRule="auto" w:before="59"/>
        <w:ind w:left="498" w:right="94"/>
        <w:jc w:val="left"/>
      </w:pPr>
      <w:r>
        <w:rPr>
          <w:rFonts w:ascii="宋体" w:hAnsi="宋体" w:cs="宋体" w:eastAsia="宋体" w:hint="default"/>
          <w:b/>
          <w:bCs/>
        </w:rPr>
        <w:t>4</w:t>
      </w:r>
      <w:r>
        <w:rPr>
          <w:rFonts w:ascii="宋体" w:hAnsi="宋体" w:cs="宋体" w:eastAsia="宋体" w:hint="default"/>
          <w:b/>
          <w:bCs/>
        </w:rPr>
        <w:t>、机构：</w:t>
      </w:r>
      <w:r>
        <w:rPr/>
        <w:t>公司设立了健全的组织机构体系，独立运作，不存在与控股股东或其职能部门之间的从属关系。</w:t>
      </w:r>
    </w:p>
    <w:p>
      <w:pPr>
        <w:pStyle w:val="BodyText"/>
        <w:spacing w:line="316" w:lineRule="auto" w:before="117"/>
        <w:ind w:right="180" w:firstLine="360"/>
        <w:jc w:val="left"/>
      </w:pPr>
      <w:r>
        <w:rPr>
          <w:rFonts w:ascii="宋体" w:hAnsi="宋体" w:cs="宋体" w:eastAsia="宋体" w:hint="default"/>
          <w:b/>
          <w:bCs/>
        </w:rPr>
        <w:t>5</w:t>
      </w:r>
      <w:r>
        <w:rPr>
          <w:rFonts w:ascii="宋体" w:hAnsi="宋体" w:cs="宋体" w:eastAsia="宋体" w:hint="default"/>
          <w:b/>
          <w:bCs/>
        </w:rPr>
        <w:t>、财务：</w:t>
      </w:r>
      <w:r>
        <w:rPr/>
        <w:t>公司设有独立的财务会计部门，配备独立的财务会计人员，建立了独立的会计核算体系和财务管理制度，独 立进行财务决策；公司独立开设银行账户，独立纳税。</w:t>
      </w:r>
    </w:p>
    <w:p>
      <w:pPr>
        <w:spacing w:line="240" w:lineRule="auto" w:before="9"/>
        <w:rPr>
          <w:rFonts w:ascii="宋体" w:hAnsi="宋体" w:cs="宋体" w:eastAsia="宋体" w:hint="default"/>
          <w:sz w:val="20"/>
          <w:szCs w:val="20"/>
        </w:rPr>
      </w:pPr>
    </w:p>
    <w:p>
      <w:pPr>
        <w:pStyle w:val="Heading2"/>
        <w:spacing w:line="240" w:lineRule="auto"/>
        <w:ind w:right="5748"/>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5748"/>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9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5748"/>
        <w:jc w:val="left"/>
        <w:rPr>
          <w:b w:val="0"/>
          <w:bCs w:val="0"/>
        </w:rPr>
      </w:pPr>
      <w:r>
        <w:rPr>
          <w:rFonts w:ascii="宋体" w:hAnsi="宋体" w:cs="宋体" w:eastAsia="宋体" w:hint="default"/>
        </w:rPr>
        <w:t>1</w:t>
      </w:r>
      <w:r>
        <w:rPr/>
        <w:t>、本报告期股东大会情况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4"/>
              <w:ind w:left="24" w:right="26"/>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）上的《</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 度股东大会决议公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2015-050</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877" w:footer="1186" w:top="1060" w:bottom="13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4" w:right="26"/>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）上的《</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2015-012</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8"/>
              <w:jc w:val="right"/>
              <w:rPr>
                <w:rFonts w:ascii="宋体" w:hAnsi="宋体" w:cs="宋体" w:eastAsia="宋体" w:hint="default"/>
                <w:sz w:val="18"/>
                <w:szCs w:val="18"/>
              </w:rPr>
            </w:pPr>
            <w:r>
              <w:rPr>
                <w:rFonts w:ascii="宋体"/>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4"/>
              <w:ind w:left="24" w:right="26"/>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）上的《</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 第二次临时股东大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2015-019</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4" w:right="26"/>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）上的《</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 第三次临时股东大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2015-048</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4"/>
              <w:ind w:left="24" w:right="26"/>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）上的《</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 第四次临时股东大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2015-071</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4" w:right="26"/>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）上的《</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 第五次临时股东大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2015-096</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4" w:right="26"/>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宋体" w:hAnsi="宋体" w:cs="宋体" w:eastAsia="宋体" w:hint="default"/>
                  <w:sz w:val="18"/>
                  <w:szCs w:val="18"/>
                </w:rPr>
                <w:t>www.cninfo.com.</w:t>
              </w:r>
            </w:hyperlink>
            <w:r>
              <w:rPr>
                <w:rFonts w:ascii="宋体" w:hAnsi="宋体" w:cs="宋体" w:eastAsia="宋体" w:hint="default"/>
                <w:sz w:val="18"/>
                <w:szCs w:val="18"/>
              </w:rPr>
              <w:t> cn</w:t>
            </w:r>
            <w:r>
              <w:rPr>
                <w:rFonts w:ascii="宋体" w:hAnsi="宋体" w:cs="宋体" w:eastAsia="宋体" w:hint="default"/>
                <w:sz w:val="18"/>
                <w:szCs w:val="18"/>
              </w:rPr>
              <w:t>）上的《</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 第六次临时股东大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2015-104</w:t>
            </w:r>
            <w:r>
              <w:rPr>
                <w:rFonts w:ascii="宋体" w:hAnsi="宋体" w:cs="宋体" w:eastAsia="宋体" w:hint="default"/>
                <w:sz w:val="18"/>
                <w:szCs w:val="18"/>
              </w:rPr>
              <w:t>）</w:t>
            </w:r>
          </w:p>
        </w:tc>
      </w:tr>
    </w:tbl>
    <w:p>
      <w:pPr>
        <w:pStyle w:val="BodyText"/>
        <w:spacing w:line="357" w:lineRule="auto" w:before="49"/>
        <w:ind w:right="8154"/>
        <w:jc w:val="left"/>
      </w:pPr>
      <w:r>
        <w:rPr/>
        <w:t>机构投资者情况： 无机构投资者情况。</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877" w:footer="1186" w:top="1060" w:bottom="13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25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52"/>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马静玉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bl>
    <w:p>
      <w:pPr>
        <w:pStyle w:val="BodyText"/>
        <w:spacing w:line="240" w:lineRule="auto" w:before="49"/>
        <w:ind w:right="252"/>
        <w:jc w:val="left"/>
      </w:pPr>
      <w:r>
        <w:rPr/>
        <w:t>连续两次未亲自出席董事会的说明：无。</w:t>
      </w:r>
    </w:p>
    <w:p>
      <w:pPr>
        <w:spacing w:line="240" w:lineRule="auto" w:before="0"/>
        <w:rPr>
          <w:rFonts w:ascii="宋体" w:hAnsi="宋体" w:cs="宋体" w:eastAsia="宋体" w:hint="default"/>
          <w:sz w:val="18"/>
          <w:szCs w:val="18"/>
        </w:rPr>
      </w:pPr>
    </w:p>
    <w:p>
      <w:pPr>
        <w:pStyle w:val="Heading3"/>
        <w:spacing w:line="240" w:lineRule="auto" w:before="120"/>
        <w:ind w:right="252"/>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252"/>
        <w:jc w:val="left"/>
      </w:pPr>
      <w:r>
        <w:rPr/>
        <w:t>独立董事对公司有关事项是否提出异议</w:t>
      </w:r>
    </w:p>
    <w:p>
      <w:pPr>
        <w:pStyle w:val="BodyText"/>
        <w:spacing w:line="360" w:lineRule="auto" w:before="117"/>
        <w:ind w:right="6054"/>
        <w:jc w:val="left"/>
      </w:pPr>
      <w:r>
        <w:rPr/>
        <w:t>□ 是 √</w:t>
      </w:r>
      <w:r>
        <w:rPr>
          <w:spacing w:val="3"/>
        </w:rPr>
        <w:t> </w:t>
      </w:r>
      <w:r>
        <w:rPr/>
        <w:t>否</w:t>
      </w:r>
      <w:r>
        <w:rPr/>
        <w:t> 报告期内独立董事对公司有关事项未提出异议。</w:t>
      </w:r>
    </w:p>
    <w:p>
      <w:pPr>
        <w:spacing w:line="240" w:lineRule="auto" w:before="2"/>
        <w:rPr>
          <w:rFonts w:ascii="宋体" w:hAnsi="宋体" w:cs="宋体" w:eastAsia="宋体" w:hint="default"/>
          <w:sz w:val="20"/>
          <w:szCs w:val="20"/>
        </w:rPr>
      </w:pPr>
    </w:p>
    <w:p>
      <w:pPr>
        <w:pStyle w:val="Heading3"/>
        <w:spacing w:line="240" w:lineRule="auto"/>
        <w:ind w:right="252"/>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52"/>
        <w:jc w:val="left"/>
      </w:pPr>
      <w:r>
        <w:rPr/>
        <w:t>独立董事对公司有关建议是否被采纳</w:t>
      </w:r>
    </w:p>
    <w:p>
      <w:pPr>
        <w:pStyle w:val="BodyText"/>
        <w:spacing w:line="360" w:lineRule="auto" w:before="117"/>
        <w:ind w:right="5874"/>
        <w:jc w:val="left"/>
      </w:pPr>
      <w:r>
        <w:rPr/>
        <w:t>√ 是 □</w:t>
      </w:r>
      <w:r>
        <w:rPr>
          <w:spacing w:val="3"/>
        </w:rPr>
        <w:t> </w:t>
      </w:r>
      <w:r>
        <w:rPr/>
        <w:t>否</w:t>
      </w:r>
      <w:r>
        <w:rPr/>
        <w:t> 独立董事对公司有关建议被采纳或未被采纳的说明</w:t>
      </w:r>
    </w:p>
    <w:p>
      <w:pPr>
        <w:pStyle w:val="BodyText"/>
        <w:spacing w:line="316" w:lineRule="auto" w:before="25"/>
        <w:ind w:right="105" w:firstLine="360"/>
        <w:jc w:val="left"/>
      </w:pPr>
      <w:r>
        <w:rPr>
          <w:spacing w:val="-2"/>
        </w:rPr>
        <w:t>公司独立董事关注公司运作，独立履行职责，对报告期内公司未来三年股东回报规划、利用自有资金进行证券投资、出</w:t>
      </w:r>
      <w:r>
        <w:rPr/>
        <w:t> </w:t>
      </w:r>
      <w:r>
        <w:rPr>
          <w:spacing w:val="-3"/>
        </w:rPr>
        <w:t>资</w:t>
      </w:r>
      <w:r>
        <w:rPr>
          <w:rFonts w:ascii="宋体" w:hAnsi="宋体" w:cs="宋体" w:eastAsia="宋体" w:hint="default"/>
          <w:spacing w:val="-3"/>
        </w:rPr>
        <w:t>4</w:t>
      </w:r>
      <w:r>
        <w:rPr>
          <w:spacing w:val="-3"/>
        </w:rPr>
        <w:t>亿元设立产业投资并购基金、放弃长春高琦和江西先材股权的托管权及回购权、公司向股东吕晓义转让长春高琦</w:t>
      </w:r>
      <w:r>
        <w:rPr>
          <w:rFonts w:ascii="宋体" w:hAnsi="宋体" w:cs="宋体" w:eastAsia="宋体" w:hint="default"/>
          <w:spacing w:val="-3"/>
        </w:rPr>
        <w:t>18%</w:t>
      </w:r>
      <w:r>
        <w:rPr>
          <w:spacing w:val="-3"/>
        </w:rPr>
        <w:t>股权、</w:t>
      </w:r>
      <w:r>
        <w:rPr/>
        <w:t> </w:t>
      </w:r>
      <w:r>
        <w:rPr>
          <w:spacing w:val="-2"/>
        </w:rPr>
        <w:t>增加理财产品投资额度、第一期和第二期股权激励计划草案和首次授予等事项发表了独立意见，对完善公司治理结构、维护</w:t>
      </w:r>
      <w:r>
        <w:rPr>
          <w:spacing w:val="-65"/>
        </w:rPr>
        <w:t> </w:t>
      </w:r>
      <w:r>
        <w:rPr>
          <w:spacing w:val="-65"/>
        </w:rPr>
      </w:r>
      <w:r>
        <w:rPr/>
        <w:t>公司及全体股东的权益发挥了积极的作用。</w:t>
      </w:r>
    </w:p>
    <w:p>
      <w:pPr>
        <w:spacing w:line="240" w:lineRule="auto" w:before="12"/>
        <w:rPr>
          <w:rFonts w:ascii="宋体" w:hAnsi="宋体" w:cs="宋体" w:eastAsia="宋体" w:hint="default"/>
          <w:sz w:val="20"/>
          <w:szCs w:val="20"/>
        </w:rPr>
      </w:pPr>
    </w:p>
    <w:p>
      <w:pPr>
        <w:pStyle w:val="Heading2"/>
        <w:spacing w:line="240" w:lineRule="auto"/>
        <w:ind w:right="252"/>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252"/>
        <w:jc w:val="left"/>
      </w:pPr>
      <w:r>
        <w:rPr>
          <w:rFonts w:ascii="宋体" w:hAnsi="宋体" w:cs="宋体" w:eastAsia="宋体" w:hint="default"/>
        </w:rPr>
        <w:t>1</w:t>
      </w:r>
      <w:r>
        <w:rPr/>
        <w:t>、报告期内公司董事会、经营管理层的规模和构成未发生变化，提名委员会未召开会议。</w:t>
      </w:r>
    </w:p>
    <w:p>
      <w:pPr>
        <w:pStyle w:val="BodyText"/>
        <w:spacing w:line="316" w:lineRule="auto" w:before="76"/>
        <w:ind w:right="114" w:firstLine="360"/>
        <w:jc w:val="left"/>
      </w:pPr>
      <w:r>
        <w:rPr>
          <w:rFonts w:ascii="宋体" w:hAnsi="宋体" w:cs="宋体" w:eastAsia="宋体" w:hint="default"/>
          <w:spacing w:val="-2"/>
        </w:rPr>
        <w:t>2</w:t>
      </w:r>
      <w:r>
        <w:rPr>
          <w:spacing w:val="-2"/>
        </w:rPr>
        <w:t>、报告期内公司薪酬与考核委员会召开了</w:t>
      </w:r>
      <w:r>
        <w:rPr>
          <w:rFonts w:ascii="宋体" w:hAnsi="宋体" w:cs="宋体" w:eastAsia="宋体" w:hint="default"/>
          <w:spacing w:val="-2"/>
        </w:rPr>
        <w:t>2</w:t>
      </w:r>
      <w:r>
        <w:rPr>
          <w:spacing w:val="-2"/>
        </w:rPr>
        <w:t>次会议，审议公司高级管理人员绩效考核实施细则、第一期及第二期股权激</w:t>
      </w:r>
      <w:r>
        <w:rPr/>
        <w:t> 励计划草案，相关议案提交公司董事会审议。</w:t>
      </w:r>
    </w:p>
    <w:p>
      <w:pPr>
        <w:pStyle w:val="BodyText"/>
        <w:spacing w:line="316" w:lineRule="auto" w:before="19"/>
        <w:ind w:right="114" w:firstLine="360"/>
        <w:jc w:val="left"/>
      </w:pPr>
      <w:r>
        <w:rPr>
          <w:rFonts w:ascii="宋体" w:hAnsi="宋体" w:cs="宋体" w:eastAsia="宋体" w:hint="default"/>
          <w:spacing w:val="-2"/>
        </w:rPr>
        <w:t>3</w:t>
      </w:r>
      <w:r>
        <w:rPr>
          <w:spacing w:val="-2"/>
        </w:rPr>
        <w:t>、报告期内公司审计委员会召开了</w:t>
      </w:r>
      <w:r>
        <w:rPr>
          <w:rFonts w:ascii="宋体" w:hAnsi="宋体" w:cs="宋体" w:eastAsia="宋体" w:hint="default"/>
          <w:spacing w:val="-2"/>
        </w:rPr>
        <w:t>7</w:t>
      </w:r>
      <w:r>
        <w:rPr>
          <w:spacing w:val="-2"/>
        </w:rPr>
        <w:t>次会议，审议公司审计室提交的各项内部审计报告，听取审计室年度工作总结和工</w:t>
      </w:r>
      <w:r>
        <w:rPr/>
        <w:t> 作计划安排，指导审计室开展各项工作，围绕定期报告审计开展各项工作，相关议案提交公司董事会审议。</w:t>
      </w:r>
    </w:p>
    <w:p>
      <w:pPr>
        <w:pStyle w:val="BodyText"/>
        <w:spacing w:line="316" w:lineRule="auto" w:before="19"/>
        <w:ind w:right="204" w:firstLine="360"/>
        <w:jc w:val="left"/>
      </w:pPr>
      <w:r>
        <w:rPr>
          <w:rFonts w:ascii="宋体" w:hAnsi="宋体" w:cs="宋体" w:eastAsia="宋体" w:hint="default"/>
        </w:rPr>
        <w:t>4</w:t>
      </w:r>
      <w:r>
        <w:rPr/>
        <w:t>、报告期内公司战略委员会对公司长期发展战略和重大决策进行研究并提出建议，积极推动公司针对市场及外部环境 变化确定公司长期发展战略的分解细化和重大决策的实施。</w:t>
      </w:r>
    </w:p>
    <w:p>
      <w:pPr>
        <w:spacing w:after="0" w:line="316" w:lineRule="auto"/>
        <w:jc w:val="left"/>
        <w:sectPr>
          <w:pgSz w:w="11910" w:h="16840"/>
          <w:pgMar w:header="877" w:footer="1186" w:top="1060" w:bottom="138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监事会在报告期内的监督活动中发现公司是否存在风险</w:t>
      </w:r>
    </w:p>
    <w:p>
      <w:pPr>
        <w:pStyle w:val="BodyText"/>
        <w:spacing w:line="360" w:lineRule="auto" w:before="115"/>
        <w:ind w:right="6714"/>
        <w:jc w:val="left"/>
      </w:pPr>
      <w:r>
        <w:rPr/>
        <w:t>□ 是 √</w:t>
      </w:r>
      <w:r>
        <w:rPr>
          <w:spacing w:val="3"/>
        </w:rPr>
        <w:t> </w:t>
      </w:r>
      <w:r>
        <w:rPr/>
        <w:t>否</w:t>
      </w:r>
      <w:r>
        <w:rPr/>
        <w:t>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15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0" w:firstLine="360"/>
        <w:jc w:val="both"/>
      </w:pPr>
      <w:r>
        <w:rPr>
          <w:spacing w:val="-2"/>
        </w:rPr>
        <w:t>根据《董事、监事、高级管理人员薪酬制度》，对于公司引进高管人员或对公司有杰出贡献的人员，其个人报酬由董事</w:t>
      </w:r>
      <w:r>
        <w:rPr/>
        <w:t> </w:t>
      </w:r>
      <w:r>
        <w:rPr>
          <w:spacing w:val="-2"/>
        </w:rPr>
        <w:t>会或总裁决定，公司独立董事应对该薪酬方案发表意见。高管人员的个人绩效奖金与公司经营目标挂钩，董事会薪酬与考核</w:t>
      </w:r>
      <w:r>
        <w:rPr>
          <w:spacing w:val="-63"/>
        </w:rPr>
        <w:t> </w:t>
      </w:r>
      <w:r>
        <w:rPr>
          <w:spacing w:val="-63"/>
        </w:rPr>
      </w:r>
      <w:r>
        <w:rPr>
          <w:spacing w:val="-2"/>
        </w:rPr>
        <w:t>委员会根据上年生产经营计划对公司高管人员进行考核，具体确定各高管人员的绩效奖金数额及发放方式。任何高管人员都</w:t>
      </w:r>
      <w:r>
        <w:rPr>
          <w:spacing w:val="-62"/>
        </w:rPr>
        <w:t> </w:t>
      </w:r>
      <w:r>
        <w:rPr>
          <w:spacing w:val="-62"/>
        </w:rPr>
      </w:r>
      <w:r>
        <w:rPr/>
        <w:t>不应当参与其自身薪酬的决定过程。</w:t>
      </w:r>
    </w:p>
    <w:p>
      <w:pPr>
        <w:pStyle w:val="BodyText"/>
        <w:spacing w:line="316" w:lineRule="auto" w:before="17"/>
        <w:ind w:right="156" w:firstLine="360"/>
        <w:jc w:val="both"/>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4</w:t>
      </w:r>
      <w:r>
        <w:rPr/>
        <w:t>日，根据公司第二期限制性股票与股票期权激励计划，公司授予纪晓文、杨富年等</w:t>
      </w:r>
      <w:r>
        <w:rPr>
          <w:rFonts w:ascii="宋体" w:hAnsi="宋体" w:cs="宋体" w:eastAsia="宋体" w:hint="default"/>
        </w:rPr>
        <w:t>10</w:t>
      </w:r>
      <w:r>
        <w:rPr/>
        <w:t>名董事、高级管理人 员及核心管理人员限制性股票共计</w:t>
      </w:r>
      <w:r>
        <w:rPr>
          <w:rFonts w:ascii="宋体" w:hAnsi="宋体" w:cs="宋体" w:eastAsia="宋体" w:hint="default"/>
        </w:rPr>
        <w:t>1570</w:t>
      </w:r>
      <w:r>
        <w:rPr/>
        <w:t>万股和股票期权共计</w:t>
      </w:r>
      <w:r>
        <w:rPr>
          <w:rFonts w:ascii="宋体" w:hAnsi="宋体" w:cs="宋体" w:eastAsia="宋体" w:hint="default"/>
        </w:rPr>
        <w:t>650</w:t>
      </w:r>
      <w:r>
        <w:rPr/>
        <w:t>万份，相关授予登记工作已于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23</w:t>
      </w:r>
      <w:r>
        <w:rPr/>
        <w:t>日完成，授予的 限制性股票已于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27</w:t>
      </w:r>
      <w:r>
        <w:rPr/>
        <w:t>日上市流通。</w:t>
      </w:r>
    </w:p>
    <w:p>
      <w:pPr>
        <w:pStyle w:val="BodyText"/>
        <w:spacing w:line="316" w:lineRule="auto" w:before="19"/>
        <w:ind w:right="153" w:firstLine="360"/>
        <w:jc w:val="both"/>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28</w:t>
      </w:r>
      <w:r>
        <w:rPr/>
        <w:t>日，根据公司第一期限制性股票与股票期权激励计划，公司授予纪晓文、杨富年等</w:t>
      </w:r>
      <w:r>
        <w:rPr>
          <w:rFonts w:ascii="宋体" w:hAnsi="宋体" w:cs="宋体" w:eastAsia="宋体" w:hint="default"/>
        </w:rPr>
        <w:t>6</w:t>
      </w:r>
      <w:r>
        <w:rPr/>
        <w:t>名董事、高级管理人 员限制性股票共计</w:t>
      </w:r>
      <w:r>
        <w:rPr>
          <w:rFonts w:ascii="宋体" w:hAnsi="宋体" w:cs="宋体" w:eastAsia="宋体" w:hint="default"/>
        </w:rPr>
        <w:t>820</w:t>
      </w:r>
      <w:r>
        <w:rPr/>
        <w:t>万股，相关授予登记工作已于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13</w:t>
      </w:r>
      <w:r>
        <w:rPr/>
        <w:t>日完成，授予的限制性股票已于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18</w:t>
      </w:r>
      <w:r>
        <w:rPr/>
        <w:t>日上市流通。</w:t>
      </w:r>
    </w:p>
    <w:p>
      <w:pPr>
        <w:spacing w:line="240" w:lineRule="auto" w:before="11"/>
        <w:rPr>
          <w:rFonts w:ascii="宋体" w:hAnsi="宋体" w:cs="宋体" w:eastAsia="宋体" w:hint="default"/>
          <w:sz w:val="20"/>
          <w:szCs w:val="20"/>
        </w:rPr>
      </w:pPr>
    </w:p>
    <w:p>
      <w:pPr>
        <w:pStyle w:val="Heading2"/>
        <w:spacing w:line="240" w:lineRule="auto"/>
        <w:ind w:right="15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pStyle w:val="BodyText"/>
        <w:spacing w:line="240" w:lineRule="auto" w:before="44"/>
        <w:ind w:left="0" w:right="159"/>
        <w:jc w:val="right"/>
      </w:pPr>
      <w:r>
        <w:rPr/>
        <w:pict>
          <v:shape style="position:absolute;margin-left:56.400002pt;margin-top:-183.75827pt;width:479.3pt;height:281.7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3543"/>
                    <w:gridCol w:w="3332"/>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5" w:type="dxa"/>
                        <w:gridSpan w:val="2"/>
                        <w:tcBorders>
                          <w:top w:val="single" w:sz="4" w:space="0" w:color="000000"/>
                          <w:left w:val="single" w:sz="14"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61"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5" w:type="dxa"/>
                        <w:gridSpan w:val="2"/>
                        <w:vMerge w:val="restart"/>
                        <w:tcBorders>
                          <w:top w:val="single" w:sz="4" w:space="0" w:color="000000"/>
                          <w:left w:val="single" w:sz="10" w:space="0" w:color="D2D2D2"/>
                          <w:right w:val="single" w:sz="4" w:space="0" w:color="000000"/>
                        </w:tcBorders>
                      </w:tcPr>
                      <w:p>
                        <w:pPr>
                          <w:pStyle w:val="TableParagraph"/>
                          <w:spacing w:line="314" w:lineRule="auto" w:before="49"/>
                          <w:ind w:left="16" w:right="83"/>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3">
                          <w:r>
                            <w:rPr>
                              <w:rFonts w:ascii="宋体" w:hAnsi="宋体" w:cs="宋体" w:eastAsia="宋体" w:hint="default"/>
                              <w:spacing w:val="-3"/>
                              <w:sz w:val="18"/>
                              <w:szCs w:val="18"/>
                            </w:rPr>
                            <w:t>www.cninfo.com.cn</w:t>
                          </w:r>
                        </w:hyperlink>
                        <w:r>
                          <w:rPr>
                            <w:rFonts w:ascii="宋体" w:hAnsi="宋体" w:cs="宋体" w:eastAsia="宋体" w:hint="default"/>
                            <w:spacing w:val="-3"/>
                            <w:sz w:val="18"/>
                            <w:szCs w:val="18"/>
                          </w:rPr>
                          <w:t>）《深圳市惠程电气股份有限公司</w:t>
                        </w:r>
                        <w:r>
                          <w:rPr>
                            <w:rFonts w:ascii="宋体" w:hAnsi="宋体" w:cs="宋体" w:eastAsia="宋体" w:hint="default"/>
                            <w:spacing w:val="-37"/>
                            <w:sz w:val="18"/>
                            <w:szCs w:val="18"/>
                          </w:rPr>
                          <w:t> </w:t>
                        </w:r>
                        <w:r>
                          <w:rPr>
                            <w:rFonts w:ascii="宋体" w:hAnsi="宋体" w:cs="宋体" w:eastAsia="宋体" w:hint="default"/>
                            <w:sz w:val="18"/>
                            <w:szCs w:val="18"/>
                          </w:rPr>
                          <w:t>2015</w:t>
                        </w:r>
                        <w:r>
                          <w:rPr>
                            <w:rFonts w:ascii="宋体" w:hAnsi="宋体" w:cs="宋体" w:eastAsia="宋体" w:hint="default"/>
                            <w:spacing w:val="-36"/>
                            <w:sz w:val="18"/>
                            <w:szCs w:val="18"/>
                          </w:rPr>
                          <w:t> </w:t>
                        </w:r>
                        <w:r>
                          <w:rPr>
                            <w:rFonts w:ascii="宋体" w:hAnsi="宋体" w:cs="宋体" w:eastAsia="宋体" w:hint="default"/>
                            <w:sz w:val="18"/>
                            <w:szCs w:val="18"/>
                          </w:rPr>
                          <w:t>年度内部控制</w:t>
                        </w:r>
                        <w:r>
                          <w:rPr>
                            <w:rFonts w:ascii="宋体" w:hAnsi="宋体" w:cs="宋体" w:eastAsia="宋体" w:hint="default"/>
                            <w:spacing w:val="-86"/>
                            <w:sz w:val="18"/>
                            <w:szCs w:val="18"/>
                          </w:rPr>
                          <w:t> </w:t>
                        </w:r>
                        <w:r>
                          <w:rPr>
                            <w:rFonts w:ascii="宋体" w:hAnsi="宋体" w:cs="宋体" w:eastAsia="宋体" w:hint="default"/>
                            <w:sz w:val="18"/>
                            <w:szCs w:val="18"/>
                          </w:rPr>
                          <w:t>的自我评价报告》</w:t>
                        </w:r>
                      </w:p>
                    </w:tc>
                  </w:tr>
                  <w:tr>
                    <w:trPr>
                      <w:trHeight w:val="391"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5" w:type="dxa"/>
                        <w:gridSpan w:val="2"/>
                        <w:vMerge/>
                        <w:tcBorders>
                          <w:left w:val="single" w:sz="10" w:space="0" w:color="D2D2D2"/>
                          <w:right w:val="single" w:sz="4" w:space="0" w:color="000000"/>
                        </w:tcBorders>
                      </w:tcPr>
                      <w:p>
                        <w:pPr/>
                      </w:p>
                    </w:tc>
                  </w:tr>
                  <w:tr>
                    <w:trPr>
                      <w:trHeight w:val="161"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5" w:type="dxa"/>
                        <w:gridSpan w:val="2"/>
                        <w:vMerge/>
                        <w:tcBorders>
                          <w:left w:val="single" w:sz="10" w:space="0" w:color="D2D2D2"/>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75" w:type="dxa"/>
                        <w:gridSpan w:val="2"/>
                        <w:tcBorders>
                          <w:top w:val="single" w:sz="4" w:space="0" w:color="000000"/>
                          <w:left w:val="single" w:sz="14"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95.00%</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75" w:type="dxa"/>
                        <w:gridSpan w:val="2"/>
                        <w:tcBorders>
                          <w:top w:val="single" w:sz="4" w:space="0" w:color="000000"/>
                          <w:left w:val="single" w:sz="14"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95.00%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41"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3" w:type="dxa"/>
                        <w:vMerge w:val="restart"/>
                        <w:tcBorders>
                          <w:top w:val="single" w:sz="4" w:space="0" w:color="000000"/>
                          <w:left w:val="single" w:sz="10" w:space="0" w:color="D2D2D2"/>
                          <w:right w:val="single" w:sz="4" w:space="0" w:color="000000"/>
                        </w:tcBorders>
                      </w:tcPr>
                      <w:p>
                        <w:pPr>
                          <w:pStyle w:val="TableParagraph"/>
                          <w:spacing w:line="316" w:lineRule="auto" w:before="70"/>
                          <w:ind w:left="16" w:right="82"/>
                          <w:jc w:val="both"/>
                          <w:rPr>
                            <w:rFonts w:ascii="宋体" w:hAnsi="宋体" w:cs="宋体" w:eastAsia="宋体" w:hint="default"/>
                            <w:sz w:val="18"/>
                            <w:szCs w:val="18"/>
                          </w:rPr>
                        </w:pPr>
                        <w:r>
                          <w:rPr>
                            <w:rFonts w:ascii="宋体" w:hAnsi="宋体" w:cs="宋体" w:eastAsia="宋体" w:hint="default"/>
                            <w:b/>
                            <w:bCs/>
                            <w:sz w:val="18"/>
                            <w:szCs w:val="18"/>
                          </w:rPr>
                          <w:t>①重大缺陷：</w:t>
                        </w:r>
                        <w:r>
                          <w:rPr>
                            <w:rFonts w:ascii="宋体" w:hAnsi="宋体" w:cs="宋体" w:eastAsia="宋体" w:hint="default"/>
                            <w:sz w:val="18"/>
                            <w:szCs w:val="18"/>
                          </w:rPr>
                          <w:t>控制环境无效；公司审核委员 会和内部审计机构对内部控制的监督无效； 发现董事、监事和高级管理人员重大舞弊； 公司对已经公布的财务报表进行重大更正； 外部审计发现当期财务报表存在重大错报， 而内部控制在运行过程中未能发现该错报； 已经发现并报告给管理层的重大缺陷在合理</w:t>
                        </w:r>
                      </w:p>
                    </w:tc>
                    <w:tc>
                      <w:tcPr>
                        <w:tcW w:w="333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b/>
                            <w:bCs/>
                            <w:sz w:val="18"/>
                            <w:szCs w:val="18"/>
                          </w:rPr>
                          <w:t>①重大缺陷：</w:t>
                        </w:r>
                        <w:r>
                          <w:rPr>
                            <w:rFonts w:ascii="宋体" w:hAnsi="宋体" w:cs="宋体" w:eastAsia="宋体" w:hint="default"/>
                            <w:sz w:val="18"/>
                            <w:szCs w:val="18"/>
                          </w:rPr>
                          <w:t>违反国家法律、法规或规范 </w:t>
                        </w:r>
                        <w:r>
                          <w:rPr>
                            <w:rFonts w:ascii="宋体" w:hAnsi="宋体" w:cs="宋体" w:eastAsia="宋体" w:hint="default"/>
                            <w:spacing w:val="-4"/>
                            <w:sz w:val="18"/>
                            <w:szCs w:val="18"/>
                          </w:rPr>
                          <w:t>性文件；缺乏决策程序或决策程序不科学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导致重大失误；重要业务缺乏制度控制或 制度系统性失败；内部控制评价的结果特 别是重大或重要缺陷未得到整改；其他对 公司影响重大的情形。</w:t>
                        </w:r>
                      </w:p>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b/>
                            <w:bCs/>
                            <w:sz w:val="18"/>
                            <w:szCs w:val="18"/>
                          </w:rPr>
                          <w:t>②重要缺陷：</w:t>
                        </w:r>
                        <w:r>
                          <w:rPr>
                            <w:rFonts w:ascii="宋体" w:hAnsi="宋体" w:cs="宋体" w:eastAsia="宋体" w:hint="default"/>
                            <w:sz w:val="18"/>
                            <w:szCs w:val="18"/>
                          </w:rPr>
                          <w:t>单独缺陷或连同其他缺陷组</w:t>
                        </w:r>
                      </w:p>
                    </w:tc>
                  </w:tr>
                  <w:tr>
                    <w:trPr>
                      <w:trHeight w:val="394"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43" w:type="dxa"/>
                        <w:vMerge/>
                        <w:tcBorders>
                          <w:left w:val="single" w:sz="10" w:space="0" w:color="D2D2D2"/>
                          <w:right w:val="single" w:sz="4" w:space="0" w:color="000000"/>
                        </w:tcBorders>
                      </w:tcPr>
                      <w:p>
                        <w:pPr/>
                      </w:p>
                    </w:tc>
                    <w:tc>
                      <w:tcPr>
                        <w:tcW w:w="3332" w:type="dxa"/>
                        <w:vMerge/>
                        <w:tcBorders>
                          <w:left w:val="single" w:sz="4" w:space="0" w:color="000000"/>
                          <w:right w:val="single" w:sz="4" w:space="0" w:color="000000"/>
                        </w:tcBorders>
                      </w:tcPr>
                      <w:p>
                        <w:pPr/>
                      </w:p>
                    </w:tc>
                  </w:tr>
                  <w:tr>
                    <w:trPr>
                      <w:trHeight w:val="941"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3" w:type="dxa"/>
                        <w:vMerge/>
                        <w:tcBorders>
                          <w:left w:val="single" w:sz="10" w:space="0" w:color="D2D2D2"/>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877"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5"/>
        <w:gridCol w:w="3543"/>
        <w:gridCol w:w="3332"/>
      </w:tblGrid>
      <w:tr>
        <w:trPr>
          <w:trHeight w:val="2314"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4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3" w:right="81"/>
              <w:jc w:val="left"/>
              <w:rPr>
                <w:rFonts w:ascii="宋体" w:hAnsi="宋体" w:cs="宋体" w:eastAsia="宋体" w:hint="default"/>
                <w:sz w:val="18"/>
                <w:szCs w:val="18"/>
              </w:rPr>
            </w:pPr>
            <w:r>
              <w:rPr>
                <w:rFonts w:ascii="宋体" w:hAnsi="宋体" w:cs="宋体" w:eastAsia="宋体" w:hint="default"/>
                <w:sz w:val="18"/>
                <w:szCs w:val="18"/>
              </w:rPr>
              <w:t>的时间后未加以改正；其他可能影响报表使 用者正确判断的缺陷。</w:t>
            </w:r>
          </w:p>
          <w:p>
            <w:pPr>
              <w:pStyle w:val="TableParagraph"/>
              <w:spacing w:line="316" w:lineRule="auto" w:before="59"/>
              <w:ind w:left="23" w:right="-41"/>
              <w:jc w:val="left"/>
              <w:rPr>
                <w:rFonts w:ascii="宋体" w:hAnsi="宋体" w:cs="宋体" w:eastAsia="宋体" w:hint="default"/>
                <w:sz w:val="18"/>
                <w:szCs w:val="18"/>
              </w:rPr>
            </w:pPr>
            <w:r>
              <w:rPr>
                <w:rFonts w:ascii="宋体" w:hAnsi="宋体" w:cs="宋体" w:eastAsia="宋体" w:hint="default"/>
                <w:b/>
                <w:bCs/>
                <w:spacing w:val="-3"/>
                <w:sz w:val="18"/>
                <w:szCs w:val="18"/>
              </w:rPr>
              <w:t>②重要缺陷：</w:t>
            </w:r>
            <w:r>
              <w:rPr>
                <w:rFonts w:ascii="宋体" w:hAnsi="宋体" w:cs="宋体" w:eastAsia="宋体" w:hint="default"/>
                <w:spacing w:val="-3"/>
                <w:sz w:val="18"/>
                <w:szCs w:val="18"/>
              </w:rPr>
              <w:t>单独缺陷或连同其他缺陷组合，</w:t>
            </w:r>
            <w:r>
              <w:rPr>
                <w:rFonts w:ascii="宋体" w:hAnsi="宋体" w:cs="宋体" w:eastAsia="宋体" w:hint="default"/>
                <w:spacing w:val="-34"/>
                <w:sz w:val="18"/>
                <w:szCs w:val="18"/>
              </w:rPr>
              <w:t> </w:t>
            </w:r>
            <w:r>
              <w:rPr>
                <w:rFonts w:ascii="宋体" w:hAnsi="宋体" w:cs="宋体" w:eastAsia="宋体" w:hint="default"/>
                <w:sz w:val="18"/>
                <w:szCs w:val="18"/>
              </w:rPr>
              <w:t>其严重程度低于重大缺陷，但仍有可能导致</w:t>
            </w:r>
            <w:r>
              <w:rPr>
                <w:rFonts w:ascii="宋体" w:hAnsi="宋体" w:cs="宋体" w:eastAsia="宋体" w:hint="default"/>
                <w:sz w:val="18"/>
                <w:szCs w:val="18"/>
              </w:rPr>
              <w:t> 公司偏离控制目标。</w:t>
            </w:r>
          </w:p>
          <w:p>
            <w:pPr>
              <w:pStyle w:val="TableParagraph"/>
              <w:spacing w:line="316" w:lineRule="auto" w:before="57"/>
              <w:ind w:left="23" w:right="74"/>
              <w:jc w:val="left"/>
              <w:rPr>
                <w:rFonts w:ascii="宋体" w:hAnsi="宋体" w:cs="宋体" w:eastAsia="宋体" w:hint="default"/>
                <w:sz w:val="18"/>
                <w:szCs w:val="18"/>
              </w:rPr>
            </w:pPr>
            <w:r>
              <w:rPr>
                <w:rFonts w:ascii="宋体" w:hAnsi="宋体" w:cs="宋体" w:eastAsia="宋体" w:hint="default"/>
                <w:b/>
                <w:bCs/>
                <w:sz w:val="18"/>
                <w:szCs w:val="18"/>
              </w:rPr>
              <w:t>③一般缺陷：</w:t>
            </w:r>
            <w:r>
              <w:rPr>
                <w:rFonts w:ascii="宋体" w:hAnsi="宋体" w:cs="宋体" w:eastAsia="宋体" w:hint="default"/>
                <w:sz w:val="18"/>
                <w:szCs w:val="18"/>
              </w:rPr>
              <w:t>不构成重大缺陷或重要缺陷的 其他内部控制缺陷。</w:t>
            </w:r>
          </w:p>
        </w:tc>
        <w:tc>
          <w:tcPr>
            <w:tcW w:w="3332"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8"/>
              <w:ind w:left="16" w:right="56"/>
              <w:jc w:val="left"/>
              <w:rPr>
                <w:rFonts w:ascii="宋体" w:hAnsi="宋体" w:cs="宋体" w:eastAsia="宋体" w:hint="default"/>
                <w:sz w:val="18"/>
                <w:szCs w:val="18"/>
              </w:rPr>
            </w:pPr>
            <w:r>
              <w:rPr>
                <w:rFonts w:ascii="宋体" w:hAnsi="宋体" w:cs="宋体" w:eastAsia="宋体" w:hint="default"/>
                <w:sz w:val="18"/>
                <w:szCs w:val="18"/>
              </w:rPr>
              <w:t>合，其严重程度低于重大缺陷，但仍有可 能导致公司偏离控制目标。</w:t>
            </w:r>
          </w:p>
          <w:p>
            <w:pPr>
              <w:pStyle w:val="TableParagraph"/>
              <w:spacing w:line="316" w:lineRule="auto" w:before="59"/>
              <w:ind w:left="16" w:right="51"/>
              <w:jc w:val="left"/>
              <w:rPr>
                <w:rFonts w:ascii="宋体" w:hAnsi="宋体" w:cs="宋体" w:eastAsia="宋体" w:hint="default"/>
                <w:sz w:val="18"/>
                <w:szCs w:val="18"/>
              </w:rPr>
            </w:pPr>
            <w:r>
              <w:rPr>
                <w:rFonts w:ascii="宋体" w:hAnsi="宋体" w:cs="宋体" w:eastAsia="宋体" w:hint="default"/>
                <w:b/>
                <w:bCs/>
                <w:sz w:val="18"/>
                <w:szCs w:val="18"/>
              </w:rPr>
              <w:t>③一般缺陷：</w:t>
            </w:r>
            <w:r>
              <w:rPr>
                <w:rFonts w:ascii="宋体" w:hAnsi="宋体" w:cs="宋体" w:eastAsia="宋体" w:hint="default"/>
                <w:sz w:val="18"/>
                <w:szCs w:val="18"/>
              </w:rPr>
              <w:t>不构成重大缺陷或重要缺陷 的其他内部控制缺陷。</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312" w:lineRule="exact"/>
              <w:ind w:left="16" w:right="-26"/>
              <w:jc w:val="left"/>
              <w:rPr>
                <w:rFonts w:ascii="宋体" w:hAnsi="宋体" w:cs="宋体" w:eastAsia="宋体" w:hint="default"/>
                <w:sz w:val="20"/>
                <w:szCs w:val="20"/>
              </w:rPr>
            </w:pPr>
            <w:r>
              <w:rPr>
                <w:rFonts w:ascii="宋体" w:hAnsi="宋体" w:cs="宋体" w:eastAsia="宋体" w:hint="default"/>
                <w:position w:val="-5"/>
                <w:sz w:val="20"/>
                <w:szCs w:val="20"/>
              </w:rPr>
              <w:pict>
                <v:group style="width:163.7pt;height:15.6pt;mso-position-horizontal-relative:char;mso-position-vertical-relative:line" coordorigin="0,0" coordsize="3274,312">
                  <v:group style="position:absolute;left:0;top:0;width:3274;height:312" coordorigin="0,0" coordsize="3274,312">
                    <v:shape style="position:absolute;left:0;top:0;width:3274;height:312" coordorigin="0,0" coordsize="3274,312" path="m0,312l3274,312,327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tc>
      </w:tr>
      <w:tr>
        <w:trPr>
          <w:trHeight w:val="5204"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43"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公司所采用标准直接取决于该内部控制缺陷 造成财产损失大小，根据损失占公司上一年 度合并报表的潜在错报项目总额的比率作为 判断标准。</w:t>
            </w:r>
          </w:p>
          <w:p>
            <w:pPr>
              <w:pStyle w:val="TableParagraph"/>
              <w:spacing w:line="316" w:lineRule="auto" w:before="58"/>
              <w:ind w:left="23" w:right="-41"/>
              <w:jc w:val="left"/>
              <w:rPr>
                <w:rFonts w:ascii="宋体" w:hAnsi="宋体" w:cs="宋体" w:eastAsia="宋体" w:hint="default"/>
                <w:sz w:val="18"/>
                <w:szCs w:val="18"/>
              </w:rPr>
            </w:pPr>
            <w:r>
              <w:rPr>
                <w:rFonts w:ascii="宋体" w:hAnsi="宋体" w:cs="宋体" w:eastAsia="宋体" w:hint="default"/>
                <w:b/>
                <w:bCs/>
                <w:spacing w:val="-4"/>
                <w:w w:val="99"/>
                <w:sz w:val="18"/>
                <w:szCs w:val="18"/>
              </w:rPr>
              <w:t>①重大缺陷：</w:t>
            </w:r>
            <w:r>
              <w:rPr>
                <w:rFonts w:ascii="宋体" w:hAnsi="宋体" w:cs="宋体" w:eastAsia="宋体" w:hint="default"/>
                <w:spacing w:val="-4"/>
                <w:w w:val="99"/>
                <w:sz w:val="18"/>
                <w:szCs w:val="18"/>
              </w:rPr>
              <w:t>潜在错报≥营业收入总额的</w:t>
            </w:r>
            <w:r>
              <w:rPr>
                <w:rFonts w:ascii="宋体" w:hAnsi="宋体" w:cs="宋体" w:eastAsia="宋体" w:hint="default"/>
                <w:spacing w:val="-42"/>
                <w:w w:val="99"/>
                <w:sz w:val="18"/>
                <w:szCs w:val="18"/>
              </w:rPr>
              <w:t> </w:t>
            </w:r>
            <w:r>
              <w:rPr>
                <w:rFonts w:ascii="宋体" w:hAnsi="宋体" w:cs="宋体" w:eastAsia="宋体"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潜在错报≥利润总额的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；潜在错报≥资产 总额的</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b/>
                <w:bCs/>
                <w:sz w:val="18"/>
                <w:szCs w:val="18"/>
              </w:rPr>
              <w:t>②重要缺陷：</w:t>
            </w:r>
            <w:r>
              <w:rPr>
                <w:rFonts w:ascii="宋体" w:hAnsi="宋体" w:cs="宋体" w:eastAsia="宋体" w:hint="default"/>
                <w:sz w:val="18"/>
                <w:szCs w:val="18"/>
              </w:rPr>
              <w:t>营业收入总额的</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≤潜在错报</w:t>
            </w:r>
          </w:p>
          <w:p>
            <w:pPr>
              <w:pStyle w:val="TableParagraph"/>
              <w:spacing w:line="316" w:lineRule="auto" w:before="76"/>
              <w:ind w:left="23" w:right="10"/>
              <w:jc w:val="both"/>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2"/>
                <w:sz w:val="18"/>
                <w:szCs w:val="18"/>
              </w:rPr>
              <w:t> </w:t>
            </w:r>
            <w:r>
              <w:rPr>
                <w:rFonts w:ascii="宋体" w:hAnsi="宋体" w:cs="宋体" w:eastAsia="宋体" w:hint="default"/>
                <w:spacing w:val="-4"/>
                <w:sz w:val="18"/>
                <w:szCs w:val="18"/>
              </w:rPr>
              <w:t>3%</w:t>
            </w:r>
            <w:r>
              <w:rPr>
                <w:rFonts w:ascii="宋体" w:hAnsi="宋体" w:cs="宋体" w:eastAsia="宋体" w:hint="default"/>
                <w:spacing w:val="-4"/>
                <w:sz w:val="18"/>
                <w:szCs w:val="18"/>
              </w:rPr>
              <w:t>；利润总额的</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z w:val="18"/>
                <w:szCs w:val="18"/>
              </w:rPr>
              <w:t>≤潜在 错报＜利润总额的</w:t>
            </w:r>
            <w:r>
              <w:rPr>
                <w:rFonts w:ascii="宋体" w:hAnsi="宋体" w:cs="宋体" w:eastAsia="宋体" w:hint="default"/>
                <w:spacing w:val="-42"/>
                <w:sz w:val="18"/>
                <w:szCs w:val="18"/>
              </w:rPr>
              <w:t> </w:t>
            </w:r>
            <w:r>
              <w:rPr>
                <w:rFonts w:ascii="宋体" w:hAnsi="宋体" w:cs="宋体" w:eastAsia="宋体" w:hint="default"/>
                <w:spacing w:val="-4"/>
                <w:sz w:val="18"/>
                <w:szCs w:val="18"/>
              </w:rPr>
              <w:t>3%</w:t>
            </w:r>
            <w:r>
              <w:rPr>
                <w:rFonts w:ascii="宋体" w:hAnsi="宋体" w:cs="宋体" w:eastAsia="宋体" w:hint="default"/>
                <w:spacing w:val="-4"/>
                <w:sz w:val="18"/>
                <w:szCs w:val="18"/>
              </w:rPr>
              <w:t>；资产总额的</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z w:val="18"/>
                <w:szCs w:val="18"/>
              </w:rPr>
              <w:t>≤潜在 错报＜资产总额的</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319" w:lineRule="auto" w:before="59"/>
              <w:ind w:left="23" w:right="-41"/>
              <w:jc w:val="left"/>
              <w:rPr>
                <w:rFonts w:ascii="宋体" w:hAnsi="宋体" w:cs="宋体" w:eastAsia="宋体" w:hint="default"/>
                <w:sz w:val="18"/>
                <w:szCs w:val="18"/>
              </w:rPr>
            </w:pPr>
            <w:r>
              <w:rPr>
                <w:rFonts w:ascii="宋体" w:hAnsi="宋体" w:cs="宋体" w:eastAsia="宋体" w:hint="default"/>
                <w:b/>
                <w:bCs/>
                <w:spacing w:val="-4"/>
                <w:w w:val="99"/>
                <w:sz w:val="18"/>
                <w:szCs w:val="18"/>
              </w:rPr>
              <w:t>③一般缺陷：</w:t>
            </w:r>
            <w:r>
              <w:rPr>
                <w:rFonts w:ascii="宋体" w:hAnsi="宋体" w:cs="宋体" w:eastAsia="宋体" w:hint="default"/>
                <w:spacing w:val="-4"/>
                <w:w w:val="99"/>
                <w:sz w:val="18"/>
                <w:szCs w:val="18"/>
              </w:rPr>
              <w:t>潜在错报＜营业收入总额的</w:t>
            </w:r>
            <w:r>
              <w:rPr>
                <w:rFonts w:ascii="宋体" w:hAnsi="宋体" w:cs="宋体" w:eastAsia="宋体" w:hint="default"/>
                <w:spacing w:val="-42"/>
                <w:w w:val="99"/>
                <w:sz w:val="18"/>
                <w:szCs w:val="18"/>
              </w:rPr>
              <w:t> </w:t>
            </w:r>
            <w:r>
              <w:rPr>
                <w:rFonts w:ascii="宋体" w:hAnsi="宋体" w:cs="宋体" w:eastAsia="宋体"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潜在错报＜利润总额的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；潜在错报＜资产 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。当某项内部控制缺陷导致的潜在 错报影响多项指标时，按孰低原则认定缺陷 性质。</w:t>
            </w:r>
          </w:p>
        </w:tc>
        <w:tc>
          <w:tcPr>
            <w:tcW w:w="333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16" w:right="56"/>
              <w:jc w:val="both"/>
              <w:rPr>
                <w:rFonts w:ascii="宋体" w:hAnsi="宋体" w:cs="宋体" w:eastAsia="宋体" w:hint="default"/>
                <w:sz w:val="18"/>
                <w:szCs w:val="18"/>
              </w:rPr>
            </w:pPr>
            <w:r>
              <w:rPr>
                <w:rFonts w:ascii="宋体" w:hAnsi="宋体" w:cs="宋体" w:eastAsia="宋体" w:hint="default"/>
                <w:sz w:val="18"/>
                <w:szCs w:val="18"/>
              </w:rPr>
              <w:t>公司所采用标准直接取决于该内部控制缺 陷造成财产损失大小，根据损失占公司上 一年度合并报表资产总额的比率作为判断 标准。</w:t>
            </w:r>
          </w:p>
          <w:p>
            <w:pPr>
              <w:pStyle w:val="TableParagraph"/>
              <w:spacing w:line="240" w:lineRule="auto" w:before="59"/>
              <w:ind w:left="16" w:right="0"/>
              <w:jc w:val="both"/>
              <w:rPr>
                <w:rFonts w:ascii="宋体" w:hAnsi="宋体" w:cs="宋体" w:eastAsia="宋体" w:hint="default"/>
                <w:sz w:val="18"/>
                <w:szCs w:val="18"/>
              </w:rPr>
            </w:pPr>
            <w:r>
              <w:rPr>
                <w:rFonts w:ascii="宋体" w:hAnsi="宋体" w:cs="宋体" w:eastAsia="宋体" w:hint="default"/>
                <w:b/>
                <w:bCs/>
                <w:sz w:val="18"/>
                <w:szCs w:val="18"/>
              </w:rPr>
              <w:t>①重大缺陷：</w:t>
            </w:r>
            <w:r>
              <w:rPr>
                <w:rFonts w:ascii="宋体" w:hAnsi="宋体" w:cs="宋体" w:eastAsia="宋体" w:hint="default"/>
                <w:sz w:val="18"/>
                <w:szCs w:val="18"/>
              </w:rPr>
              <w:t>损失金额≥资产总额的</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316" w:lineRule="auto" w:before="115"/>
              <w:ind w:left="16" w:right="19"/>
              <w:jc w:val="both"/>
              <w:rPr>
                <w:rFonts w:ascii="宋体" w:hAnsi="宋体" w:cs="宋体" w:eastAsia="宋体" w:hint="default"/>
                <w:sz w:val="18"/>
                <w:szCs w:val="18"/>
              </w:rPr>
            </w:pPr>
            <w:r>
              <w:rPr>
                <w:rFonts w:ascii="宋体" w:hAnsi="宋体" w:cs="宋体" w:eastAsia="宋体" w:hint="default"/>
                <w:b/>
                <w:bCs/>
                <w:sz w:val="18"/>
                <w:szCs w:val="18"/>
              </w:rPr>
              <w:t>②重要缺陷：</w:t>
            </w:r>
            <w:r>
              <w:rPr>
                <w:rFonts w:ascii="宋体" w:hAnsi="宋体" w:cs="宋体" w:eastAsia="宋体" w:hint="default"/>
                <w:sz w:val="18"/>
                <w:szCs w:val="18"/>
              </w:rPr>
              <w:t>资产总额的</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z w:val="18"/>
                <w:szCs w:val="18"/>
              </w:rPr>
              <w:t>≤损失金额＜ 资产总额的</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40" w:lineRule="auto" w:before="59"/>
              <w:ind w:left="16" w:right="0"/>
              <w:jc w:val="both"/>
              <w:rPr>
                <w:rFonts w:ascii="宋体" w:hAnsi="宋体" w:cs="宋体" w:eastAsia="宋体" w:hint="default"/>
                <w:sz w:val="18"/>
                <w:szCs w:val="18"/>
              </w:rPr>
            </w:pPr>
            <w:r>
              <w:rPr>
                <w:rFonts w:ascii="宋体" w:hAnsi="宋体" w:cs="宋体" w:eastAsia="宋体" w:hint="default"/>
                <w:b/>
                <w:bCs/>
                <w:sz w:val="18"/>
                <w:szCs w:val="18"/>
              </w:rPr>
              <w:t>③一般缺陷：</w:t>
            </w:r>
            <w:r>
              <w:rPr>
                <w:rFonts w:ascii="宋体" w:hAnsi="宋体" w:cs="宋体" w:eastAsia="宋体" w:hint="default"/>
                <w:sz w:val="18"/>
                <w:szCs w:val="18"/>
              </w:rPr>
              <w:t>损失金额＜资产总额的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52" w:lineRule="exact"/>
              <w:ind w:left="16" w:right="-26"/>
              <w:jc w:val="left"/>
              <w:rPr>
                <w:rFonts w:ascii="宋体" w:hAnsi="宋体" w:cs="宋体" w:eastAsia="宋体" w:hint="default"/>
                <w:sz w:val="20"/>
                <w:szCs w:val="20"/>
              </w:rPr>
            </w:pPr>
            <w:r>
              <w:rPr>
                <w:rFonts w:ascii="宋体" w:hAnsi="宋体" w:cs="宋体" w:eastAsia="宋体" w:hint="default"/>
                <w:position w:val="-6"/>
                <w:sz w:val="20"/>
                <w:szCs w:val="20"/>
              </w:rPr>
              <w:pict>
                <v:group style="width:163.7pt;height:17.650pt;mso-position-horizontal-relative:char;mso-position-vertical-relative:line" coordorigin="0,0" coordsize="3274,353">
                  <v:group style="position:absolute;left:0;top:0;width:3274;height:353" coordorigin="0,0" coordsize="3274,353">
                    <v:shape style="position:absolute;left:0;top:0;width:3274;height:353" coordorigin="0,0" coordsize="3274,353" path="m0,353l3274,353,3274,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352" w:lineRule="exact"/>
              <w:ind w:left="16" w:right="-26"/>
              <w:jc w:val="left"/>
              <w:rPr>
                <w:rFonts w:ascii="宋体" w:hAnsi="宋体" w:cs="宋体" w:eastAsia="宋体" w:hint="default"/>
                <w:sz w:val="20"/>
                <w:szCs w:val="20"/>
              </w:rPr>
            </w:pPr>
            <w:r>
              <w:rPr>
                <w:rFonts w:ascii="宋体" w:hAnsi="宋体" w:cs="宋体" w:eastAsia="宋体" w:hint="default"/>
                <w:position w:val="-6"/>
                <w:sz w:val="20"/>
                <w:szCs w:val="20"/>
              </w:rPr>
              <w:pict>
                <v:group style="width:163.7pt;height:17.650pt;mso-position-horizontal-relative:char;mso-position-vertical-relative:line" coordorigin="0,0" coordsize="3274,353">
                  <v:group style="position:absolute;left:0;top:0;width:3274;height:353" coordorigin="0,0" coordsize="3274,353">
                    <v:shape style="position:absolute;left:0;top:0;width:3274;height:353" coordorigin="0,0" coordsize="3274,353" path="m0,353l3274,353,3274,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日在所有重大方 面保持了与财务报表相关的有效的内部控制。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pacing w:val="1"/>
                  <w:sz w:val="18"/>
                  <w:szCs w:val="18"/>
                </w:rPr>
                <w:t>ww</w:t>
              </w:r>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n</w:t>
              </w:r>
              <w:r>
                <w:rPr>
                  <w:rFonts w:ascii="宋体" w:hAnsi="宋体" w:cs="宋体" w:eastAsia="宋体" w:hint="default"/>
                  <w:spacing w:val="-2"/>
                  <w:sz w:val="18"/>
                  <w:szCs w:val="18"/>
                </w:rPr>
                <w:t>i</w:t>
              </w:r>
              <w:r>
                <w:rPr>
                  <w:rFonts w:ascii="宋体" w:hAnsi="宋体" w:cs="宋体" w:eastAsia="宋体" w:hint="default"/>
                  <w:spacing w:val="1"/>
                  <w:sz w:val="18"/>
                  <w:szCs w:val="18"/>
                </w:rPr>
                <w:t>n</w:t>
              </w:r>
              <w:r>
                <w:rPr>
                  <w:rFonts w:ascii="宋体" w:hAnsi="宋体" w:cs="宋体" w:eastAsia="宋体" w:hint="default"/>
                  <w:spacing w:val="-2"/>
                  <w:sz w:val="18"/>
                  <w:szCs w:val="18"/>
                </w:rPr>
                <w:t>f</w:t>
              </w:r>
              <w:r>
                <w:rPr>
                  <w:rFonts w:ascii="宋体" w:hAnsi="宋体" w:cs="宋体" w:eastAsia="宋体" w:hint="default"/>
                  <w:spacing w:val="1"/>
                  <w:sz w:val="18"/>
                  <w:szCs w:val="18"/>
                </w:rPr>
                <w:t>o</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o</w:t>
              </w:r>
              <w:r>
                <w:rPr>
                  <w:rFonts w:ascii="宋体" w:hAnsi="宋体" w:cs="宋体" w:eastAsia="宋体" w:hint="default"/>
                  <w:spacing w:val="1"/>
                  <w:sz w:val="18"/>
                  <w:szCs w:val="18"/>
                </w:rPr>
                <w:t>m</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《内部控制鉴证报告》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6" w:top="1060" w:bottom="138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53"/>
        <w:jc w:val="left"/>
      </w:pPr>
      <w:r>
        <w:rPr/>
        <w:t>会计师事务所是否出具非标准意见的内部控制鉴证报告</w:t>
      </w:r>
    </w:p>
    <w:p>
      <w:pPr>
        <w:pStyle w:val="BodyText"/>
        <w:spacing w:line="357" w:lineRule="auto" w:before="117"/>
        <w:ind w:right="3654"/>
        <w:jc w:val="left"/>
      </w:pPr>
      <w:r>
        <w:rPr/>
        <w:t>□ 是 √</w:t>
      </w:r>
      <w:r>
        <w:rPr>
          <w:spacing w:val="3"/>
        </w:rPr>
        <w:t> </w:t>
      </w:r>
      <w:r>
        <w:rPr/>
        <w:t>否</w:t>
      </w:r>
      <w:r>
        <w:rPr/>
        <w:t> 会计师事务所出具的内部控制鉴证报告与董事会的自我评价报告意见是否一致</w:t>
      </w:r>
    </w:p>
    <w:p>
      <w:pPr>
        <w:pStyle w:val="BodyText"/>
        <w:spacing w:line="240" w:lineRule="auto" w:before="29"/>
        <w:ind w:right="153"/>
        <w:jc w:val="left"/>
      </w:pPr>
      <w:r>
        <w:rPr/>
        <w:t>√ 是 □</w:t>
      </w:r>
      <w:r>
        <w:rPr>
          <w:spacing w:val="3"/>
        </w:rPr>
        <w:t> </w:t>
      </w:r>
      <w:r>
        <w:rPr/>
        <w:t>否</w:t>
      </w:r>
    </w:p>
    <w:p>
      <w:pPr>
        <w:spacing w:after="0" w:line="240" w:lineRule="auto"/>
        <w:jc w:val="left"/>
        <w:sectPr>
          <w:pgSz w:w="11910" w:h="16840"/>
          <w:pgMar w:header="877"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5748"/>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310039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陈琼、钟宇</w:t>
            </w:r>
          </w:p>
        </w:tc>
      </w:tr>
    </w:tbl>
    <w:p>
      <w:pPr>
        <w:pStyle w:val="BodyText"/>
        <w:spacing w:line="240" w:lineRule="auto" w:before="49"/>
        <w:ind w:left="3429" w:right="3467"/>
        <w:jc w:val="center"/>
      </w:pPr>
      <w:r>
        <w:rPr/>
        <w:t>审计报告正文</w:t>
      </w:r>
    </w:p>
    <w:p>
      <w:pPr>
        <w:pStyle w:val="Heading4"/>
        <w:spacing w:line="240" w:lineRule="auto" w:before="115"/>
        <w:ind w:left="152" w:right="5748"/>
        <w:jc w:val="left"/>
        <w:rPr>
          <w:b w:val="0"/>
          <w:bCs w:val="0"/>
        </w:rPr>
      </w:pPr>
      <w:r>
        <w:rPr/>
        <w:t>深圳市惠程电气股份有限公司全体股东：</w:t>
      </w:r>
      <w:r>
        <w:rPr>
          <w:b w:val="0"/>
          <w:bCs w:val="0"/>
        </w:rPr>
      </w:r>
    </w:p>
    <w:p>
      <w:pPr>
        <w:pStyle w:val="BodyText"/>
        <w:spacing w:line="316" w:lineRule="auto" w:before="76"/>
        <w:ind w:right="186" w:firstLine="360"/>
        <w:jc w:val="both"/>
      </w:pPr>
      <w:r>
        <w:rPr>
          <w:spacing w:val="-2"/>
        </w:rPr>
        <w:t>我们审计了后附的深圳市惠程电气股份有限公司（以下简称深圳惠程）财务报表，包括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w:t>
      </w:r>
      <w:r>
        <w:rPr/>
        <w:t> </w:t>
      </w:r>
      <w:r>
        <w:rPr>
          <w:spacing w:val="-2"/>
        </w:rPr>
        <w:t>产负债表、</w:t>
      </w:r>
      <w:r>
        <w:rPr>
          <w:rFonts w:ascii="宋体" w:hAnsi="宋体" w:cs="宋体" w:eastAsia="宋体" w:hint="default"/>
          <w:spacing w:val="-2"/>
        </w:rPr>
        <w:t>2015</w:t>
      </w:r>
      <w:r>
        <w:rPr>
          <w:spacing w:val="-2"/>
        </w:rPr>
        <w:t>年度的合并及公司利润表、</w:t>
      </w:r>
      <w:r>
        <w:rPr>
          <w:rFonts w:ascii="宋体" w:hAnsi="宋体" w:cs="宋体" w:eastAsia="宋体" w:hint="default"/>
          <w:spacing w:val="-2"/>
        </w:rPr>
        <w:t>2015</w:t>
      </w:r>
      <w:r>
        <w:rPr>
          <w:spacing w:val="-2"/>
        </w:rPr>
        <w:t>年度的合并及公司现金流量表、</w:t>
      </w:r>
      <w:r>
        <w:rPr>
          <w:rFonts w:ascii="宋体" w:hAnsi="宋体" w:cs="宋体" w:eastAsia="宋体" w:hint="default"/>
          <w:spacing w:val="-2"/>
        </w:rPr>
        <w:t>2015</w:t>
      </w:r>
      <w:r>
        <w:rPr>
          <w:spacing w:val="-2"/>
        </w:rPr>
        <w:t>年度的合并及公司所有者权益变动表以</w:t>
      </w:r>
      <w:r>
        <w:rPr>
          <w:spacing w:val="-55"/>
        </w:rPr>
        <w:t> </w:t>
      </w:r>
      <w:r>
        <w:rPr>
          <w:spacing w:val="-55"/>
        </w:rPr>
      </w:r>
      <w:r>
        <w:rPr/>
        <w:t>及财务报表附注。</w:t>
      </w:r>
    </w:p>
    <w:p>
      <w:pPr>
        <w:spacing w:line="316" w:lineRule="auto" w:before="19"/>
        <w:ind w:left="513" w:right="183" w:hanging="8"/>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）按照企业会计准则的规定编制财务报表，并使</w:t>
      </w:r>
    </w:p>
    <w:p>
      <w:pPr>
        <w:pStyle w:val="BodyText"/>
        <w:spacing w:line="319" w:lineRule="auto" w:before="19"/>
        <w:ind w:left="506" w:right="94" w:hanging="354"/>
        <w:jc w:val="left"/>
      </w:pPr>
      <w:r>
        <w:rPr/>
        <w:t>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7"/>
        <w:ind w:right="94"/>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16" w:lineRule="auto" w:before="19"/>
        <w:ind w:left="506" w:right="3153" w:firstLine="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9" w:lineRule="auto" w:before="59"/>
        <w:ind w:right="94" w:firstLine="362"/>
        <w:jc w:val="left"/>
      </w:pPr>
      <w:r>
        <w:rPr>
          <w:spacing w:val="-2"/>
        </w:rPr>
        <w:t>我们认为，深圳惠程财务报表在所有重大方面按照企业会计准则的规定编制，公允反映了深圳惠程</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w:t>
      </w:r>
      <w:r>
        <w:rPr/>
        <w:t> 务状况以及</w:t>
      </w:r>
      <w:r>
        <w:rPr>
          <w:rFonts w:ascii="宋体" w:hAnsi="宋体" w:cs="宋体" w:eastAsia="宋体" w:hint="default"/>
        </w:rPr>
        <w:t>2015</w:t>
      </w:r>
      <w:r>
        <w:rPr/>
        <w:t>年度的经营成果和现金流量。</w:t>
      </w:r>
    </w:p>
    <w:p>
      <w:pPr>
        <w:spacing w:line="240" w:lineRule="auto" w:before="7"/>
        <w:rPr>
          <w:rFonts w:ascii="宋体" w:hAnsi="宋体" w:cs="宋体" w:eastAsia="宋体" w:hint="default"/>
          <w:sz w:val="20"/>
          <w:szCs w:val="20"/>
        </w:rPr>
      </w:pPr>
    </w:p>
    <w:p>
      <w:pPr>
        <w:pStyle w:val="Heading2"/>
        <w:spacing w:line="240" w:lineRule="auto"/>
        <w:ind w:right="5748"/>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5748"/>
        <w:jc w:val="left"/>
      </w:pPr>
      <w:r>
        <w:rPr/>
        <w:t>财务附注中报表的单位为：人民币元</w:t>
      </w:r>
    </w:p>
    <w:p>
      <w:pPr>
        <w:spacing w:after="0" w:line="240" w:lineRule="auto"/>
        <w:jc w:val="left"/>
        <w:sectPr>
          <w:pgSz w:w="11910" w:h="16840"/>
          <w:pgMar w:header="877" w:footer="1186" w:top="1060" w:bottom="13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1</w:t>
      </w:r>
      <w:r>
        <w:rPr/>
        <w:t>、合并资产负债表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6" w:top="1060" w:bottom="1380" w:left="980" w:right="980"/>
        </w:sectPr>
      </w:pPr>
    </w:p>
    <w:p>
      <w:pPr>
        <w:pStyle w:val="BodyText"/>
        <w:spacing w:line="240" w:lineRule="auto" w:before="44"/>
        <w:ind w:right="-20"/>
        <w:jc w:val="left"/>
      </w:pPr>
      <w:r>
        <w:rPr/>
        <w:t>编制单位：深圳市惠程电气股份有限公司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380" w:left="980" w:right="980"/>
          <w:cols w:num="3" w:equalWidth="0">
            <w:col w:w="3393" w:space="68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406,626,084.56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361,903,081.98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859,530.00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4,601,040.50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97,332,332.67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130,024,537.39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1,965,369.42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11,315,321.66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735,616.44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8,763,945.96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14,976,641.42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50,247,545.69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115,066,625.93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543,409,278.01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317,039,216.88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1,109,939,702.75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954,926,465.76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109,093.66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119,110.38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10,552,368.08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6,219,330.85</w:t>
            </w:r>
          </w:p>
        </w:tc>
      </w:tr>
    </w:tbl>
    <w:p>
      <w:pPr>
        <w:spacing w:after="0" w:line="240" w:lineRule="auto"/>
        <w:jc w:val="right"/>
        <w:rPr>
          <w:rFonts w:ascii="宋体" w:hAnsi="宋体" w:cs="宋体" w:eastAsia="宋体" w:hint="default"/>
          <w:sz w:val="18"/>
          <w:szCs w:val="18"/>
        </w:rPr>
        <w:sectPr>
          <w:type w:val="continuous"/>
          <w:pgSz w:w="11910" w:h="16840"/>
          <w:pgMar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117,369,604.13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431,355,322.57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81,969,140.00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46,343,833.75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11,288,116.84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115,665,223.84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14,105,401.05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2,850,049.14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1,216,031.56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2,680,369.96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11,606,791.19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12,078,891.78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43,503,500.00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2,021,749.02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277,614,645.46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633,439,282.34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1,387,554,348.21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1,588,365,748.10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11,372,048.74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44,720,749.22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59,675,617.19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3,090,244.86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6,882,988.06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7,980,444.51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4,861,855.51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14,112,874.55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5,604,307.79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143,710,303.42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149,597,402.82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7,654,894.29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224,986,665.30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264,827,065.66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60,496,203.76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60,496,203.76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226,936,665.30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325,323,269.42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772,804,768.00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757,104,768.00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69,317,727.62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14,486,313.53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81,762,800.00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-88,736.08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-31,938.73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70,824,048.96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70,824,048.96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329,522,674.41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201,191,136.29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1,160,617,682.91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1,043,574,328.05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219,468,150.63</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1,160,617,682.91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1,263,042,478.68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1,387,554,348.21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1,588,365,748.10</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245"/>
        <w:jc w:val="right"/>
      </w:pPr>
      <w:r>
        <w:rPr/>
        <w:t>法定代表人：纪晓文</w:t>
        <w:tab/>
      </w:r>
      <w:r>
        <w:rPr>
          <w:spacing w:val="-1"/>
        </w:rPr>
        <w:t>主管会计工作负责人：田青</w:t>
        <w:tab/>
      </w:r>
      <w:r>
        <w:rPr/>
        <w:t>会计机构负责人：程昭霞</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、母公司资产负债表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176,015,862.86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324,809,333.33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859,530.00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97,332,332.67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121,822,678.41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1,965,369.42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3,699,316.84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735,616.44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2,370,378.79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443,378,170.81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16,457,809.56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50,191,706.44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64,632,863.39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39,988,790.66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161,307,129.67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281,237,159.47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931,785,718.31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855,018,330.45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0.00</w:t>
            </w:r>
            <w:r>
              <w:rPr>
                <w:rFonts w:ascii="宋体"/>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236,818,618.66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302,560,945.06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10,552,368.08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6,219,330.85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116,760,867.73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138,882,282.09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2,521,367.52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11,288,116.84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12,064,943.84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1,216,031.56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1,743,598.73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11,594,605.69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12,078,891.78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1,557,200.00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388,230,608.56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477,628,559.87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1,320,016,326.87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1,332,646,890.32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11,372,048.74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44,719,739.72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48,714,291.18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3,090,244.86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3,662,390.86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7,820,543.26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3,261,853.76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2,493,021.64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3,768,675.31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143,173,542.51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149,136,033.19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212,669,140.73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219,093,244.30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214,619,140.73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229,043,244.30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772,804,768.00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757,104,768.00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69,432,670.59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8,874,070.59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81,762,800.00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70,824,048.96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70,824,048.96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274,098,498.59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266,800,758.47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1,105,397,186.14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1,103,603,646.02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1,320,016,326.87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1,332,646,890.32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宋体" w:hAnsi="宋体" w:cs="宋体" w:eastAsia="宋体" w:hint="default"/>
        </w:rPr>
        <w:t>3</w:t>
      </w:r>
      <w:r>
        <w:rPr/>
        <w:t>、合并利润表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209,370,332.34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313,200,970.58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209,370,332.34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313,200,970.58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282,009,921.67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437,326,952.96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137,875,211.36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222,531,838.85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2,241,539.94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2,087,883.59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47,439,473.03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79,594,593.58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81,978,681.32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109,884,156.87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-1,171,518.79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-3,349,305.27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13,646,534.81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26,577,785.34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201,433,587.99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6,214,082.92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2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128,793,998.66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-117,911,899.46</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7,725,816.31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11,302,472.86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100,694.21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93,806.81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1,222,231.31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13,321,838.36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949,782.73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5,084,345.29</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135,297,583.66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-119,931,264.96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12,073,106.72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-545,722.64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123,224,476.94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-119,385,542.32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128,331,538.12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-88,852,296.24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-5,107,061.18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-30,533,246.08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-56,797.35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-3,072.85</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-56,797.35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-3,072.85</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67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-56,797.35</w:t>
            </w:r>
            <w:r>
              <w:rPr>
                <w:rFonts w:ascii="宋体"/>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-3,072.85</w:t>
            </w: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-56,797.35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-3,072.85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0.00</w:t>
            </w:r>
            <w:r>
              <w:rPr>
                <w:rFonts w:ascii="宋体"/>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123,167,679.59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-119,388,615.17</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128,274,740.77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-88,855,369.09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-5,107,061.18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-30,533,246.08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-0.12</w:t>
            </w:r>
          </w:p>
        </w:tc>
      </w:tr>
    </w:tbl>
    <w:p>
      <w:pPr>
        <w:pStyle w:val="BodyText"/>
        <w:tabs>
          <w:tab w:pos="3667" w:val="left" w:leader="none"/>
          <w:tab w:pos="7718" w:val="left" w:leader="none"/>
        </w:tabs>
        <w:spacing w:line="612" w:lineRule="auto" w:before="49"/>
        <w:ind w:right="160"/>
        <w:jc w:val="left"/>
        <w:rPr>
          <w:rFonts w:ascii="宋体" w:hAnsi="宋体" w:cs="宋体" w:eastAsia="宋体" w:hint="default"/>
          <w:sz w:val="21"/>
          <w:szCs w:val="21"/>
        </w:rPr>
      </w:pPr>
      <w:r>
        <w:rPr/>
        <w:t>本期发生同一控制下企业合并的，被合并方在合并前实现的净利润为：</w:t>
      </w:r>
      <w:r>
        <w:rPr>
          <w:rFonts w:ascii="宋体" w:hAnsi="宋体" w:cs="宋体" w:eastAsia="宋体" w:hint="default"/>
        </w:rPr>
        <w:t>0.00</w:t>
      </w:r>
      <w:r>
        <w:rPr>
          <w:rFonts w:ascii="宋体" w:hAnsi="宋体" w:cs="宋体" w:eastAsia="宋体" w:hint="default"/>
          <w:spacing w:val="-44"/>
        </w:rPr>
        <w:t> </w:t>
      </w:r>
      <w:r>
        <w:rPr/>
        <w:t>元，上期被合并方实现的净利润为：</w:t>
      </w:r>
      <w:r>
        <w:rPr>
          <w:rFonts w:ascii="宋体" w:hAnsi="宋体" w:cs="宋体" w:eastAsia="宋体" w:hint="default"/>
        </w:rPr>
        <w:t>0.00</w:t>
      </w:r>
      <w:r>
        <w:rPr>
          <w:rFonts w:ascii="宋体" w:hAnsi="宋体" w:cs="宋体" w:eastAsia="宋体" w:hint="default"/>
          <w:spacing w:val="-44"/>
        </w:rPr>
        <w:t> </w:t>
      </w:r>
      <w:r>
        <w:rPr>
          <w:spacing w:val="-3"/>
        </w:rPr>
        <w:t>元。 </w:t>
      </w:r>
      <w:r>
        <w:rPr/>
        <w:t>法定代表人：纪晓文</w:t>
        <w:tab/>
      </w:r>
      <w:r>
        <w:rPr>
          <w:spacing w:val="-1"/>
        </w:rPr>
        <w:t>主管会计工作负责人：田青</w:t>
        <w:tab/>
      </w:r>
      <w:r>
        <w:rPr/>
        <w:t>会计机构负责人：程昭霞</w:t>
      </w:r>
      <w:r>
        <w:rPr/>
        <w:t> </w:t>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3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195,006,041.85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267,724,153.05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123,563,807.01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177,366,162.21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2,241,539.94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2,087,883.59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46,351,617.19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75,624,122.54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64,623,164.01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60,309,179.00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-2,986,941.47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-6,562,761.88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12,486,770.34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13,762,912.40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369995pt;margin-top:179.11998pt;width:163.35pt;height:20.65pt;mso-position-horizontal-relative:page;mso-position-vertical-relative:page;z-index:-1060456" coordorigin="4107,3582" coordsize="3267,413">
            <v:group style="position:absolute;left:4118;top:3593;width:2;height:392" coordorigin="4118,3593" coordsize="2,392">
              <v:shape style="position:absolute;left:4118;top:3593;width:2;height:392" coordorigin="4118,3593" coordsize="0,392" path="m4118,3593l4118,3984e" filled="false" stroked="true" strokeweight="1.08pt" strokecolor="#ffffff">
                <v:path arrowok="t"/>
              </v:shape>
            </v:group>
            <v:group style="position:absolute;left:4129;top:3593;width:3246;height:392" coordorigin="4129,3593" coordsize="3246,392">
              <v:shape style="position:absolute;left:4129;top:3593;width:3246;height:392" coordorigin="4129,3593" coordsize="3246,392" path="m4129,3984l7374,3984,7374,3593,4129,3593,4129,3984xe" filled="true" fillcolor="#ffffff" stroked="false">
                <v:path arrowok="t"/>
                <v:fill type="solid"/>
              </v:shape>
            </v:group>
            <w10:wrap type="none"/>
          </v:group>
        </w:pict>
      </w:r>
      <w:r>
        <w:rPr/>
        <w:pict>
          <v:group style="position:absolute;margin-left:205.369995pt;margin-top:335.389984pt;width:163.35pt;height:20.65pt;mso-position-horizontal-relative:page;mso-position-vertical-relative:page;z-index:-1060432" coordorigin="4107,6708" coordsize="3267,413">
            <v:group style="position:absolute;left:4118;top:6719;width:2;height:392" coordorigin="4118,6719" coordsize="2,392">
              <v:shape style="position:absolute;left:4118;top:6719;width:2;height:392" coordorigin="4118,6719" coordsize="0,392" path="m4118,6719l4118,7110e" filled="false" stroked="true" strokeweight="1.08pt" strokecolor="#ffffff">
                <v:path arrowok="t"/>
              </v:shape>
            </v:group>
            <v:group style="position:absolute;left:4129;top:6719;width:3246;height:392" coordorigin="4129,6719" coordsize="3246,392">
              <v:shape style="position:absolute;left:4129;top:6719;width:3246;height:392" coordorigin="4129,6719" coordsize="3246,392" path="m4129,7110l7374,7110,7374,6719,4129,6719,4129,71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54,832,553.40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9,272,231.10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tabs>
                <w:tab w:pos="2188" w:val="left" w:leader="none"/>
              </w:tabs>
              <w:spacing w:line="240" w:lineRule="auto" w:before="51"/>
              <w:ind w:left="-123" w:right="19"/>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3,558,638.23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-45,591,113.71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5,446,217.25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1,337,579.04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100,694.21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66,579.04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1,222,231.31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10,980,809.56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949,782.73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2,853,806.15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7,782,624.17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-55,234,344.23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484,884.05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-7,925,970.67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tabs>
                <w:tab w:pos="2188" w:val="left" w:leader="none"/>
              </w:tabs>
              <w:spacing w:line="240" w:lineRule="auto" w:before="49"/>
              <w:ind w:left="-123" w:right="19"/>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7,297,740.12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-47,308,373.56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7,297,740.12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-47,308,373.56</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pacing w:val="-1"/>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宋体" w:hAnsi="宋体" w:cs="宋体" w:eastAsia="宋体" w:hint="default"/>
        </w:rPr>
        <w:t>5</w:t>
      </w:r>
      <w:r>
        <w:rPr/>
        <w:t>、合并现金流量表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250,785,755.26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413,829,624.68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27,313.56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927,632.41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37,737,777.62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53,831,999.08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288,550,846.44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468,589,256.17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113,979,860.83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168,761,027.05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48,689,188.61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70,159,976.23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22,331,688.08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35,987,226.26</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100,686,383.34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135,830,695.94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285,687,120.86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410,738,925.48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2,863,725.58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57,850,330.69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4,994,012,344.39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1,162,184,749.92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1,104,221.78</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163,066,103.69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5,161,778,448.08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1,167,788,971.70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133,830,840.98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74,309,247.96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5,107,626,877.84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1,137,035,821.38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5,244,457,718.82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1,211,345,069.34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-82,679,270.74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-43,556,097.64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119,934,000.00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0.00</w:t>
            </w:r>
            <w:r>
              <w:rPr>
                <w:rFonts w:ascii="宋体"/>
                <w:sz w:val="18"/>
              </w:rPr>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5,167,909.69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144,934,000.00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25,167,909.69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45,011,209.34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241,836.48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1,196,891.63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13,206,609.57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818,318.13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58,459,655.39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22,015,209.76</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86,474,344.61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3,152,699.93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-142,458.15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155.60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6,516,341.30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17,447,088.58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360,961,121.21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343,514,032.63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367,477,462.51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360,961,121.21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宋体" w:hAnsi="宋体" w:cs="宋体" w:eastAsia="宋体" w:hint="default"/>
        </w:rPr>
        <w:t>6</w:t>
      </w:r>
      <w:r>
        <w:rPr/>
        <w:t>、母公司现金流量表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238,690,361.07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380,325,689.94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539,145,034.89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45,200,085.54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777,835,395.96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425,525,775.48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101,761,863.50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162,946,655.19</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40,515,747.82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48,746,286.71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21,427,378.76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31,560,179.96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1,061,334,771.56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121,058,868.97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1,225,039,761.64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364,311,990.83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-447,204,365.68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61,213,784.65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3,210,822,085.15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1,162,167,441.76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1,872,333.34</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1,104,061.78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196,163,284.76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3,411,685,369.91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1,168,143,836.88</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1,839,628.68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15,356,547.25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3,253,452,878.55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1,137,535,821.38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3,258,292,507.23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1,152,892,368.63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153,392,862.68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15,251,468.25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119,934,000.00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612,909.69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119,934,000.00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612,909.69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13,206,609.57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818,318.13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13,206,609.57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818,318.13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106,727,390.43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-205,408.44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83,980.82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-187,000,131.75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76,259,844.46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323,867,372.56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247,607,528.10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136,867,240.81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323,867,372.56</w:t>
            </w:r>
          </w:p>
        </w:tc>
      </w:tr>
    </w:tbl>
    <w:p>
      <w:pPr>
        <w:spacing w:after="0" w:line="240" w:lineRule="auto"/>
        <w:jc w:val="right"/>
        <w:rPr>
          <w:rFonts w:ascii="宋体" w:hAnsi="宋体" w:cs="宋体" w:eastAsia="宋体" w:hint="default"/>
          <w:sz w:val="18"/>
          <w:szCs w:val="18"/>
        </w:rPr>
        <w:sectPr>
          <w:pgSz w:w="11910" w:h="16840"/>
          <w:pgMar w:header="877" w:footer="1186" w:top="1060" w:bottom="13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47"/>
        <w:jc w:val="left"/>
        <w:rPr>
          <w:b w:val="0"/>
          <w:bCs w:val="0"/>
        </w:rPr>
      </w:pPr>
      <w:r>
        <w:rPr>
          <w:rFonts w:ascii="宋体" w:hAnsi="宋体" w:cs="宋体" w:eastAsia="宋体" w:hint="default"/>
        </w:rPr>
        <w:t>7</w:t>
      </w:r>
      <w:r>
        <w:rPr/>
        <w:t>、合并所有者权益变动表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140" w:right="147"/>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06"/>
        <w:gridCol w:w="1333"/>
        <w:gridCol w:w="410"/>
        <w:gridCol w:w="413"/>
        <w:gridCol w:w="415"/>
        <w:gridCol w:w="1224"/>
        <w:gridCol w:w="1226"/>
        <w:gridCol w:w="958"/>
        <w:gridCol w:w="259"/>
        <w:gridCol w:w="1226"/>
        <w:gridCol w:w="610"/>
        <w:gridCol w:w="1321"/>
        <w:gridCol w:w="1406"/>
        <w:gridCol w:w="1498"/>
      </w:tblGrid>
      <w:tr>
        <w:trPr>
          <w:trHeight w:val="402" w:hRule="exact"/>
        </w:trPr>
        <w:tc>
          <w:tcPr>
            <w:tcW w:w="1706" w:type="dxa"/>
            <w:vMerge w:val="restart"/>
            <w:tcBorders>
              <w:top w:val="single" w:sz="4" w:space="0" w:color="000000"/>
              <w:left w:val="single" w:sz="4" w:space="0" w:color="000000"/>
              <w:right w:val="single" w:sz="4" w:space="0" w:color="000000"/>
            </w:tcBorders>
            <w:shd w:val="clear" w:color="auto" w:fill="D2D2D2"/>
          </w:tcPr>
          <w:p>
            <w:pPr/>
          </w:p>
        </w:tc>
        <w:tc>
          <w:tcPr>
            <w:tcW w:w="1230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706" w:type="dxa"/>
            <w:vMerge/>
            <w:tcBorders>
              <w:left w:val="single" w:sz="4" w:space="0" w:color="000000"/>
              <w:right w:val="single" w:sz="4" w:space="0" w:color="000000"/>
            </w:tcBorders>
            <w:shd w:val="clear" w:color="auto" w:fill="D2D2D2"/>
          </w:tcPr>
          <w:p>
            <w:pPr/>
          </w:p>
        </w:tc>
        <w:tc>
          <w:tcPr>
            <w:tcW w:w="939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06" w:type="dxa"/>
            <w:vMerge w:val="restart"/>
            <w:tcBorders>
              <w:top w:val="single" w:sz="4" w:space="0" w:color="000000"/>
              <w:left w:val="single" w:sz="4" w:space="0" w:color="000000"/>
              <w:right w:val="single" w:sz="4" w:space="0" w:color="000000"/>
            </w:tcBorders>
            <w:shd w:val="clear" w:color="auto" w:fill="D2D2D2"/>
          </w:tcPr>
          <w:p>
            <w:pPr/>
          </w:p>
        </w:tc>
        <w:tc>
          <w:tcPr>
            <w:tcW w:w="1498"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1706"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single" w:sz="4" w:space="0" w:color="000000"/>
              <w:left w:val="single" w:sz="4" w:space="0" w:color="000000"/>
              <w:right w:val="single" w:sz="4" w:space="0" w:color="000000"/>
            </w:tcBorders>
            <w:shd w:val="clear" w:color="auto" w:fill="D2D2D2"/>
          </w:tcPr>
          <w:p>
            <w:pPr/>
          </w:p>
        </w:tc>
        <w:tc>
          <w:tcPr>
            <w:tcW w:w="123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24" w:type="dxa"/>
            <w:vMerge w:val="restart"/>
            <w:tcBorders>
              <w:top w:val="single" w:sz="4" w:space="0" w:color="000000"/>
              <w:left w:val="single" w:sz="4" w:space="0" w:color="000000"/>
              <w:right w:val="single" w:sz="4" w:space="0" w:color="000000"/>
            </w:tcBorders>
            <w:shd w:val="clear" w:color="auto" w:fill="D2D2D2"/>
          </w:tcPr>
          <w:p>
            <w:pPr/>
          </w:p>
        </w:tc>
        <w:tc>
          <w:tcPr>
            <w:tcW w:w="1226" w:type="dxa"/>
            <w:vMerge w:val="restart"/>
            <w:tcBorders>
              <w:top w:val="single" w:sz="4" w:space="0" w:color="000000"/>
              <w:left w:val="single" w:sz="4" w:space="0" w:color="000000"/>
              <w:right w:val="single" w:sz="4" w:space="0" w:color="000000"/>
            </w:tcBorders>
            <w:shd w:val="clear" w:color="auto" w:fill="D2D2D2"/>
          </w:tcPr>
          <w:p>
            <w:pPr/>
          </w:p>
        </w:tc>
        <w:tc>
          <w:tcPr>
            <w:tcW w:w="958" w:type="dxa"/>
            <w:vMerge w:val="restart"/>
            <w:tcBorders>
              <w:top w:val="single" w:sz="4" w:space="0" w:color="000000"/>
              <w:left w:val="single" w:sz="4" w:space="0" w:color="000000"/>
              <w:right w:val="single" w:sz="4" w:space="0" w:color="000000"/>
            </w:tcBorders>
            <w:shd w:val="clear" w:color="auto" w:fill="D2D2D2"/>
          </w:tcPr>
          <w:p>
            <w:pP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33" w:right="3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26" w:type="dxa"/>
            <w:vMerge w:val="restart"/>
            <w:tcBorders>
              <w:top w:val="single" w:sz="4" w:space="0" w:color="000000"/>
              <w:left w:val="single" w:sz="4" w:space="0" w:color="000000"/>
              <w:right w:val="single" w:sz="4" w:space="0" w:color="000000"/>
            </w:tcBorders>
            <w:shd w:val="clear" w:color="auto" w:fill="D2D2D2"/>
          </w:tcPr>
          <w:p>
            <w:pPr/>
          </w:p>
        </w:tc>
        <w:tc>
          <w:tcPr>
            <w:tcW w:w="610" w:type="dxa"/>
            <w:vMerge w:val="restart"/>
            <w:tcBorders>
              <w:top w:val="single" w:sz="4" w:space="0" w:color="000000"/>
              <w:left w:val="single" w:sz="4" w:space="0" w:color="000000"/>
              <w:right w:val="single" w:sz="4" w:space="0" w:color="000000"/>
            </w:tcBorders>
            <w:shd w:val="clear" w:color="auto" w:fill="D2D2D2"/>
          </w:tcPr>
          <w:p>
            <w:pPr/>
          </w:p>
        </w:tc>
        <w:tc>
          <w:tcPr>
            <w:tcW w:w="1321" w:type="dxa"/>
            <w:vMerge w:val="restart"/>
            <w:tcBorders>
              <w:top w:val="single" w:sz="4" w:space="0" w:color="000000"/>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1498" w:type="dxa"/>
            <w:vMerge/>
            <w:tcBorders>
              <w:left w:val="single" w:sz="4" w:space="0" w:color="000000"/>
              <w:right w:val="single" w:sz="4" w:space="0" w:color="000000"/>
            </w:tcBorders>
            <w:shd w:val="clear" w:color="auto" w:fill="D2D2D2"/>
          </w:tcPr>
          <w:p>
            <w:pPr/>
          </w:p>
        </w:tc>
      </w:tr>
      <w:tr>
        <w:trPr>
          <w:trHeight w:val="223" w:hRule="exact"/>
        </w:trPr>
        <w:tc>
          <w:tcPr>
            <w:tcW w:w="17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3" w:type="dxa"/>
            <w:vMerge/>
            <w:tcBorders>
              <w:left w:val="single" w:sz="4" w:space="0" w:color="000000"/>
              <w:right w:val="single" w:sz="4" w:space="0" w:color="000000"/>
            </w:tcBorders>
            <w:shd w:val="clear" w:color="auto" w:fill="D2D2D2"/>
          </w:tcPr>
          <w:p>
            <w:pPr/>
          </w:p>
        </w:tc>
        <w:tc>
          <w:tcPr>
            <w:tcW w:w="1239" w:type="dxa"/>
            <w:gridSpan w:val="3"/>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right w:val="single" w:sz="4" w:space="0" w:color="000000"/>
            </w:tcBorders>
            <w:shd w:val="clear" w:color="auto" w:fill="D2D2D2"/>
          </w:tcPr>
          <w:p>
            <w:pPr/>
          </w:p>
        </w:tc>
        <w:tc>
          <w:tcPr>
            <w:tcW w:w="122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1226" w:type="dxa"/>
            <w:vMerge/>
            <w:tcBorders>
              <w:left w:val="single" w:sz="4" w:space="0" w:color="000000"/>
              <w:right w:val="single" w:sz="4" w:space="0" w:color="000000"/>
            </w:tcBorders>
            <w:shd w:val="clear" w:color="auto" w:fill="D2D2D2"/>
          </w:tcPr>
          <w:p>
            <w:pPr/>
          </w:p>
        </w:tc>
        <w:tc>
          <w:tcPr>
            <w:tcW w:w="610" w:type="dxa"/>
            <w:vMerge/>
            <w:tcBorders>
              <w:left w:val="single" w:sz="4" w:space="0" w:color="000000"/>
              <w:bottom w:val="nil" w:sz="6" w:space="0" w:color="auto"/>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41" w:hRule="exact"/>
        </w:trPr>
        <w:tc>
          <w:tcPr>
            <w:tcW w:w="1706" w:type="dxa"/>
            <w:vMerge/>
            <w:tcBorders>
              <w:left w:val="single" w:sz="4" w:space="0" w:color="000000"/>
              <w:bottom w:val="single" w:sz="4" w:space="0" w:color="FFFFFF"/>
              <w:right w:val="single" w:sz="4" w:space="0" w:color="000000"/>
            </w:tcBorders>
            <w:shd w:val="clear" w:color="auto" w:fill="D2D2D2"/>
          </w:tcPr>
          <w:p>
            <w:pPr/>
          </w:p>
        </w:tc>
        <w:tc>
          <w:tcPr>
            <w:tcW w:w="1333" w:type="dxa"/>
            <w:vMerge/>
            <w:tcBorders>
              <w:left w:val="single" w:sz="4" w:space="0" w:color="000000"/>
              <w:bottom w:val="single" w:sz="4" w:space="0" w:color="FFFFFF"/>
              <w:right w:val="single" w:sz="4" w:space="0" w:color="000000"/>
            </w:tcBorders>
            <w:shd w:val="clear" w:color="auto" w:fill="D2D2D2"/>
          </w:tcPr>
          <w:p>
            <w:pPr/>
          </w:p>
        </w:tc>
        <w:tc>
          <w:tcPr>
            <w:tcW w:w="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10" w:right="10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10" w:right="1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384" w:right="2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59" w:type="dxa"/>
            <w:vMerge/>
            <w:tcBorders>
              <w:left w:val="single" w:sz="4" w:space="0" w:color="000000"/>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6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37"/>
              <w:ind w:left="28" w:right="2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21" w:type="dxa"/>
            <w:vMerge/>
            <w:tcBorders>
              <w:left w:val="single" w:sz="4" w:space="0" w:color="000000"/>
              <w:bottom w:val="nil" w:sz="6" w:space="0" w:color="auto"/>
              <w:right w:val="single" w:sz="4" w:space="0" w:color="000000"/>
            </w:tcBorders>
            <w:shd w:val="clear" w:color="auto" w:fill="D2D2D2"/>
          </w:tcPr>
          <w:p>
            <w:pPr/>
          </w:p>
        </w:tc>
        <w:tc>
          <w:tcPr>
            <w:tcW w:w="14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706" w:type="dxa"/>
            <w:vMerge w:val="restart"/>
            <w:tcBorders>
              <w:top w:val="single" w:sz="4" w:space="0" w:color="FFFFFF"/>
              <w:left w:val="single" w:sz="4" w:space="0" w:color="000000"/>
              <w:right w:val="single" w:sz="4" w:space="0" w:color="000000"/>
            </w:tcBorders>
            <w:shd w:val="clear" w:color="auto" w:fill="D2D2D2"/>
          </w:tcPr>
          <w:p>
            <w:pPr/>
          </w:p>
        </w:tc>
        <w:tc>
          <w:tcPr>
            <w:tcW w:w="133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10"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6"/>
              <w:ind w:left="110"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2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58"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0" w:type="dxa"/>
            <w:vMerge/>
            <w:tcBorders>
              <w:left w:val="single" w:sz="4" w:space="0" w:color="000000"/>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6"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706" w:type="dxa"/>
            <w:vMerge/>
            <w:tcBorders>
              <w:left w:val="single" w:sz="4" w:space="0" w:color="000000"/>
              <w:right w:val="single" w:sz="4" w:space="0" w:color="000000"/>
            </w:tcBorders>
            <w:shd w:val="clear" w:color="auto" w:fill="D2D2D2"/>
          </w:tcPr>
          <w:p>
            <w:pPr/>
          </w:p>
        </w:tc>
        <w:tc>
          <w:tcPr>
            <w:tcW w:w="1333" w:type="dxa"/>
            <w:vMerge/>
            <w:tcBorders>
              <w:left w:val="single" w:sz="4" w:space="0" w:color="000000"/>
              <w:bottom w:val="nil" w:sz="6" w:space="0" w:color="auto"/>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406" w:type="dxa"/>
            <w:vMerge w:val="restart"/>
            <w:tcBorders>
              <w:top w:val="nil" w:sz="6" w:space="0" w:color="auto"/>
              <w:left w:val="single" w:sz="4" w:space="0" w:color="000000"/>
              <w:right w:val="single" w:sz="4" w:space="0" w:color="000000"/>
            </w:tcBorders>
            <w:shd w:val="clear" w:color="auto" w:fill="D2D2D2"/>
          </w:tcPr>
          <w:p>
            <w:pPr/>
          </w:p>
        </w:tc>
        <w:tc>
          <w:tcPr>
            <w:tcW w:w="149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706" w:type="dxa"/>
            <w:vMerge/>
            <w:tcBorders>
              <w:left w:val="single" w:sz="4" w:space="0" w:color="000000"/>
              <w:right w:val="single" w:sz="4" w:space="0" w:color="000000"/>
            </w:tcBorders>
            <w:shd w:val="clear" w:color="auto" w:fill="D2D2D2"/>
          </w:tcPr>
          <w:p>
            <w:pPr/>
          </w:p>
        </w:tc>
        <w:tc>
          <w:tcPr>
            <w:tcW w:w="1333" w:type="dxa"/>
            <w:vMerge w:val="restart"/>
            <w:tcBorders>
              <w:top w:val="nil" w:sz="6" w:space="0" w:color="auto"/>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
        </w:tc>
        <w:tc>
          <w:tcPr>
            <w:tcW w:w="610" w:type="dxa"/>
            <w:vMerge/>
            <w:tcBorders>
              <w:left w:val="single" w:sz="4" w:space="0" w:color="000000"/>
              <w:bottom w:val="nil" w:sz="6" w:space="0" w:color="auto"/>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1498" w:type="dxa"/>
            <w:vMerge/>
            <w:tcBorders>
              <w:left w:val="single" w:sz="4" w:space="0" w:color="000000"/>
              <w:right w:val="single" w:sz="4" w:space="0" w:color="000000"/>
            </w:tcBorders>
            <w:shd w:val="clear" w:color="auto" w:fill="D2D2D2"/>
          </w:tcPr>
          <w:p>
            <w:pPr/>
          </w:p>
        </w:tc>
      </w:tr>
      <w:tr>
        <w:trPr>
          <w:trHeight w:val="199" w:hRule="exact"/>
        </w:trPr>
        <w:tc>
          <w:tcPr>
            <w:tcW w:w="1706" w:type="dxa"/>
            <w:vMerge/>
            <w:tcBorders>
              <w:left w:val="single" w:sz="4" w:space="0" w:color="000000"/>
              <w:right w:val="single" w:sz="4" w:space="0" w:color="000000"/>
            </w:tcBorders>
            <w:shd w:val="clear" w:color="auto" w:fill="D2D2D2"/>
          </w:tcPr>
          <w:p>
            <w:pPr/>
          </w:p>
        </w:tc>
        <w:tc>
          <w:tcPr>
            <w:tcW w:w="1333"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15" w:type="dxa"/>
            <w:vMerge/>
            <w:tcBorders>
              <w:left w:val="single" w:sz="4" w:space="0" w:color="000000"/>
              <w:bottom w:val="nil" w:sz="6" w:space="0" w:color="auto"/>
              <w:right w:val="single" w:sz="4" w:space="0" w:color="000000"/>
            </w:tcBorders>
            <w:shd w:val="clear" w:color="auto" w:fill="D2D2D2"/>
          </w:tcPr>
          <w:p>
            <w:pPr/>
          </w:p>
        </w:tc>
        <w:tc>
          <w:tcPr>
            <w:tcW w:w="1224" w:type="dxa"/>
            <w:vMerge/>
            <w:tcBorders>
              <w:left w:val="single" w:sz="4" w:space="0" w:color="000000"/>
              <w:right w:val="single" w:sz="4" w:space="0" w:color="000000"/>
            </w:tcBorders>
            <w:shd w:val="clear" w:color="auto" w:fill="D2D2D2"/>
          </w:tcPr>
          <w:p>
            <w:pPr/>
          </w:p>
        </w:tc>
        <w:tc>
          <w:tcPr>
            <w:tcW w:w="1226" w:type="dxa"/>
            <w:vMerge/>
            <w:tcBorders>
              <w:left w:val="single" w:sz="4" w:space="0" w:color="000000"/>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1226" w:type="dxa"/>
            <w:vMerge/>
            <w:tcBorders>
              <w:left w:val="single" w:sz="4" w:space="0" w:color="000000"/>
              <w:right w:val="single" w:sz="4" w:space="0" w:color="000000"/>
            </w:tcBorders>
            <w:shd w:val="clear" w:color="auto" w:fill="D2D2D2"/>
          </w:tcPr>
          <w:p>
            <w:pPr/>
          </w:p>
        </w:tc>
        <w:tc>
          <w:tcPr>
            <w:tcW w:w="610" w:type="dxa"/>
            <w:vMerge w:val="restart"/>
            <w:tcBorders>
              <w:top w:val="nil" w:sz="6" w:space="0" w:color="auto"/>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1498" w:type="dxa"/>
            <w:vMerge/>
            <w:tcBorders>
              <w:left w:val="single" w:sz="4" w:space="0" w:color="000000"/>
              <w:right w:val="single" w:sz="4" w:space="0" w:color="000000"/>
            </w:tcBorders>
            <w:shd w:val="clear" w:color="auto" w:fill="D2D2D2"/>
          </w:tcPr>
          <w:p>
            <w:pPr/>
          </w:p>
        </w:tc>
      </w:tr>
      <w:tr>
        <w:trPr>
          <w:trHeight w:val="161" w:hRule="exact"/>
        </w:trPr>
        <w:tc>
          <w:tcPr>
            <w:tcW w:w="1706" w:type="dxa"/>
            <w:vMerge/>
            <w:tcBorders>
              <w:left w:val="single" w:sz="4" w:space="0" w:color="000000"/>
              <w:bottom w:val="single" w:sz="4" w:space="0" w:color="000000"/>
              <w:right w:val="single" w:sz="4" w:space="0" w:color="000000"/>
            </w:tcBorders>
            <w:shd w:val="clear" w:color="auto" w:fill="D2D2D2"/>
          </w:tcPr>
          <w:p>
            <w:pPr/>
          </w:p>
        </w:tc>
        <w:tc>
          <w:tcPr>
            <w:tcW w:w="1333" w:type="dxa"/>
            <w:vMerge/>
            <w:tcBorders>
              <w:left w:val="single" w:sz="4" w:space="0" w:color="000000"/>
              <w:bottom w:val="single" w:sz="4" w:space="0" w:color="000000"/>
              <w:right w:val="single" w:sz="4" w:space="0" w:color="000000"/>
            </w:tcBorders>
            <w:shd w:val="clear" w:color="auto" w:fill="D2D2D2"/>
          </w:tcPr>
          <w:p>
            <w:pPr/>
          </w:p>
        </w:tc>
        <w:tc>
          <w:tcPr>
            <w:tcW w:w="410" w:type="dxa"/>
            <w:vMerge/>
            <w:tcBorders>
              <w:left w:val="single" w:sz="4" w:space="0" w:color="000000"/>
              <w:bottom w:val="single" w:sz="4" w:space="0" w:color="000000"/>
              <w:right w:val="single" w:sz="4" w:space="0" w:color="000000"/>
            </w:tcBorders>
            <w:shd w:val="clear" w:color="auto" w:fill="D2D2D2"/>
          </w:tcPr>
          <w:p>
            <w:pPr/>
          </w:p>
        </w:tc>
        <w:tc>
          <w:tcPr>
            <w:tcW w:w="413" w:type="dxa"/>
            <w:vMerge/>
            <w:tcBorders>
              <w:left w:val="single" w:sz="4" w:space="0" w:color="000000"/>
              <w:bottom w:val="single" w:sz="4" w:space="0" w:color="000000"/>
              <w:right w:val="single" w:sz="4" w:space="0" w:color="000000"/>
            </w:tcBorders>
            <w:shd w:val="clear" w:color="auto" w:fill="D2D2D2"/>
          </w:tcPr>
          <w:p>
            <w:pPr/>
          </w:p>
        </w:tc>
        <w:tc>
          <w:tcPr>
            <w:tcW w:w="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610"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406"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sz w:val="18"/>
              </w:rPr>
              <w:t>757,104,768.00</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14,486,313.53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-31,938.73</w:t>
            </w:r>
          </w:p>
        </w:tc>
        <w:tc>
          <w:tcPr>
            <w:tcW w:w="259"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70,824,048.96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201,191,136.29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219,468,150.63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1,263,042,478.68</w:t>
            </w:r>
          </w:p>
        </w:tc>
      </w:tr>
      <w:tr>
        <w:trPr>
          <w:trHeight w:val="401"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4"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757,104,768.00</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14,486,313.53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-31,938.73</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70,824,048.96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201,191,136.29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219,468,150.63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1,263,042,478.68</w:t>
            </w:r>
          </w:p>
        </w:tc>
      </w:tr>
      <w:tr>
        <w:trPr>
          <w:trHeight w:val="1027"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1"/>
              <w:jc w:val="both"/>
              <w:rPr>
                <w:rFonts w:ascii="宋体" w:hAnsi="宋体" w:cs="宋体" w:eastAsia="宋体" w:hint="default"/>
                <w:sz w:val="18"/>
                <w:szCs w:val="18"/>
              </w:rPr>
            </w:pPr>
            <w:r>
              <w:rPr>
                <w:rFonts w:ascii="宋体" w:hAnsi="宋体" w:cs="宋体" w:eastAsia="宋体" w:hint="default"/>
                <w:sz w:val="18"/>
                <w:szCs w:val="18"/>
              </w:rPr>
              <w:t>三、本期增减变动金 额（减少以“－”号 填列）</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center"/>
              <w:rPr>
                <w:rFonts w:ascii="宋体" w:hAnsi="宋体" w:cs="宋体" w:eastAsia="宋体" w:hint="default"/>
                <w:sz w:val="18"/>
                <w:szCs w:val="18"/>
              </w:rPr>
            </w:pPr>
            <w:r>
              <w:rPr>
                <w:rFonts w:ascii="宋体"/>
                <w:sz w:val="18"/>
              </w:rPr>
              <w:t>15,700,000.00</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54,831,414.09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81,762,800.00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-56,797.35</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128,331,538.12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-219,468,150.63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-102,424,795.77</w:t>
            </w:r>
          </w:p>
        </w:tc>
      </w:tr>
      <w:tr>
        <w:trPr>
          <w:trHeight w:val="401"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-56,797.35</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128,331,538.12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-5,107,061.18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123,167,679.59</w:t>
            </w:r>
          </w:p>
        </w:tc>
      </w:tr>
      <w:tr>
        <w:trPr>
          <w:trHeight w:val="716"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center"/>
              <w:rPr>
                <w:rFonts w:ascii="宋体" w:hAnsi="宋体" w:cs="宋体" w:eastAsia="宋体" w:hint="default"/>
                <w:sz w:val="18"/>
                <w:szCs w:val="18"/>
              </w:rPr>
            </w:pPr>
            <w:r>
              <w:rPr>
                <w:rFonts w:ascii="宋体"/>
                <w:sz w:val="18"/>
              </w:rPr>
              <w:t>15,700,000.00</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60,558,600.00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81,762,800.00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-5,504,200.00</w:t>
            </w:r>
          </w:p>
        </w:tc>
      </w:tr>
      <w:tr>
        <w:trPr>
          <w:trHeight w:val="401"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．股东投入的普通股</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715"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．其他权益工具持有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者投入资本</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27"/>
          <w:footerReference w:type="default" r:id="rId28"/>
          <w:pgSz w:w="16840" w:h="11910" w:orient="landscape"/>
          <w:pgMar w:header="867" w:footer="1186" w:top="1060" w:bottom="1380" w:left="1300" w:right="1280"/>
          <w:pgNumType w:start="86"/>
        </w:sectPr>
      </w:pPr>
    </w:p>
    <w:p>
      <w:pPr>
        <w:spacing w:line="240" w:lineRule="auto" w:before="2"/>
        <w:rPr>
          <w:rFonts w:ascii="Times New Roman" w:hAnsi="Times New Roman" w:cs="Times New Roman" w:eastAsia="Times New Roman" w:hint="default"/>
          <w:sz w:val="3"/>
          <w:szCs w:val="3"/>
        </w:rPr>
      </w:pPr>
      <w:r>
        <w:rPr/>
        <w:pict>
          <v:group style="position:absolute;margin-left:157.220001pt;margin-top:173.300003pt;width:65.650pt;height:28pt;mso-position-horizontal-relative:page;mso-position-vertical-relative:page;z-index:-1060384" coordorigin="3144,3466" coordsize="1313,560">
            <v:group style="position:absolute;left:3144;top:3466;width:1313;height:156" coordorigin="3144,3466" coordsize="1313,156">
              <v:shape style="position:absolute;left:3144;top:3466;width:1313;height:156" coordorigin="3144,3466" coordsize="1313,156" path="m3144,3622l4457,3622,4457,3466,3144,3466,3144,3622xe" filled="true" fillcolor="#ffffff" stroked="false">
                <v:path arrowok="t"/>
                <v:fill type="solid"/>
              </v:shape>
            </v:group>
            <v:group style="position:absolute;left:3156;top:3622;width:2;height:392" coordorigin="3156,3622" coordsize="2,392">
              <v:shape style="position:absolute;left:3156;top:3622;width:2;height:392" coordorigin="3156,3622" coordsize="0,392" path="m3156,3622l3156,4014e" filled="false" stroked="true" strokeweight="1.2pt" strokecolor="#ffffff">
                <v:path arrowok="t"/>
              </v:shape>
            </v:group>
            <v:group style="position:absolute;left:3168;top:3622;width:1265;height:392" coordorigin="3168,3622" coordsize="1265,392">
              <v:shape style="position:absolute;left:3168;top:3622;width:1265;height:392" coordorigin="3168,3622" coordsize="1265,392" path="m3168,4014l4433,4014,4433,3622,3168,3622,3168,4014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28"/>
        <w:gridCol w:w="1322"/>
        <w:gridCol w:w="410"/>
        <w:gridCol w:w="413"/>
        <w:gridCol w:w="415"/>
        <w:gridCol w:w="1224"/>
        <w:gridCol w:w="1226"/>
        <w:gridCol w:w="958"/>
        <w:gridCol w:w="259"/>
        <w:gridCol w:w="1226"/>
        <w:gridCol w:w="610"/>
        <w:gridCol w:w="1321"/>
        <w:gridCol w:w="1406"/>
        <w:gridCol w:w="1498"/>
      </w:tblGrid>
      <w:tr>
        <w:trPr>
          <w:trHeight w:val="730" w:hRule="exact"/>
        </w:trPr>
        <w:tc>
          <w:tcPr>
            <w:tcW w:w="17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．股份支付计入所有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者权益的金额</w:t>
            </w:r>
          </w:p>
        </w:tc>
        <w:tc>
          <w:tcPr>
            <w:tcW w:w="13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9" w:right="0"/>
              <w:jc w:val="center"/>
              <w:rPr>
                <w:rFonts w:ascii="宋体" w:hAnsi="宋体" w:cs="宋体" w:eastAsia="宋体" w:hint="default"/>
                <w:sz w:val="18"/>
                <w:szCs w:val="18"/>
              </w:rPr>
            </w:pPr>
            <w:r>
              <w:rPr>
                <w:rFonts w:ascii="宋体"/>
                <w:sz w:val="18"/>
              </w:rPr>
              <w:t>15,700,000.00</w:t>
            </w:r>
          </w:p>
        </w:tc>
        <w:tc>
          <w:tcPr>
            <w:tcW w:w="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60,558,600.00</w:t>
            </w:r>
          </w:p>
        </w:tc>
        <w:tc>
          <w:tcPr>
            <w:tcW w:w="12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81,762,800.00</w:t>
            </w:r>
          </w:p>
        </w:tc>
        <w:tc>
          <w:tcPr>
            <w:tcW w:w="9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2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3"/>
              <w:jc w:val="right"/>
              <w:rPr>
                <w:rFonts w:ascii="宋体" w:hAnsi="宋体" w:cs="宋体" w:eastAsia="宋体" w:hint="default"/>
                <w:sz w:val="18"/>
                <w:szCs w:val="18"/>
              </w:rPr>
            </w:pPr>
            <w:r>
              <w:rPr>
                <w:rFonts w:ascii="宋体"/>
                <w:sz w:val="18"/>
              </w:rPr>
              <w:t>/</w:t>
            </w:r>
          </w:p>
        </w:tc>
        <w:tc>
          <w:tcPr>
            <w:tcW w:w="13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4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4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-5,504,200.00</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．提取一般风险准备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71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pacing w:val="-13"/>
                <w:sz w:val="18"/>
                <w:szCs w:val="18"/>
              </w:rPr>
              <w:t>3</w:t>
            </w:r>
            <w:r>
              <w:rPr>
                <w:rFonts w:ascii="宋体" w:hAnsi="宋体" w:cs="宋体" w:eastAsia="宋体" w:hint="default"/>
                <w:spacing w:val="-13"/>
                <w:sz w:val="18"/>
                <w:szCs w:val="18"/>
              </w:rPr>
              <w:t>．对所有者（或股东</w:t>
            </w:r>
            <w:r>
              <w:rPr>
                <w:rFonts w:ascii="宋体" w:hAnsi="宋体" w:cs="宋体" w:eastAsia="宋体" w:hint="default"/>
                <w:sz w:val="18"/>
                <w:szCs w:val="18"/>
              </w:rPr>
              <w:t> 的分配</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71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5"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．资本公积转增资本</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．盈余公积转增资本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．盈余公积弥补亏损</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-5,727,185.91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-214,361,089.45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-220,088,275.36</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sz w:val="18"/>
              </w:rPr>
              <w:t>772,804,768.00</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69,317,727.62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81,762,800.00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-88,736.08</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70,824,048.96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329,522,674.41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1,160,617,682.91</w:t>
            </w:r>
          </w:p>
        </w:tc>
      </w:tr>
    </w:tbl>
    <w:p>
      <w:pPr>
        <w:spacing w:after="0" w:line="240" w:lineRule="auto"/>
        <w:jc w:val="righ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147"/>
        <w:jc w:val="left"/>
      </w:pPr>
      <w:r>
        <w:rPr/>
        <w:t>上期金额</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02"/>
        <w:gridCol w:w="1328"/>
        <w:gridCol w:w="497"/>
        <w:gridCol w:w="499"/>
        <w:gridCol w:w="506"/>
        <w:gridCol w:w="1224"/>
        <w:gridCol w:w="698"/>
        <w:gridCol w:w="958"/>
        <w:gridCol w:w="437"/>
        <w:gridCol w:w="1224"/>
        <w:gridCol w:w="698"/>
        <w:gridCol w:w="1318"/>
        <w:gridCol w:w="1318"/>
        <w:gridCol w:w="1498"/>
      </w:tblGrid>
      <w:tr>
        <w:trPr>
          <w:trHeight w:val="401" w:hRule="exact"/>
        </w:trPr>
        <w:tc>
          <w:tcPr>
            <w:tcW w:w="1802" w:type="dxa"/>
            <w:vMerge w:val="restart"/>
            <w:tcBorders>
              <w:top w:val="single" w:sz="4" w:space="0" w:color="000000"/>
              <w:left w:val="single" w:sz="4" w:space="0" w:color="000000"/>
              <w:right w:val="single" w:sz="4" w:space="0" w:color="000000"/>
            </w:tcBorders>
            <w:shd w:val="clear" w:color="auto" w:fill="D2D2D2"/>
          </w:tcPr>
          <w:p>
            <w:pPr/>
          </w:p>
        </w:tc>
        <w:tc>
          <w:tcPr>
            <w:tcW w:w="1220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802" w:type="dxa"/>
            <w:vMerge/>
            <w:tcBorders>
              <w:left w:val="single" w:sz="4" w:space="0" w:color="000000"/>
              <w:bottom w:val="nil" w:sz="6" w:space="0" w:color="auto"/>
              <w:right w:val="single" w:sz="4" w:space="0" w:color="000000"/>
            </w:tcBorders>
            <w:shd w:val="clear" w:color="auto" w:fill="D2D2D2"/>
          </w:tcPr>
          <w:p>
            <w:pPr/>
          </w:p>
        </w:tc>
        <w:tc>
          <w:tcPr>
            <w:tcW w:w="938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498"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1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24" w:type="dxa"/>
            <w:vMerge w:val="restart"/>
            <w:tcBorders>
              <w:top w:val="single" w:sz="4" w:space="0" w:color="000000"/>
              <w:left w:val="single" w:sz="4" w:space="0" w:color="000000"/>
              <w:right w:val="single" w:sz="4" w:space="0" w:color="000000"/>
            </w:tcBorders>
            <w:shd w:val="clear" w:color="auto" w:fill="D2D2D2"/>
          </w:tcPr>
          <w:p>
            <w:pPr/>
          </w:p>
        </w:tc>
        <w:tc>
          <w:tcPr>
            <w:tcW w:w="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4" w:type="dxa"/>
            <w:vMerge w:val="restart"/>
            <w:tcBorders>
              <w:top w:val="single" w:sz="4" w:space="0" w:color="000000"/>
              <w:left w:val="single" w:sz="4" w:space="0" w:color="000000"/>
              <w:right w:val="single" w:sz="4" w:space="0" w:color="FFFFFF"/>
            </w:tcBorders>
            <w:shd w:val="clear" w:color="auto" w:fill="D2D2D2"/>
          </w:tcPr>
          <w:p>
            <w:pPr/>
          </w:p>
        </w:tc>
        <w:tc>
          <w:tcPr>
            <w:tcW w:w="698" w:type="dxa"/>
            <w:tcBorders>
              <w:top w:val="single" w:sz="4" w:space="0" w:color="000000"/>
              <w:left w:val="single" w:sz="4" w:space="0" w:color="FFFFFF"/>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802"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503" w:type="dxa"/>
            <w:gridSpan w:val="3"/>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c>
          <w:tcPr>
            <w:tcW w:w="69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4" w:right="23"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3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1" w:right="3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24" w:type="dxa"/>
            <w:vMerge/>
            <w:tcBorders>
              <w:left w:val="single" w:sz="4" w:space="0" w:color="000000"/>
              <w:bottom w:val="nil" w:sz="6" w:space="0" w:color="auto"/>
              <w:right w:val="single" w:sz="4" w:space="0" w:color="FFFFFF"/>
            </w:tcBorders>
            <w:shd w:val="clear" w:color="auto" w:fill="D2D2D2"/>
          </w:tcPr>
          <w:p>
            <w:pPr/>
          </w:p>
        </w:tc>
        <w:tc>
          <w:tcPr>
            <w:tcW w:w="698"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71"/>
              <w:ind w:left="74" w:right="7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18"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802"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9"/>
              <w:ind w:left="151" w:right="63"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9"/>
              <w:ind w:left="156" w:right="62"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98" w:type="dxa"/>
            <w:vMerge/>
            <w:tcBorders>
              <w:left w:val="single" w:sz="4"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802"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49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FFFFFF"/>
            </w:tcBorders>
            <w:shd w:val="clear" w:color="auto" w:fill="D2D2D2"/>
          </w:tcPr>
          <w:p>
            <w:pPr/>
          </w:p>
        </w:tc>
        <w:tc>
          <w:tcPr>
            <w:tcW w:w="698" w:type="dxa"/>
            <w:vMerge/>
            <w:tcBorders>
              <w:left w:val="single" w:sz="4" w:space="0" w:color="FFFFFF"/>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1498"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802" w:type="dxa"/>
            <w:vMerge/>
            <w:tcBorders>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49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437" w:type="dxa"/>
            <w:vMerge/>
            <w:tcBorders>
              <w:left w:val="single" w:sz="4" w:space="0" w:color="000000"/>
              <w:bottom w:val="nil" w:sz="6" w:space="0" w:color="auto"/>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FFFFFF"/>
            </w:tcBorders>
            <w:shd w:val="clear" w:color="auto" w:fill="D2D2D2"/>
          </w:tcPr>
          <w:p>
            <w:pPr/>
          </w:p>
        </w:tc>
        <w:tc>
          <w:tcPr>
            <w:tcW w:w="698" w:type="dxa"/>
            <w:vMerge/>
            <w:tcBorders>
              <w:left w:val="single" w:sz="4" w:space="0" w:color="FFFFFF"/>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498" w:type="dxa"/>
            <w:vMerge/>
            <w:tcBorders>
              <w:left w:val="single" w:sz="4" w:space="0" w:color="000000"/>
              <w:right w:val="single" w:sz="4" w:space="0" w:color="000000"/>
            </w:tcBorders>
            <w:shd w:val="clear" w:color="auto" w:fill="D2D2D2"/>
          </w:tcPr>
          <w:p>
            <w:pPr/>
          </w:p>
        </w:tc>
      </w:tr>
      <w:tr>
        <w:trPr>
          <w:trHeight w:val="195" w:hRule="exact"/>
        </w:trPr>
        <w:tc>
          <w:tcPr>
            <w:tcW w:w="1802"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c>
          <w:tcPr>
            <w:tcW w:w="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FFFFFF"/>
            </w:tcBorders>
            <w:shd w:val="clear" w:color="auto" w:fill="D2D2D2"/>
          </w:tcPr>
          <w:p>
            <w:pPr/>
          </w:p>
        </w:tc>
        <w:tc>
          <w:tcPr>
            <w:tcW w:w="698" w:type="dxa"/>
            <w:tcBorders>
              <w:top w:val="nil" w:sz="6" w:space="0" w:color="auto"/>
              <w:left w:val="single" w:sz="4" w:space="0" w:color="FFFFFF"/>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757,104,768.00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center"/>
              <w:rPr>
                <w:rFonts w:ascii="宋体" w:hAnsi="宋体" w:cs="宋体" w:eastAsia="宋体" w:hint="default"/>
                <w:sz w:val="18"/>
                <w:szCs w:val="18"/>
              </w:rPr>
            </w:pPr>
            <w:r>
              <w:rPr>
                <w:rFonts w:ascii="宋体"/>
                <w:sz w:val="18"/>
              </w:rPr>
              <w:t>1,690,953.37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-28,865.88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70,824,048.96</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290,043,432.53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101,962,400.87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1,221,596,737.85</w:t>
            </w:r>
          </w:p>
        </w:tc>
      </w:tr>
      <w:tr>
        <w:trPr>
          <w:trHeight w:val="403"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1"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1"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757,104,768.00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center"/>
              <w:rPr>
                <w:rFonts w:ascii="宋体" w:hAnsi="宋体" w:cs="宋体" w:eastAsia="宋体" w:hint="default"/>
                <w:sz w:val="18"/>
                <w:szCs w:val="18"/>
              </w:rPr>
            </w:pPr>
            <w:r>
              <w:rPr>
                <w:rFonts w:ascii="宋体"/>
                <w:sz w:val="18"/>
              </w:rPr>
              <w:t>1,690,953.37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-28,865.88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70,824,048.96</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290,043,432.53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101,962,400.87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1,221,596,737.85</w:t>
            </w:r>
          </w:p>
        </w:tc>
      </w:tr>
      <w:tr>
        <w:trPr>
          <w:trHeight w:val="1025"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316" w:lineRule="auto" w:before="76"/>
              <w:ind w:left="11" w:right="15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sz w:val="18"/>
              </w:rPr>
              <w:t>12,795,360.16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-3,072.85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sz w:val="18"/>
              </w:rPr>
              <w:t>-88,852,296.24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sz w:val="18"/>
              </w:rPr>
              <w:t>117,505,749.76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
              <w:jc w:val="right"/>
              <w:rPr>
                <w:rFonts w:ascii="宋体" w:hAnsi="宋体" w:cs="宋体" w:eastAsia="宋体" w:hint="default"/>
                <w:sz w:val="18"/>
                <w:szCs w:val="18"/>
              </w:rPr>
            </w:pPr>
            <w:r>
              <w:rPr>
                <w:rFonts w:ascii="宋体"/>
                <w:spacing w:val="-1"/>
                <w:sz w:val="18"/>
              </w:rPr>
              <w:t>41,445,740.83</w:t>
            </w:r>
          </w:p>
        </w:tc>
      </w:tr>
      <w:tr>
        <w:trPr>
          <w:trHeight w:val="403"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-3,072.85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-88,852,296.24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-30,533,246.08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-119,388,615.17</w:t>
            </w:r>
          </w:p>
        </w:tc>
      </w:tr>
      <w:tr>
        <w:trPr>
          <w:trHeight w:val="713"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少资本</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3"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713"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6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 者投入资本</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5" w:hRule="exact"/>
        </w:trPr>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6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 者权益的金额</w:t>
            </w:r>
          </w:p>
        </w:tc>
        <w:tc>
          <w:tcPr>
            <w:tcW w:w="13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62.020004pt;margin-top:137.660004pt;width:65.4pt;height:28pt;mso-position-horizontal-relative:page;mso-position-vertical-relative:page;z-index:-1060336" coordorigin="3240,2753" coordsize="1308,560">
            <v:group style="position:absolute;left:3240;top:2753;width:1308;height:156" coordorigin="3240,2753" coordsize="1308,156">
              <v:shape style="position:absolute;left:3240;top:2753;width:1308;height:156" coordorigin="3240,2753" coordsize="1308,156" path="m3240,2909l4548,2909,4548,2753,3240,2753,3240,2909xe" filled="true" fillcolor="#ffffff" stroked="false">
                <v:path arrowok="t"/>
                <v:fill type="solid"/>
              </v:shape>
            </v:group>
            <v:group style="position:absolute;left:3252;top:2909;width:2;height:392" coordorigin="3252,2909" coordsize="2,392">
              <v:shape style="position:absolute;left:3252;top:2909;width:2;height:392" coordorigin="3252,2909" coordsize="0,392" path="m3252,2909l3252,3300e" filled="false" stroked="true" strokeweight="1.2pt" strokecolor="#ffffff">
                <v:path arrowok="t"/>
              </v:shape>
            </v:group>
            <v:group style="position:absolute;left:3264;top:2909;width:1260;height:392" coordorigin="3264,2909" coordsize="1260,392">
              <v:shape style="position:absolute;left:3264;top:2909;width:1260;height:392" coordorigin="3264,2909" coordsize="1260,392" path="m3264,3300l4524,3300,4524,2909,3264,2909,3264,330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824"/>
        <w:gridCol w:w="1318"/>
        <w:gridCol w:w="497"/>
        <w:gridCol w:w="499"/>
        <w:gridCol w:w="506"/>
        <w:gridCol w:w="1224"/>
        <w:gridCol w:w="698"/>
        <w:gridCol w:w="958"/>
        <w:gridCol w:w="437"/>
        <w:gridCol w:w="1224"/>
        <w:gridCol w:w="698"/>
        <w:gridCol w:w="1318"/>
        <w:gridCol w:w="1318"/>
        <w:gridCol w:w="1498"/>
      </w:tblGrid>
      <w:tr>
        <w:trPr>
          <w:trHeight w:val="418" w:hRule="exact"/>
        </w:trPr>
        <w:tc>
          <w:tcPr>
            <w:tcW w:w="1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4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sz w:val="18"/>
              </w:rPr>
              <w:t>/</w:t>
            </w:r>
          </w:p>
        </w:tc>
        <w:tc>
          <w:tcPr>
            <w:tcW w:w="5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1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715"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．对所有者（或股东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的分配</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715"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5"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12,795,360.16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148,038,995.84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160,834,356.00</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757,104,768.00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14,486,313.53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-31,938.73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70,824,048.96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201,191,136.29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219,468,150.63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1,263,042,478.68</w:t>
            </w:r>
          </w:p>
        </w:tc>
      </w:tr>
    </w:tbl>
    <w:p>
      <w:pPr>
        <w:spacing w:after="0" w:line="240" w:lineRule="auto"/>
        <w:jc w:val="righ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47"/>
        <w:jc w:val="left"/>
        <w:rPr>
          <w:b w:val="0"/>
          <w:bCs w:val="0"/>
        </w:rPr>
      </w:pP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140" w:right="147"/>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94"/>
        <w:gridCol w:w="1327"/>
        <w:gridCol w:w="778"/>
        <w:gridCol w:w="780"/>
        <w:gridCol w:w="785"/>
        <w:gridCol w:w="1227"/>
        <w:gridCol w:w="1226"/>
        <w:gridCol w:w="972"/>
        <w:gridCol w:w="974"/>
        <w:gridCol w:w="1227"/>
        <w:gridCol w:w="1318"/>
        <w:gridCol w:w="1498"/>
      </w:tblGrid>
      <w:tr>
        <w:trPr>
          <w:trHeight w:val="397"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1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8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88" w:right="3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894" w:type="dxa"/>
            <w:vMerge/>
            <w:tcBorders>
              <w:left w:val="single" w:sz="4" w:space="0" w:color="000000"/>
              <w:bottom w:val="nil" w:sz="6" w:space="0" w:color="auto"/>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43" w:type="dxa"/>
            <w:gridSpan w:val="3"/>
            <w:vMerge/>
            <w:tcBorders>
              <w:left w:val="single" w:sz="4" w:space="0" w:color="000000"/>
              <w:bottom w:val="single" w:sz="4" w:space="0" w:color="000000"/>
              <w:right w:val="single" w:sz="4" w:space="0" w:color="000000"/>
            </w:tcBorders>
            <w:shd w:val="clear" w:color="auto" w:fill="D2D2D2"/>
          </w:tcPr>
          <w:p>
            <w:pP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72" w:type="dxa"/>
            <w:vMerge/>
            <w:tcBorders>
              <w:left w:val="single" w:sz="4" w:space="0" w:color="000000"/>
              <w:right w:val="single" w:sz="4" w:space="0" w:color="000000"/>
            </w:tcBorders>
            <w:shd w:val="clear" w:color="auto" w:fill="D2D2D2"/>
          </w:tcPr>
          <w:p>
            <w:pPr/>
          </w:p>
        </w:tc>
        <w:tc>
          <w:tcPr>
            <w:tcW w:w="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894" w:type="dxa"/>
            <w:vMerge w:val="restart"/>
            <w:tcBorders>
              <w:top w:val="nil" w:sz="6" w:space="0" w:color="auto"/>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7" w:type="dxa"/>
            <w:vMerge/>
            <w:tcBorders>
              <w:left w:val="single" w:sz="4" w:space="0" w:color="000000"/>
              <w:bottom w:val="nil" w:sz="6" w:space="0" w:color="auto"/>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c>
          <w:tcPr>
            <w:tcW w:w="1227"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12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757,104,768.00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8,874,070.59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70,824,048.96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266,800,758.47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1,103,603,646.02</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757,104,768.00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8,874,070.59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70,824,048.96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266,800,758.47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1,103,603,646.02</w:t>
            </w:r>
          </w:p>
        </w:tc>
      </w:tr>
      <w:tr>
        <w:trPr>
          <w:trHeight w:val="102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319" w:lineRule="auto" w:before="74"/>
              <w:ind w:left="11" w:right="251"/>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15,700,000.00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60,558,600.00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81,762,800.00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7,297,740.12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1,793,540.12</w:t>
            </w: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7,297,740.12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7,297,740.12</w:t>
            </w:r>
          </w:p>
        </w:tc>
      </w:tr>
      <w:tr>
        <w:trPr>
          <w:trHeight w:val="715"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15,700,000.00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60,558,600.00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81,762,800.00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-5,504,200.00</w:t>
            </w: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716"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投入资本</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权益的金额</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1,570,000.00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60,558,600.00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81,762,800.00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-5,504,200.00</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18"/>
        <w:gridCol w:w="1315"/>
        <w:gridCol w:w="778"/>
        <w:gridCol w:w="780"/>
        <w:gridCol w:w="785"/>
        <w:gridCol w:w="1227"/>
        <w:gridCol w:w="1226"/>
        <w:gridCol w:w="972"/>
        <w:gridCol w:w="974"/>
        <w:gridCol w:w="1227"/>
        <w:gridCol w:w="1318"/>
        <w:gridCol w:w="1498"/>
      </w:tblGrid>
      <w:tr>
        <w:trPr>
          <w:trHeight w:val="418" w:hRule="exact"/>
        </w:trPr>
        <w:tc>
          <w:tcPr>
            <w:tcW w:w="19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71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 的分配</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71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6"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772,804,768.00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69,432,670.59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81,762,800.00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70,824,048.96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274,098,498.59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1,105,397,186.14</w:t>
            </w:r>
          </w:p>
        </w:tc>
      </w:tr>
    </w:tbl>
    <w:p>
      <w:pPr>
        <w:spacing w:after="0" w:line="240" w:lineRule="auto"/>
        <w:jc w:val="center"/>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147"/>
        <w:jc w:val="left"/>
      </w:pPr>
      <w:r>
        <w:rPr/>
        <w:t>上期金额</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74"/>
        <w:gridCol w:w="1328"/>
        <w:gridCol w:w="710"/>
        <w:gridCol w:w="850"/>
        <w:gridCol w:w="569"/>
        <w:gridCol w:w="1136"/>
        <w:gridCol w:w="934"/>
        <w:gridCol w:w="1030"/>
        <w:gridCol w:w="1034"/>
        <w:gridCol w:w="1227"/>
        <w:gridCol w:w="1318"/>
        <w:gridCol w:w="1498"/>
      </w:tblGrid>
      <w:tr>
        <w:trPr>
          <w:trHeight w:val="39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3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17" w:right="6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9" w:type="dxa"/>
            <w:gridSpan w:val="3"/>
            <w:vMerge/>
            <w:tcBorders>
              <w:left w:val="single" w:sz="4" w:space="0" w:color="000000"/>
              <w:bottom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5"/>
                <w:sz w:val="18"/>
                <w:szCs w:val="18"/>
              </w:rPr>
              <w:t>减：库存股</w:t>
            </w:r>
          </w:p>
        </w:tc>
        <w:tc>
          <w:tcPr>
            <w:tcW w:w="1030" w:type="dxa"/>
            <w:vMerge/>
            <w:tcBorders>
              <w:left w:val="single" w:sz="4" w:space="0" w:color="000000"/>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374"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1030" w:type="dxa"/>
            <w:vMerge/>
            <w:tcBorders>
              <w:left w:val="single" w:sz="4" w:space="0" w:color="000000"/>
              <w:right w:val="single" w:sz="4" w:space="0" w:color="000000"/>
            </w:tcBorders>
            <w:shd w:val="clear" w:color="auto" w:fill="D2D2D2"/>
          </w:tcPr>
          <w:p>
            <w:pPr/>
          </w:p>
        </w:tc>
        <w:tc>
          <w:tcPr>
            <w:tcW w:w="1034" w:type="dxa"/>
            <w:vMerge/>
            <w:tcBorders>
              <w:left w:val="single" w:sz="4" w:space="0" w:color="000000"/>
              <w:bottom w:val="nil" w:sz="6" w:space="0" w:color="auto"/>
              <w:right w:val="single" w:sz="4" w:space="0" w:color="000000"/>
            </w:tcBorders>
            <w:shd w:val="clear" w:color="auto" w:fill="D2D2D2"/>
          </w:tcPr>
          <w:p>
            <w:pPr/>
          </w:p>
        </w:tc>
        <w:tc>
          <w:tcPr>
            <w:tcW w:w="1227"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374"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0" w:type="dxa"/>
            <w:vMerge/>
            <w:tcBorders>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757,104,768.00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8,874,070.59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70,824,048.96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314,109,132.03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1,150,912,019.58</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757,104,768.00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8,874,070.59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70,824,048.96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314,109,132.03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1,150,912,019.58</w:t>
            </w:r>
          </w:p>
        </w:tc>
      </w:tr>
      <w:tr>
        <w:trPr>
          <w:trHeight w:val="71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-47,308,373.56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-47,308,373.56</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-47,308,373.56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-47,308,373.56</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71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．其他权益工具持有者投入资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715"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．股份支付计入所有者权益的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金额</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．对所有者（或股东）的分配</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90.699997pt;margin-top:76.760010pt;width:64.25pt;height:40.8pt;mso-position-horizontal-relative:page;mso-position-vertical-relative:page;z-index:-1060264" coordorigin="3814,1535" coordsize="1285,816">
            <v:group style="position:absolute;left:3825;top:1546;width:2;height:392" coordorigin="3825,1546" coordsize="2,392">
              <v:shape style="position:absolute;left:3825;top:1546;width:2;height:392" coordorigin="3825,1546" coordsize="0,392" path="m3825,1546l3825,1937e" filled="false" stroked="true" strokeweight="1.08pt" strokecolor="#ffffff">
                <v:path arrowok="t"/>
              </v:shape>
            </v:group>
            <v:group style="position:absolute;left:3836;top:1546;width:1263;height:392" coordorigin="3836,1546" coordsize="1263,392">
              <v:shape style="position:absolute;left:3836;top:1546;width:1263;height:392" coordorigin="3836,1546" coordsize="1263,392" path="m3836,1937l5098,1937,5098,1546,3836,1546,3836,1937xe" filled="true" fillcolor="#ffffff" stroked="false">
                <v:path arrowok="t"/>
                <v:fill type="solid"/>
              </v:shape>
            </v:group>
            <v:group style="position:absolute;left:3825;top:1949;width:2;height:392" coordorigin="3825,1949" coordsize="2,392">
              <v:shape style="position:absolute;left:3825;top:1949;width:2;height:392" coordorigin="3825,1949" coordsize="0,392" path="m3825,1949l3825,2340e" filled="false" stroked="true" strokeweight="1.08pt" strokecolor="#ffffff">
                <v:path arrowok="t"/>
              </v:shape>
            </v:group>
            <v:group style="position:absolute;left:3836;top:1949;width:1263;height:392" coordorigin="3836,1949" coordsize="1263,392">
              <v:shape style="position:absolute;left:3836;top:1949;width:1263;height:392" coordorigin="3836,1949" coordsize="1263,392" path="m3836,2340l5098,2340,5098,1949,3836,1949,3836,234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386"/>
        <w:gridCol w:w="1328"/>
        <w:gridCol w:w="710"/>
        <w:gridCol w:w="850"/>
        <w:gridCol w:w="569"/>
        <w:gridCol w:w="1136"/>
        <w:gridCol w:w="934"/>
        <w:gridCol w:w="1030"/>
        <w:gridCol w:w="1034"/>
        <w:gridCol w:w="1227"/>
        <w:gridCol w:w="1318"/>
        <w:gridCol w:w="1498"/>
      </w:tblGrid>
      <w:tr>
        <w:trPr>
          <w:trHeight w:val="418" w:hRule="exact"/>
        </w:trPr>
        <w:tc>
          <w:tcPr>
            <w:tcW w:w="238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15"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9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w:t>
            </w:r>
          </w:p>
        </w:tc>
        <w:tc>
          <w:tcPr>
            <w:tcW w:w="10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资本公积转增资</w:t>
            </w:r>
            <w:r>
              <w:rPr>
                <w:rFonts w:ascii="宋体" w:hAnsi="宋体" w:cs="宋体" w:eastAsia="宋体" w:hint="default"/>
                <w:spacing w:val="-92"/>
                <w:sz w:val="18"/>
                <w:szCs w:val="18"/>
              </w:rPr>
              <w:t>本</w:t>
            </w:r>
            <w:r>
              <w:rPr>
                <w:rFonts w:ascii="宋体" w:hAnsi="宋体" w:cs="宋体" w:eastAsia="宋体" w:hint="default"/>
                <w:sz w:val="18"/>
                <w:szCs w:val="18"/>
              </w:rPr>
              <w:t>（或股本</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tabs>
                <w:tab w:pos="609" w:val="left" w:leader="none"/>
              </w:tabs>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盈余公积转增资</w:t>
            </w:r>
            <w:r>
              <w:rPr>
                <w:rFonts w:ascii="宋体" w:hAnsi="宋体" w:cs="宋体" w:eastAsia="宋体" w:hint="default"/>
                <w:spacing w:val="-92"/>
                <w:sz w:val="18"/>
                <w:szCs w:val="18"/>
              </w:rPr>
              <w:t>本</w:t>
            </w:r>
            <w:r>
              <w:rPr>
                <w:rFonts w:ascii="宋体" w:hAnsi="宋体" w:cs="宋体" w:eastAsia="宋体" w:hint="default"/>
                <w:sz w:val="18"/>
                <w:szCs w:val="18"/>
              </w:rPr>
              <w:t>（或股本</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tabs>
                <w:tab w:pos="609" w:val="left" w:leader="none"/>
              </w:tabs>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1"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4"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w:t>
            </w:r>
          </w:p>
        </w:tc>
      </w:tr>
      <w:tr>
        <w:trPr>
          <w:trHeight w:val="401"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757,104,768.00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8,874,070.59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70,824,048.96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266,800,758.47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1,103,603,646.02</w:t>
            </w:r>
          </w:p>
        </w:tc>
      </w:tr>
    </w:tbl>
    <w:p>
      <w:pPr>
        <w:spacing w:after="0" w:line="240" w:lineRule="auto"/>
        <w:jc w:val="center"/>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5748"/>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4"/>
        </w:rPr>
        <w:t>深圳市惠程电气股份有限公司（以下简称“本公司”或“公司”或“深圳惠程”）前身为深圳市惠程电气有限责任公司，</w:t>
      </w:r>
      <w:r>
        <w:rPr/>
        <w:t> </w:t>
      </w:r>
      <w:r>
        <w:rPr>
          <w:spacing w:val="-2"/>
        </w:rPr>
        <w:t>系于</w:t>
      </w:r>
      <w:r>
        <w:rPr>
          <w:rFonts w:ascii="宋体" w:hAnsi="宋体" w:cs="宋体" w:eastAsia="宋体" w:hint="default"/>
          <w:spacing w:val="-2"/>
        </w:rPr>
        <w:t>1999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经深圳市工商局核准，由吕晓义、邓树坚共同发起设立的有限责任公司。</w:t>
      </w:r>
      <w:r>
        <w:rPr>
          <w:rFonts w:ascii="宋体" w:hAnsi="宋体" w:cs="宋体" w:eastAsia="宋体" w:hint="default"/>
          <w:spacing w:val="-2"/>
        </w:rPr>
        <w:t>2002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日，经深圳市人民政</w:t>
      </w:r>
      <w:r>
        <w:rPr>
          <w:spacing w:val="-57"/>
        </w:rPr>
        <w:t> </w:t>
      </w:r>
      <w:r>
        <w:rPr>
          <w:spacing w:val="-57"/>
        </w:rPr>
      </w:r>
      <w:r>
        <w:rPr>
          <w:spacing w:val="-4"/>
        </w:rPr>
        <w:t>府深府股【</w:t>
      </w:r>
      <w:r>
        <w:rPr>
          <w:rFonts w:ascii="宋体" w:hAnsi="宋体" w:cs="宋体" w:eastAsia="宋体" w:hint="default"/>
          <w:spacing w:val="-4"/>
        </w:rPr>
        <w:t>2002</w:t>
      </w:r>
      <w:r>
        <w:rPr>
          <w:spacing w:val="-4"/>
        </w:rPr>
        <w:t>】</w:t>
      </w:r>
      <w:r>
        <w:rPr>
          <w:rFonts w:ascii="宋体" w:hAnsi="宋体" w:cs="宋体" w:eastAsia="宋体" w:hint="default"/>
          <w:spacing w:val="-4"/>
        </w:rPr>
        <w:t>44</w:t>
      </w:r>
      <w:r>
        <w:rPr>
          <w:spacing w:val="-4"/>
        </w:rPr>
        <w:t>号“关于以发起方式改组设立深圳市惠程电气股份有限公司的批复”文件批准，并经本公司股东会决议，</w:t>
      </w:r>
      <w:r>
        <w:rPr>
          <w:spacing w:val="-35"/>
        </w:rPr>
        <w:t> </w:t>
      </w:r>
      <w:r>
        <w:rPr>
          <w:spacing w:val="-35"/>
        </w:rPr>
      </w:r>
      <w:r>
        <w:rPr/>
        <w:t>整体变更为股份有限公司。</w:t>
      </w:r>
      <w:r>
        <w:rPr>
          <w:rFonts w:ascii="宋体" w:hAnsi="宋体" w:cs="宋体" w:eastAsia="宋体" w:hint="default"/>
        </w:rPr>
        <w:t>2007</w:t>
      </w:r>
      <w:r>
        <w:rPr/>
        <w:t>年</w:t>
      </w:r>
      <w:r>
        <w:rPr>
          <w:rFonts w:ascii="宋体" w:hAnsi="宋体" w:cs="宋体" w:eastAsia="宋体" w:hint="default"/>
        </w:rPr>
        <w:t>9</w:t>
      </w:r>
      <w:r>
        <w:rPr/>
        <w:t>月在深圳证券交易所上市。所属行业为输配电及控制设备制造业。公司统一社会信用代 码：</w:t>
      </w:r>
      <w:r>
        <w:rPr>
          <w:rFonts w:ascii="宋体" w:hAnsi="宋体" w:cs="宋体" w:eastAsia="宋体" w:hint="default"/>
        </w:rPr>
        <w:t>914403007152119019</w:t>
      </w:r>
      <w:r>
        <w:rPr/>
        <w:t>。</w:t>
      </w:r>
    </w:p>
    <w:p>
      <w:pPr>
        <w:pStyle w:val="BodyText"/>
        <w:spacing w:line="316" w:lineRule="auto" w:before="57"/>
        <w:ind w:right="190" w:firstLine="360"/>
        <w:jc w:val="both"/>
      </w:pPr>
      <w:r>
        <w:rPr>
          <w:spacing w:val="-2"/>
        </w:rPr>
        <w:t>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日，本公司累计发行股本总数</w:t>
      </w:r>
      <w:r>
        <w:rPr>
          <w:rFonts w:ascii="宋体" w:hAnsi="宋体" w:cs="宋体" w:eastAsia="宋体" w:hint="default"/>
          <w:spacing w:val="-2"/>
        </w:rPr>
        <w:t>772,804,768</w:t>
      </w:r>
      <w:r>
        <w:rPr>
          <w:spacing w:val="-2"/>
        </w:rPr>
        <w:t>股，注册资本为</w:t>
      </w:r>
      <w:r>
        <w:rPr>
          <w:rFonts w:ascii="宋体" w:hAnsi="宋体" w:cs="宋体" w:eastAsia="宋体" w:hint="default"/>
          <w:spacing w:val="-2"/>
        </w:rPr>
        <w:t>772,804,768</w:t>
      </w:r>
      <w:r>
        <w:rPr>
          <w:spacing w:val="-2"/>
        </w:rPr>
        <w:t>元，注册地：深圳市坪山新区</w:t>
      </w:r>
      <w:r>
        <w:rPr/>
        <w:t> </w:t>
      </w:r>
      <w:r>
        <w:rPr>
          <w:spacing w:val="-2"/>
        </w:rPr>
        <w:t>大工业区兰景路以东、锦绣路以南惠程科技工业厂区。本公司主要经营活动为输配电及控制设备的生产与销售。本公司的实</w:t>
      </w:r>
      <w:r>
        <w:rPr>
          <w:spacing w:val="-63"/>
        </w:rPr>
        <w:t> </w:t>
      </w:r>
      <w:r>
        <w:rPr>
          <w:spacing w:val="-63"/>
        </w:rPr>
      </w:r>
      <w:r>
        <w:rPr/>
        <w:t>际控制人为何平及其一致行动人任金生。</w:t>
      </w:r>
    </w:p>
    <w:p>
      <w:pPr>
        <w:pStyle w:val="BodyText"/>
        <w:spacing w:line="360" w:lineRule="auto" w:before="59"/>
        <w:ind w:left="513" w:right="3963"/>
        <w:jc w:val="left"/>
      </w:pPr>
      <w:r>
        <w:rPr/>
        <w:pict>
          <v:shape style="position:absolute;margin-left:55.799999pt;margin-top:35.811718pt;width:484.1pt;height:228.9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60"/>
                  </w:tblGrid>
                  <w:tr>
                    <w:trPr>
                      <w:trHeight w:val="346"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8"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喀什中汇联银创业投资有限公司（以下简称“喀什中汇联银”）</w:t>
                        </w:r>
                      </w:p>
                    </w:tc>
                  </w:tr>
                  <w:tr>
                    <w:trPr>
                      <w:trHeight w:val="346"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深圳市惠程智能电力设备有限公司（以下简称“惠程智能”）</w:t>
                        </w:r>
                      </w:p>
                    </w:tc>
                  </w:tr>
                  <w:tr>
                    <w:trPr>
                      <w:trHeight w:val="348"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香港惠程有限公司（以下简称“香港惠程”）</w:t>
                        </w:r>
                      </w:p>
                    </w:tc>
                  </w:tr>
                  <w:tr>
                    <w:trPr>
                      <w:trHeight w:val="346"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中汇联银投资管理（北京）有限公司（以下简称“北京中汇联银”）</w:t>
                        </w:r>
                      </w:p>
                    </w:tc>
                  </w:tr>
                  <w:tr>
                    <w:trPr>
                      <w:trHeight w:val="348"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中行置盛投资（北京）有限公司（以下简称“中行置盛”）</w:t>
                        </w:r>
                      </w:p>
                    </w:tc>
                  </w:tr>
                  <w:tr>
                    <w:trPr>
                      <w:trHeight w:val="348"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中融建银投资（北京）有限公司（以下简称“中融建银”）</w:t>
                        </w:r>
                      </w:p>
                    </w:tc>
                  </w:tr>
                  <w:tr>
                    <w:trPr>
                      <w:trHeight w:val="427"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长春高琦聚酰亚胺材料有限公司（以下简称“长春高琦”）</w:t>
                        </w:r>
                      </w:p>
                    </w:tc>
                  </w:tr>
                  <w:tr>
                    <w:trPr>
                      <w:trHeight w:val="425"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吉林高琦聚酰亚胺材料有限公司（以下简称“吉林高琦”）</w:t>
                        </w:r>
                      </w:p>
                    </w:tc>
                  </w:tr>
                  <w:tr>
                    <w:trPr>
                      <w:trHeight w:val="427"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长春聚明光电材料有限公司（以下简称“长春聚明”）</w:t>
                        </w:r>
                      </w:p>
                    </w:tc>
                  </w:tr>
                  <w:tr>
                    <w:trPr>
                      <w:trHeight w:val="427"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吉林高航复合材料有限公司（以下简称“吉林高航”）</w:t>
                        </w:r>
                      </w:p>
                    </w:tc>
                  </w:tr>
                  <w:tr>
                    <w:trPr>
                      <w:trHeight w:val="427" w:hRule="exact"/>
                    </w:trPr>
                    <w:tc>
                      <w:tcPr>
                        <w:tcW w:w="9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江西先材纳米纤维科技有限公司（以下简称“江西先材”）</w:t>
                        </w:r>
                      </w:p>
                    </w:tc>
                  </w:tr>
                </w:tbl>
                <w:p>
                  <w:pPr/>
                </w:p>
              </w:txbxContent>
            </v:textbox>
            <w10:wrap type="none"/>
          </v:shape>
        </w:pict>
      </w:r>
      <w:r>
        <w:rPr/>
        <w:t>本财务报表业经公司全体董事（董事会）于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27</w:t>
      </w:r>
      <w:r>
        <w:rPr/>
        <w:t>日批准报出。 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513" w:right="94"/>
        <w:jc w:val="left"/>
      </w:pPr>
      <w:r>
        <w:rPr/>
        <w:t>本年合并财务报表范围及其变化情况详见本附注“六、合并范围的变更”</w:t>
      </w:r>
      <w:r>
        <w:rPr>
          <w:spacing w:val="1"/>
        </w:rPr>
        <w:t> </w:t>
      </w:r>
      <w:r>
        <w:rPr/>
        <w:t>和“七、在其他主体中的权益”。</w:t>
      </w:r>
    </w:p>
    <w:p>
      <w:pPr>
        <w:spacing w:line="240" w:lineRule="auto" w:before="3"/>
        <w:rPr>
          <w:rFonts w:ascii="宋体" w:hAnsi="宋体" w:cs="宋体" w:eastAsia="宋体" w:hint="default"/>
          <w:sz w:val="25"/>
          <w:szCs w:val="25"/>
        </w:rPr>
      </w:pPr>
    </w:p>
    <w:p>
      <w:pPr>
        <w:pStyle w:val="Heading2"/>
        <w:spacing w:line="240" w:lineRule="auto"/>
        <w:ind w:right="5748"/>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5748"/>
        <w:jc w:val="left"/>
        <w:rPr>
          <w:b w:val="0"/>
          <w:bCs w:val="0"/>
        </w:rPr>
      </w:pPr>
      <w:r>
        <w:rPr>
          <w:rFonts w:ascii="宋体" w:hAnsi="宋体" w:cs="宋体" w:eastAsia="宋体" w:hint="default"/>
        </w:rPr>
        <w:t>1</w:t>
      </w:r>
      <w:r>
        <w:rPr/>
        <w:t>、编制基础</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91"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66"/>
        </w:rPr>
        <w:t> </w:t>
      </w:r>
      <w:r>
        <w:rPr>
          <w:spacing w:val="-66"/>
        </w:rPr>
      </w:r>
      <w:r>
        <w:rPr/>
        <w:t>理委员会《公开发行证券的公司信息披露编报规则第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line="240" w:lineRule="auto" w:before="10"/>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2</w:t>
      </w:r>
      <w:r>
        <w:rPr/>
        <w:t>、持续经营</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94" w:firstLine="360"/>
        <w:jc w:val="both"/>
      </w:pPr>
      <w:r>
        <w:rPr/>
        <w:t>本公司无影响持续经营能力的事项，预计未来十二个月内具备持续经营的能力</w:t>
      </w:r>
      <w:r>
        <w:rPr>
          <w:rFonts w:ascii="宋体" w:hAnsi="宋体" w:cs="宋体" w:eastAsia="宋体" w:hint="default"/>
        </w:rPr>
        <w:t>,</w:t>
      </w:r>
      <w:r>
        <w:rPr/>
        <w:t>本公司的财务报表系在持续经营为假设 的基础上编制。</w:t>
      </w:r>
    </w:p>
    <w:p>
      <w:pPr>
        <w:spacing w:after="0" w:line="316" w:lineRule="auto"/>
        <w:jc w:val="both"/>
        <w:sectPr>
          <w:headerReference w:type="default" r:id="rId29"/>
          <w:footerReference w:type="default" r:id="rId30"/>
          <w:pgSz w:w="11910" w:h="16840"/>
          <w:pgMar w:header="877" w:footer="1186" w:top="1100" w:bottom="1380" w:left="980" w:right="940"/>
          <w:pgNumType w:start="94"/>
        </w:sectPr>
      </w:pPr>
    </w:p>
    <w:p>
      <w:pPr>
        <w:spacing w:line="240" w:lineRule="auto" w:before="10"/>
        <w:rPr>
          <w:rFonts w:ascii="宋体" w:hAnsi="宋体" w:cs="宋体" w:eastAsia="宋体" w:hint="default"/>
          <w:sz w:val="19"/>
          <w:szCs w:val="19"/>
        </w:rPr>
      </w:pPr>
    </w:p>
    <w:p>
      <w:pPr>
        <w:pStyle w:val="Heading2"/>
        <w:spacing w:line="240" w:lineRule="auto" w:before="26"/>
        <w:ind w:right="5748"/>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4"/>
        <w:jc w:val="left"/>
      </w:pPr>
      <w:r>
        <w:rPr/>
        <w:t>具体会计政策和会计估计提示：详见以下内容。</w:t>
      </w:r>
    </w:p>
    <w:p>
      <w:pPr>
        <w:spacing w:line="240" w:lineRule="auto" w:before="0"/>
        <w:rPr>
          <w:rFonts w:ascii="宋体" w:hAnsi="宋体" w:cs="宋体" w:eastAsia="宋体" w:hint="default"/>
          <w:sz w:val="18"/>
          <w:szCs w:val="18"/>
        </w:rPr>
      </w:pPr>
    </w:p>
    <w:p>
      <w:pPr>
        <w:pStyle w:val="Heading3"/>
        <w:spacing w:line="240" w:lineRule="auto" w:before="120"/>
        <w:ind w:right="5748"/>
        <w:jc w:val="left"/>
        <w:rPr>
          <w:b w:val="0"/>
          <w:bCs w:val="0"/>
        </w:rPr>
      </w:pPr>
      <w:r>
        <w:rPr>
          <w:rFonts w:ascii="宋体" w:hAnsi="宋体" w:cs="宋体" w:eastAsia="宋体" w:hint="default"/>
        </w:rPr>
        <w:t>1</w:t>
      </w:r>
      <w:r>
        <w:rPr/>
        <w:t>、遵循企业会计准则的声明</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94"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2</w:t>
      </w:r>
      <w:r>
        <w:rPr/>
        <w:t>、会计期间</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513" w:right="5748"/>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0"/>
        <w:ind w:right="5748"/>
        <w:jc w:val="left"/>
        <w:rPr>
          <w:b w:val="0"/>
          <w:bCs w:val="0"/>
        </w:rPr>
      </w:pPr>
      <w:r>
        <w:rPr>
          <w:rFonts w:ascii="宋体" w:hAnsi="宋体" w:cs="宋体" w:eastAsia="宋体" w:hint="default"/>
        </w:rPr>
        <w:t>3</w:t>
      </w:r>
      <w:r>
        <w:rPr/>
        <w:t>、营业周期</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5748"/>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3"/>
        <w:spacing w:line="240" w:lineRule="auto" w:before="120"/>
        <w:ind w:right="5748"/>
        <w:jc w:val="left"/>
        <w:rPr>
          <w:b w:val="0"/>
          <w:bCs w:val="0"/>
        </w:rPr>
      </w:pPr>
      <w:r>
        <w:rPr>
          <w:rFonts w:ascii="宋体" w:hAnsi="宋体" w:cs="宋体" w:eastAsia="宋体" w:hint="default"/>
        </w:rPr>
        <w:t>4</w:t>
      </w:r>
      <w:r>
        <w:rPr/>
        <w:t>、记账本位币</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5748"/>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93"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316" w:lineRule="auto" w:before="19"/>
        <w:ind w:right="94"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94"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1"/>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6</w:t>
      </w:r>
      <w:r>
        <w:rPr/>
        <w:t>、合并财务报表的编制方法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94"/>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2"/>
        </w:rPr>
        <w:t>本公司合并财务报表的合并范围以控制为基础确定，所有子公司（包括本公司所控制的被投资方可分割的部分）均纳入</w:t>
      </w:r>
    </w:p>
    <w:p>
      <w:pPr>
        <w:pStyle w:val="BodyText"/>
        <w:spacing w:line="240" w:lineRule="auto" w:before="19"/>
        <w:ind w:right="5748"/>
        <w:jc w:val="left"/>
      </w:pPr>
      <w:r>
        <w:rPr/>
        <w:t>合并财务报表。</w:t>
      </w:r>
    </w:p>
    <w:p>
      <w:pPr>
        <w:pStyle w:val="BodyText"/>
        <w:spacing w:line="316" w:lineRule="auto" w:before="76"/>
        <w:ind w:left="513" w:right="94"/>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316" w:lineRule="auto" w:before="19"/>
        <w:ind w:right="9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9" w:lineRule="auto" w:before="19"/>
        <w:ind w:right="105" w:firstLine="360"/>
        <w:jc w:val="both"/>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p>
    <w:p>
      <w:pPr>
        <w:spacing w:after="0" w:line="319" w:lineRule="auto"/>
        <w:jc w:val="both"/>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513" w:right="94"/>
        <w:jc w:val="left"/>
      </w:pPr>
      <w:r>
        <w:rPr>
          <w:rFonts w:ascii="宋体" w:hAnsi="宋体" w:cs="宋体" w:eastAsia="宋体" w:hint="default"/>
          <w:b/>
          <w:bCs/>
        </w:rPr>
        <w:t>A</w:t>
      </w:r>
      <w:r>
        <w:rPr>
          <w:rFonts w:ascii="宋体" w:hAnsi="宋体" w:cs="宋体" w:eastAsia="宋体" w:hint="default"/>
          <w:b/>
          <w:bCs/>
        </w:rPr>
        <w:t>、增加子公司或业务</w:t>
      </w:r>
      <w:r>
        <w:rPr>
          <w:rFonts w:ascii="宋体" w:hAnsi="宋体" w:cs="宋体" w:eastAsia="宋体" w:hint="default"/>
          <w:b/>
          <w:bCs/>
          <w:w w:val="99"/>
        </w:rPr>
        <w:t> </w:t>
      </w:r>
      <w:r>
        <w:rPr>
          <w:spacing w:val="-2"/>
        </w:rPr>
        <w:t>在报告期内，若因同一控制下企业合并增加子公司或业务的，则调整合并资产负债表的期初数；将子公司或业务合并当</w:t>
      </w:r>
    </w:p>
    <w:p>
      <w:pPr>
        <w:pStyle w:val="BodyText"/>
        <w:spacing w:line="316" w:lineRule="auto" w:before="19"/>
        <w:ind w:right="9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9" w:lineRule="auto" w:before="19"/>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7"/>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9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3"/>
        </w:rPr>
        <w:t> </w:t>
      </w:r>
      <w:r>
        <w:rPr>
          <w:spacing w:val="-63"/>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spacing w:line="316" w:lineRule="auto" w:before="19"/>
        <w:ind w:left="513" w:right="7736" w:firstLine="0"/>
        <w:jc w:val="left"/>
        <w:rPr>
          <w:rFonts w:ascii="宋体" w:hAnsi="宋体" w:cs="宋体" w:eastAsia="宋体" w:hint="default"/>
          <w:sz w:val="18"/>
          <w:szCs w:val="18"/>
        </w:rPr>
      </w:pPr>
      <w:r>
        <w:rPr>
          <w:rFonts w:ascii="宋体" w:hAnsi="宋体" w:cs="宋体" w:eastAsia="宋体" w:hint="default"/>
          <w:b/>
          <w:bCs/>
          <w:sz w:val="18"/>
          <w:szCs w:val="18"/>
        </w:rPr>
        <w:t>B</w:t>
      </w:r>
      <w:r>
        <w:rPr>
          <w:rFonts w:ascii="宋体" w:hAnsi="宋体" w:cs="宋体" w:eastAsia="宋体" w:hint="default"/>
          <w:b/>
          <w:bCs/>
          <w:sz w:val="18"/>
          <w:szCs w:val="18"/>
        </w:rPr>
        <w:t>、处置子公司或业务</w:t>
      </w:r>
      <w:r>
        <w:rPr>
          <w:rFonts w:ascii="宋体" w:hAnsi="宋体" w:cs="宋体" w:eastAsia="宋体" w:hint="default"/>
          <w:b/>
          <w:bCs/>
          <w:w w:val="99"/>
          <w:sz w:val="18"/>
          <w:szCs w:val="18"/>
        </w:rPr>
        <w:t> </w:t>
      </w:r>
      <w:r>
        <w:rPr>
          <w:rFonts w:ascii="宋体" w:hAnsi="宋体" w:cs="宋体" w:eastAsia="宋体" w:hint="default"/>
          <w:sz w:val="18"/>
          <w:szCs w:val="18"/>
        </w:rPr>
        <w:t>a</w:t>
      </w:r>
      <w:r>
        <w:rPr>
          <w:rFonts w:ascii="宋体" w:hAnsi="宋体" w:cs="宋体" w:eastAsia="宋体" w:hint="default"/>
          <w:sz w:val="18"/>
          <w:szCs w:val="18"/>
        </w:rPr>
        <w:t>、一般处理方法</w:t>
      </w:r>
    </w:p>
    <w:p>
      <w:pPr>
        <w:pStyle w:val="BodyText"/>
        <w:spacing w:line="316" w:lineRule="auto" w:before="19"/>
        <w:ind w:right="194" w:firstLine="360"/>
        <w:jc w:val="both"/>
      </w:pPr>
      <w:r>
        <w:rPr>
          <w:spacing w:val="-2"/>
        </w:rPr>
        <w:t>在报告期内，本公司处置子公司或业务，则该子公司或业务期初至处置日的收入、费用、利润纳入合并利润表；该子公</w:t>
      </w:r>
      <w:r>
        <w:rPr/>
        <w:t> 司或业务期初至处置日的现金流量纳入合并现金流量表。</w:t>
      </w:r>
    </w:p>
    <w:p>
      <w:pPr>
        <w:pStyle w:val="BodyText"/>
        <w:spacing w:line="316" w:lineRule="auto" w:before="19"/>
        <w:ind w:right="94"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19" w:lineRule="auto" w:before="19"/>
        <w:ind w:left="513" w:right="94"/>
        <w:jc w:val="left"/>
      </w:pPr>
      <w:r>
        <w:rPr/>
        <w:t>因其他投资方对子公司增资而导致本公司持股比例下降从而丧失控制权的，按照上述原则进行会计处理。 </w:t>
      </w:r>
      <w:r>
        <w:rPr>
          <w:rFonts w:ascii="宋体" w:hAnsi="宋体" w:cs="宋体" w:eastAsia="宋体"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7"/>
        <w:ind w:left="513" w:right="261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9" w:lineRule="auto" w:before="19"/>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Heading4"/>
        <w:spacing w:line="240" w:lineRule="auto" w:before="17"/>
        <w:ind w:right="5748"/>
        <w:jc w:val="left"/>
        <w:rPr>
          <w:b w:val="0"/>
          <w:bCs w:val="0"/>
        </w:rPr>
      </w:pPr>
      <w:r>
        <w:rPr>
          <w:rFonts w:ascii="宋体" w:hAnsi="宋体" w:cs="宋体" w:eastAsia="宋体" w:hint="default"/>
        </w:rPr>
        <w:t>C</w:t>
      </w:r>
      <w:r>
        <w:rPr/>
        <w:t>、购买子公司少数股权</w:t>
      </w:r>
      <w:r>
        <w:rPr>
          <w:b w:val="0"/>
          <w:bCs w:val="0"/>
        </w:rPr>
      </w:r>
    </w:p>
    <w:p>
      <w:pPr>
        <w:spacing w:after="0" w:line="240" w:lineRule="auto"/>
        <w:jc w:val="left"/>
        <w:sectPr>
          <w:pgSz w:w="11910" w:h="16840"/>
          <w:pgMar w:header="877" w:footer="1186" w:top="1100" w:bottom="1380" w:left="980" w:right="940"/>
        </w:sectPr>
      </w:pPr>
    </w:p>
    <w:p>
      <w:pPr>
        <w:spacing w:line="240" w:lineRule="auto" w:before="11"/>
        <w:rPr>
          <w:rFonts w:ascii="宋体" w:hAnsi="宋体" w:cs="宋体" w:eastAsia="宋体" w:hint="default"/>
          <w:b/>
          <w:bCs/>
          <w:sz w:val="21"/>
          <w:szCs w:val="21"/>
        </w:rPr>
      </w:pPr>
    </w:p>
    <w:p>
      <w:pPr>
        <w:pStyle w:val="BodyText"/>
        <w:spacing w:line="316" w:lineRule="auto" w:before="44"/>
        <w:ind w:right="150" w:firstLine="360"/>
        <w:jc w:val="both"/>
      </w:pPr>
      <w:r>
        <w:rPr>
          <w:spacing w:val="-2"/>
        </w:rPr>
        <w:t>本公司因购买少数股权新取得的长期股权投资与按照新增持股比例计算应享有子公司自购买日（或合并日）开始持续计</w:t>
      </w:r>
      <w:r>
        <w:rPr/>
        <w:t> </w:t>
      </w: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spacing w:line="316" w:lineRule="auto" w:before="19"/>
        <w:ind w:left="513" w:right="153" w:firstLine="0"/>
        <w:jc w:val="left"/>
        <w:rPr>
          <w:rFonts w:ascii="宋体" w:hAnsi="宋体" w:cs="宋体" w:eastAsia="宋体" w:hint="default"/>
          <w:sz w:val="18"/>
          <w:szCs w:val="18"/>
        </w:rPr>
      </w:pPr>
      <w:r>
        <w:rPr>
          <w:rFonts w:ascii="宋体" w:hAnsi="宋体" w:cs="宋体" w:eastAsia="宋体" w:hint="default"/>
          <w:b/>
          <w:bCs/>
          <w:sz w:val="18"/>
          <w:szCs w:val="18"/>
        </w:rPr>
        <w:t>D</w:t>
      </w:r>
      <w:r>
        <w:rPr>
          <w:rFonts w:ascii="宋体" w:hAnsi="宋体" w:cs="宋体" w:eastAsia="宋体" w:hint="default"/>
          <w:b/>
          <w:bCs/>
          <w:sz w:val="18"/>
          <w:szCs w:val="18"/>
        </w:rPr>
        <w:t>、不丧失控制权的情况下部分处置对子公司的股权投资</w:t>
      </w:r>
      <w:r>
        <w:rPr>
          <w:rFonts w:ascii="宋体" w:hAnsi="宋体" w:cs="宋体" w:eastAsia="宋体" w:hint="default"/>
          <w:b/>
          <w:bCs/>
          <w:w w:val="99"/>
          <w:sz w:val="18"/>
          <w:szCs w:val="18"/>
        </w:rPr>
        <w:t> </w:t>
      </w:r>
      <w:r>
        <w:rPr>
          <w:rFonts w:ascii="宋体" w:hAnsi="宋体" w:cs="宋体" w:eastAsia="宋体" w:hint="default"/>
          <w:sz w:val="18"/>
          <w:szCs w:val="18"/>
        </w:rPr>
        <w:t>在不丧失控制权的情况下因部分处置对子公司的长期股权投资而取得的处置价款与处置长期股权投资相对应享有子公</w:t>
      </w:r>
    </w:p>
    <w:p>
      <w:pPr>
        <w:pStyle w:val="BodyText"/>
        <w:spacing w:line="316" w:lineRule="auto" w:before="19"/>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left="513" w:right="14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7"/>
        <w:ind w:left="513" w:right="153"/>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513" w:right="153"/>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513" w:right="153"/>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left="513" w:right="153"/>
        <w:jc w:val="left"/>
      </w:pPr>
      <w:r>
        <w:rPr/>
        <w:t>（</w:t>
      </w:r>
      <w:r>
        <w:rPr>
          <w:rFonts w:ascii="宋体" w:hAnsi="宋体" w:cs="宋体" w:eastAsia="宋体" w:hint="default"/>
        </w:rPr>
        <w:t>4</w:t>
      </w:r>
      <w:r>
        <w:rPr/>
        <w:t>）按本公司份额确认共同经营因出售产出所产生的收入；</w:t>
      </w:r>
    </w:p>
    <w:p>
      <w:pPr>
        <w:pStyle w:val="BodyText"/>
        <w:spacing w:line="316" w:lineRule="auto" w:before="76"/>
        <w:ind w:left="513" w:right="3293"/>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本公司对合营企业投资的会计政策见本附注“三、（十四）长期股权投资”。</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8</w:t>
      </w:r>
      <w:r>
        <w:rPr/>
        <w:t>、现金及现金等价物的确定标准</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9</w:t>
      </w:r>
      <w:r>
        <w:rPr/>
        <w:t>、外币业务和外币报表折算</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293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19"/>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19" w:lineRule="auto" w:before="19"/>
        <w:ind w:left="513" w:right="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资产负债表中的资产和负债项目，采用资产负债表日的即期汇率折算；所有者权益项目除“未分配利润”项目外，其他</w:t>
      </w:r>
    </w:p>
    <w:p>
      <w:pPr>
        <w:pStyle w:val="BodyText"/>
        <w:spacing w:line="316" w:lineRule="auto" w:before="17"/>
        <w:ind w:left="513" w:right="1133" w:hanging="361"/>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10</w:t>
      </w:r>
      <w:r>
        <w:rPr/>
        <w:t>、金融工具</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53"/>
        <w:jc w:val="left"/>
      </w:pPr>
      <w:r>
        <w:rPr/>
        <w:t>金融工具包括金融资产、金融负债和权益工具。</w:t>
      </w:r>
    </w:p>
    <w:p>
      <w:pPr>
        <w:pStyle w:val="BodyText"/>
        <w:spacing w:line="316" w:lineRule="auto" w:before="76"/>
        <w:ind w:left="513"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w:t>
      </w:r>
    </w:p>
    <w:p>
      <w:pPr>
        <w:pStyle w:val="BodyText"/>
        <w:spacing w:line="316" w:lineRule="auto" w:before="19"/>
        <w:ind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spacing w:line="316" w:lineRule="auto" w:before="19"/>
        <w:ind w:left="513" w:right="410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）金融工具的确认依据和计量方法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A</w:t>
      </w:r>
      <w:r>
        <w:rPr>
          <w:rFonts w:ascii="宋体" w:hAnsi="宋体" w:cs="宋体" w:eastAsia="宋体" w:hint="default"/>
          <w:sz w:val="18"/>
          <w:szCs w:val="18"/>
        </w:rPr>
        <w:t>、以公允价值计量且其变动计入当期损益的金融资产（金融负债）</w:t>
      </w:r>
    </w:p>
    <w:p>
      <w:pPr>
        <w:spacing w:after="0" w:line="316"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316" w:lineRule="auto" w:before="44"/>
        <w:ind w:right="94" w:firstLine="360"/>
        <w:jc w:val="left"/>
      </w:pPr>
      <w:r>
        <w:rPr>
          <w:spacing w:val="-2"/>
        </w:rPr>
        <w:t>取得时以公允价值（扣除已宣告但尚未发放的现金股利或已到付息期但尚未领取的债券利息）作为初始确认金额，相关</w:t>
      </w:r>
      <w:r>
        <w:rPr/>
        <w:t> 的交易费用计入当期损益。</w:t>
      </w:r>
    </w:p>
    <w:p>
      <w:pPr>
        <w:pStyle w:val="BodyText"/>
        <w:spacing w:line="316" w:lineRule="auto" w:before="19"/>
        <w:ind w:left="513" w:right="1353"/>
        <w:jc w:val="left"/>
      </w:pPr>
      <w:r>
        <w:rPr/>
        <w:t>持有期间将取得的利息或现金股利确认为投资收益，期末将公允价值变动计入当期损益。 处置时，其公允价值与初始入账金额之间的差额确认为投资收益，同时调整公允价值变动损益。 </w:t>
      </w:r>
      <w:r>
        <w:rPr>
          <w:rFonts w:ascii="宋体" w:hAnsi="宋体" w:cs="宋体" w:eastAsia="宋体" w:hint="default"/>
        </w:rPr>
        <w:t>B</w:t>
      </w:r>
      <w:r>
        <w:rPr/>
        <w:t>、持有至到期投资 取得时按公允价值（扣除已到付息期但尚未领取的债券利息）和相关交易费用之和作为初始确认金额。</w:t>
      </w:r>
    </w:p>
    <w:p>
      <w:pPr>
        <w:pStyle w:val="BodyText"/>
        <w:spacing w:line="316" w:lineRule="auto" w:before="19"/>
        <w:ind w:right="94" w:firstLine="360"/>
        <w:jc w:val="left"/>
      </w:pPr>
      <w:r>
        <w:rPr>
          <w:spacing w:val="-4"/>
        </w:rPr>
        <w:t>持有期间按照摊余成本和实际利率（实际利率与票面利率差别较小的，按票面利率）计算确认利息收入，计入投资收益。</w:t>
      </w:r>
      <w:r>
        <w:rPr/>
        <w:t> 实际利率在取得时确定，在该预期存续期间或适用的更短期间内保持不变。</w:t>
      </w:r>
    </w:p>
    <w:p>
      <w:pPr>
        <w:pStyle w:val="BodyText"/>
        <w:spacing w:line="316" w:lineRule="auto" w:before="19"/>
        <w:ind w:left="513" w:right="4053"/>
        <w:jc w:val="left"/>
      </w:pPr>
      <w:r>
        <w:rPr/>
        <w:t>处置时，将所取得价款与该投资账面价值之间的差额计入投资收益。 </w:t>
      </w:r>
      <w:r>
        <w:rPr>
          <w:rFonts w:ascii="宋体" w:hAnsi="宋体" w:cs="宋体" w:eastAsia="宋体" w:hint="default"/>
        </w:rPr>
        <w:t>C</w:t>
      </w:r>
      <w:r>
        <w:rPr/>
        <w:t>、应收款项</w:t>
      </w:r>
    </w:p>
    <w:p>
      <w:pPr>
        <w:pStyle w:val="BodyText"/>
        <w:spacing w:line="319" w:lineRule="auto" w:before="19"/>
        <w:ind w:right="192" w:firstLine="360"/>
        <w:jc w:val="both"/>
      </w:pPr>
      <w:r>
        <w:rPr>
          <w:spacing w:val="-2"/>
        </w:rPr>
        <w:t>公司对外销售商品或提供劳务形成的应收债权，以及公司持有的其他企业的不包括在活跃市场上有报价的债务工具的债</w:t>
      </w:r>
      <w:r>
        <w:rPr/>
        <w:t> </w:t>
      </w: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316" w:lineRule="auto" w:before="17"/>
        <w:ind w:left="513" w:right="3153"/>
        <w:jc w:val="left"/>
      </w:pPr>
      <w:r>
        <w:rPr/>
        <w:t>收回或处置时，将取得的价款与该应收款项账面价值之间的差额计入当期损益。 </w:t>
      </w:r>
      <w:r>
        <w:rPr>
          <w:rFonts w:ascii="宋体" w:hAnsi="宋体" w:cs="宋体" w:eastAsia="宋体" w:hint="default"/>
        </w:rPr>
        <w:t>D</w:t>
      </w:r>
      <w:r>
        <w:rPr/>
        <w:t>、可供出售金融资产</w:t>
      </w:r>
    </w:p>
    <w:p>
      <w:pPr>
        <w:pStyle w:val="BodyText"/>
        <w:spacing w:line="316" w:lineRule="auto" w:before="19"/>
        <w:ind w:right="94" w:firstLine="360"/>
        <w:jc w:val="left"/>
      </w:pPr>
      <w:r>
        <w:rPr>
          <w:spacing w:val="-2"/>
        </w:rPr>
        <w:t>取得时按公允价值（扣除已宣告但尚未发放的现金股利或已到付息期但尚未领取的债券利息）和相关交易费用之和作为</w:t>
      </w:r>
      <w:r>
        <w:rPr/>
        <w:t> 初始确认金额。</w:t>
      </w:r>
    </w:p>
    <w:p>
      <w:pPr>
        <w:pStyle w:val="BodyText"/>
        <w:spacing w:line="316" w:lineRule="auto" w:before="19"/>
        <w:ind w:right="94" w:firstLine="360"/>
        <w:jc w:val="left"/>
      </w:pPr>
      <w:r>
        <w:rPr/>
        <w:t>持有期间将取得的利息或现金股利确认为投资收益。期末以公允价值计量且将公允价值变动计入其他综合收益。但是，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9" w:lineRule="auto" w:before="19"/>
        <w:ind w:right="94"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7"/>
        <w:ind w:left="513" w:right="2793"/>
        <w:jc w:val="left"/>
      </w:pPr>
      <w:r>
        <w:rPr>
          <w:rFonts w:ascii="宋体" w:hAnsi="宋体" w:cs="宋体" w:eastAsia="宋体" w:hint="default"/>
        </w:rPr>
        <w:t>E</w:t>
      </w:r>
      <w:r>
        <w:rPr/>
        <w:t>、其他金融负债 按其公允价值和相关交易费用之和作为初始确认金额。采用摊余成本进行后续计量。</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公司发生金融资产转移时，如已将金融资产所有权上几乎所有的风险和报酬转移给转入方，则终止确认该金融资产；如</w:t>
      </w:r>
    </w:p>
    <w:p>
      <w:pPr>
        <w:pStyle w:val="BodyText"/>
        <w:spacing w:line="316" w:lineRule="auto" w:before="19"/>
        <w:ind w:left="513" w:right="94"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316" w:lineRule="auto" w:before="19"/>
        <w:ind w:left="513" w:right="183" w:hanging="361"/>
        <w:jc w:val="left"/>
      </w:pPr>
      <w:r>
        <w:rPr/>
        <w:t>融资产整体转移和部分转移。金融资产整体转移满足终止确认条件的，将下列两项金额的差额计入当期损益： </w:t>
      </w:r>
      <w:r>
        <w:rPr>
          <w:rFonts w:ascii="宋体" w:hAnsi="宋体" w:cs="宋体" w:eastAsia="宋体" w:hint="default"/>
        </w:rPr>
        <w:t>A</w:t>
      </w:r>
      <w:r>
        <w:rPr/>
        <w:t>、所转移金融资产的账面价值； </w:t>
      </w:r>
      <w:r>
        <w:rPr>
          <w:rFonts w:ascii="宋体" w:hAnsi="宋体" w:cs="宋体" w:eastAsia="宋体" w:hint="default"/>
        </w:rPr>
        <w:t>B</w:t>
      </w:r>
      <w:r>
        <w:rPr/>
        <w:t>、因转移而收到的对价，与原直接计入所有者权益的公允价值变动累计额（涉及转移的金融资产为可供出售金融资产</w:t>
      </w:r>
    </w:p>
    <w:p>
      <w:pPr>
        <w:pStyle w:val="BodyText"/>
        <w:spacing w:line="319" w:lineRule="auto" w:before="19"/>
        <w:ind w:left="513" w:right="93" w:hanging="361"/>
        <w:jc w:val="left"/>
      </w:pPr>
      <w:r>
        <w:rPr/>
        <w:t>的情形）之和。 金融资产部分转移满足终止确认条件的，将所转移金融资产整体的账面价值，在终止确认部分和未终止确认部分之间，</w:t>
      </w:r>
    </w:p>
    <w:p>
      <w:pPr>
        <w:pStyle w:val="BodyText"/>
        <w:spacing w:line="316" w:lineRule="auto" w:before="17"/>
        <w:ind w:left="513" w:right="3694" w:hanging="361"/>
        <w:jc w:val="left"/>
      </w:pPr>
      <w:r>
        <w:rPr/>
        <w:t>按照各自的相对公允价值进行分摊，并将下列两项金额的差额计入当期损益： </w:t>
      </w:r>
      <w:r>
        <w:rPr>
          <w:rFonts w:ascii="宋体" w:hAnsi="宋体" w:cs="宋体" w:eastAsia="宋体" w:hint="default"/>
        </w:rPr>
        <w:t>A</w:t>
      </w:r>
      <w:r>
        <w:rPr/>
        <w:t>、终止确认部分的账面价值；</w:t>
      </w:r>
    </w:p>
    <w:p>
      <w:pPr>
        <w:pStyle w:val="BodyText"/>
        <w:spacing w:line="316" w:lineRule="auto" w:before="19"/>
        <w:ind w:right="184" w:firstLine="360"/>
        <w:jc w:val="left"/>
      </w:pPr>
      <w:r>
        <w:rPr>
          <w:rFonts w:ascii="宋体" w:hAnsi="宋体" w:cs="宋体" w:eastAsia="宋体" w:hint="default"/>
        </w:rPr>
        <w:t>B</w:t>
      </w:r>
      <w:r>
        <w:rPr/>
        <w:t>、终止确认部分的对价，与原直接计入所有者权益的公允价值变动累计额中对应终止确认部分的金额（涉及转移的金 融资产为可供出售金融资产的情形）之和。</w:t>
      </w:r>
    </w:p>
    <w:p>
      <w:pPr>
        <w:pStyle w:val="BodyText"/>
        <w:spacing w:line="240" w:lineRule="auto" w:before="19"/>
        <w:ind w:left="513" w:right="94"/>
        <w:jc w:val="left"/>
      </w:pPr>
      <w:r>
        <w:rPr/>
        <w:t>金融资产转移不满足终止确认条件的，继续确认该金融资产，所收到的对价确认为一项金融负债。</w:t>
      </w:r>
    </w:p>
    <w:p>
      <w:pPr>
        <w:spacing w:line="316" w:lineRule="auto" w:before="76"/>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pacing w:val="-2"/>
          <w:sz w:val="18"/>
          <w:szCs w:val="18"/>
        </w:rPr>
        <w:t>金融负债的现时义务全部或部分已经解除的，则终止确认该金融负债或其一部分；本公司若与债权人签定协议，以承担</w:t>
      </w:r>
    </w:p>
    <w:p>
      <w:pPr>
        <w:pStyle w:val="BodyText"/>
        <w:spacing w:line="316" w:lineRule="auto" w:before="19"/>
        <w:ind w:right="94"/>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spacing w:after="0" w:line="316"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316" w:lineRule="auto" w:before="19"/>
        <w:ind w:right="19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319"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6</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316" w:lineRule="auto" w:before="17"/>
        <w:ind w:left="513" w:right="5134" w:hanging="361"/>
        <w:jc w:val="left"/>
      </w:pPr>
      <w:r>
        <w:rPr/>
        <w:t>有客观证据表明某项金融资产发生减值的，计提减值准备。 </w:t>
      </w:r>
      <w:r>
        <w:rPr>
          <w:rFonts w:ascii="宋体" w:hAnsi="宋体" w:cs="宋体" w:eastAsia="宋体" w:hint="default"/>
        </w:rPr>
        <w:t>A</w:t>
      </w:r>
      <w:r>
        <w:rPr/>
        <w:t>、可供出售金融资产的减值准备</w:t>
      </w:r>
    </w:p>
    <w:p>
      <w:pPr>
        <w:pStyle w:val="BodyText"/>
        <w:spacing w:line="316" w:lineRule="auto" w:before="19"/>
        <w:ind w:right="94" w:firstLine="360"/>
        <w:jc w:val="left"/>
      </w:pPr>
      <w:r>
        <w:rPr>
          <w:spacing w:val="-2"/>
        </w:rPr>
        <w:t>期末如果可供出售金融资产的公允价值发生严重下降，或在综合考虑各种相关因素后，预期这种下降趋势属于非暂时性</w:t>
      </w:r>
      <w:r>
        <w:rPr/>
        <w:t> 的，就认定其已发生减值，将原直接计入所有者权益的公允价值下降形成的累计损失一并转出，确认减值损失。</w:t>
      </w:r>
    </w:p>
    <w:p>
      <w:pPr>
        <w:pStyle w:val="BodyText"/>
        <w:spacing w:line="316" w:lineRule="auto" w:before="19"/>
        <w:ind w:right="94"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BodyText"/>
        <w:spacing w:line="316" w:lineRule="auto" w:before="19"/>
        <w:ind w:left="513" w:right="94"/>
        <w:jc w:val="left"/>
      </w:pPr>
      <w:r>
        <w:rPr/>
        <w:t>可供出售权益工具投资发生的减值损失，不通过损益转回。 </w:t>
      </w:r>
      <w:r>
        <w:rPr>
          <w:spacing w:val="-2"/>
        </w:rPr>
        <w:t>本公司对可供出售债务工具投资减值的认定标准为：债务工具发行方经营所处的技术、市场、经济或法律环境等发生重</w:t>
      </w:r>
    </w:p>
    <w:p>
      <w:pPr>
        <w:pStyle w:val="BodyText"/>
        <w:spacing w:line="319" w:lineRule="auto" w:before="19"/>
        <w:ind w:left="513" w:right="94" w:hanging="361"/>
        <w:jc w:val="left"/>
      </w:pPr>
      <w:r>
        <w:rPr/>
        <w:t>大不利变化，使债务工具投资人可能无法收回投资成本。 本公司对可供出售权益工具投资减值的认定标准为：权益工具投资的公允价值发生严重或非暂时性下跌。 </w:t>
      </w:r>
      <w:r>
        <w:rPr>
          <w:spacing w:val="-2"/>
        </w:rPr>
        <w:t>本公司对可供出售权益工具投资的公允价值下跌“严重”的标准为：一般而言，对于在流动性良好的市场上交易活跃的</w:t>
      </w:r>
    </w:p>
    <w:p>
      <w:pPr>
        <w:pStyle w:val="BodyText"/>
        <w:spacing w:line="316" w:lineRule="auto" w:before="17"/>
        <w:ind w:left="513" w:right="543" w:hanging="361"/>
        <w:jc w:val="left"/>
      </w:pPr>
      <w:r>
        <w:rPr/>
        <w:t>权益性投资，超过</w:t>
      </w:r>
      <w:r>
        <w:rPr>
          <w:rFonts w:ascii="宋体" w:hAnsi="宋体" w:cs="宋体" w:eastAsia="宋体" w:hint="default"/>
        </w:rPr>
        <w:t>50%</w:t>
      </w:r>
      <w:r>
        <w:rPr/>
        <w:t>的跌幅则认为属于严重下跌。 公允价值下跌“非暂时性”的标准为：一般而言，如果连续下跌时间超过</w:t>
      </w:r>
      <w:r>
        <w:rPr>
          <w:rFonts w:ascii="宋体" w:hAnsi="宋体" w:cs="宋体" w:eastAsia="宋体" w:hint="default"/>
        </w:rPr>
        <w:t>6</w:t>
      </w:r>
      <w:r>
        <w:rPr/>
        <w:t>个月，则认为属于“非暂时性下跌”。 </w:t>
      </w:r>
      <w:r>
        <w:rPr>
          <w:rFonts w:ascii="宋体" w:hAnsi="宋体" w:cs="宋体" w:eastAsia="宋体" w:hint="default"/>
        </w:rPr>
        <w:t>B</w:t>
      </w:r>
      <w:r>
        <w:rPr/>
        <w:t>、持有至到期投资的减值准备</w:t>
      </w:r>
    </w:p>
    <w:p>
      <w:pPr>
        <w:pStyle w:val="BodyText"/>
        <w:spacing w:line="240" w:lineRule="auto" w:before="19"/>
        <w:ind w:left="513" w:right="94"/>
        <w:jc w:val="left"/>
      </w:pPr>
      <w:r>
        <w:rPr/>
        <w:t>持有至到期投资减值损失的计量比照应收款项减值损失计量方法处理。</w:t>
      </w:r>
    </w:p>
    <w:p>
      <w:pPr>
        <w:spacing w:after="0" w:line="240" w:lineRule="auto"/>
        <w:jc w:val="left"/>
        <w:sectPr>
          <w:pgSz w:w="11910" w:h="16840"/>
          <w:pgMar w:header="877" w:footer="1186" w:top="1100" w:bottom="138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11</w:t>
      </w:r>
      <w:r>
        <w:rPr/>
        <w:t>、应收款项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828"/>
        <w:gridCol w:w="5742"/>
      </w:tblGrid>
      <w:tr>
        <w:trPr>
          <w:trHeight w:val="715"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，其他应收款余额</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万元以上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w:t>
            </w:r>
          </w:p>
        </w:tc>
      </w:tr>
      <w:tr>
        <w:trPr>
          <w:trHeight w:val="71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pacing w:val="-3"/>
                <w:sz w:val="18"/>
                <w:szCs w:val="18"/>
              </w:rPr>
              <w:t>单独进行减值测试，按预计未来现金流量现值低于其账面价值的差额计提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坏账准备，计入当期损益。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53"/>
        <w:jc w:val="left"/>
      </w:pPr>
      <w:r>
        <w:rPr/>
        <w:t>组合中，采用账龄分析法计提坏账准备的：</w:t>
      </w:r>
    </w:p>
    <w:p>
      <w:pPr>
        <w:pStyle w:val="BodyText"/>
        <w:spacing w:line="240" w:lineRule="auto" w:before="115"/>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49"/>
        <w:ind w:right="153"/>
        <w:jc w:val="left"/>
      </w:pPr>
      <w:r>
        <w:rPr/>
        <w:t>组合中，采用余额百分比法计提坏账准备的：</w:t>
      </w:r>
    </w:p>
    <w:p>
      <w:pPr>
        <w:pStyle w:val="BodyText"/>
        <w:spacing w:line="360" w:lineRule="auto" w:before="115"/>
        <w:ind w:right="6534"/>
        <w:jc w:val="left"/>
      </w:pPr>
      <w:r>
        <w:rPr/>
        <w:t>□ 适用 √</w:t>
      </w:r>
      <w:r>
        <w:rPr>
          <w:spacing w:val="3"/>
        </w:rPr>
        <w:t> </w:t>
      </w:r>
      <w:r>
        <w:rPr/>
        <w:t>不适用</w:t>
      </w:r>
      <w:r>
        <w:rPr/>
        <w:t> 组合中，采用其他方法计提坏账准备的：</w:t>
      </w:r>
    </w:p>
    <w:p>
      <w:pPr>
        <w:pStyle w:val="BodyText"/>
        <w:spacing w:line="240" w:lineRule="auto" w:before="25"/>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126"/>
        <w:gridCol w:w="7444"/>
      </w:tblGrid>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有客观证据表明可能发生减值，如债务人出现撤销、破产或死亡，以其破产财产或遗产清偿后 仍不能收回，现金流量严重不足等情况的。</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对有客观证据表明可能发生了减值的应收款项，将其从相关组合中分离出来，单独进行减值测 试，根据其未来现金流量现值低于其账面价值的差额，确认减值损失，计提坏账准备。</w:t>
            </w:r>
          </w:p>
        </w:tc>
      </w:tr>
    </w:tbl>
    <w:p>
      <w:pPr>
        <w:spacing w:after="0" w:line="314" w:lineRule="auto"/>
        <w:jc w:val="left"/>
        <w:rPr>
          <w:rFonts w:ascii="宋体" w:hAnsi="宋体" w:cs="宋体" w:eastAsia="宋体" w:hint="default"/>
          <w:sz w:val="18"/>
          <w:szCs w:val="18"/>
        </w:rPr>
        <w:sectPr>
          <w:footerReference w:type="default" r:id="rId31"/>
          <w:pgSz w:w="11910" w:h="16840"/>
          <w:pgMar w:footer="1186" w:header="877" w:top="110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0"/>
        <w:jc w:val="both"/>
        <w:rPr>
          <w:b w:val="0"/>
          <w:bCs w:val="0"/>
        </w:rPr>
      </w:pPr>
      <w:r>
        <w:rPr>
          <w:rFonts w:ascii="宋体" w:hAnsi="宋体" w:cs="宋体" w:eastAsia="宋体" w:hint="default"/>
        </w:rPr>
        <w:t>12</w:t>
      </w:r>
      <w:r>
        <w:rPr/>
        <w:t>、存货</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275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存货分类为：原材料、低值易耗品、库存商品、在产品、发出商品、自制半成品等。</w:t>
      </w:r>
    </w:p>
    <w:p>
      <w:pPr>
        <w:spacing w:line="316" w:lineRule="auto" w:before="19"/>
        <w:ind w:left="513" w:right="68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存货发出时按加权平均法计价。</w:t>
      </w:r>
    </w:p>
    <w:p>
      <w:pPr>
        <w:spacing w:line="316"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319" w:lineRule="auto" w:before="19"/>
        <w:ind w:right="15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7"/>
        <w:ind w:right="15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left="513" w:right="593"/>
        <w:jc w:val="left"/>
      </w:pPr>
      <w:r>
        <w:rPr/>
        <w:t>除有明确证据表明资产负债表日市场价格异常外，存货项目的可变现净值以资产负债表日市场价格为基础确定。 本年期末存货项目的可变现净值以资产负债表日市场价格为基础确定。</w:t>
      </w:r>
    </w:p>
    <w:p>
      <w:pPr>
        <w:spacing w:line="316" w:lineRule="auto" w:before="19"/>
        <w:ind w:left="513" w:right="769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spacing w:line="319" w:lineRule="auto" w:before="19"/>
        <w:ind w:left="513" w:right="643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A</w:t>
      </w:r>
      <w:r>
        <w:rPr>
          <w:rFonts w:ascii="宋体" w:hAnsi="宋体" w:cs="宋体" w:eastAsia="宋体" w:hint="default"/>
          <w:sz w:val="18"/>
          <w:szCs w:val="18"/>
        </w:rPr>
        <w:t>、低值易耗品采用分次转销法； </w:t>
      </w:r>
      <w:r>
        <w:rPr>
          <w:rFonts w:ascii="宋体" w:hAnsi="宋体" w:cs="宋体" w:eastAsia="宋体" w:hint="default"/>
          <w:sz w:val="18"/>
          <w:szCs w:val="18"/>
        </w:rPr>
        <w:t>B</w:t>
      </w:r>
      <w:r>
        <w:rPr>
          <w:rFonts w:ascii="宋体" w:hAnsi="宋体" w:cs="宋体" w:eastAsia="宋体" w:hint="default"/>
          <w:sz w:val="18"/>
          <w:szCs w:val="18"/>
        </w:rPr>
        <w:t>、包装物采用一次转销法。</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13</w:t>
      </w:r>
      <w:r>
        <w:rPr/>
        <w:t>、划分为持有待售资产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153"/>
        <w:jc w:val="left"/>
      </w:pPr>
      <w:r>
        <w:rPr/>
        <w:t>本公司将同时满足下列条件的组成部分（或非流动资产）确认为持有待售：</w:t>
      </w:r>
    </w:p>
    <w:p>
      <w:pPr>
        <w:pStyle w:val="BodyText"/>
        <w:spacing w:line="240" w:lineRule="auto" w:before="76"/>
        <w:ind w:left="513" w:right="153"/>
        <w:jc w:val="left"/>
      </w:pPr>
      <w:r>
        <w:rPr/>
        <w:t>（</w:t>
      </w:r>
      <w:r>
        <w:rPr>
          <w:rFonts w:ascii="宋体" w:hAnsi="宋体" w:cs="宋体" w:eastAsia="宋体" w:hint="default"/>
        </w:rPr>
        <w:t>1</w:t>
      </w:r>
      <w:r>
        <w:rPr/>
        <w:t>）该组成部分必须在其当前状况下仅根据出售此类组成部分的惯常条款即可立即出售；</w:t>
      </w:r>
    </w:p>
    <w:p>
      <w:pPr>
        <w:pStyle w:val="BodyText"/>
        <w:spacing w:line="316" w:lineRule="auto" w:before="76"/>
        <w:ind w:right="153" w:firstLine="360"/>
        <w:jc w:val="both"/>
      </w:pPr>
      <w:r>
        <w:rPr/>
        <w:t>（</w:t>
      </w:r>
      <w:r>
        <w:rPr>
          <w:rFonts w:ascii="宋体" w:hAnsi="宋体" w:cs="宋体" w:eastAsia="宋体" w:hint="default"/>
        </w:rPr>
        <w:t>2</w:t>
      </w:r>
      <w:r>
        <w:rPr/>
        <w:t>）公司已经就处置该组成部分（或非流动资产）作出决议，如按规定需得到股东批准的，已经取得股东大会或相应 权力机构的批准；</w:t>
      </w:r>
    </w:p>
    <w:p>
      <w:pPr>
        <w:pStyle w:val="BodyText"/>
        <w:spacing w:line="240" w:lineRule="auto" w:before="19"/>
        <w:ind w:left="513" w:right="153"/>
        <w:jc w:val="left"/>
      </w:pPr>
      <w:r>
        <w:rPr/>
        <w:t>（</w:t>
      </w:r>
      <w:r>
        <w:rPr>
          <w:rFonts w:ascii="宋体" w:hAnsi="宋体" w:cs="宋体" w:eastAsia="宋体" w:hint="default"/>
        </w:rPr>
        <w:t>3</w:t>
      </w:r>
      <w:r>
        <w:rPr/>
        <w:t>）公司已与受让方签订了不可撤销的转让协议；</w:t>
      </w:r>
    </w:p>
    <w:p>
      <w:pPr>
        <w:pStyle w:val="BodyText"/>
        <w:spacing w:line="240" w:lineRule="auto" w:before="76"/>
        <w:ind w:left="513" w:right="153"/>
        <w:jc w:val="left"/>
      </w:pPr>
      <w:r>
        <w:rPr/>
        <w:t>（</w:t>
      </w:r>
      <w:r>
        <w:rPr>
          <w:rFonts w:ascii="宋体" w:hAnsi="宋体" w:cs="宋体" w:eastAsia="宋体" w:hint="default"/>
        </w:rPr>
        <w:t>4</w:t>
      </w:r>
      <w:r>
        <w:rPr/>
        <w:t>）该项转让将在一年内完成。</w:t>
      </w:r>
    </w:p>
    <w:p>
      <w:pPr>
        <w:spacing w:line="240" w:lineRule="auto" w:before="0"/>
        <w:rPr>
          <w:rFonts w:ascii="宋体" w:hAnsi="宋体" w:cs="宋体" w:eastAsia="宋体" w:hint="default"/>
          <w:sz w:val="18"/>
          <w:szCs w:val="18"/>
        </w:rPr>
      </w:pPr>
    </w:p>
    <w:p>
      <w:pPr>
        <w:pStyle w:val="Heading3"/>
        <w:spacing w:line="240" w:lineRule="auto" w:before="121"/>
        <w:ind w:right="0"/>
        <w:jc w:val="both"/>
        <w:rPr>
          <w:b w:val="0"/>
          <w:bCs w:val="0"/>
        </w:rPr>
      </w:pPr>
      <w:r>
        <w:rPr>
          <w:rFonts w:ascii="宋体" w:hAnsi="宋体" w:cs="宋体" w:eastAsia="宋体" w:hint="default"/>
        </w:rPr>
        <w:t>14</w:t>
      </w:r>
      <w:r>
        <w:rPr/>
        <w:t>、长期股权投资</w:t>
      </w:r>
      <w:r>
        <w:rPr>
          <w:b w:val="0"/>
          <w:bCs w:val="0"/>
        </w:rPr>
      </w:r>
    </w:p>
    <w:p>
      <w:pPr>
        <w:spacing w:line="240" w:lineRule="auto" w:before="7"/>
        <w:rPr>
          <w:rFonts w:ascii="宋体" w:hAnsi="宋体" w:cs="宋体" w:eastAsia="宋体" w:hint="default"/>
          <w:b/>
          <w:bCs/>
          <w:sz w:val="27"/>
          <w:szCs w:val="27"/>
        </w:rPr>
      </w:pPr>
    </w:p>
    <w:p>
      <w:pPr>
        <w:spacing w:line="316"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19"/>
        <w:ind w:right="152"/>
        <w:jc w:val="both"/>
      </w:pPr>
      <w:r>
        <w:rPr>
          <w:spacing w:val="-2"/>
        </w:rPr>
        <w:t>后才能决策。本公司与其他合营方一同对被投资单位实施共同控制且对被投资单位净资产享有权利的，被投资单位为本公司</w:t>
      </w:r>
      <w:r>
        <w:rPr>
          <w:spacing w:val="-63"/>
        </w:rPr>
        <w:t> </w:t>
      </w:r>
      <w:r>
        <w:rPr>
          <w:spacing w:val="-63"/>
        </w:rPr>
      </w:r>
      <w:r>
        <w:rPr/>
        <w:t>的合营企业。</w:t>
      </w:r>
    </w:p>
    <w:p>
      <w:pPr>
        <w:pStyle w:val="BodyText"/>
        <w:spacing w:line="316" w:lineRule="auto" w:before="19"/>
        <w:ind w:right="152" w:firstLine="360"/>
        <w:jc w:val="both"/>
      </w:pPr>
      <w:r>
        <w:rPr>
          <w:spacing w:val="-2"/>
        </w:rPr>
        <w:t>重大影响，是指对一个企业的财务和经营决策有参与决策的权力，但并不能够控制或者与其他方一起共同控制这些政策</w:t>
      </w:r>
      <w:r>
        <w:rPr/>
        <w:t> 的制定。本能够对被投资单位施加重大影响的，被投资单位为本公司联营企业。</w:t>
      </w:r>
    </w:p>
    <w:p>
      <w:pPr>
        <w:spacing w:line="316" w:lineRule="auto" w:before="19"/>
        <w:ind w:left="513" w:right="680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）初始投资成本的确定</w:t>
      </w:r>
      <w:r>
        <w:rPr>
          <w:rFonts w:ascii="宋体" w:hAnsi="宋体" w:cs="宋体" w:eastAsia="宋体" w:hint="default"/>
          <w:b/>
          <w:bCs/>
          <w:w w:val="99"/>
          <w:sz w:val="18"/>
          <w:szCs w:val="18"/>
        </w:rPr>
        <w:t> </w:t>
      </w:r>
      <w:r>
        <w:rPr>
          <w:rFonts w:ascii="宋体" w:hAnsi="宋体" w:cs="宋体" w:eastAsia="宋体" w:hint="default"/>
          <w:sz w:val="18"/>
          <w:szCs w:val="18"/>
        </w:rPr>
        <w:t>A</w:t>
      </w:r>
      <w:r>
        <w:rPr>
          <w:rFonts w:ascii="宋体" w:hAnsi="宋体" w:cs="宋体" w:eastAsia="宋体" w:hint="default"/>
          <w:sz w:val="18"/>
          <w:szCs w:val="18"/>
        </w:rPr>
        <w:t>、企业合并形成的长期股权投资</w:t>
      </w:r>
    </w:p>
    <w:p>
      <w:pPr>
        <w:pStyle w:val="BodyText"/>
        <w:spacing w:line="319" w:lineRule="auto" w:before="19"/>
        <w:ind w:right="150" w:firstLine="360"/>
        <w:jc w:val="both"/>
      </w:pPr>
      <w:r>
        <w:rPr>
          <w:spacing w:val="-2"/>
        </w:rPr>
        <w:t>同一控制下的企业合并：公司以支付现金、转让非现金资产或承担债务方式以及以发行权益性证券作为合并对价的，在</w:t>
      </w:r>
      <w:r>
        <w:rPr/>
        <w:t> </w:t>
      </w: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p>
    <w:p>
      <w:pPr>
        <w:spacing w:after="0" w:line="319" w:lineRule="auto"/>
        <w:jc w:val="both"/>
        <w:sectPr>
          <w:footerReference w:type="default" r:id="rId32"/>
          <w:pgSz w:w="11910" w:h="16840"/>
          <w:pgMar w:footer="1186" w:header="877" w:top="1100" w:bottom="1380" w:left="980" w:right="980"/>
          <w:pgNumType w:start="101"/>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91"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3"/>
        </w:rPr>
        <w:t> </w:t>
      </w:r>
      <w:r>
        <w:rPr>
          <w:spacing w:val="-63"/>
        </w:rPr>
      </w:r>
      <w:r>
        <w:rPr/>
        <w:t>初始投资成本。</w:t>
      </w:r>
    </w:p>
    <w:p>
      <w:pPr>
        <w:pStyle w:val="BodyText"/>
        <w:spacing w:line="316" w:lineRule="auto" w:before="19"/>
        <w:ind w:left="513" w:right="2073"/>
        <w:jc w:val="left"/>
      </w:pPr>
      <w:r>
        <w:rPr>
          <w:rFonts w:ascii="宋体" w:hAnsi="宋体" w:cs="宋体" w:eastAsia="宋体" w:hint="default"/>
        </w:rPr>
        <w:t>B</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19"/>
        <w:ind w:right="192"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3"/>
        </w:rPr>
        <w:t> </w:t>
      </w:r>
      <w:r>
        <w:rPr>
          <w:spacing w:val="-63"/>
        </w:rPr>
      </w:r>
      <w:r>
        <w:rPr/>
        <w:t>资成本。</w:t>
      </w:r>
    </w:p>
    <w:p>
      <w:pPr>
        <w:pStyle w:val="BodyText"/>
        <w:spacing w:line="240" w:lineRule="auto" w:before="17"/>
        <w:ind w:left="513" w:right="94"/>
        <w:jc w:val="left"/>
      </w:pPr>
      <w:r>
        <w:rPr/>
        <w:t>通过债务重组取得的长期股权投资，其初始投资成本按照公允价值为基础确定。</w:t>
      </w:r>
    </w:p>
    <w:p>
      <w:pPr>
        <w:spacing w:line="316" w:lineRule="auto" w:before="76"/>
        <w:ind w:left="513" w:right="70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A</w:t>
      </w:r>
      <w:r>
        <w:rPr>
          <w:rFonts w:ascii="宋体" w:hAnsi="宋体" w:cs="宋体" w:eastAsia="宋体" w:hint="default"/>
          <w:sz w:val="18"/>
          <w:szCs w:val="18"/>
        </w:rPr>
        <w:t>、成本法核算的长期股权投资</w:t>
      </w:r>
    </w:p>
    <w:p>
      <w:pPr>
        <w:pStyle w:val="BodyText"/>
        <w:spacing w:line="316" w:lineRule="auto" w:before="19"/>
        <w:ind w:right="192" w:firstLine="360"/>
        <w:jc w:val="both"/>
      </w:pPr>
      <w:r>
        <w:rPr>
          <w:spacing w:val="-2"/>
        </w:rPr>
        <w:t>公司对子公司的长期股权投资，采用成本法核算。除取得投资时实际支付的价款或对价中包含的已宣告但尚未发放的现</w:t>
      </w:r>
      <w:r>
        <w:rPr/>
        <w:t> 金股利或利润外，公司按照享有被投资单位宣告发放的现金股利或利润确认当期投资收益。</w:t>
      </w:r>
    </w:p>
    <w:p>
      <w:pPr>
        <w:pStyle w:val="BodyText"/>
        <w:spacing w:line="316" w:lineRule="auto" w:before="19"/>
        <w:ind w:left="513" w:right="94"/>
        <w:jc w:val="left"/>
      </w:pPr>
      <w:r>
        <w:rPr>
          <w:rFonts w:ascii="宋体" w:hAnsi="宋体" w:cs="宋体" w:eastAsia="宋体" w:hint="default"/>
        </w:rPr>
        <w:t>B</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19"/>
        <w:ind w:right="94"/>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7"/>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9"/>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9" w:lineRule="auto" w:before="19"/>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spacing w:val="-2"/>
        </w:rPr>
        <w:t>企业之间发生投出或出售资产的交易，该资产构成业务的，按照本附注“三、（五）同一控制下和非同一控制下企业合并的</w:t>
      </w:r>
      <w:r>
        <w:rPr>
          <w:spacing w:val="-65"/>
        </w:rPr>
        <w:t> </w:t>
      </w:r>
      <w:r>
        <w:rPr>
          <w:spacing w:val="-65"/>
        </w:rPr>
      </w:r>
      <w:r>
        <w:rPr/>
        <w:t>会计处理方法”和“三、（六）合并财务报表的编制方法”中披露的相关政策进行会计处理。</w:t>
      </w:r>
    </w:p>
    <w:p>
      <w:pPr>
        <w:pStyle w:val="BodyText"/>
        <w:spacing w:line="316" w:lineRule="auto" w:before="17"/>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513" w:right="3693"/>
        <w:jc w:val="left"/>
      </w:pPr>
      <w:r>
        <w:rPr>
          <w:rFonts w:ascii="宋体" w:hAnsi="宋体" w:cs="宋体" w:eastAsia="宋体" w:hint="default"/>
        </w:rPr>
        <w:t>C</w:t>
      </w:r>
      <w:r>
        <w:rPr/>
        <w:t>、长期股权投资的处置 处置长期股权投资，其账面价值与实际取得价款的差额，计入当期损益。</w:t>
      </w:r>
    </w:p>
    <w:p>
      <w:pPr>
        <w:pStyle w:val="BodyText"/>
        <w:spacing w:line="319" w:lineRule="auto" w:before="19"/>
        <w:ind w:right="19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240" w:lineRule="auto" w:before="17"/>
        <w:ind w:left="513" w:right="94"/>
        <w:jc w:val="left"/>
      </w:pPr>
      <w:r>
        <w:rPr/>
        <w:t>因处置部分股权投资等原因丧失了对被投资单位的共同控制或重大影响的</w:t>
      </w:r>
      <w:r>
        <w:rPr>
          <w:spacing w:val="-82"/>
        </w:rPr>
        <w:t>，</w:t>
      </w:r>
      <w:r>
        <w:rPr/>
        <w:t>处置后的剩余股权改按金融工具确认和计量</w:t>
      </w:r>
    </w:p>
    <w:p>
      <w:pPr>
        <w:spacing w:after="0" w:line="240"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89"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2"/>
        </w:rPr>
        <w:t> </w:t>
      </w:r>
      <w:r>
        <w:rPr>
          <w:spacing w:val="-62"/>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1"/>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15</w:t>
      </w:r>
      <w:r>
        <w:rPr/>
        <w:t>、投资性房地产</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6926" w:firstLine="0"/>
        <w:jc w:val="left"/>
        <w:rPr>
          <w:rFonts w:ascii="宋体" w:hAnsi="宋体" w:cs="宋体" w:eastAsia="宋体" w:hint="default"/>
          <w:sz w:val="18"/>
          <w:szCs w:val="18"/>
        </w:rPr>
      </w:pPr>
      <w:r>
        <w:rPr>
          <w:rFonts w:ascii="宋体" w:hAnsi="宋体" w:cs="宋体" w:eastAsia="宋体" w:hint="default"/>
          <w:b/>
          <w:bCs/>
          <w:sz w:val="18"/>
          <w:szCs w:val="18"/>
        </w:rPr>
        <w:t>投资性房地产计量模式：</w:t>
      </w:r>
      <w:r>
        <w:rPr>
          <w:rFonts w:ascii="宋体" w:hAnsi="宋体" w:cs="宋体" w:eastAsia="宋体" w:hint="default"/>
          <w:sz w:val="18"/>
          <w:szCs w:val="18"/>
        </w:rPr>
        <w:t>成本法计量 </w:t>
      </w:r>
      <w:r>
        <w:rPr>
          <w:rFonts w:ascii="宋体" w:hAnsi="宋体" w:cs="宋体" w:eastAsia="宋体" w:hint="default"/>
          <w:b/>
          <w:bCs/>
          <w:sz w:val="18"/>
          <w:szCs w:val="18"/>
        </w:rPr>
        <w:t>折旧或摊销方法：</w:t>
      </w:r>
      <w:r>
        <w:rPr>
          <w:rFonts w:ascii="宋体" w:hAnsi="宋体" w:cs="宋体" w:eastAsia="宋体" w:hint="default"/>
          <w:sz w:val="18"/>
          <w:szCs w:val="18"/>
        </w:rPr>
      </w:r>
    </w:p>
    <w:p>
      <w:pPr>
        <w:pStyle w:val="BodyText"/>
        <w:spacing w:line="316" w:lineRule="auto" w:before="29"/>
        <w:ind w:right="19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9"/>
        <w:ind w:right="192"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11"/>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16</w:t>
      </w:r>
      <w:r>
        <w:rPr/>
        <w:t>、固定资产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5748"/>
        <w:jc w:val="left"/>
        <w:rPr>
          <w:b w:val="0"/>
          <w:bCs w:val="0"/>
        </w:rPr>
      </w:pPr>
      <w:r>
        <w:rPr/>
        <w:t>（</w:t>
      </w:r>
      <w:r>
        <w:rPr>
          <w:rFonts w:ascii="宋体" w:hAnsi="宋体" w:cs="宋体" w:eastAsia="宋体" w:hint="default"/>
        </w:rPr>
        <w:t>1</w:t>
      </w:r>
      <w:r>
        <w:rPr/>
        <w:t>）确认条件</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left="513" w:right="183"/>
        <w:jc w:val="left"/>
      </w:pPr>
      <w:r>
        <w:rPr/>
        <w:t>固定资产指为生产商品、提供劳务、出租或经营管理而持有，并且使用寿命超过一个会计年度的有形资产。 </w:t>
      </w:r>
      <w:r>
        <w:rPr>
          <w:spacing w:val="-5"/>
        </w:rPr>
        <w:t>固定资产在同时满足下列条件时予以确认：（</w:t>
      </w:r>
      <w:r>
        <w:rPr>
          <w:rFonts w:ascii="宋体" w:hAnsi="宋体" w:cs="宋体" w:eastAsia="宋体" w:hint="default"/>
          <w:spacing w:val="-5"/>
        </w:rPr>
        <w:t>1</w:t>
      </w:r>
      <w:r>
        <w:rPr>
          <w:spacing w:val="-5"/>
        </w:rPr>
        <w:t>）与该固定资产有关的经济利益很可能流入企业；（</w:t>
      </w:r>
      <w:r>
        <w:rPr>
          <w:rFonts w:ascii="宋体" w:hAnsi="宋体" w:cs="宋体" w:eastAsia="宋体" w:hint="default"/>
          <w:spacing w:val="-5"/>
        </w:rPr>
        <w:t>2</w:t>
      </w:r>
      <w:r>
        <w:rPr>
          <w:spacing w:val="-5"/>
        </w:rPr>
        <w:t>）该固定资产的成本</w:t>
      </w:r>
    </w:p>
    <w:p>
      <w:pPr>
        <w:pStyle w:val="BodyText"/>
        <w:spacing w:line="222" w:lineRule="exact"/>
        <w:ind w:right="5748"/>
        <w:jc w:val="left"/>
      </w:pPr>
      <w:r>
        <w:rPr/>
        <w:t>能够可靠地计量。</w:t>
      </w:r>
    </w:p>
    <w:p>
      <w:pPr>
        <w:spacing w:line="240" w:lineRule="auto" w:before="0"/>
        <w:rPr>
          <w:rFonts w:ascii="宋体" w:hAnsi="宋体" w:cs="宋体" w:eastAsia="宋体" w:hint="default"/>
          <w:sz w:val="18"/>
          <w:szCs w:val="18"/>
        </w:rPr>
      </w:pPr>
    </w:p>
    <w:p>
      <w:pPr>
        <w:pStyle w:val="Heading3"/>
        <w:spacing w:line="240" w:lineRule="auto" w:before="118"/>
        <w:ind w:right="5748"/>
        <w:jc w:val="left"/>
        <w:rPr>
          <w:b w:val="0"/>
          <w:bCs w:val="0"/>
        </w:rPr>
      </w:pP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19.00</w:t>
            </w:r>
          </w:p>
        </w:tc>
      </w:tr>
    </w:tbl>
    <w:p>
      <w:pPr>
        <w:pStyle w:val="BodyText"/>
        <w:spacing w:line="316" w:lineRule="auto" w:before="8"/>
        <w:ind w:right="94"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after="0" w:line="316" w:lineRule="auto"/>
        <w:jc w:val="left"/>
        <w:sectPr>
          <w:pgSz w:w="11910" w:h="16840"/>
          <w:pgMar w:header="877" w:footer="1186" w:top="1100" w:bottom="1380" w:left="980" w:right="940"/>
        </w:sectPr>
      </w:pPr>
    </w:p>
    <w:p>
      <w:pPr>
        <w:spacing w:line="240" w:lineRule="auto" w:before="12"/>
        <w:rPr>
          <w:rFonts w:ascii="宋体" w:hAnsi="宋体" w:cs="宋体" w:eastAsia="宋体" w:hint="default"/>
          <w:sz w:val="20"/>
          <w:szCs w:val="20"/>
        </w:rPr>
      </w:pPr>
    </w:p>
    <w:p>
      <w:pPr>
        <w:pStyle w:val="Heading3"/>
        <w:spacing w:line="537" w:lineRule="auto" w:before="36"/>
        <w:ind w:right="4234"/>
        <w:jc w:val="left"/>
        <w:rPr>
          <w:b w:val="0"/>
          <w:bCs w:val="0"/>
        </w:rPr>
      </w:pPr>
      <w:r>
        <w:rPr>
          <w:spacing w:val="-1"/>
        </w:rPr>
        <w:t>（</w:t>
      </w:r>
      <w:r>
        <w:rPr>
          <w:rFonts w:ascii="宋体" w:hAnsi="宋体" w:cs="宋体" w:eastAsia="宋体" w:hint="default"/>
          <w:spacing w:val="-1"/>
        </w:rPr>
        <w:t>3</w:t>
      </w:r>
      <w:r>
        <w:rPr>
          <w:spacing w:val="-1"/>
        </w:rPr>
        <w:t>）融资租入固定资产的认定依据、计价和折旧方法：无。</w:t>
      </w:r>
      <w:r>
        <w:rPr>
          <w:spacing w:val="-82"/>
        </w:rPr>
        <w:t> </w:t>
      </w:r>
      <w:r>
        <w:rPr>
          <w:spacing w:val="-82"/>
        </w:rPr>
      </w:r>
      <w:r>
        <w:rPr>
          <w:rFonts w:ascii="宋体" w:hAnsi="宋体" w:cs="宋体" w:eastAsia="宋体" w:hint="default"/>
        </w:rPr>
        <w:t>17</w:t>
      </w:r>
      <w:r>
        <w:rPr/>
        <w:t>、在建工程</w:t>
      </w:r>
      <w:r>
        <w:rPr>
          <w:b w:val="0"/>
          <w:bCs w:val="0"/>
        </w:rPr>
      </w:r>
    </w:p>
    <w:p>
      <w:pPr>
        <w:pStyle w:val="BodyText"/>
        <w:spacing w:line="316" w:lineRule="auto" w:before="97"/>
        <w:ind w:right="191" w:firstLine="360"/>
        <w:jc w:val="both"/>
      </w:pPr>
      <w:r>
        <w:rPr>
          <w:spacing w:val="-2"/>
        </w:rPr>
        <w:t>在建工程项目按建造该项资产达到预定可使用状态前所发生的必要支出，作为固定资产的入账价值。所建造的固定资产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5"/>
        </w:rPr>
        <w:t> </w:t>
      </w:r>
      <w:r>
        <w:rPr>
          <w:spacing w:val="-65"/>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18</w:t>
      </w:r>
      <w:r>
        <w:rPr/>
        <w:t>、借款费用</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left="513" w:right="94"/>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19"/>
        <w:ind w:left="513" w:right="94"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033" w:hanging="361"/>
        <w:jc w:val="left"/>
      </w:pPr>
      <w:r>
        <w:rPr/>
        <w:t>产、投资性房地产和存货等资产。 借款费用同时满足下列条件时开始资本化：</w:t>
      </w:r>
    </w:p>
    <w:p>
      <w:pPr>
        <w:pStyle w:val="BodyText"/>
        <w:spacing w:line="316" w:lineRule="auto" w:before="19"/>
        <w:ind w:right="193" w:firstLine="360"/>
        <w:jc w:val="both"/>
      </w:pPr>
      <w:r>
        <w:rPr>
          <w:rFonts w:ascii="宋体" w:hAnsi="宋体" w:cs="宋体" w:eastAsia="宋体" w:hint="default"/>
        </w:rPr>
        <w:t>A</w:t>
      </w:r>
      <w:r>
        <w:rPr/>
        <w:t>、资产支出已经发生，资产支出包括为购建或者生产符合资本化条件的资产而以支付现金、转移非现金资产或者承担 带息债务形式发生的支出；</w:t>
      </w:r>
    </w:p>
    <w:p>
      <w:pPr>
        <w:pStyle w:val="BodyText"/>
        <w:spacing w:line="316" w:lineRule="auto" w:before="19"/>
        <w:ind w:left="513" w:right="2883"/>
        <w:jc w:val="left"/>
      </w:pPr>
      <w:r>
        <w:rPr>
          <w:rFonts w:ascii="宋体" w:hAnsi="宋体" w:cs="宋体" w:eastAsia="宋体" w:hint="default"/>
        </w:rPr>
        <w:t>B</w:t>
      </w:r>
      <w:r>
        <w:rPr/>
        <w:t>、借款费用已经发生； </w:t>
      </w:r>
      <w:r>
        <w:rPr>
          <w:rFonts w:ascii="宋体" w:hAnsi="宋体" w:cs="宋体" w:eastAsia="宋体" w:hint="default"/>
        </w:rPr>
        <w:t>C</w:t>
      </w:r>
      <w:r>
        <w:rPr/>
        <w:t>、为使资产达到预定可使用或者可销售状态所必要的购建或者生产活动已经开始。</w:t>
      </w:r>
    </w:p>
    <w:p>
      <w:pPr>
        <w:pStyle w:val="BodyText"/>
        <w:spacing w:line="316" w:lineRule="auto" w:before="19"/>
        <w:ind w:left="513" w:right="94"/>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5748"/>
        <w:jc w:val="left"/>
      </w:pPr>
      <w:r>
        <w:rPr/>
        <w:t>款费用资本化。</w:t>
      </w:r>
    </w:p>
    <w:p>
      <w:pPr>
        <w:pStyle w:val="BodyText"/>
        <w:spacing w:line="316" w:lineRule="auto" w:before="76"/>
        <w:ind w:left="513" w:right="94"/>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p>
    <w:p>
      <w:pPr>
        <w:pStyle w:val="BodyText"/>
        <w:spacing w:line="316" w:lineRule="auto" w:before="19"/>
        <w:ind w:right="94"/>
        <w:jc w:val="left"/>
      </w:pP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6" w:lineRule="auto" w:before="19"/>
        <w:ind w:left="513" w:right="94"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94"/>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after="0" w:line="316" w:lineRule="auto"/>
        <w:jc w:val="left"/>
        <w:sectPr>
          <w:pgSz w:w="11910" w:h="16840"/>
          <w:pgMar w:header="877" w:footer="1186" w:top="1100" w:bottom="138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19</w:t>
      </w:r>
      <w:r>
        <w:rPr/>
        <w:t>、生物资产：无。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20</w:t>
      </w:r>
      <w:r>
        <w:rPr/>
        <w:t>、油气资产：无。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21</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）计价方法、使用寿命、减值测试</w:t>
      </w:r>
      <w:r>
        <w:rPr>
          <w:b w:val="0"/>
          <w:bCs w:val="0"/>
        </w:rPr>
      </w:r>
    </w:p>
    <w:p>
      <w:pPr>
        <w:spacing w:line="240" w:lineRule="auto" w:before="5"/>
        <w:rPr>
          <w:rFonts w:ascii="宋体" w:hAnsi="宋体" w:cs="宋体" w:eastAsia="宋体" w:hint="default"/>
          <w:b/>
          <w:bCs/>
          <w:sz w:val="27"/>
          <w:szCs w:val="27"/>
        </w:rPr>
      </w:pPr>
    </w:p>
    <w:p>
      <w:pPr>
        <w:pStyle w:val="Heading4"/>
        <w:spacing w:line="240" w:lineRule="auto" w:before="0"/>
        <w:ind w:right="153"/>
        <w:jc w:val="left"/>
        <w:rPr>
          <w:b w:val="0"/>
          <w:bCs w:val="0"/>
        </w:rPr>
      </w:pPr>
      <w:r>
        <w:rPr>
          <w:rFonts w:ascii="宋体" w:hAnsi="宋体" w:cs="宋体" w:eastAsia="宋体" w:hint="default"/>
        </w:rPr>
        <w:t>A</w:t>
      </w:r>
      <w:r>
        <w:rPr/>
        <w:t>、无形资产的计价方法</w:t>
      </w:r>
      <w:r>
        <w:rPr>
          <w:b w:val="0"/>
          <w:bCs w:val="0"/>
        </w:rPr>
      </w:r>
    </w:p>
    <w:p>
      <w:pPr>
        <w:pStyle w:val="BodyText"/>
        <w:spacing w:line="316" w:lineRule="auto" w:before="76"/>
        <w:ind w:left="513" w:right="0"/>
        <w:jc w:val="left"/>
      </w:pPr>
      <w:r>
        <w:rPr>
          <w:rFonts w:ascii="宋体" w:hAnsi="宋体" w:cs="宋体" w:eastAsia="宋体" w:hint="default"/>
        </w:rPr>
        <w:t>a</w:t>
      </w:r>
      <w:r>
        <w:rPr>
          <w:rFonts w:ascii="宋体" w:hAnsi="宋体" w:cs="宋体" w:eastAsia="宋体" w:hint="default"/>
          <w:spacing w:val="1"/>
        </w:rPr>
        <w:t> </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19"/>
        <w:ind w:left="513"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0"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left="513" w:right="6173"/>
        <w:jc w:val="left"/>
      </w:pPr>
      <w:r>
        <w:rPr>
          <w:rFonts w:ascii="宋体" w:hAnsi="宋体" w:cs="宋体" w:eastAsia="宋体" w:hint="default"/>
        </w:rPr>
        <w:t>b</w:t>
      </w:r>
      <w:r>
        <w:rPr/>
        <w:t>、后续计量 在取得无形资产时分析判断其使用寿命。</w:t>
      </w:r>
    </w:p>
    <w:p>
      <w:pPr>
        <w:pStyle w:val="BodyText"/>
        <w:spacing w:line="316" w:lineRule="auto" w:before="19"/>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Heading4"/>
        <w:spacing w:line="240" w:lineRule="auto"/>
        <w:ind w:right="153"/>
        <w:jc w:val="left"/>
        <w:rPr>
          <w:b w:val="0"/>
          <w:bCs w:val="0"/>
        </w:rPr>
      </w:pPr>
      <w:r>
        <w:rPr>
          <w:rFonts w:ascii="宋体" w:hAnsi="宋体" w:cs="宋体" w:eastAsia="宋体" w:hint="default"/>
        </w:rPr>
        <w:t>B</w:t>
      </w:r>
      <w:r>
        <w:rPr/>
        <w:t>、使用寿命有限的无形资产的使用寿命估计情况</w:t>
      </w:r>
      <w:r>
        <w:rPr>
          <w:b w:val="0"/>
          <w:bCs w:val="0"/>
        </w:rPr>
      </w:r>
    </w:p>
    <w:p>
      <w:pPr>
        <w:spacing w:line="240" w:lineRule="auto" w:before="3"/>
        <w:rPr>
          <w:rFonts w:ascii="宋体" w:hAnsi="宋体" w:cs="宋体" w:eastAsia="宋体" w:hint="default"/>
          <w:b/>
          <w:bCs/>
          <w:sz w:val="5"/>
          <w:szCs w:val="5"/>
        </w:rPr>
      </w:pPr>
    </w:p>
    <w:tbl>
      <w:tblPr>
        <w:tblW w:w="0" w:type="auto"/>
        <w:jc w:val="left"/>
        <w:tblInd w:w="138" w:type="dxa"/>
        <w:tblLayout w:type="fixed"/>
        <w:tblCellMar>
          <w:top w:w="0" w:type="dxa"/>
          <w:left w:w="0" w:type="dxa"/>
          <w:bottom w:w="0" w:type="dxa"/>
          <w:right w:w="0" w:type="dxa"/>
        </w:tblCellMar>
        <w:tblLook w:val="01E0"/>
      </w:tblPr>
      <w:tblGrid>
        <w:gridCol w:w="1623"/>
        <w:gridCol w:w="2355"/>
        <w:gridCol w:w="5682"/>
      </w:tblGrid>
      <w:tr>
        <w:trPr>
          <w:trHeight w:val="34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1"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3-10</w:t>
            </w:r>
            <w:r>
              <w:rPr>
                <w:rFonts w:ascii="宋体"/>
                <w:sz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9" w:right="0"/>
              <w:jc w:val="left"/>
              <w:rPr>
                <w:rFonts w:ascii="宋体" w:hAnsi="宋体" w:cs="宋体" w:eastAsia="宋体" w:hint="default"/>
                <w:sz w:val="18"/>
                <w:szCs w:val="18"/>
              </w:rPr>
            </w:pPr>
            <w:r>
              <w:rPr>
                <w:rFonts w:ascii="宋体" w:hAnsi="宋体" w:cs="宋体" w:eastAsia="宋体" w:hint="default"/>
                <w:sz w:val="18"/>
                <w:szCs w:val="18"/>
              </w:rPr>
              <w:t>合同权利并预计给企业带来经济利益的期限</w:t>
            </w:r>
          </w:p>
        </w:tc>
      </w:tr>
      <w:tr>
        <w:trPr>
          <w:trHeight w:val="34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10</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9" w:right="0"/>
              <w:jc w:val="left"/>
              <w:rPr>
                <w:rFonts w:ascii="宋体" w:hAnsi="宋体" w:cs="宋体" w:eastAsia="宋体" w:hint="default"/>
                <w:sz w:val="18"/>
                <w:szCs w:val="18"/>
              </w:rPr>
            </w:pPr>
            <w:r>
              <w:rPr>
                <w:rFonts w:ascii="宋体" w:hAnsi="宋体" w:cs="宋体" w:eastAsia="宋体" w:hint="default"/>
                <w:sz w:val="18"/>
                <w:szCs w:val="18"/>
              </w:rPr>
              <w:t>合同期限以及预计给企业带来经济利息的期限孰短</w:t>
            </w:r>
          </w:p>
        </w:tc>
      </w:tr>
      <w:tr>
        <w:trPr>
          <w:trHeight w:val="341"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50</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9" w:right="0"/>
              <w:jc w:val="left"/>
              <w:rPr>
                <w:rFonts w:ascii="宋体" w:hAnsi="宋体" w:cs="宋体" w:eastAsia="宋体" w:hint="default"/>
                <w:sz w:val="18"/>
                <w:szCs w:val="18"/>
              </w:rPr>
            </w:pPr>
            <w:r>
              <w:rPr>
                <w:rFonts w:ascii="宋体" w:hAnsi="宋体" w:cs="宋体" w:eastAsia="宋体" w:hint="default"/>
                <w:sz w:val="18"/>
                <w:szCs w:val="18"/>
              </w:rPr>
              <w:t>合同权利</w:t>
            </w:r>
          </w:p>
        </w:tc>
      </w:tr>
      <w:tr>
        <w:trPr>
          <w:trHeight w:val="34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5-10</w:t>
            </w:r>
            <w:r>
              <w:rPr>
                <w:rFonts w:ascii="宋体"/>
                <w:sz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9" w:right="0"/>
              <w:jc w:val="left"/>
              <w:rPr>
                <w:rFonts w:ascii="宋体" w:hAnsi="宋体" w:cs="宋体" w:eastAsia="宋体" w:hint="default"/>
                <w:sz w:val="18"/>
                <w:szCs w:val="18"/>
              </w:rPr>
            </w:pPr>
            <w:r>
              <w:rPr>
                <w:rFonts w:ascii="宋体" w:hAnsi="宋体" w:cs="宋体" w:eastAsia="宋体" w:hint="default"/>
                <w:sz w:val="18"/>
                <w:szCs w:val="18"/>
              </w:rPr>
              <w:t>预计给企业带来经济利益的期限</w:t>
            </w:r>
          </w:p>
        </w:tc>
      </w:tr>
      <w:tr>
        <w:trPr>
          <w:trHeight w:val="341"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5-10</w:t>
            </w:r>
            <w:r>
              <w:rPr>
                <w:rFonts w:ascii="宋体"/>
                <w:sz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9" w:right="0"/>
              <w:jc w:val="left"/>
              <w:rPr>
                <w:rFonts w:ascii="宋体" w:hAnsi="宋体" w:cs="宋体" w:eastAsia="宋体" w:hint="default"/>
                <w:sz w:val="18"/>
                <w:szCs w:val="18"/>
              </w:rPr>
            </w:pPr>
            <w:r>
              <w:rPr>
                <w:rFonts w:ascii="宋体" w:hAnsi="宋体" w:cs="宋体" w:eastAsia="宋体" w:hint="default"/>
                <w:sz w:val="18"/>
                <w:szCs w:val="18"/>
              </w:rPr>
              <w:t>合同权利并预计给企业带来经济利益的期限</w:t>
            </w:r>
          </w:p>
        </w:tc>
      </w:tr>
    </w:tbl>
    <w:p>
      <w:pPr>
        <w:spacing w:line="319" w:lineRule="auto" w:before="8"/>
        <w:ind w:left="513" w:right="1673" w:firstLine="0"/>
        <w:jc w:val="left"/>
        <w:rPr>
          <w:rFonts w:ascii="宋体" w:hAnsi="宋体" w:cs="宋体" w:eastAsia="宋体" w:hint="default"/>
          <w:sz w:val="18"/>
          <w:szCs w:val="18"/>
        </w:rPr>
      </w:pPr>
      <w:r>
        <w:rPr>
          <w:rFonts w:ascii="宋体" w:hAnsi="宋体" w:cs="宋体" w:eastAsia="宋体" w:hint="default"/>
          <w:sz w:val="18"/>
          <w:szCs w:val="18"/>
        </w:rPr>
        <w:t>每年度终了，对使用寿命有限的无形资产的使用寿命及摊销方法进行复核。 经复核，本年期末无形资产的使用寿命及摊销方法与以前估计未有不同。 </w:t>
      </w:r>
      <w:r>
        <w:rPr>
          <w:rFonts w:ascii="宋体" w:hAnsi="宋体" w:cs="宋体" w:eastAsia="宋体" w:hint="default"/>
          <w:b/>
          <w:bCs/>
          <w:sz w:val="18"/>
          <w:szCs w:val="18"/>
        </w:rPr>
        <w:t>C</w:t>
      </w: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b/>
          <w:bCs/>
          <w:w w:val="99"/>
          <w:sz w:val="18"/>
          <w:szCs w:val="18"/>
        </w:rPr>
        <w:t> </w:t>
      </w:r>
      <w:r>
        <w:rPr>
          <w:rFonts w:ascii="宋体" w:hAnsi="宋体" w:cs="宋体" w:eastAsia="宋体" w:hint="default"/>
          <w:sz w:val="18"/>
          <w:szCs w:val="18"/>
        </w:rPr>
        <w:t>截至资产负债表日，本公司没有使用寿命不确定的无形资产。 </w:t>
      </w:r>
      <w:r>
        <w:rPr>
          <w:rFonts w:ascii="宋体" w:hAnsi="宋体" w:cs="宋体" w:eastAsia="宋体" w:hint="default"/>
          <w:b/>
          <w:bCs/>
          <w:sz w:val="18"/>
          <w:szCs w:val="18"/>
        </w:rPr>
        <w:t>D</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7"/>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143"/>
        <w:jc w:val="left"/>
      </w:pPr>
      <w:r>
        <w:rPr/>
        <w:t>公司根据实际情况，对于内部研究开发项目开发阶段的支出在同时满足以下五个条件时确认为无形资产： </w:t>
      </w:r>
      <w:r>
        <w:rPr>
          <w:rFonts w:ascii="宋体" w:hAnsi="宋体" w:cs="宋体" w:eastAsia="宋体" w:hint="default"/>
        </w:rPr>
        <w:t>A</w:t>
      </w:r>
      <w:r>
        <w:rPr/>
        <w:t>、公司对该项目方案所采用技术的分析，从技术的角度讲是完全能够生产出产品的，且公司已经对该项目方案所需采</w:t>
      </w:r>
    </w:p>
    <w:p>
      <w:pPr>
        <w:pStyle w:val="BodyText"/>
        <w:spacing w:line="316" w:lineRule="auto" w:before="19"/>
        <w:ind w:left="513" w:right="143" w:hanging="361"/>
        <w:jc w:val="left"/>
      </w:pPr>
      <w:r>
        <w:rPr/>
        <w:t>用的技术进行了充分的分析论证和测试，即该项目从技术的角度来讲完全是可行的； </w:t>
      </w:r>
      <w:r>
        <w:rPr>
          <w:rFonts w:ascii="宋体" w:hAnsi="宋体" w:cs="宋体" w:eastAsia="宋体" w:hint="default"/>
        </w:rPr>
        <w:t>B</w:t>
      </w:r>
      <w:r>
        <w:rPr/>
        <w:t>、公司在完成项目方案的开发，取得技术成功并形成样品后交由部分下游客户试用，能够带来稳定的经济效益。对于</w:t>
      </w:r>
    </w:p>
    <w:p>
      <w:pPr>
        <w:spacing w:after="0" w:line="316" w:lineRule="auto"/>
        <w:jc w:val="left"/>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t>经济效益的评价，公司在确认直接经济效益达到或超过项目投入</w:t>
      </w:r>
      <w:r>
        <w:rPr>
          <w:rFonts w:ascii="宋体" w:hAnsi="宋体" w:cs="宋体" w:eastAsia="宋体" w:hint="default"/>
        </w:rPr>
        <w:t>(</w:t>
      </w:r>
      <w:r>
        <w:rPr/>
        <w:t>包括项目研发阶段和项目市场化开发阶段</w:t>
      </w:r>
      <w:r>
        <w:rPr>
          <w:rFonts w:ascii="宋体" w:hAnsi="宋体" w:cs="宋体" w:eastAsia="宋体" w:hint="default"/>
        </w:rPr>
        <w:t>)</w:t>
      </w:r>
      <w:r>
        <w:rPr/>
        <w:t>的所有成本时，</w:t>
      </w:r>
      <w:r>
        <w:rPr>
          <w:spacing w:val="-87"/>
        </w:rPr>
        <w:t> </w:t>
      </w:r>
      <w:r>
        <w:rPr/>
        <w:t>认为该项目的市场化开发达到预定的经济效益；</w:t>
      </w:r>
    </w:p>
    <w:p>
      <w:pPr>
        <w:pStyle w:val="BodyText"/>
        <w:spacing w:line="316" w:lineRule="auto" w:before="19"/>
        <w:ind w:left="513" w:right="183"/>
        <w:jc w:val="left"/>
      </w:pPr>
      <w:r>
        <w:rPr>
          <w:rFonts w:ascii="宋体" w:hAnsi="宋体" w:cs="宋体" w:eastAsia="宋体" w:hint="default"/>
        </w:rPr>
        <w:t>C</w:t>
      </w:r>
      <w:r>
        <w:rPr/>
        <w:t>、本公司市场部通过市场调研，确认该项目方案进入市场化开发阶段后三年内，能够持续为本公司带来稳定的收益； </w:t>
      </w:r>
      <w:r>
        <w:rPr>
          <w:rFonts w:ascii="宋体" w:hAnsi="宋体" w:cs="宋体" w:eastAsia="宋体" w:hint="default"/>
        </w:rPr>
        <w:t>D</w:t>
      </w:r>
      <w:r>
        <w:rPr/>
        <w:t>、本公司研发中心、市场部配备专业人员来完成开发和推广，同时本公司财务部门在年度的预算中也为项目技术方案</w:t>
      </w:r>
    </w:p>
    <w:p>
      <w:pPr>
        <w:pStyle w:val="BodyText"/>
        <w:spacing w:line="316" w:lineRule="auto" w:before="19"/>
        <w:ind w:left="513" w:right="183" w:hanging="361"/>
        <w:jc w:val="left"/>
      </w:pPr>
      <w:r>
        <w:rPr/>
        <w:t>开发及市场化开发阶段提供了资金预算，从人、财、物上保证项目的顺利开发； </w:t>
      </w:r>
      <w:r>
        <w:rPr>
          <w:rFonts w:ascii="宋体" w:hAnsi="宋体" w:cs="宋体" w:eastAsia="宋体" w:hint="default"/>
        </w:rPr>
        <w:t>E</w:t>
      </w:r>
      <w:r>
        <w:rPr/>
        <w:t>、本公司对各个研发项目方案，已经按照直接人工、直接材料投入、设计费、试制费、折旧摊销、调试费等费用明细</w:t>
      </w:r>
    </w:p>
    <w:p>
      <w:pPr>
        <w:pStyle w:val="BodyText"/>
        <w:spacing w:line="316" w:lineRule="auto" w:before="19"/>
        <w:ind w:right="94"/>
        <w:jc w:val="left"/>
      </w:pPr>
      <w:r>
        <w:rPr/>
        <w:t>进行归集，在核算过程中，如果发生的某笔费用系为多个项目而发生，能够按照一定比例分摊的，分摊后归集到该项目中， 不能够按照一定比例分摊的，则直接计入当期管理费用。 只有同时符合以上五个条件，公司才将开发阶段的支出资本化，不满足上述条件的开发支出，计入当期损益。</w:t>
      </w:r>
    </w:p>
    <w:p>
      <w:pPr>
        <w:spacing w:line="240" w:lineRule="auto" w:before="10"/>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22</w:t>
      </w:r>
      <w:r>
        <w:rPr/>
        <w:t>、长期资产减值</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90" w:firstLine="360"/>
        <w:jc w:val="both"/>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w:t>
      </w:r>
      <w:r>
        <w:rPr>
          <w:spacing w:val="-5"/>
        </w:rPr>
        <w:t> </w:t>
      </w:r>
      <w:r>
        <w:rPr>
          <w:spacing w:val="-5"/>
        </w:rPr>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16" w:lineRule="auto" w:before="19"/>
        <w:ind w:left="513" w:right="9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9" w:lineRule="auto" w:before="19"/>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7"/>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2"/>
        </w:rPr>
        <w:t> </w:t>
      </w:r>
      <w:r>
        <w:rPr>
          <w:spacing w:val="-62"/>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10"/>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23</w:t>
      </w:r>
      <w:r>
        <w:rPr/>
        <w:t>、长期待摊费用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94"/>
        <w:jc w:val="left"/>
      </w:pPr>
      <w:r>
        <w:rPr/>
        <w:t>长期待摊费用为已经发生但应由本年和以后各期负担的分摊期限在一年以上的各项费用。</w:t>
      </w:r>
    </w:p>
    <w:p>
      <w:pPr>
        <w:spacing w:line="319" w:lineRule="auto" w:before="76"/>
        <w:ind w:left="513" w:right="65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w:t>
      </w:r>
    </w:p>
    <w:p>
      <w:pPr>
        <w:pStyle w:val="Heading4"/>
        <w:spacing w:line="240" w:lineRule="auto" w:before="17"/>
        <w:ind w:right="5748"/>
        <w:jc w:val="left"/>
        <w:rPr>
          <w:b w:val="0"/>
          <w:bCs w:val="0"/>
        </w:rPr>
      </w:pPr>
      <w:r>
        <w:rPr/>
        <w:t>（</w:t>
      </w:r>
      <w:r>
        <w:rPr>
          <w:rFonts w:ascii="宋体" w:hAnsi="宋体" w:cs="宋体" w:eastAsia="宋体" w:hint="default"/>
        </w:rPr>
        <w:t>2</w:t>
      </w:r>
      <w:r>
        <w:rPr/>
        <w:t>）摊销年限</w:t>
      </w:r>
      <w:r>
        <w:rPr>
          <w:b w:val="0"/>
          <w:bCs w:val="0"/>
        </w:rPr>
      </w:r>
    </w:p>
    <w:p>
      <w:pPr>
        <w:pStyle w:val="BodyText"/>
        <w:spacing w:line="240" w:lineRule="auto" w:before="76"/>
        <w:ind w:left="513" w:right="94"/>
        <w:jc w:val="left"/>
      </w:pPr>
      <w:r>
        <w:rPr/>
        <w:t>有明确受益期的，在受益期内平均摊销；无明确受益期的，按</w:t>
      </w:r>
      <w:r>
        <w:rPr>
          <w:rFonts w:ascii="宋体" w:hAnsi="宋体" w:cs="宋体" w:eastAsia="宋体" w:hint="default"/>
        </w:rPr>
        <w:t>3-5</w:t>
      </w:r>
      <w:r>
        <w:rPr/>
        <w:t>年平均摊销。</w:t>
      </w:r>
    </w:p>
    <w:p>
      <w:pPr>
        <w:spacing w:line="240" w:lineRule="auto" w:before="0"/>
        <w:rPr>
          <w:rFonts w:ascii="宋体" w:hAnsi="宋体" w:cs="宋体" w:eastAsia="宋体" w:hint="default"/>
          <w:sz w:val="18"/>
          <w:szCs w:val="18"/>
        </w:rPr>
      </w:pPr>
    </w:p>
    <w:p>
      <w:pPr>
        <w:pStyle w:val="Heading3"/>
        <w:spacing w:line="240" w:lineRule="auto" w:before="120"/>
        <w:ind w:right="5748"/>
        <w:jc w:val="left"/>
        <w:rPr>
          <w:b w:val="0"/>
          <w:bCs w:val="0"/>
        </w:rPr>
      </w:pPr>
      <w:r>
        <w:rPr>
          <w:rFonts w:ascii="宋体" w:hAnsi="宋体" w:cs="宋体" w:eastAsia="宋体" w:hint="default"/>
        </w:rPr>
        <w:t>24</w:t>
      </w:r>
      <w:r>
        <w:rPr/>
        <w:t>、职工薪酬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5748"/>
        <w:jc w:val="left"/>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94"/>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9" w:lineRule="auto" w:before="19"/>
        <w:ind w:left="513" w:right="3693" w:hanging="361"/>
        <w:jc w:val="left"/>
      </w:pPr>
      <w:r>
        <w:rPr/>
        <w:t>的会计期间，根据规定的计提基础和计提比例计算确定相应的职工薪酬金额。 职工福利费为非货币性福利的，如能够可靠计量的，按照公允价值计量。</w:t>
      </w:r>
    </w:p>
    <w:p>
      <w:pPr>
        <w:spacing w:after="0" w:line="319" w:lineRule="auto"/>
        <w:jc w:val="left"/>
        <w:sectPr>
          <w:pgSz w:w="11910" w:h="16840"/>
          <w:pgMar w:header="877" w:footer="1186" w:top="1100" w:bottom="138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5748"/>
        <w:jc w:val="left"/>
        <w:rPr>
          <w:b w:val="0"/>
          <w:bCs w:val="0"/>
        </w:rPr>
      </w:pPr>
      <w:r>
        <w:rPr/>
        <w:t>（</w:t>
      </w:r>
      <w:r>
        <w:rPr>
          <w:rFonts w:ascii="宋体" w:hAnsi="宋体" w:cs="宋体" w:eastAsia="宋体" w:hint="default"/>
        </w:rPr>
        <w:t>2</w:t>
      </w:r>
      <w:r>
        <w:rPr/>
        <w:t>）离职后福利的会计处理方法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94"/>
        <w:jc w:val="left"/>
      </w:pPr>
      <w:r>
        <w:rPr>
          <w:rFonts w:ascii="宋体" w:hAnsi="宋体" w:cs="宋体" w:eastAsia="宋体" w:hint="default"/>
          <w:b/>
          <w:bCs/>
        </w:rPr>
        <w:t>A</w:t>
      </w:r>
      <w:r>
        <w:rPr>
          <w:rFonts w:ascii="宋体" w:hAnsi="宋体" w:cs="宋体" w:eastAsia="宋体" w:hint="default"/>
          <w:b/>
          <w:bCs/>
        </w:rPr>
        <w:t>、设定提存计划</w:t>
      </w:r>
      <w:r>
        <w:rPr>
          <w:rFonts w:ascii="宋体" w:hAnsi="宋体" w:cs="宋体" w:eastAsia="宋体" w:hint="default"/>
          <w:b/>
          <w:bCs/>
          <w:w w:val="99"/>
        </w:rPr>
        <w:t> </w:t>
      </w:r>
      <w:r>
        <w:rPr>
          <w:spacing w:val="-2"/>
        </w:rPr>
        <w:t>本公司按当地政府的相关规定为职工缴纳基本养老保险和失业保险，在职工为本公司提供服务的会计期间，按以当地规</w:t>
      </w:r>
    </w:p>
    <w:p>
      <w:pPr>
        <w:pStyle w:val="BodyText"/>
        <w:spacing w:line="316" w:lineRule="auto" w:before="19"/>
        <w:ind w:left="513" w:right="183" w:hanging="361"/>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宋体" w:hAnsi="宋体" w:cs="宋体" w:eastAsia="宋体" w:hint="default"/>
        </w:rPr>
        <w:t>/</w:t>
      </w:r>
      <w:r>
        <w:rPr/>
        <w:t>企业年金</w:t>
      </w:r>
    </w:p>
    <w:p>
      <w:pPr>
        <w:pStyle w:val="BodyText"/>
        <w:spacing w:line="316" w:lineRule="auto" w:before="19"/>
        <w:ind w:left="513" w:right="94" w:hanging="361"/>
        <w:jc w:val="left"/>
      </w:pPr>
      <w:r>
        <w:rPr>
          <w:spacing w:val="-2"/>
        </w:rPr>
        <w:t>计划。本公司按职工工资总额的一定比例向当地社会保险机构缴费</w:t>
      </w:r>
      <w:r>
        <w:rPr>
          <w:rFonts w:ascii="宋体" w:hAnsi="宋体" w:cs="宋体" w:eastAsia="宋体" w:hint="default"/>
          <w:spacing w:val="-2"/>
        </w:rPr>
        <w:t>/</w:t>
      </w:r>
      <w:r>
        <w:rPr>
          <w:spacing w:val="-2"/>
        </w:rPr>
        <w:t>年金计划缴费，相应支出计入当期损益或相关资产成本。</w:t>
      </w:r>
      <w:r>
        <w:rPr>
          <w:spacing w:val="-63"/>
        </w:rPr>
        <w:t> </w:t>
      </w:r>
      <w:r>
        <w:rPr>
          <w:spacing w:val="-63"/>
        </w:rPr>
      </w:r>
      <w:r>
        <w:rPr>
          <w:rFonts w:ascii="宋体" w:hAnsi="宋体" w:cs="宋体" w:eastAsia="宋体" w:hint="default"/>
          <w:b/>
          <w:bCs/>
        </w:rPr>
        <w:t>B</w:t>
      </w:r>
      <w:r>
        <w:rPr>
          <w:rFonts w:ascii="宋体" w:hAnsi="宋体" w:cs="宋体" w:eastAsia="宋体" w:hint="default"/>
          <w:b/>
          <w:bCs/>
        </w:rPr>
        <w:t>、设定受益计划</w:t>
      </w:r>
      <w:r>
        <w:rPr>
          <w:rFonts w:ascii="宋体" w:hAnsi="宋体" w:cs="宋体" w:eastAsia="宋体" w:hint="default"/>
          <w:b/>
          <w:bCs/>
          <w:w w:val="99"/>
        </w:rPr>
        <w:t> </w:t>
      </w:r>
      <w:r>
        <w:rPr>
          <w:spacing w:val="-2"/>
        </w:rPr>
        <w:t>本公司根据预期累计福利单位法确定的公式将设定受益计划产生的福利义务归属于职工提供服务的期间，并计入当期损</w:t>
      </w:r>
    </w:p>
    <w:p>
      <w:pPr>
        <w:pStyle w:val="BodyText"/>
        <w:spacing w:line="316" w:lineRule="auto" w:before="19"/>
        <w:ind w:left="513" w:right="93" w:hanging="361"/>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513" w:right="94" w:hanging="361"/>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9"/>
        <w:ind w:left="513" w:right="94" w:hanging="361"/>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16" w:lineRule="auto" w:before="19"/>
        <w:ind w:right="94"/>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19"/>
        <w:ind w:left="513" w:right="94"/>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Heading3"/>
        <w:spacing w:line="240" w:lineRule="auto" w:before="120"/>
        <w:ind w:right="5748"/>
        <w:jc w:val="left"/>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94"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3"/>
        <w:spacing w:line="537" w:lineRule="auto"/>
        <w:ind w:right="5492"/>
        <w:jc w:val="left"/>
        <w:rPr>
          <w:b w:val="0"/>
          <w:bCs w:val="0"/>
        </w:rPr>
      </w:pPr>
      <w:r>
        <w:rPr/>
        <w:t>（</w:t>
      </w:r>
      <w:r>
        <w:rPr>
          <w:rFonts w:ascii="宋体" w:hAnsi="宋体" w:cs="宋体" w:eastAsia="宋体" w:hint="default"/>
        </w:rPr>
        <w:t>4</w:t>
      </w:r>
      <w:r>
        <w:rPr/>
        <w:t>）其他长期职工福利的会计处理方法：无。</w:t>
      </w:r>
      <w:r>
        <w:rPr>
          <w:w w:val="100"/>
        </w:rPr>
        <w:t> </w:t>
      </w:r>
      <w:r>
        <w:rPr>
          <w:rFonts w:ascii="宋体" w:hAnsi="宋体" w:cs="宋体" w:eastAsia="宋体" w:hint="default"/>
        </w:rPr>
        <w:t>25</w:t>
      </w:r>
      <w:r>
        <w:rPr/>
        <w:t>、预计负债</w:t>
      </w:r>
      <w:r>
        <w:rPr>
          <w:b w:val="0"/>
          <w:bCs w:val="0"/>
        </w:rPr>
      </w:r>
    </w:p>
    <w:p>
      <w:pPr>
        <w:pStyle w:val="BodyText"/>
        <w:spacing w:line="316" w:lineRule="auto" w:before="97"/>
        <w:ind w:left="513" w:right="63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与诉讼、债务担保、亏损合同、重组事项等或有事项相关的义务同时满足下列条件时，本公司确认为预计负债： </w:t>
      </w:r>
      <w:r>
        <w:rPr>
          <w:rFonts w:ascii="宋体" w:hAnsi="宋体" w:cs="宋体" w:eastAsia="宋体" w:hint="default"/>
        </w:rPr>
        <w:t>A</w:t>
      </w:r>
      <w:r>
        <w:rPr/>
        <w:t>、该义务是本公司承担的现时义务；</w:t>
      </w:r>
    </w:p>
    <w:p>
      <w:pPr>
        <w:pStyle w:val="BodyText"/>
        <w:spacing w:line="319" w:lineRule="auto" w:before="19"/>
        <w:ind w:left="513" w:right="5583"/>
        <w:jc w:val="left"/>
      </w:pPr>
      <w:r>
        <w:rPr>
          <w:rFonts w:ascii="宋体" w:hAnsi="宋体" w:cs="宋体" w:eastAsia="宋体" w:hint="default"/>
        </w:rPr>
        <w:t>B</w:t>
      </w:r>
      <w:r>
        <w:rPr/>
        <w:t>、履行该义务很可能导致经济利益流出本公司； </w:t>
      </w:r>
      <w:r>
        <w:rPr>
          <w:rFonts w:ascii="宋体" w:hAnsi="宋体" w:cs="宋体" w:eastAsia="宋体" w:hint="default"/>
        </w:rPr>
        <w:t>C</w:t>
      </w:r>
      <w:r>
        <w:rPr/>
        <w:t>、该义务的金额能够可靠地计量。</w:t>
      </w:r>
    </w:p>
    <w:p>
      <w:pPr>
        <w:spacing w:line="316" w:lineRule="auto" w:before="17"/>
        <w:ind w:left="513" w:right="33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）各类预计负债的计量方法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19"/>
        <w:ind w:right="94"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3" w:right="94"/>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3" w:right="94" w:hanging="361"/>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94"/>
        <w:jc w:val="left"/>
      </w:pP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9"/>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spacing w:after="0" w:line="316" w:lineRule="auto"/>
        <w:jc w:val="left"/>
        <w:sectPr>
          <w:pgSz w:w="11910" w:h="16840"/>
          <w:pgMar w:header="877" w:footer="1186" w:top="1100" w:bottom="138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rFonts w:ascii="宋体" w:hAnsi="宋体" w:cs="宋体" w:eastAsia="宋体" w:hint="default"/>
        </w:rPr>
        <w:t>26</w:t>
      </w:r>
      <w:r>
        <w:rPr/>
        <w:t>、股份支付</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09" w:firstLine="360"/>
        <w:jc w:val="both"/>
      </w:pPr>
      <w:r>
        <w:rPr/>
        <w:t>本公司的股份支付是为了获取职工</w:t>
      </w:r>
      <w:r>
        <w:rPr>
          <w:rFonts w:ascii="宋体" w:hAnsi="宋体" w:cs="宋体" w:eastAsia="宋体" w:hint="default"/>
        </w:rPr>
        <w:t>[</w:t>
      </w:r>
      <w:r>
        <w:rPr/>
        <w:t>或其他方</w:t>
      </w:r>
      <w:r>
        <w:rPr>
          <w:rFonts w:ascii="宋体" w:hAnsi="宋体" w:cs="宋体" w:eastAsia="宋体" w:hint="default"/>
        </w:rPr>
        <w:t>]</w:t>
      </w:r>
      <w:r>
        <w:rPr/>
        <w:t>提供服务而授予权益工具或者承担以权益工具为基础确定的负债的交易。 本公司的股份支付分为以权益结算的股份支付和以现金结算的股份支付。</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）以权益结算的股份支付及权益工具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以权益结算的股份支付换取职工提供服务的，以授予职工权益工具的公允价值计量。本公司以限制性股票进行股份支付</w:t>
      </w:r>
    </w:p>
    <w:p>
      <w:pPr>
        <w:pStyle w:val="BodyText"/>
        <w:spacing w:line="319" w:lineRule="auto" w:before="19"/>
        <w:ind w:right="104"/>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4"/>
        </w:rPr>
        <w:t> </w:t>
      </w:r>
      <w:r>
        <w:rPr>
          <w:spacing w:val="-64"/>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3"/>
        </w:rPr>
        <w:t> </w:t>
      </w:r>
      <w:r>
        <w:rPr>
          <w:spacing w:val="-63"/>
        </w:rPr>
      </w:r>
      <w:r>
        <w:rPr>
          <w:spacing w:val="-4"/>
        </w:rPr>
        <w:t>费用和所有者权益总额进行调整。但授予后立即可行权的，在授予日按照公允价值计入相关成本或费用，相应增加资本公积。</w:t>
      </w:r>
    </w:p>
    <w:p>
      <w:pPr>
        <w:pStyle w:val="BodyText"/>
        <w:spacing w:line="316" w:lineRule="auto" w:before="17"/>
        <w:ind w:right="192" w:firstLine="36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190" w:firstLine="360"/>
        <w:jc w:val="both"/>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right="190"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 </w:t>
      </w:r>
      <w:r>
        <w:rPr/>
        <w:t>式，对所授予的替代权益工具进行处理。</w:t>
      </w:r>
    </w:p>
    <w:p>
      <w:pPr>
        <w:spacing w:line="319"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）以现金结算的股份支付及权益工具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以现金结算的股份支付，按照本公司承担的以股份或其他权益工具为基础计算确定的负债的公允价值计量。初始采用期</w:t>
      </w:r>
    </w:p>
    <w:p>
      <w:pPr>
        <w:pStyle w:val="BodyText"/>
        <w:spacing w:line="316" w:lineRule="auto" w:before="17"/>
        <w:ind w:right="189"/>
        <w:jc w:val="both"/>
      </w:pPr>
      <w:r>
        <w:rPr>
          <w:spacing w:val="-2"/>
        </w:rPr>
        <w:t>权模型按照授予日的公允价值计量，并考虑授予权益工具的条款和条件，详见本附注“十三、股份支付”。授予后立即可行</w:t>
      </w:r>
      <w:r>
        <w:rPr>
          <w:spacing w:val="-63"/>
        </w:rPr>
        <w:t> </w:t>
      </w:r>
      <w:r>
        <w:rPr>
          <w:spacing w:val="-63"/>
        </w:rPr>
      </w:r>
      <w:r>
        <w:rPr>
          <w:spacing w:val="-2"/>
        </w:rPr>
        <w:t>权的，在授予日以承担负债的公允价值计入成本或费用，相应增加负债；完成等待期内的服务或达到规定业绩条件才可行权</w:t>
      </w:r>
      <w:r>
        <w:rPr>
          <w:spacing w:val="-63"/>
        </w:rPr>
        <w:t> </w:t>
      </w:r>
      <w:r>
        <w:rPr>
          <w:spacing w:val="-63"/>
        </w:rPr>
      </w:r>
      <w:r>
        <w:rPr>
          <w:spacing w:val="-2"/>
        </w:rPr>
        <w:t>的，在等待期内以对可行权情况的最佳估计为基础，按照承担负债的公允价值，将当期取得的服务计入相关成本或费用，增</w:t>
      </w:r>
      <w:r>
        <w:rPr>
          <w:spacing w:val="-84"/>
        </w:rPr>
        <w:t> </w:t>
      </w:r>
      <w:r>
        <w:rPr>
          <w:spacing w:val="-84"/>
        </w:rPr>
      </w:r>
      <w:r>
        <w:rPr/>
        <w:t>加相应负债。在相关负债结算前的每个资产负债表日以及结算日，对负债的公允价值重新计量，其变动计入当期损益。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27</w:t>
      </w:r>
      <w:r>
        <w:rPr/>
        <w:t>、优先股、永续债等其他金融工具：无。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rFonts w:ascii="宋体" w:hAnsi="宋体" w:cs="宋体" w:eastAsia="宋体" w:hint="default"/>
        </w:rPr>
        <w:t>28</w:t>
      </w:r>
      <w:r>
        <w:rPr/>
        <w:t>、收入</w:t>
      </w:r>
      <w:r>
        <w:rPr>
          <w:b w:val="0"/>
          <w:bCs w:val="0"/>
        </w:rPr>
      </w:r>
    </w:p>
    <w:p>
      <w:pPr>
        <w:spacing w:line="240" w:lineRule="auto" w:before="7"/>
        <w:rPr>
          <w:rFonts w:ascii="宋体" w:hAnsi="宋体" w:cs="宋体" w:eastAsia="宋体" w:hint="default"/>
          <w:b/>
          <w:bCs/>
          <w:sz w:val="27"/>
          <w:szCs w:val="27"/>
        </w:rPr>
      </w:pPr>
    </w:p>
    <w:p>
      <w:pPr>
        <w:spacing w:line="319" w:lineRule="auto" w:before="0"/>
        <w:ind w:left="513" w:right="592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z w:val="18"/>
          <w:szCs w:val="18"/>
        </w:rPr>
        <w:t>A</w:t>
      </w:r>
      <w:r>
        <w:rPr>
          <w:rFonts w:ascii="宋体" w:hAnsi="宋体" w:cs="宋体" w:eastAsia="宋体" w:hint="default"/>
          <w:sz w:val="18"/>
          <w:szCs w:val="18"/>
        </w:rPr>
        <w:t>、销售商品收入确认和计量的总体原则</w:t>
      </w:r>
    </w:p>
    <w:p>
      <w:pPr>
        <w:pStyle w:val="BodyText"/>
        <w:spacing w:line="316" w:lineRule="auto" w:before="17"/>
        <w:ind w:right="191" w:firstLine="360"/>
        <w:jc w:val="both"/>
      </w:pPr>
      <w:r>
        <w:rPr>
          <w:spacing w:val="-2"/>
        </w:rPr>
        <w:t>本公司已将商品所有权上的主要风险和报酬转移给购货方；本公司既没有保留通常与所有权相联系的继续管理权，也没</w:t>
      </w:r>
      <w:r>
        <w:rPr/>
        <w:t> </w:t>
      </w:r>
      <w:r>
        <w:rPr>
          <w:spacing w:val="-2"/>
        </w:rPr>
        <w:t>有对已售出的商品实施有效控制；收入的金额能够可靠地计量；相关的经济利益很可能流入本公司；相关的、已发生或将发</w:t>
      </w:r>
      <w:r>
        <w:rPr>
          <w:spacing w:val="-64"/>
        </w:rPr>
        <w:t> </w:t>
      </w:r>
      <w:r>
        <w:rPr>
          <w:spacing w:val="-64"/>
        </w:rPr>
      </w:r>
      <w:r>
        <w:rPr/>
        <w:t>生的成本能够可靠地计量。</w:t>
      </w:r>
    </w:p>
    <w:p>
      <w:pPr>
        <w:pStyle w:val="BodyText"/>
        <w:spacing w:line="316" w:lineRule="auto" w:before="19"/>
        <w:ind w:left="513" w:right="94"/>
        <w:jc w:val="left"/>
      </w:pPr>
      <w:r>
        <w:rPr>
          <w:rFonts w:ascii="宋体" w:hAnsi="宋体" w:cs="宋体" w:eastAsia="宋体" w:hint="default"/>
        </w:rPr>
        <w:t>B</w:t>
      </w:r>
      <w:r>
        <w:rPr/>
        <w:t>、销售商品收入确认和计量的具体原则 本公司销售商品收入包括电力行业产品（电力设备类）销售、化工行业产品（聚酰亚胺类）销售。 电力行业产品（电力设备类）销售确认方式： </w:t>
      </w:r>
      <w:r>
        <w:rPr>
          <w:spacing w:val="-2"/>
        </w:rPr>
        <w:t>国内销售：①非工程项目类：合同商品已移交给客户，客户验收合格后，与本公司确认商品数量及结算金额，本公司获</w:t>
      </w:r>
    </w:p>
    <w:p>
      <w:pPr>
        <w:pStyle w:val="BodyText"/>
        <w:spacing w:line="316" w:lineRule="auto" w:before="19"/>
        <w:ind w:right="193"/>
        <w:jc w:val="both"/>
      </w:pPr>
      <w:r>
        <w:rPr>
          <w:spacing w:val="-2"/>
        </w:rPr>
        <w:t>得收取货款权利后确认收入实现。②工程项目类：合同商品已移交给购买方施工单位并进行安装调试后，与本公司确认商品</w:t>
      </w:r>
      <w:r>
        <w:rPr>
          <w:spacing w:val="-66"/>
        </w:rPr>
        <w:t> </w:t>
      </w:r>
      <w:r>
        <w:rPr>
          <w:spacing w:val="-66"/>
        </w:rPr>
      </w:r>
      <w:r>
        <w:rPr/>
        <w:t>数量及结算金额，本公司获得收取货款权利后确认收入实现。</w:t>
      </w:r>
    </w:p>
    <w:p>
      <w:pPr>
        <w:pStyle w:val="BodyText"/>
        <w:spacing w:line="316" w:lineRule="auto" w:before="19"/>
        <w:ind w:left="513" w:right="5313"/>
        <w:jc w:val="left"/>
      </w:pPr>
      <w:r>
        <w:rPr/>
        <w:t>国外销售：以出口报关时间为销售收入的确认时间。 化工行业产品（聚酰亚胺类）销售确认方式：</w:t>
      </w:r>
    </w:p>
    <w:p>
      <w:pPr>
        <w:pStyle w:val="BodyText"/>
        <w:spacing w:line="240" w:lineRule="auto" w:before="19"/>
        <w:ind w:left="513" w:right="0"/>
        <w:jc w:val="left"/>
      </w:pPr>
      <w:r>
        <w:rPr/>
        <w:t>国内销售：合同商品已移交给客户，客户验收合格后，与本公司确认商品数量及结算金额，本公司获得收取货款权利后</w:t>
      </w:r>
    </w:p>
    <w:p>
      <w:pPr>
        <w:spacing w:after="0" w:line="240"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513" w:right="5313" w:hanging="361"/>
        <w:jc w:val="left"/>
      </w:pPr>
      <w:r>
        <w:rPr/>
        <w:t>确认收入实现。 国外销售：以出口报关时间为销售收入的确认时间。</w:t>
      </w:r>
    </w:p>
    <w:p>
      <w:pPr>
        <w:pStyle w:val="BodyText"/>
        <w:spacing w:line="316" w:lineRule="auto" w:before="19"/>
        <w:ind w:left="513" w:right="93"/>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）确认让渡资产使用权收入的依据</w:t>
      </w:r>
      <w:r>
        <w:rPr>
          <w:rFonts w:ascii="宋体" w:hAnsi="宋体" w:cs="宋体" w:eastAsia="宋体" w:hint="default"/>
          <w:b/>
          <w:bCs/>
          <w:w w:val="99"/>
        </w:rPr>
        <w:t> </w:t>
      </w:r>
      <w:r>
        <w:rPr/>
        <w:t>与交易相关的经济利益很可能流入企业，收入的金额能够可靠地计量时。分别下列情况确定让渡资产使用权收入金额： </w:t>
      </w:r>
      <w:r>
        <w:rPr>
          <w:rFonts w:ascii="宋体" w:hAnsi="宋体" w:cs="宋体" w:eastAsia="宋体" w:hint="default"/>
        </w:rPr>
        <w:t>A</w:t>
      </w:r>
      <w:r>
        <w:rPr/>
        <w:t>、利息收入金额，按照他人使用本企业货币资金的时间和实际利率计算确定。 </w:t>
      </w:r>
      <w:r>
        <w:rPr>
          <w:rFonts w:ascii="宋体" w:hAnsi="宋体" w:cs="宋体" w:eastAsia="宋体" w:hint="default"/>
        </w:rPr>
        <w:t>B</w:t>
      </w:r>
      <w:r>
        <w:rPr/>
        <w:t>、使用费收入金额，按照有关合同或协议约定的收费时间和方法计算确定。</w:t>
      </w:r>
    </w:p>
    <w:p>
      <w:pPr>
        <w:spacing w:line="240" w:lineRule="auto" w:before="10"/>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29</w:t>
      </w:r>
      <w:r>
        <w:rPr/>
        <w:t>、政府补助</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）与资产相关的政府补助判断依据及会计处理方法</w:t>
      </w:r>
      <w:r>
        <w:rPr>
          <w:b w:val="0"/>
          <w:bCs w:val="0"/>
        </w:rPr>
      </w:r>
    </w:p>
    <w:p>
      <w:pPr>
        <w:spacing w:line="240" w:lineRule="auto" w:before="13"/>
        <w:rPr>
          <w:rFonts w:ascii="宋体" w:hAnsi="宋体" w:cs="宋体" w:eastAsia="宋体" w:hint="default"/>
          <w:b/>
          <w:bCs/>
          <w:sz w:val="23"/>
          <w:szCs w:val="23"/>
        </w:rPr>
      </w:pPr>
    </w:p>
    <w:p>
      <w:pPr>
        <w:pStyle w:val="BodyText"/>
        <w:spacing w:line="316" w:lineRule="auto" w:before="44"/>
        <w:ind w:left="513" w:right="94"/>
        <w:jc w:val="left"/>
      </w:pPr>
      <w:r>
        <w:rPr>
          <w:rFonts w:ascii="宋体" w:hAnsi="宋体" w:cs="宋体" w:eastAsia="宋体" w:hint="default"/>
          <w:b/>
          <w:bCs/>
        </w:rPr>
        <w:t>A</w:t>
      </w:r>
      <w:r>
        <w:rPr>
          <w:rFonts w:ascii="宋体" w:hAnsi="宋体" w:cs="宋体" w:eastAsia="宋体" w:hint="default"/>
          <w:b/>
          <w:bCs/>
        </w:rPr>
        <w:t>、类型</w:t>
      </w:r>
      <w:r>
        <w:rPr>
          <w:rFonts w:ascii="宋体" w:hAnsi="宋体" w:cs="宋体" w:eastAsia="宋体" w:hint="default"/>
          <w:b/>
          <w:bCs/>
          <w:spacing w:val="-89"/>
        </w:rPr>
        <w:t> </w:t>
      </w:r>
      <w:r>
        <w:rPr>
          <w:rFonts w:ascii="宋体" w:hAnsi="宋体" w:cs="宋体" w:eastAsia="宋体" w:hint="default"/>
          <w:b/>
          <w:bCs/>
          <w:spacing w:val="-89"/>
        </w:rPr>
      </w:r>
      <w:r>
        <w:rPr>
          <w:spacing w:val="-2"/>
        </w:rPr>
        <w:t>政府补助，是本公司从政府无偿取得的货币性资产与非货币性资产。分为与资产相关的政府补助和与收益相关的政府补</w:t>
      </w:r>
    </w:p>
    <w:p>
      <w:pPr>
        <w:pStyle w:val="BodyText"/>
        <w:spacing w:line="240" w:lineRule="auto" w:before="19"/>
        <w:ind w:right="5748"/>
        <w:jc w:val="left"/>
      </w:pPr>
      <w:r>
        <w:rPr/>
        <w:t>助。</w:t>
      </w:r>
    </w:p>
    <w:p>
      <w:pPr>
        <w:pStyle w:val="BodyText"/>
        <w:spacing w:line="240" w:lineRule="auto" w:before="76"/>
        <w:ind w:left="513" w:right="0"/>
        <w:jc w:val="left"/>
      </w:pPr>
      <w:r>
        <w:rPr/>
        <w:t>与资产相关的政府补助，是指企业取得的、用于购建或以其他方式形成长期资产的政府补助，包括购买固定资产或无形</w:t>
      </w:r>
    </w:p>
    <w:p>
      <w:pPr>
        <w:pStyle w:val="BodyText"/>
        <w:spacing w:line="316" w:lineRule="auto" w:before="76"/>
        <w:ind w:left="513" w:right="94" w:hanging="361"/>
        <w:jc w:val="left"/>
      </w:pPr>
      <w:r>
        <w:rPr>
          <w:spacing w:val="-4"/>
        </w:rPr>
        <w:t>资产的财政拨款、固定资产专门借款的财政贴息等。与收益相关的政府补助，是指除与资产相关的政府补助之外的政府补助。</w:t>
      </w:r>
      <w:r>
        <w:rPr>
          <w:spacing w:val="-44"/>
        </w:rPr>
        <w:t> </w:t>
      </w:r>
      <w:r>
        <w:rPr>
          <w:spacing w:val="-44"/>
        </w:rPr>
      </w:r>
      <w:r>
        <w:rPr>
          <w:spacing w:val="-2"/>
        </w:rPr>
        <w:t>本公司将政府补助划分为与资产相关的具体标准为：政府补助批准文件明确指出补助用于购建或以其他方式形成长期资</w:t>
      </w:r>
    </w:p>
    <w:p>
      <w:pPr>
        <w:pStyle w:val="BodyText"/>
        <w:spacing w:line="240" w:lineRule="auto" w:before="19"/>
        <w:ind w:right="5748"/>
        <w:jc w:val="left"/>
      </w:pPr>
      <w:r>
        <w:rPr/>
        <w:t>产的。</w:t>
      </w:r>
    </w:p>
    <w:p>
      <w:pPr>
        <w:pStyle w:val="BodyText"/>
        <w:spacing w:line="316" w:lineRule="auto" w:before="76"/>
        <w:ind w:right="191" w:firstLine="360"/>
        <w:jc w:val="both"/>
      </w:pPr>
      <w:r>
        <w:rPr>
          <w:spacing w:val="-2"/>
        </w:rPr>
        <w:t>本公司将政府补助划分为与收益相关的具体标准为：政府补助批准文件明确指出补助用于购建或以其他方式形成长期资</w:t>
      </w:r>
      <w:r>
        <w:rPr/>
        <w:t> 产之外的情况。</w:t>
      </w:r>
    </w:p>
    <w:p>
      <w:pPr>
        <w:pStyle w:val="BodyText"/>
        <w:spacing w:line="319" w:lineRule="auto" w:before="19"/>
        <w:ind w:right="192" w:firstLine="360"/>
        <w:jc w:val="both"/>
      </w:pPr>
      <w:r>
        <w:rPr>
          <w:spacing w:val="-2"/>
        </w:rPr>
        <w:t>对于政府文件未明确规定补助对象的，本公司将该政府补助划分为与资产相关或与收益相关的判断依据为：是否用于购</w:t>
      </w:r>
      <w:r>
        <w:rPr/>
        <w:t> 建或以其他方式形成长期资产。</w:t>
      </w:r>
    </w:p>
    <w:p>
      <w:pPr>
        <w:spacing w:line="316" w:lineRule="auto" w:before="17"/>
        <w:ind w:left="513" w:right="6033" w:firstLine="0"/>
        <w:jc w:val="left"/>
        <w:rPr>
          <w:rFonts w:ascii="宋体" w:hAnsi="宋体" w:cs="宋体" w:eastAsia="宋体" w:hint="default"/>
          <w:sz w:val="18"/>
          <w:szCs w:val="18"/>
        </w:rPr>
      </w:pPr>
      <w:r>
        <w:rPr>
          <w:rFonts w:ascii="宋体" w:hAnsi="宋体" w:cs="宋体" w:eastAsia="宋体" w:hint="default"/>
          <w:b/>
          <w:bCs/>
          <w:sz w:val="18"/>
          <w:szCs w:val="18"/>
        </w:rPr>
        <w:t>B</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确认时点</w:t>
      </w:r>
      <w:r>
        <w:rPr>
          <w:rFonts w:ascii="宋体" w:hAnsi="宋体" w:cs="宋体" w:eastAsia="宋体" w:hint="default"/>
          <w:b/>
          <w:bCs/>
          <w:w w:val="99"/>
          <w:sz w:val="18"/>
          <w:szCs w:val="18"/>
        </w:rPr>
        <w:t> </w:t>
      </w:r>
      <w:r>
        <w:rPr>
          <w:rFonts w:ascii="宋体" w:hAnsi="宋体" w:cs="宋体" w:eastAsia="宋体" w:hint="default"/>
          <w:sz w:val="18"/>
          <w:szCs w:val="18"/>
        </w:rPr>
        <w:t>企业实际取得政府补助款项作为确认时点。</w:t>
      </w:r>
    </w:p>
    <w:p>
      <w:pPr>
        <w:pStyle w:val="BodyText"/>
        <w:spacing w:line="240" w:lineRule="auto" w:before="19"/>
        <w:ind w:left="513" w:right="94"/>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宋体" w:hAnsi="宋体" w:cs="宋体" w:eastAsia="宋体"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90" w:firstLine="360"/>
        <w:jc w:val="both"/>
      </w:pPr>
      <w:r>
        <w:rPr>
          <w:spacing w:val="-2"/>
        </w:rPr>
        <w:t>与收益相关的政府补助，用于补偿本公司以后期间的相关费用或损失的，取得时确认为递延收益，在确认相关费用的期</w:t>
      </w:r>
      <w:r>
        <w:rPr/>
        <w:t> 间计入当期营业外收入；用于补偿本公司已发生的相关费用或损失的，取得时直接计入当期营业外收入。</w:t>
      </w:r>
    </w:p>
    <w:p>
      <w:pPr>
        <w:spacing w:line="240" w:lineRule="auto" w:before="10"/>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85" w:firstLine="360"/>
        <w:jc w:val="both"/>
      </w:pPr>
      <w:r>
        <w:rPr/>
        <w:t>对于可抵扣暂时性差异确认递延所得税资产，以未来期间很可能取得的用来抵扣可抵扣暂时性差异的应纳税所得额为</w:t>
      </w:r>
      <w:r>
        <w:rPr>
          <w:spacing w:val="2"/>
        </w:rPr>
        <w:t>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3" w:right="94"/>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94"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3" w:right="94"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9" w:lineRule="auto" w:before="19"/>
        <w:ind w:right="193"/>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after="0" w:line="319" w:lineRule="auto"/>
        <w:jc w:val="both"/>
        <w:sectPr>
          <w:pgSz w:w="11910" w:h="16840"/>
          <w:pgMar w:header="877" w:footer="1186" w:top="1100" w:bottom="138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31</w:t>
      </w:r>
      <w:r>
        <w:rPr/>
        <w:t>、租赁</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53" w:firstLine="360"/>
        <w:jc w:val="both"/>
      </w:pPr>
      <w:r>
        <w:rPr>
          <w:rFonts w:ascii="宋体" w:hAnsi="宋体" w:cs="宋体" w:eastAsia="宋体" w:hint="default"/>
        </w:rPr>
        <w:t>A</w:t>
      </w:r>
      <w:r>
        <w:rPr/>
        <w:t>、公司租入资产所支付的租赁费，在不扣除免租期的整个租赁期内，按直线法进行分摊，计入当期费用。公司支付的 与租赁交易相关的初始直接费用，计入当期费用。</w:t>
      </w:r>
    </w:p>
    <w:p>
      <w:pPr>
        <w:pStyle w:val="BodyText"/>
        <w:spacing w:line="316" w:lineRule="auto" w:before="19"/>
        <w:ind w:right="15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51" w:firstLine="360"/>
        <w:jc w:val="both"/>
      </w:pPr>
      <w:r>
        <w:rPr>
          <w:rFonts w:ascii="宋体" w:hAnsi="宋体" w:cs="宋体" w:eastAsia="宋体" w:hint="default"/>
        </w:rPr>
        <w:t>B</w:t>
      </w:r>
      <w:r>
        <w:rPr/>
        <w:t>、公司出租资产所收取的租赁费，在不扣除免租期的整个租赁期内，按直线法进行分摊，确认为租赁相关收入。公司 </w:t>
      </w:r>
      <w:r>
        <w:rPr>
          <w:spacing w:val="-2"/>
        </w:rPr>
        <w:t>支付的与租赁交易相关的初始直接费用，计入当期费用；如金额较大的，则予以资本化，在整个租赁期间内按照与租赁相关</w:t>
      </w:r>
      <w:r>
        <w:rPr>
          <w:spacing w:val="-65"/>
        </w:rPr>
        <w:t> </w:t>
      </w:r>
      <w:r>
        <w:rPr>
          <w:spacing w:val="-65"/>
        </w:rPr>
      </w:r>
      <w:r>
        <w:rPr/>
        <w:t>收入确认相同的基础分期计入当期收益。</w:t>
      </w:r>
    </w:p>
    <w:p>
      <w:pPr>
        <w:pStyle w:val="BodyText"/>
        <w:spacing w:line="316" w:lineRule="auto" w:before="19"/>
        <w:ind w:right="15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50" w:firstLine="360"/>
        <w:jc w:val="both"/>
      </w:pPr>
      <w:r>
        <w:rPr>
          <w:rFonts w:ascii="宋体" w:hAnsi="宋体" w:cs="宋体" w:eastAsia="宋体" w:hint="default"/>
        </w:rPr>
        <w:t>A</w:t>
      </w:r>
      <w:r>
        <w:rPr/>
        <w:t>、融资租入资产：公司在承租开始日，将租赁资产公允价值与最低租赁付款额现值两者中较低者作为租入资产的入账 </w:t>
      </w:r>
      <w:r>
        <w:rPr>
          <w:spacing w:val="-2"/>
        </w:rPr>
        <w:t>价值，将最低租赁付款额作为长期应付款的入账价值，其差额作为未确认的融资费用。公司采用实际利率法对未确认的融资</w:t>
      </w:r>
      <w:r>
        <w:rPr>
          <w:spacing w:val="-63"/>
        </w:rPr>
        <w:t> </w:t>
      </w:r>
      <w:r>
        <w:rPr>
          <w:spacing w:val="-63"/>
        </w:rPr>
      </w:r>
      <w:r>
        <w:rPr/>
        <w:t>费用，在资产租赁期间内摊销，计入财务费用。公司发生的初始直接费用，计入租入资产价值。</w:t>
      </w:r>
    </w:p>
    <w:p>
      <w:pPr>
        <w:pStyle w:val="BodyText"/>
        <w:spacing w:line="316" w:lineRule="auto" w:before="19"/>
        <w:ind w:right="153" w:firstLine="360"/>
        <w:jc w:val="both"/>
      </w:pPr>
      <w:r>
        <w:rPr>
          <w:rFonts w:ascii="宋体" w:hAnsi="宋体" w:cs="宋体" w:eastAsia="宋体" w:hint="default"/>
        </w:rPr>
        <w:t>B</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32</w:t>
      </w:r>
      <w:r>
        <w:rPr/>
        <w:t>、其他重要的会计政策和会计估计：无。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33</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）重要会计估计变更</w:t>
      </w:r>
      <w:r>
        <w:rPr>
          <w:b w:val="0"/>
          <w:bCs w:val="0"/>
        </w:rPr>
      </w:r>
    </w:p>
    <w:p>
      <w:pPr>
        <w:spacing w:line="624" w:lineRule="exact" w:before="72"/>
        <w:ind w:left="152" w:right="8154" w:firstLine="0"/>
        <w:jc w:val="left"/>
        <w:rPr>
          <w:rFonts w:ascii="宋体" w:hAnsi="宋体" w:cs="宋体" w:eastAsia="宋体" w:hint="default"/>
          <w:sz w:val="24"/>
          <w:szCs w:val="24"/>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21"/>
          <w:szCs w:val="21"/>
        </w:rPr>
        <w:t>34</w:t>
      </w:r>
      <w:r>
        <w:rPr>
          <w:rFonts w:ascii="宋体" w:hAnsi="宋体" w:cs="宋体" w:eastAsia="宋体" w:hint="default"/>
          <w:b/>
          <w:bCs/>
          <w:sz w:val="21"/>
          <w:szCs w:val="21"/>
        </w:rPr>
        <w:t>、其他：无。</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53"/>
        <w:jc w:val="left"/>
        <w:rPr>
          <w:b w:val="0"/>
          <w:bCs w:val="0"/>
        </w:rPr>
      </w:pPr>
      <w:r>
        <w:rPr>
          <w:rFonts w:ascii="宋体" w:hAnsi="宋体" w:cs="宋体" w:eastAsia="宋体" w:hint="default"/>
        </w:rPr>
        <w:t>1</w:t>
      </w:r>
      <w:r>
        <w:rPr/>
        <w:t>、主要税种及税率</w:t>
      </w:r>
      <w:r>
        <w:rPr>
          <w:b w:val="0"/>
          <w:bCs w:val="0"/>
        </w:rPr>
      </w:r>
    </w:p>
    <w:p>
      <w:pPr>
        <w:spacing w:line="240" w:lineRule="auto" w:before="1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973"/>
        <w:gridCol w:w="5956"/>
        <w:gridCol w:w="1630"/>
      </w:tblGrid>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税种</w:t>
            </w:r>
          </w:p>
        </w:tc>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6"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23"/>
              <w:jc w:val="left"/>
              <w:rPr>
                <w:rFonts w:ascii="宋体" w:hAnsi="宋体" w:cs="宋体" w:eastAsia="宋体" w:hint="default"/>
                <w:sz w:val="18"/>
                <w:szCs w:val="18"/>
              </w:rPr>
            </w:pPr>
            <w:r>
              <w:rPr>
                <w:rFonts w:ascii="宋体" w:hAnsi="宋体" w:cs="宋体" w:eastAsia="宋体" w:hint="default"/>
                <w:spacing w:val="-2"/>
                <w:sz w:val="18"/>
                <w:szCs w:val="18"/>
              </w:rPr>
              <w:t>按税法规定计算的销售货物和应税劳务收入为基础计算销项税额，在扣除当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期允许抵扣的进项税额后，差额部分为应交增值税</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17%</w:t>
            </w:r>
          </w:p>
        </w:tc>
      </w:tr>
      <w:tr>
        <w:trPr>
          <w:trHeight w:val="392"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956" w:type="dxa"/>
            <w:vMerge/>
            <w:tcBorders>
              <w:left w:val="single" w:sz="9" w:space="0" w:color="D2D2D2"/>
              <w:right w:val="single" w:sz="4" w:space="0" w:color="000000"/>
            </w:tcBorders>
          </w:tcPr>
          <w:p>
            <w:pPr/>
          </w:p>
        </w:tc>
        <w:tc>
          <w:tcPr>
            <w:tcW w:w="1630" w:type="dxa"/>
            <w:vMerge/>
            <w:tcBorders>
              <w:left w:val="single" w:sz="4" w:space="0" w:color="000000"/>
              <w:right w:val="single" w:sz="4" w:space="0" w:color="000000"/>
            </w:tcBorders>
          </w:tcPr>
          <w:p>
            <w:pPr/>
          </w:p>
        </w:tc>
      </w:tr>
      <w:tr>
        <w:trPr>
          <w:trHeight w:val="163"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6" w:type="dxa"/>
            <w:vMerge/>
            <w:tcBorders>
              <w:left w:val="single" w:sz="9" w:space="0" w:color="D2D2D2"/>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bl>
    <w:p>
      <w:pPr>
        <w:spacing w:after="0"/>
        <w:sectPr>
          <w:footerReference w:type="default" r:id="rId33"/>
          <w:pgSz w:w="11910" w:h="16840"/>
          <w:pgMar w:footer="1186" w:header="877" w:top="1100" w:bottom="1380" w:left="980" w:right="980"/>
          <w:pgNumType w:start="11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85"/>
        <w:gridCol w:w="5956"/>
        <w:gridCol w:w="1630"/>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见下表</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w:t>
            </w:r>
          </w:p>
        </w:tc>
      </w:tr>
    </w:tbl>
    <w:p>
      <w:pPr>
        <w:pStyle w:val="BodyText"/>
        <w:spacing w:line="240" w:lineRule="auto" w:before="49"/>
        <w:ind w:right="94"/>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吉林高航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5748"/>
        <w:jc w:val="left"/>
        <w:rPr>
          <w:b w:val="0"/>
          <w:bCs w:val="0"/>
        </w:rPr>
      </w:pPr>
      <w:r>
        <w:rPr>
          <w:rFonts w:ascii="宋体" w:hAnsi="宋体" w:cs="宋体" w:eastAsia="宋体" w:hint="default"/>
        </w:rPr>
        <w:t>2</w:t>
      </w:r>
      <w:r>
        <w:rPr/>
        <w:t>、税收优惠</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00" w:firstLine="36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日，本公司通过高新技术企业复审，取得深圳市科技创新委员会、深圳市财政委员会、深圳市国家税</w:t>
      </w:r>
      <w:r>
        <w:rPr/>
        <w:t> </w:t>
      </w:r>
      <w:r>
        <w:rPr>
          <w:spacing w:val="-3"/>
        </w:rPr>
        <w:t>务局和深圳市地方税务局联合批准颁发的高新技术企业证书，证书编号</w:t>
      </w:r>
      <w:r>
        <w:rPr>
          <w:rFonts w:ascii="宋体" w:hAnsi="宋体" w:cs="宋体" w:eastAsia="宋体" w:hint="default"/>
          <w:spacing w:val="-3"/>
        </w:rPr>
        <w:t>GR201444200952</w:t>
      </w:r>
      <w:r>
        <w:rPr>
          <w:spacing w:val="-3"/>
        </w:rPr>
        <w:t>；根据高新技术企业所得税优惠政策，</w:t>
      </w:r>
      <w:r>
        <w:rPr>
          <w:spacing w:val="-83"/>
        </w:rPr>
        <w:t> </w:t>
      </w:r>
      <w:r>
        <w:rPr>
          <w:spacing w:val="-83"/>
        </w:rPr>
      </w:r>
      <w:r>
        <w:rPr/>
        <w:t>本公司</w:t>
      </w:r>
      <w:r>
        <w:rPr>
          <w:rFonts w:ascii="宋体" w:hAnsi="宋体" w:cs="宋体" w:eastAsia="宋体" w:hint="default"/>
        </w:rPr>
        <w:t>2014</w:t>
      </w:r>
      <w:r>
        <w:rPr/>
        <w:t>至</w:t>
      </w:r>
      <w:r>
        <w:rPr>
          <w:rFonts w:ascii="宋体" w:hAnsi="宋体" w:cs="宋体" w:eastAsia="宋体" w:hint="default"/>
        </w:rPr>
        <w:t>2016</w:t>
      </w:r>
      <w:r>
        <w:rPr/>
        <w:t>年执行企业所得税率为</w:t>
      </w:r>
      <w:r>
        <w:rPr>
          <w:rFonts w:ascii="宋体" w:hAnsi="宋体" w:cs="宋体" w:eastAsia="宋体" w:hint="default"/>
        </w:rPr>
        <w:t>15%</w:t>
      </w:r>
      <w:r>
        <w:rPr/>
        <w:t>。</w:t>
      </w:r>
    </w:p>
    <w:p>
      <w:pPr>
        <w:pStyle w:val="BodyText"/>
        <w:spacing w:line="319" w:lineRule="auto" w:before="19"/>
        <w:ind w:right="191" w:firstLine="360"/>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日，子公司长春高琦通过高新技术企业复审，取得由吉林省科学技术厅、吉林省财政厅、吉林省国家</w:t>
      </w:r>
      <w:r>
        <w:rPr/>
        <w:t> </w:t>
      </w:r>
      <w:r>
        <w:rPr>
          <w:spacing w:val="-2"/>
        </w:rPr>
        <w:t>税务局和吉林省地方税务局联合批准颁发的高新技术企业证书，证书编号</w:t>
      </w:r>
      <w:r>
        <w:rPr>
          <w:rFonts w:ascii="宋体" w:hAnsi="宋体" w:cs="宋体" w:eastAsia="宋体" w:hint="default"/>
          <w:spacing w:val="-2"/>
        </w:rPr>
        <w:t>GF201422000002</w:t>
      </w:r>
      <w:r>
        <w:rPr>
          <w:spacing w:val="-2"/>
        </w:rPr>
        <w:t>，本公司已到相关部门备案；根据</w:t>
      </w:r>
      <w:r>
        <w:rPr>
          <w:spacing w:val="-55"/>
        </w:rPr>
        <w:t> </w:t>
      </w:r>
      <w:r>
        <w:rPr>
          <w:spacing w:val="-55"/>
        </w:rPr>
      </w:r>
      <w:r>
        <w:rPr>
          <w:spacing w:val="-2"/>
        </w:rPr>
        <w:t>高新技术企业所得税优惠政策，长春高琦</w:t>
      </w:r>
      <w:r>
        <w:rPr>
          <w:rFonts w:ascii="宋体" w:hAnsi="宋体" w:cs="宋体" w:eastAsia="宋体" w:hint="default"/>
          <w:spacing w:val="-2"/>
        </w:rPr>
        <w:t>2014</w:t>
      </w:r>
      <w:r>
        <w:rPr>
          <w:spacing w:val="-2"/>
        </w:rPr>
        <w:t>至</w:t>
      </w:r>
      <w:r>
        <w:rPr>
          <w:rFonts w:ascii="宋体" w:hAnsi="宋体" w:cs="宋体" w:eastAsia="宋体" w:hint="default"/>
          <w:spacing w:val="-2"/>
        </w:rPr>
        <w:t>2016</w:t>
      </w:r>
      <w:r>
        <w:rPr>
          <w:spacing w:val="-2"/>
        </w:rPr>
        <w:t>年执行企业所得税率为</w:t>
      </w:r>
      <w:r>
        <w:rPr>
          <w:rFonts w:ascii="宋体" w:hAnsi="宋体" w:cs="宋体" w:eastAsia="宋体" w:hint="default"/>
          <w:spacing w:val="-2"/>
        </w:rPr>
        <w:t>15%</w:t>
      </w:r>
      <w:r>
        <w:rPr>
          <w:spacing w:val="-2"/>
        </w:rPr>
        <w:t>；深圳惠程在</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月丧失对长春高琦的控</w:t>
      </w:r>
      <w:r>
        <w:rPr>
          <w:spacing w:val="-55"/>
        </w:rPr>
        <w:t> </w:t>
      </w:r>
      <w:r>
        <w:rPr>
          <w:spacing w:val="-55"/>
        </w:rPr>
      </w:r>
      <w:r>
        <w:rPr/>
        <w:t>制权。</w:t>
      </w:r>
    </w:p>
    <w:p>
      <w:pPr>
        <w:pStyle w:val="BodyText"/>
        <w:spacing w:line="316" w:lineRule="auto" w:before="17"/>
        <w:ind w:right="192" w:firstLine="360"/>
        <w:jc w:val="both"/>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日，子公司江西先材取得由江西省科学技术厅、江西省财政厅、江西省国家税务局和江西省地方税务</w:t>
      </w:r>
      <w:r>
        <w:rPr/>
        <w:t> </w:t>
      </w:r>
      <w:r>
        <w:rPr>
          <w:spacing w:val="-2"/>
        </w:rPr>
        <w:t>局联合批准颁发的高新技术企业证书，证书编号</w:t>
      </w:r>
      <w:r>
        <w:rPr>
          <w:rFonts w:ascii="宋体" w:hAnsi="宋体" w:cs="宋体" w:eastAsia="宋体" w:hint="default"/>
          <w:spacing w:val="-2"/>
        </w:rPr>
        <w:t>GR201436000136</w:t>
      </w:r>
      <w:r>
        <w:rPr>
          <w:spacing w:val="-2"/>
        </w:rPr>
        <w:t>；根据高新技术企业所得税优惠政策，江西先材</w:t>
      </w:r>
      <w:r>
        <w:rPr>
          <w:rFonts w:ascii="宋体" w:hAnsi="宋体" w:cs="宋体" w:eastAsia="宋体" w:hint="default"/>
          <w:spacing w:val="-2"/>
        </w:rPr>
        <w:t>2014</w:t>
      </w:r>
      <w:r>
        <w:rPr>
          <w:spacing w:val="-2"/>
        </w:rPr>
        <w:t>至</w:t>
      </w:r>
      <w:r>
        <w:rPr>
          <w:rFonts w:ascii="宋体" w:hAnsi="宋体" w:cs="宋体" w:eastAsia="宋体" w:hint="default"/>
          <w:spacing w:val="-2"/>
        </w:rPr>
        <w:t>2016</w:t>
      </w:r>
      <w:r>
        <w:rPr>
          <w:rFonts w:ascii="宋体" w:hAnsi="宋体" w:cs="宋体" w:eastAsia="宋体" w:hint="default"/>
          <w:spacing w:val="-52"/>
        </w:rPr>
        <w:t> </w:t>
      </w:r>
      <w:r>
        <w:rPr>
          <w:rFonts w:ascii="宋体" w:hAnsi="宋体" w:cs="宋体" w:eastAsia="宋体" w:hint="default"/>
          <w:spacing w:val="-52"/>
        </w:rPr>
      </w:r>
      <w:r>
        <w:rPr/>
        <w:t>年执行企业所得税率为</w:t>
      </w:r>
      <w:r>
        <w:rPr>
          <w:rFonts w:ascii="宋体" w:hAnsi="宋体" w:cs="宋体" w:eastAsia="宋体" w:hint="default"/>
        </w:rPr>
        <w:t>15%</w:t>
      </w:r>
      <w:r>
        <w:rPr/>
        <w:t>；深圳惠程在</w:t>
      </w:r>
      <w:r>
        <w:rPr>
          <w:rFonts w:ascii="宋体" w:hAnsi="宋体" w:cs="宋体" w:eastAsia="宋体" w:hint="default"/>
        </w:rPr>
        <w:t>2015</w:t>
      </w:r>
      <w:r>
        <w:rPr/>
        <w:t>年</w:t>
      </w:r>
      <w:r>
        <w:rPr>
          <w:rFonts w:ascii="宋体" w:hAnsi="宋体" w:cs="宋体" w:eastAsia="宋体" w:hint="default"/>
        </w:rPr>
        <w:t>1</w:t>
      </w:r>
      <w:r>
        <w:rPr/>
        <w:t>月丧失对江西先材的控制权。</w:t>
      </w:r>
    </w:p>
    <w:p>
      <w:pPr>
        <w:pStyle w:val="BodyText"/>
        <w:spacing w:line="316" w:lineRule="auto" w:before="19"/>
        <w:ind w:right="188" w:firstLine="360"/>
        <w:jc w:val="both"/>
      </w:pPr>
      <w:r>
        <w:rPr>
          <w:spacing w:val="-2"/>
        </w:rPr>
        <w:t>（</w:t>
      </w:r>
      <w:r>
        <w:rPr>
          <w:rFonts w:ascii="宋体" w:hAnsi="宋体" w:cs="宋体" w:eastAsia="宋体" w:hint="default"/>
          <w:spacing w:val="-2"/>
        </w:rPr>
        <w:t>4</w:t>
      </w:r>
      <w:r>
        <w:rPr>
          <w:spacing w:val="-2"/>
        </w:rPr>
        <w:t>）关于印发《新疆维吾尔自治区促进股权投资类企业发展暂行办法》的通知，新政办发</w:t>
      </w:r>
      <w:r>
        <w:rPr>
          <w:rFonts w:ascii="宋体" w:hAnsi="宋体" w:cs="宋体" w:eastAsia="宋体" w:hint="default"/>
          <w:spacing w:val="-2"/>
        </w:rPr>
        <w:t>[2010]187</w:t>
      </w:r>
      <w:r>
        <w:rPr>
          <w:spacing w:val="-2"/>
        </w:rPr>
        <w:t>号，公司制的股权</w:t>
      </w:r>
      <w:r>
        <w:rPr/>
        <w:t> 投资类企业，纳入自治区支持中小企业服务体系，依法享受国家西部大开发各项优惠政策，执行</w:t>
      </w:r>
      <w:r>
        <w:rPr>
          <w:rFonts w:ascii="宋体" w:hAnsi="宋体" w:cs="宋体" w:eastAsia="宋体" w:hint="default"/>
        </w:rPr>
        <w:t>15%</w:t>
      </w:r>
      <w:r>
        <w:rPr/>
        <w:t>的所得税率，自治区地</w:t>
      </w:r>
      <w:r>
        <w:rPr>
          <w:spacing w:val="-83"/>
        </w:rPr>
        <w:t> </w:t>
      </w:r>
      <w:r>
        <w:rPr>
          <w:spacing w:val="-83"/>
        </w:rPr>
      </w:r>
      <w:r>
        <w:rPr>
          <w:spacing w:val="-2"/>
        </w:rPr>
        <w:t>方分享部分减半征收；子公司喀什中汇联银申请享受企业所得税税收优惠政策，备案正在办理中，预计在企业所得税汇算清</w:t>
      </w:r>
      <w:r>
        <w:rPr>
          <w:spacing w:val="-63"/>
        </w:rPr>
        <w:t> </w:t>
      </w:r>
      <w:r>
        <w:rPr>
          <w:spacing w:val="-63"/>
        </w:rPr>
      </w:r>
      <w:r>
        <w:rPr/>
        <w:t>缴前办理完备案手续。</w:t>
      </w:r>
    </w:p>
    <w:p>
      <w:pPr>
        <w:spacing w:line="240" w:lineRule="auto" w:before="11"/>
        <w:rPr>
          <w:rFonts w:ascii="宋体" w:hAnsi="宋体" w:cs="宋体" w:eastAsia="宋体" w:hint="default"/>
          <w:sz w:val="22"/>
          <w:szCs w:val="22"/>
        </w:rPr>
      </w:pPr>
    </w:p>
    <w:p>
      <w:pPr>
        <w:pStyle w:val="Heading3"/>
        <w:spacing w:line="240" w:lineRule="auto"/>
        <w:ind w:right="5748"/>
        <w:jc w:val="left"/>
        <w:rPr>
          <w:b w:val="0"/>
          <w:bCs w:val="0"/>
        </w:rPr>
      </w:pPr>
      <w:r>
        <w:rPr>
          <w:rFonts w:ascii="宋体" w:hAnsi="宋体" w:cs="宋体" w:eastAsia="宋体" w:hint="default"/>
        </w:rPr>
        <w:t>3</w:t>
      </w:r>
      <w:r>
        <w:rPr/>
        <w:t>、其他：无。</w:t>
      </w:r>
      <w:r>
        <w:rPr>
          <w:b w:val="0"/>
          <w:bCs w:val="0"/>
        </w:rPr>
      </w:r>
    </w:p>
    <w:p>
      <w:pPr>
        <w:spacing w:after="0" w:line="240" w:lineRule="auto"/>
        <w:jc w:val="left"/>
        <w:sectPr>
          <w:pgSz w:w="11910" w:h="16840"/>
          <w:pgMar w:header="877" w:footer="1186" w:top="1100" w:bottom="1380" w:left="980" w:right="940"/>
        </w:sectPr>
      </w:pPr>
    </w:p>
    <w:p>
      <w:pPr>
        <w:spacing w:line="240" w:lineRule="auto" w:before="10"/>
        <w:rPr>
          <w:rFonts w:ascii="宋体" w:hAnsi="宋体" w:cs="宋体" w:eastAsia="宋体" w:hint="default"/>
          <w:b/>
          <w:bCs/>
          <w:sz w:val="19"/>
          <w:szCs w:val="19"/>
        </w:rPr>
      </w:pPr>
    </w:p>
    <w:p>
      <w:pPr>
        <w:pStyle w:val="Heading2"/>
        <w:spacing w:line="240" w:lineRule="auto" w:before="26"/>
        <w:ind w:right="15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、货币资金</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9,650.34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106,019.50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165,474,860.23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360,855,101.71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241,141,573.99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941,960.77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406,626,084.56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361,903,081.98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33,415.88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184,607.18</w:t>
            </w:r>
          </w:p>
        </w:tc>
      </w:tr>
    </w:tbl>
    <w:p>
      <w:pPr>
        <w:pStyle w:val="BodyText"/>
        <w:spacing w:line="240" w:lineRule="auto" w:before="49"/>
        <w:ind w:right="153"/>
        <w:jc w:val="left"/>
      </w:pPr>
      <w:r>
        <w:rPr/>
        <w:t>其他说明</w:t>
      </w:r>
    </w:p>
    <w:p>
      <w:pPr>
        <w:pStyle w:val="BodyText"/>
        <w:spacing w:line="240" w:lineRule="auto" w:before="115"/>
        <w:ind w:left="513" w:right="153"/>
        <w:jc w:val="left"/>
      </w:pPr>
      <w:r>
        <w:rPr/>
        <w:t>其中受到限制的货币资金明细如下：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603"/>
        <w:gridCol w:w="3274"/>
        <w:gridCol w:w="2782"/>
      </w:tblGrid>
      <w:tr>
        <w:trPr>
          <w:trHeight w:val="34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16"/>
              <w:jc w:val="right"/>
              <w:rPr>
                <w:rFonts w:ascii="宋体" w:hAnsi="宋体" w:cs="宋体" w:eastAsia="宋体" w:hint="default"/>
                <w:sz w:val="18"/>
                <w:szCs w:val="18"/>
              </w:rPr>
            </w:pPr>
            <w:r>
              <w:rPr>
                <w:rFonts w:ascii="宋体" w:hAnsi="宋体" w:cs="宋体" w:eastAsia="宋体" w:hint="default"/>
                <w:sz w:val="18"/>
                <w:szCs w:val="18"/>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5,825,024.18</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2,709.34</w:t>
            </w:r>
          </w:p>
        </w:tc>
      </w:tr>
      <w:tr>
        <w:trPr>
          <w:trHeight w:val="34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14,941.38</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14,889.67</w:t>
            </w:r>
          </w:p>
        </w:tc>
      </w:tr>
      <w:tr>
        <w:trPr>
          <w:trHeight w:val="34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8,308,656.49</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924,361.76</w:t>
            </w:r>
          </w:p>
        </w:tc>
      </w:tr>
      <w:tr>
        <w:trPr>
          <w:trHeight w:val="34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25.000,000.00</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w:t>
            </w:r>
          </w:p>
        </w:tc>
      </w:tr>
      <w:tr>
        <w:trPr>
          <w:trHeight w:val="34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16"/>
              <w:jc w:val="right"/>
              <w:rPr>
                <w:rFonts w:ascii="宋体" w:hAnsi="宋体" w:cs="宋体" w:eastAsia="宋体" w:hint="default"/>
                <w:sz w:val="18"/>
                <w:szCs w:val="18"/>
              </w:rPr>
            </w:pPr>
            <w:r>
              <w:rPr>
                <w:rFonts w:ascii="宋体" w:hAnsi="宋体" w:cs="宋体" w:eastAsia="宋体" w:hint="default"/>
                <w:sz w:val="18"/>
                <w:szCs w:val="18"/>
              </w:rPr>
              <w:t>合计</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39,148,622.05</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941,960.77</w:t>
            </w:r>
          </w:p>
        </w:tc>
      </w:tr>
    </w:tbl>
    <w:p>
      <w:pPr>
        <w:pStyle w:val="BodyText"/>
        <w:spacing w:line="316" w:lineRule="auto" w:before="8"/>
        <w:ind w:right="153" w:firstLine="360"/>
        <w:jc w:val="left"/>
      </w:pPr>
      <w:r>
        <w:rPr>
          <w:spacing w:val="-2"/>
        </w:rPr>
        <w:t>注：截至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日，其他货币资金中人民币</w:t>
      </w:r>
      <w:r>
        <w:rPr>
          <w:rFonts w:ascii="宋体" w:hAnsi="宋体" w:cs="宋体" w:eastAsia="宋体" w:hint="default"/>
          <w:spacing w:val="-2"/>
        </w:rPr>
        <w:t>8,308,656.49</w:t>
      </w:r>
      <w:r>
        <w:rPr>
          <w:spacing w:val="-2"/>
        </w:rPr>
        <w:t>元为本公司向银行申请开具无条件、不可撤销的担保函</w:t>
      </w:r>
      <w:r>
        <w:rPr/>
        <w:t> 所存入的保证金存款。</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2</w:t>
      </w:r>
      <w:r>
        <w:rPr/>
        <w:t>、以公允价值计量且其变动计入当期损益的金融资产：无。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3</w:t>
      </w:r>
      <w:r>
        <w:rPr/>
        <w:t>、衍生金融资产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、应收票据</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4,601,040.50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79,530.00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859,530.00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4,601,040.50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）期末公司已质押的应收票据：无。</w:t>
      </w:r>
      <w:r>
        <w:rPr>
          <w:b w:val="0"/>
          <w:bCs w:val="0"/>
        </w:rPr>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4,135,537.57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16,775,736.80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4,135,537.57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16,775,736.80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4</w:t>
      </w:r>
      <w:r>
        <w:rPr/>
        <w:t>）期末公司因出票人未履约而将其转应收账款的票据：无。</w:t>
      </w:r>
      <w:r>
        <w:rPr>
          <w:b w:val="0"/>
          <w:bCs w:val="0"/>
        </w:rPr>
      </w:r>
    </w:p>
    <w:p>
      <w:pPr>
        <w:spacing w:after="0" w:line="240" w:lineRule="auto"/>
        <w:jc w:val="left"/>
        <w:sectPr>
          <w:pgSz w:w="11910" w:h="16840"/>
          <w:pgMar w:header="877" w:footer="1186" w:top="1100" w:bottom="1380" w:left="980" w:right="980"/>
        </w:sectPr>
      </w:pPr>
    </w:p>
    <w:p>
      <w:pPr>
        <w:spacing w:line="240" w:lineRule="auto" w:before="0"/>
        <w:rPr>
          <w:rFonts w:ascii="宋体" w:hAnsi="宋体" w:cs="宋体" w:eastAsia="宋体" w:hint="default"/>
          <w:b/>
          <w:bCs/>
          <w:sz w:val="24"/>
          <w:szCs w:val="24"/>
        </w:rPr>
      </w:pPr>
    </w:p>
    <w:p>
      <w:pPr>
        <w:pStyle w:val="Heading3"/>
        <w:spacing w:line="240" w:lineRule="auto"/>
        <w:ind w:left="140" w:right="-16"/>
        <w:jc w:val="left"/>
        <w:rPr>
          <w:b w:val="0"/>
          <w:bCs w:val="0"/>
        </w:rPr>
      </w:pPr>
      <w:r>
        <w:rPr/>
        <w:pict>
          <v:group style="position:absolute;margin-left:70.559998pt;margin-top:-.476309pt;width:700.95pt;height:.1pt;mso-position-horizontal-relative:page;mso-position-vertical-relative:paragraph;z-index:1840"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宋体" w:hAnsi="宋体" w:cs="宋体" w:eastAsia="宋体" w:hint="default"/>
        </w:rPr>
        <w:t>5</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40" w:right="-16"/>
        <w:jc w:val="left"/>
        <w:rPr>
          <w:b w:val="0"/>
          <w:bCs w:val="0"/>
        </w:rPr>
      </w:pPr>
      <w:r>
        <w:rPr/>
        <w:t>（</w:t>
      </w:r>
      <w:r>
        <w:rPr>
          <w:rFonts w:ascii="宋体" w:hAnsi="宋体" w:cs="宋体" w:eastAsia="宋体" w:hint="default"/>
        </w:rPr>
        <w:t>1</w:t>
      </w:r>
      <w:r>
        <w:rPr/>
        <w:t>）应收账款分类披露</w:t>
      </w:r>
      <w:r>
        <w:rPr>
          <w:b w:val="0"/>
          <w:bCs w:val="0"/>
        </w:rPr>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34"/>
          <w:footerReference w:type="default" r:id="rId35"/>
          <w:pgSz w:w="16840" w:h="11910" w:orient="landscape"/>
          <w:pgMar w:header="0" w:footer="0" w:top="800" w:bottom="280" w:left="1300" w:right="1280"/>
          <w:cols w:num="2" w:equalWidth="0">
            <w:col w:w="2359" w:space="7550"/>
            <w:col w:w="4351"/>
          </w:cols>
        </w:sectPr>
      </w:pPr>
    </w:p>
    <w:p>
      <w:pPr>
        <w:spacing w:line="240" w:lineRule="auto" w:before="2"/>
        <w:rPr>
          <w:rFonts w:ascii="宋体" w:hAnsi="宋体" w:cs="宋体" w:eastAsia="宋体" w:hint="default"/>
          <w:sz w:val="24"/>
          <w:szCs w:val="24"/>
        </w:rPr>
      </w:pPr>
    </w:p>
    <w:p>
      <w:pPr>
        <w:pStyle w:val="BodyText"/>
        <w:spacing w:line="240" w:lineRule="auto" w:before="44"/>
        <w:ind w:left="0" w:right="15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226"/>
        <w:gridCol w:w="1329"/>
        <w:gridCol w:w="970"/>
        <w:gridCol w:w="1226"/>
        <w:gridCol w:w="974"/>
        <w:gridCol w:w="1227"/>
        <w:gridCol w:w="1315"/>
        <w:gridCol w:w="973"/>
        <w:gridCol w:w="1226"/>
        <w:gridCol w:w="1222"/>
        <w:gridCol w:w="1318"/>
      </w:tblGrid>
      <w:tr>
        <w:trPr>
          <w:trHeight w:val="403" w:hRule="exact"/>
        </w:trPr>
        <w:tc>
          <w:tcPr>
            <w:tcW w:w="2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26" w:type="dxa"/>
            <w:vMerge/>
            <w:tcBorders>
              <w:left w:val="single" w:sz="4" w:space="0" w:color="000000"/>
              <w:bottom w:val="nil" w:sz="6" w:space="0" w:color="auto"/>
              <w:right w:val="single" w:sz="4" w:space="0" w:color="000000"/>
            </w:tcBorders>
            <w:shd w:val="clear" w:color="auto" w:fill="D2D2D2"/>
          </w:tcPr>
          <w:p>
            <w:pPr/>
          </w:p>
        </w:tc>
        <w:tc>
          <w:tcPr>
            <w:tcW w:w="2299" w:type="dxa"/>
            <w:gridSpan w:val="2"/>
            <w:vMerge/>
            <w:tcBorders>
              <w:left w:val="single" w:sz="4" w:space="0" w:color="000000"/>
              <w:bottom w:val="single" w:sz="4" w:space="0" w:color="000000"/>
              <w:right w:val="single" w:sz="4" w:space="0" w:color="000000"/>
            </w:tcBorders>
            <w:shd w:val="clear" w:color="auto" w:fill="D2D2D2"/>
          </w:tcPr>
          <w:p>
            <w:pPr/>
          </w:p>
        </w:tc>
        <w:tc>
          <w:tcPr>
            <w:tcW w:w="2201" w:type="dxa"/>
            <w:gridSpan w:val="2"/>
            <w:vMerge/>
            <w:tcBorders>
              <w:left w:val="single" w:sz="4" w:space="0" w:color="000000"/>
              <w:bottom w:val="single" w:sz="4" w:space="0" w:color="000000"/>
              <w:right w:val="single" w:sz="4" w:space="0" w:color="000000"/>
            </w:tcBorders>
            <w:shd w:val="clear" w:color="auto" w:fill="D2D2D2"/>
          </w:tcPr>
          <w:p>
            <w:pP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88" w:type="dxa"/>
            <w:gridSpan w:val="2"/>
            <w:vMerge/>
            <w:tcBorders>
              <w:left w:val="single" w:sz="4" w:space="0" w:color="000000"/>
              <w:bottom w:val="single" w:sz="4" w:space="0" w:color="000000"/>
              <w:right w:val="single" w:sz="4" w:space="0" w:color="000000"/>
            </w:tcBorders>
            <w:shd w:val="clear" w:color="auto" w:fill="D2D2D2"/>
          </w:tcPr>
          <w:p>
            <w:pPr/>
          </w:p>
        </w:tc>
        <w:tc>
          <w:tcPr>
            <w:tcW w:w="2448" w:type="dxa"/>
            <w:gridSpan w:val="2"/>
            <w:vMerge/>
            <w:tcBorders>
              <w:left w:val="single" w:sz="4" w:space="0" w:color="000000"/>
              <w:bottom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226" w:type="dxa"/>
            <w:vMerge w:val="restart"/>
            <w:tcBorders>
              <w:top w:val="nil" w:sz="6" w:space="0" w:color="auto"/>
              <w:left w:val="single" w:sz="4" w:space="0" w:color="000000"/>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27"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226" w:type="dxa"/>
            <w:vMerge/>
            <w:tcBorders>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2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2"/>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8,940,204.01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6,222,491.61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69.60%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2,717,712.40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7,143,460.82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4.77%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3,184,919.48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44.59%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3,958,541.34</w:t>
            </w:r>
          </w:p>
        </w:tc>
      </w:tr>
      <w:tr>
        <w:trPr>
          <w:trHeight w:val="715"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2"/>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108,070,428.42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86.51%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15,296,509.30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14.15%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92,773,919.12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139,586,099.98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93.18%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14,027,679.60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125,558,420.38</w:t>
            </w:r>
          </w:p>
        </w:tc>
      </w:tr>
      <w:tr>
        <w:trPr>
          <w:trHeight w:val="71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2"/>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7,915,365.50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6.33%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6,074,664.35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76.75%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1,840,701.15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3,079,673.00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2.05%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2,572,097.33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83.52%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507,575.67</w:t>
            </w:r>
          </w:p>
        </w:tc>
      </w:tr>
      <w:tr>
        <w:trPr>
          <w:trHeight w:val="404"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124,925,997.93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27,593,665.26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97,332,332.67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149,809,233.80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19,784,696.41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13.21%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130,024,537.39</w:t>
            </w:r>
          </w:p>
        </w:tc>
      </w:tr>
    </w:tbl>
    <w:p>
      <w:pPr>
        <w:pStyle w:val="BodyText"/>
        <w:spacing w:line="240" w:lineRule="auto" w:before="49"/>
        <w:ind w:left="140" w:right="147"/>
        <w:jc w:val="left"/>
      </w:pPr>
      <w:r>
        <w:rPr/>
        <w:t>期末单项金额重大并单项计提坏账准备的应收账款：√ 适用 □</w:t>
      </w:r>
      <w:r>
        <w:rPr>
          <w:spacing w:val="4"/>
        </w:rPr>
        <w:t> </w:t>
      </w:r>
      <w:r>
        <w:rPr/>
        <w:t>不适用</w:t>
      </w:r>
    </w:p>
    <w:p>
      <w:pPr>
        <w:pStyle w:val="BodyText"/>
        <w:spacing w:line="240" w:lineRule="auto" w:before="115"/>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05"/>
        <w:gridCol w:w="2602"/>
        <w:gridCol w:w="2804"/>
        <w:gridCol w:w="2804"/>
        <w:gridCol w:w="2804"/>
      </w:tblGrid>
      <w:tr>
        <w:trPr>
          <w:trHeight w:val="402" w:hRule="exact"/>
        </w:trPr>
        <w:tc>
          <w:tcPr>
            <w:tcW w:w="3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11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005" w:type="dxa"/>
            <w:vMerge/>
            <w:tcBorders>
              <w:left w:val="single" w:sz="4" w:space="0" w:color="000000"/>
              <w:bottom w:val="single" w:sz="4" w:space="0" w:color="000000"/>
              <w:right w:val="single" w:sz="4" w:space="0" w:color="000000"/>
            </w:tcBorders>
            <w:shd w:val="clear" w:color="auto" w:fill="D2D2D2"/>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吉林省吉诚电气有限公司</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2,978,384.00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2,978,384.00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公司注销</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2,148,449.01</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1,718,759.21</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沈阳火星电气装备有限公司</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1,348,254.00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539,301.60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催款困难，全部收回的可能性小</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贵州电网有限责任公司六盘水供电局</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1,252,493.00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500,997.20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催款困难，全部收回的可能性小</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贵阳供电局</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1,212,624.00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485,049.60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催款困难，全部收回的可能性小</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8,940,204.01</w:t>
            </w:r>
          </w:p>
        </w:tc>
        <w:tc>
          <w:tcPr>
            <w:tcW w:w="280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6,222,491.61</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2"/>
        <w:ind w:left="6966" w:right="6980"/>
        <w:jc w:val="center"/>
        <w:rPr>
          <w:rFonts w:ascii="Times New Roman" w:hAnsi="Times New Roman" w:cs="Times New Roman" w:eastAsia="Times New Roman" w:hint="default"/>
        </w:rPr>
      </w:pPr>
      <w:r>
        <w:rPr>
          <w:rFonts w:ascii="Times New Roman"/>
        </w:rPr>
        <w:t>114</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38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36"/>
          <w:pgSz w:w="11910" w:h="16840"/>
          <w:pgMar w:footer="1186" w:header="0" w:top="1100" w:bottom="1380" w:left="980" w:right="980"/>
          <w:pgNumType w:start="115"/>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8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60,522,945.13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3,027,647.26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60,522,945.13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3,027,647.26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19,612,933.64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1,961,293.36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15,776,217.60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3,155,243.52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12,128,332.05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7,152,325.16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58.97%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6,028,641.58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1,808,592.47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1,259,929.63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503,971.85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4,839,760.84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4,839,760.84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108,070,428.42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15,296,509.30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14.15%</w:t>
            </w:r>
          </w:p>
        </w:tc>
      </w:tr>
    </w:tbl>
    <w:p>
      <w:pPr>
        <w:pStyle w:val="BodyText"/>
        <w:spacing w:line="357" w:lineRule="auto" w:before="49"/>
        <w:ind w:right="5454"/>
        <w:jc w:val="left"/>
      </w:pPr>
      <w:r>
        <w:rPr/>
        <w:t>确定该组合依据的说明：无。 组合中，采用余额百分比法计提坏账准备的应收账款：</w:t>
      </w:r>
    </w:p>
    <w:p>
      <w:pPr>
        <w:pStyle w:val="BodyText"/>
        <w:spacing w:line="360" w:lineRule="auto" w:before="29"/>
        <w:ind w:right="5454"/>
        <w:jc w:val="left"/>
      </w:pPr>
      <w:r>
        <w:rPr/>
        <w:t>□ 适用 √</w:t>
      </w:r>
      <w:r>
        <w:rPr>
          <w:spacing w:val="3"/>
        </w:rPr>
        <w:t> </w:t>
      </w:r>
      <w:r>
        <w:rPr/>
        <w:t>不适用</w:t>
      </w:r>
      <w:r>
        <w:rPr/>
        <w:t> 组合中，采用其他方法计提坏账准备的应收账款：无。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3296"/>
        <w:jc w:val="left"/>
      </w:pPr>
      <w:r>
        <w:rPr/>
        <w:t>本期计提坏账准备金额</w:t>
      </w:r>
      <w:r>
        <w:rPr>
          <w:spacing w:val="-46"/>
        </w:rPr>
        <w:t> </w:t>
      </w:r>
      <w:r>
        <w:rPr>
          <w:rFonts w:ascii="宋体" w:hAnsi="宋体" w:cs="宋体" w:eastAsia="宋体" w:hint="default"/>
        </w:rPr>
        <w:t>8,317,729.59</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其中本期坏账准备收回或转回金额重要的：无。</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3</w:t>
      </w:r>
      <w:r>
        <w:rPr/>
        <w:t>）本期实际核销的应收账款情况：无。</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616"/>
        <w:gridCol w:w="2453"/>
        <w:gridCol w:w="2290"/>
        <w:gridCol w:w="2300"/>
      </w:tblGrid>
      <w:tr>
        <w:trPr>
          <w:trHeight w:val="343"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0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8"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53" w:hRule="exact"/>
        </w:trPr>
        <w:tc>
          <w:tcPr>
            <w:tcW w:w="2616"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65" w:right="458" w:firstLine="225"/>
              <w:jc w:val="left"/>
              <w:rPr>
                <w:rFonts w:ascii="宋体" w:hAnsi="宋体" w:cs="宋体" w:eastAsia="宋体" w:hint="default"/>
                <w:sz w:val="18"/>
                <w:szCs w:val="18"/>
              </w:rPr>
            </w:pPr>
            <w:r>
              <w:rPr>
                <w:rFonts w:ascii="宋体" w:hAnsi="宋体" w:cs="宋体" w:eastAsia="宋体" w:hint="default"/>
                <w:sz w:val="18"/>
                <w:szCs w:val="18"/>
              </w:rPr>
              <w:t>占应收账款 合计数的比例</w:t>
            </w:r>
            <w:r>
              <w:rPr>
                <w:rFonts w:ascii="宋体" w:hAnsi="宋体" w:cs="宋体" w:eastAsia="宋体" w:hint="default"/>
                <w:sz w:val="18"/>
                <w:szCs w:val="18"/>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11,201,087.54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8.97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560,054.38</w:t>
            </w:r>
            <w:r>
              <w:rPr>
                <w:rFonts w:ascii="宋体"/>
                <w:sz w:val="18"/>
              </w:rPr>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9,276,780.24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7.43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531,729.74</w:t>
            </w:r>
          </w:p>
        </w:tc>
      </w:tr>
      <w:tr>
        <w:trPr>
          <w:trHeight w:val="34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8,186,484.45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6.55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409,324.22</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5,715,259.18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4.57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735,094.49</w:t>
            </w:r>
          </w:p>
        </w:tc>
      </w:tr>
      <w:tr>
        <w:trPr>
          <w:trHeight w:val="34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4,021,794.42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3.22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650,153.03</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38,401,405.83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z w:val="18"/>
              </w:rPr>
              <w:t>30.74</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2,886,355.86</w:t>
            </w:r>
          </w:p>
        </w:tc>
      </w:tr>
    </w:tbl>
    <w:p>
      <w:pPr>
        <w:spacing w:after="0" w:line="240" w:lineRule="auto"/>
        <w:jc w:val="right"/>
        <w:rPr>
          <w:rFonts w:ascii="宋体" w:hAnsi="宋体" w:cs="宋体" w:eastAsia="宋体" w:hint="default"/>
          <w:sz w:val="18"/>
          <w:szCs w:val="18"/>
        </w:rPr>
        <w:sectPr>
          <w:type w:val="continuous"/>
          <w:pgSz w:w="11910" w:h="16840"/>
          <w:pgMar w:top="106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t>（</w:t>
      </w:r>
      <w:r>
        <w:rPr>
          <w:rFonts w:ascii="宋体" w:hAnsi="宋体" w:cs="宋体" w:eastAsia="宋体" w:hint="default"/>
        </w:rPr>
        <w:t>5</w:t>
      </w:r>
      <w:r>
        <w:rPr/>
        <w:t>）因金融资产转移而终止确认的应收账款</w:t>
      </w:r>
      <w:r>
        <w:rPr>
          <w:rFonts w:ascii="宋体" w:hAnsi="宋体" w:cs="宋体" w:eastAsia="宋体" w:hint="default"/>
        </w:rPr>
        <w:t>:</w:t>
      </w:r>
      <w:r>
        <w:rPr/>
        <w:t>无。</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4014"/>
        <w:jc w:val="left"/>
        <w:rPr>
          <w:b w:val="0"/>
          <w:bCs w:val="0"/>
        </w:rPr>
      </w:pPr>
      <w:r>
        <w:rPr>
          <w:spacing w:val="-1"/>
        </w:rPr>
        <w:t>（</w:t>
      </w:r>
      <w:r>
        <w:rPr>
          <w:rFonts w:ascii="宋体" w:hAnsi="宋体" w:cs="宋体" w:eastAsia="宋体" w:hint="default"/>
          <w:spacing w:val="-1"/>
        </w:rPr>
        <w:t>6</w:t>
      </w:r>
      <w:r>
        <w:rPr>
          <w:spacing w:val="-1"/>
        </w:rPr>
        <w:t>）转移应收账款且继续涉入形成的资产、负债金额：无。</w:t>
      </w:r>
      <w:r>
        <w:rPr>
          <w:spacing w:val="-82"/>
        </w:rPr>
        <w:t> </w:t>
      </w:r>
      <w:r>
        <w:rPr>
          <w:spacing w:val="-82"/>
        </w:rPr>
      </w:r>
      <w:r>
        <w:rPr>
          <w:rFonts w:ascii="宋体" w:hAnsi="宋体" w:cs="宋体" w:eastAsia="宋体" w:hint="default"/>
        </w:rPr>
        <w:t>6</w:t>
      </w:r>
      <w:r>
        <w:rPr/>
        <w:t>、预付款项</w:t>
      </w:r>
      <w:r>
        <w:rPr>
          <w:b w:val="0"/>
          <w:bCs w:val="0"/>
        </w:rPr>
      </w:r>
    </w:p>
    <w:p>
      <w:pPr>
        <w:pStyle w:val="Heading3"/>
        <w:spacing w:line="240" w:lineRule="auto" w:before="81"/>
        <w:ind w:right="153"/>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598,827.61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10,094,117.98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89.21%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683,167.45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664,218.55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186,384.74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47,635.31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496,989.62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509,349.82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1,965,369.42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11,315,321.66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3603"/>
        <w:gridCol w:w="3111"/>
        <w:gridCol w:w="2945"/>
      </w:tblGrid>
      <w:tr>
        <w:trPr>
          <w:trHeight w:val="65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00" w:right="701" w:firstLine="45"/>
              <w:jc w:val="left"/>
              <w:rPr>
                <w:rFonts w:ascii="宋体" w:hAnsi="宋体" w:cs="宋体" w:eastAsia="宋体" w:hint="default"/>
                <w:sz w:val="18"/>
                <w:szCs w:val="18"/>
              </w:rPr>
            </w:pPr>
            <w:r>
              <w:rPr>
                <w:rFonts w:ascii="宋体" w:hAnsi="宋体" w:cs="宋体" w:eastAsia="宋体" w:hint="default"/>
                <w:sz w:val="18"/>
                <w:szCs w:val="18"/>
              </w:rPr>
              <w:t>占预付款年末余额 合计数的比例（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204,873.00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10.42</w:t>
            </w:r>
          </w:p>
        </w:tc>
      </w:tr>
      <w:tr>
        <w:trPr>
          <w:trHeight w:val="34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185,432.48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9.43</w:t>
            </w:r>
          </w:p>
        </w:tc>
      </w:tr>
      <w:tr>
        <w:trPr>
          <w:trHeight w:val="34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126,417.00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6.43</w:t>
            </w:r>
          </w:p>
        </w:tc>
      </w:tr>
      <w:tr>
        <w:trPr>
          <w:trHeight w:val="34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109,185.05</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5.56</w:t>
            </w:r>
          </w:p>
        </w:tc>
      </w:tr>
      <w:tr>
        <w:trPr>
          <w:trHeight w:val="34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106,000.00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5.39</w:t>
            </w:r>
          </w:p>
        </w:tc>
      </w:tr>
      <w:tr>
        <w:trPr>
          <w:trHeight w:val="34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731,907.53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37.23</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宋体" w:hAnsi="宋体" w:cs="宋体" w:eastAsia="宋体" w:hint="default"/>
        </w:rPr>
        <w:t>7</w:t>
      </w:r>
      <w:r>
        <w:rPr/>
        <w:t>、应收利息</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）应收利息分类</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735,616.44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735,616.44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0"/>
        <w:rPr>
          <w:rFonts w:ascii="宋体" w:hAnsi="宋体" w:cs="宋体" w:eastAsia="宋体" w:hint="default"/>
          <w:sz w:val="24"/>
          <w:szCs w:val="24"/>
        </w:rPr>
      </w:pPr>
    </w:p>
    <w:p>
      <w:pPr>
        <w:pStyle w:val="Heading3"/>
        <w:spacing w:line="537" w:lineRule="auto"/>
        <w:ind w:left="140" w:right="1684"/>
        <w:jc w:val="left"/>
        <w:rPr>
          <w:b w:val="0"/>
          <w:bCs w:val="0"/>
        </w:rPr>
      </w:pPr>
      <w:r>
        <w:rPr/>
        <w:pict>
          <v:group style="position:absolute;margin-left:70.559998pt;margin-top:-.476309pt;width:700.95pt;height:.1pt;mso-position-horizontal-relative:page;mso-position-vertical-relative:paragraph;z-index:1864"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宋体" w:hAnsi="宋体" w:cs="宋体" w:eastAsia="宋体" w:hint="default"/>
          <w:spacing w:val="-1"/>
        </w:rPr>
        <w:t>2</w:t>
      </w:r>
      <w:r>
        <w:rPr>
          <w:spacing w:val="-1"/>
        </w:rPr>
        <w:t>）重要逾期利息：无。</w:t>
      </w:r>
      <w:r>
        <w:rPr>
          <w:spacing w:val="-94"/>
        </w:rPr>
        <w:t> </w:t>
      </w:r>
      <w:r>
        <w:rPr>
          <w:spacing w:val="-94"/>
        </w:rPr>
      </w:r>
      <w:r>
        <w:rPr>
          <w:rFonts w:ascii="宋体" w:hAnsi="宋体" w:cs="宋体" w:eastAsia="宋体" w:hint="default"/>
        </w:rPr>
        <w:t>8</w:t>
      </w:r>
      <w:r>
        <w:rPr/>
        <w:t>、应收股利</w:t>
      </w:r>
      <w:r>
        <w:rPr>
          <w:b w:val="0"/>
          <w:bCs w:val="0"/>
        </w:rPr>
      </w:r>
    </w:p>
    <w:p>
      <w:pPr>
        <w:pStyle w:val="Heading3"/>
        <w:spacing w:line="240" w:lineRule="auto" w:before="79"/>
        <w:ind w:left="140" w:right="1684"/>
        <w:jc w:val="left"/>
        <w:rPr>
          <w:b w:val="0"/>
          <w:bCs w:val="0"/>
        </w:rPr>
      </w:pPr>
      <w:r>
        <w:rPr/>
        <w:t>（</w:t>
      </w:r>
      <w:r>
        <w:rPr>
          <w:rFonts w:ascii="宋体" w:hAnsi="宋体" w:cs="宋体" w:eastAsia="宋体" w:hint="default"/>
        </w:rPr>
        <w:t>1</w:t>
      </w:r>
      <w:r>
        <w:rPr/>
        <w:t>）应收股利：无。</w:t>
      </w:r>
      <w:r>
        <w:rPr>
          <w:b w:val="0"/>
          <w:bCs w:val="0"/>
        </w:rPr>
      </w:r>
    </w:p>
    <w:p>
      <w:pPr>
        <w:spacing w:line="240" w:lineRule="auto" w:before="10"/>
        <w:rPr>
          <w:rFonts w:ascii="宋体" w:hAnsi="宋体" w:cs="宋体" w:eastAsia="宋体" w:hint="default"/>
          <w:b/>
          <w:bCs/>
          <w:sz w:val="25"/>
          <w:szCs w:val="25"/>
        </w:rPr>
      </w:pPr>
    </w:p>
    <w:p>
      <w:pPr>
        <w:pStyle w:val="Heading3"/>
        <w:spacing w:line="537" w:lineRule="auto"/>
        <w:ind w:left="140" w:right="-16"/>
        <w:jc w:val="left"/>
        <w:rPr>
          <w:b w:val="0"/>
          <w:bCs w:val="0"/>
        </w:rPr>
      </w:pPr>
      <w:r>
        <w:rPr/>
        <w:t>（</w:t>
      </w: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3"/>
        </w:rPr>
        <w:t> </w:t>
      </w:r>
      <w:r>
        <w:rPr/>
        <w:t>年的应收股利：无。</w:t>
      </w:r>
      <w:r>
        <w:rPr>
          <w:w w:val="100"/>
        </w:rPr>
        <w:t> </w:t>
      </w:r>
      <w:r>
        <w:rPr>
          <w:rFonts w:ascii="宋体" w:hAnsi="宋体" w:cs="宋体" w:eastAsia="宋体" w:hint="default"/>
        </w:rPr>
        <w:t>9</w:t>
      </w:r>
      <w:r>
        <w:rPr/>
        <w:t>、其他应收款</w:t>
      </w:r>
      <w:r>
        <w:rPr>
          <w:b w:val="0"/>
          <w:bCs w:val="0"/>
        </w:rPr>
      </w:r>
    </w:p>
    <w:p>
      <w:pPr>
        <w:pStyle w:val="Heading3"/>
        <w:spacing w:line="240" w:lineRule="auto" w:before="76"/>
        <w:ind w:left="140" w:right="-16"/>
        <w:jc w:val="left"/>
        <w:rPr>
          <w:b w:val="0"/>
          <w:bCs w:val="0"/>
        </w:rPr>
      </w:pPr>
      <w:r>
        <w:rPr/>
        <w:t>（</w:t>
      </w:r>
      <w:r>
        <w:rPr>
          <w:rFonts w:ascii="宋体" w:hAnsi="宋体" w:cs="宋体" w:eastAsia="宋体" w:hint="default"/>
        </w:rPr>
        <w:t>1</w:t>
      </w:r>
      <w:r>
        <w:rPr/>
        <w:t>）其他应收款分类披露</w:t>
      </w:r>
      <w:r>
        <w:rPr>
          <w:b w:val="0"/>
          <w:bCs w:val="0"/>
        </w:rPr>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37"/>
          <w:footerReference w:type="default" r:id="rId38"/>
          <w:pgSz w:w="16840" w:h="11910" w:orient="landscape"/>
          <w:pgMar w:header="0" w:footer="0" w:top="800" w:bottom="280" w:left="1300" w:right="1280"/>
          <w:cols w:num="2" w:equalWidth="0">
            <w:col w:w="4258" w:space="5651"/>
            <w:col w:w="4351"/>
          </w:cols>
        </w:sectPr>
      </w:pPr>
    </w:p>
    <w:p>
      <w:pPr>
        <w:spacing w:line="240" w:lineRule="auto" w:before="2"/>
        <w:rPr>
          <w:rFonts w:ascii="宋体" w:hAnsi="宋体" w:cs="宋体" w:eastAsia="宋体" w:hint="default"/>
          <w:sz w:val="24"/>
          <w:szCs w:val="24"/>
        </w:rPr>
      </w:pPr>
    </w:p>
    <w:p>
      <w:pPr>
        <w:pStyle w:val="BodyText"/>
        <w:spacing w:line="240" w:lineRule="auto" w:before="44"/>
        <w:ind w:left="0" w:right="15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32"/>
        <w:gridCol w:w="1238"/>
        <w:gridCol w:w="1068"/>
        <w:gridCol w:w="1135"/>
        <w:gridCol w:w="1068"/>
        <w:gridCol w:w="1135"/>
        <w:gridCol w:w="1226"/>
        <w:gridCol w:w="1040"/>
        <w:gridCol w:w="1140"/>
        <w:gridCol w:w="1318"/>
        <w:gridCol w:w="1318"/>
      </w:tblGrid>
      <w:tr>
        <w:trPr>
          <w:trHeight w:val="403" w:hRule="exact"/>
        </w:trPr>
        <w:tc>
          <w:tcPr>
            <w:tcW w:w="23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332" w:type="dxa"/>
            <w:vMerge/>
            <w:tcBorders>
              <w:left w:val="single" w:sz="4" w:space="0" w:color="000000"/>
              <w:bottom w:val="nil" w:sz="6" w:space="0" w:color="auto"/>
              <w:right w:val="single" w:sz="4" w:space="0" w:color="000000"/>
            </w:tcBorders>
            <w:shd w:val="clear" w:color="auto" w:fill="D2D2D2"/>
          </w:tcPr>
          <w:p>
            <w:pPr/>
          </w:p>
        </w:tc>
        <w:tc>
          <w:tcPr>
            <w:tcW w:w="2306" w:type="dxa"/>
            <w:gridSpan w:val="2"/>
            <w:vMerge/>
            <w:tcBorders>
              <w:left w:val="single" w:sz="4" w:space="0" w:color="000000"/>
              <w:bottom w:val="single" w:sz="4" w:space="0" w:color="000000"/>
              <w:right w:val="single" w:sz="4" w:space="0" w:color="000000"/>
            </w:tcBorders>
            <w:shd w:val="clear" w:color="auto" w:fill="D2D2D2"/>
          </w:tcPr>
          <w:p>
            <w:pPr/>
          </w:p>
        </w:tc>
        <w:tc>
          <w:tcPr>
            <w:tcW w:w="2204"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6" w:type="dxa"/>
            <w:gridSpan w:val="2"/>
            <w:vMerge/>
            <w:tcBorders>
              <w:left w:val="single" w:sz="4" w:space="0" w:color="000000"/>
              <w:bottom w:val="single" w:sz="4" w:space="0" w:color="000000"/>
              <w:right w:val="single" w:sz="4" w:space="0" w:color="000000"/>
            </w:tcBorders>
            <w:shd w:val="clear" w:color="auto" w:fill="D2D2D2"/>
          </w:tcPr>
          <w:p>
            <w:pPr/>
          </w:p>
        </w:tc>
        <w:tc>
          <w:tcPr>
            <w:tcW w:w="2458" w:type="dxa"/>
            <w:gridSpan w:val="2"/>
            <w:vMerge/>
            <w:tcBorders>
              <w:left w:val="single" w:sz="4" w:space="0" w:color="000000"/>
              <w:bottom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332" w:type="dxa"/>
            <w:vMerge w:val="restart"/>
            <w:tcBorders>
              <w:top w:val="nil" w:sz="6" w:space="0" w:color="auto"/>
              <w:left w:val="single" w:sz="4" w:space="0" w:color="000000"/>
              <w:right w:val="single" w:sz="4" w:space="0" w:color="000000"/>
            </w:tcBorders>
            <w:shd w:val="clear" w:color="auto" w:fill="D2D2D2"/>
          </w:tcPr>
          <w:p>
            <w:pPr/>
          </w:p>
        </w:tc>
        <w:tc>
          <w:tcPr>
            <w:tcW w:w="12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35" w:type="dxa"/>
            <w:vMerge/>
            <w:tcBorders>
              <w:left w:val="single" w:sz="4" w:space="0" w:color="000000"/>
              <w:bottom w:val="nil" w:sz="6" w:space="0" w:color="auto"/>
              <w:right w:val="single" w:sz="4" w:space="0" w:color="000000"/>
            </w:tcBorders>
            <w:shd w:val="clear" w:color="auto" w:fill="D2D2D2"/>
          </w:tcPr>
          <w:p>
            <w:pP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332"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6"/>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2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331,180.00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331,180.00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5" w:hRule="exact"/>
        </w:trPr>
        <w:tc>
          <w:tcPr>
            <w:tcW w:w="2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36"/>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2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10,921,252.01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2,157,306.05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8,763,945.96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20,781,635.55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98.30%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5,832,167.87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14,949,467.68</w:t>
            </w:r>
          </w:p>
        </w:tc>
      </w:tr>
      <w:tr>
        <w:trPr>
          <w:trHeight w:val="713" w:hRule="exact"/>
        </w:trPr>
        <w:tc>
          <w:tcPr>
            <w:tcW w:w="2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6"/>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2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27,173.74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27,173.74</w:t>
            </w:r>
          </w:p>
        </w:tc>
      </w:tr>
      <w:tr>
        <w:trPr>
          <w:trHeight w:val="404" w:hRule="exact"/>
        </w:trPr>
        <w:tc>
          <w:tcPr>
            <w:tcW w:w="2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10,921,252.01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2,157,306.05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8,763,945.96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21,139,989.29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6,163,347.87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29.15%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14,976,641.42</w:t>
            </w:r>
          </w:p>
        </w:tc>
      </w:tr>
    </w:tbl>
    <w:p>
      <w:pPr>
        <w:pStyle w:val="BodyText"/>
        <w:spacing w:line="240" w:lineRule="auto" w:before="49"/>
        <w:ind w:left="140" w:right="147"/>
        <w:jc w:val="left"/>
      </w:pPr>
      <w:r>
        <w:rPr/>
        <w:t>期末单项金额重大并单项计提坏账准备的其他应收款：</w:t>
      </w:r>
    </w:p>
    <w:p>
      <w:pPr>
        <w:pStyle w:val="BodyText"/>
        <w:spacing w:line="240" w:lineRule="auto" w:before="115"/>
        <w:ind w:left="140" w:right="147"/>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76"/>
        <w:ind w:left="6966" w:right="6980"/>
        <w:jc w:val="center"/>
        <w:rPr>
          <w:rFonts w:ascii="Times New Roman" w:hAnsi="Times New Roman" w:cs="Times New Roman" w:eastAsia="Times New Roman" w:hint="default"/>
        </w:rPr>
      </w:pPr>
      <w:r>
        <w:rPr>
          <w:rFonts w:ascii="Times New Roman"/>
        </w:rPr>
        <w:t>117</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38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39"/>
          <w:pgSz w:w="11910" w:h="16840"/>
          <w:pgMar w:footer="1186" w:header="0" w:top="1100" w:bottom="1380" w:left="980" w:right="980"/>
          <w:pgNumType w:start="118"/>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6,738,281.97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336,914.10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6,738,281.97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336,914.10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2,070,180.49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207,018.05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300,854.00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60,170.80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580,339.91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321,607.46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55.42%</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34,215.00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298,162.45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119,265.00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168,127.46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168,127.46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9,689,656.37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925,710.41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9.55%</w:t>
            </w:r>
          </w:p>
        </w:tc>
      </w:tr>
    </w:tbl>
    <w:p>
      <w:pPr>
        <w:pStyle w:val="BodyText"/>
        <w:spacing w:line="357" w:lineRule="auto" w:before="49"/>
        <w:ind w:right="5274"/>
        <w:jc w:val="left"/>
      </w:pPr>
      <w:r>
        <w:rPr/>
        <w:t>确定该组合依据的说明：无。 组合中，采用余额百分比法计提坏账准备的其他应收款：</w:t>
      </w:r>
    </w:p>
    <w:p>
      <w:pPr>
        <w:pStyle w:val="BodyText"/>
        <w:spacing w:line="360" w:lineRule="auto" w:before="29"/>
        <w:ind w:right="5634"/>
        <w:jc w:val="left"/>
      </w:pPr>
      <w:r>
        <w:rPr/>
        <w:t>□ 适用 √</w:t>
      </w:r>
      <w:r>
        <w:rPr>
          <w:spacing w:val="3"/>
        </w:rPr>
        <w:t> </w:t>
      </w:r>
      <w:r>
        <w:rPr/>
        <w:t>不适用</w:t>
      </w:r>
      <w:r>
        <w:rPr/>
        <w:t> 组合中，采用其他方法计提坏账准备的其他应收款：</w:t>
      </w:r>
    </w:p>
    <w:p>
      <w:pPr>
        <w:pStyle w:val="BodyText"/>
        <w:spacing w:line="240" w:lineRule="auto" w:before="25"/>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619"/>
        <w:gridCol w:w="2458"/>
        <w:gridCol w:w="2456"/>
        <w:gridCol w:w="2127"/>
      </w:tblGrid>
      <w:tr>
        <w:trPr>
          <w:trHeight w:val="343" w:hRule="exact"/>
        </w:trPr>
        <w:tc>
          <w:tcPr>
            <w:tcW w:w="2619" w:type="dxa"/>
            <w:vMerge w:val="restart"/>
            <w:tcBorders>
              <w:top w:val="single" w:sz="4" w:space="0" w:color="000000"/>
              <w:left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1" w:hRule="exact"/>
        </w:trPr>
        <w:tc>
          <w:tcPr>
            <w:tcW w:w="2619" w:type="dxa"/>
            <w:vMerge/>
            <w:tcBorders>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7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1,231,595.64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1,231,595.64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r>
      <w:tr>
        <w:trPr>
          <w:trHeight w:val="341"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1,231,595.64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1,231,595.64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49"/>
        <w:ind w:left="513" w:right="153"/>
        <w:jc w:val="left"/>
      </w:pPr>
      <w:r>
        <w:rPr/>
        <w:t>确定该组合的依据：已形成费用，暂未收到发票。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380" w:left="980" w:right="980"/>
        </w:sectPr>
      </w:pPr>
    </w:p>
    <w:p>
      <w:pPr>
        <w:pStyle w:val="BodyText"/>
        <w:spacing w:line="357" w:lineRule="auto" w:before="44"/>
        <w:ind w:right="-6"/>
        <w:jc w:val="left"/>
      </w:pPr>
      <w:r>
        <w:rPr/>
        <w:t>本期计提坏账准备金额</w:t>
      </w:r>
      <w:r>
        <w:rPr>
          <w:spacing w:val="-48"/>
        </w:rPr>
        <w:t> </w:t>
      </w:r>
      <w:r>
        <w:rPr>
          <w:rFonts w:ascii="宋体" w:hAnsi="宋体" w:cs="宋体" w:eastAsia="宋体" w:hint="default"/>
        </w:rPr>
        <w:t>517,440.92</w:t>
      </w:r>
      <w:r>
        <w:rPr>
          <w:rFonts w:ascii="宋体" w:hAnsi="宋体" w:cs="宋体" w:eastAsia="宋体" w:hint="default"/>
          <w:spacing w:val="-45"/>
        </w:rPr>
        <w:t> </w:t>
      </w:r>
      <w:r>
        <w:rPr/>
        <w:t>元；本期收回或转回坏账准备金额</w:t>
      </w:r>
      <w:r>
        <w:rPr>
          <w:spacing w:val="-48"/>
        </w:rPr>
        <w:t> </w:t>
      </w:r>
      <w:r>
        <w:rPr>
          <w:rFonts w:ascii="宋体" w:hAnsi="宋体" w:cs="宋体" w:eastAsia="宋体" w:hint="default"/>
        </w:rPr>
        <w:t>4,523,482.74</w:t>
      </w:r>
      <w:r>
        <w:rPr>
          <w:rFonts w:ascii="宋体" w:hAnsi="宋体" w:cs="宋体" w:eastAsia="宋体" w:hint="default"/>
          <w:spacing w:val="-46"/>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380" w:left="980" w:right="980"/>
          <w:cols w:num="2" w:equalWidth="0">
            <w:col w:w="7180" w:space="1650"/>
            <w:col w:w="112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暂未取得发票的业务费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4,523,482.74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收到发票后冲销款项</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4,523,482.74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）本期实际核销的其他应收款情况：无。</w:t>
      </w:r>
      <w:r>
        <w:rPr>
          <w:b w:val="0"/>
          <w:bCs w:val="0"/>
        </w:rPr>
      </w:r>
    </w:p>
    <w:p>
      <w:pPr>
        <w:spacing w:after="0" w:line="240" w:lineRule="auto"/>
        <w:jc w:val="left"/>
        <w:sectPr>
          <w:type w:val="continuous"/>
          <w:pgSz w:w="11910" w:h="16840"/>
          <w:pgMar w:top="106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6,522,629.99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12,572,273.00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2,340,094.62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1,876,836.68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297,980.62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728,638.93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1,231,595.64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4,853,167.78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员工个人借支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528,951.14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547,890.21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561,182.69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10,921,252.01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21,139,989.29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89,600.00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885,058.46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44,252.92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5,840,058.46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448,852.92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6</w:t>
      </w:r>
      <w:r>
        <w:rPr/>
        <w:t>）涉及政府补助的应收款项：无。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7</w:t>
      </w:r>
      <w:r>
        <w:rPr/>
        <w:t>）因金融资产转移而终止确认的其他应收款：无。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8</w:t>
      </w:r>
      <w:r>
        <w:rPr/>
        <w:t>）转移其他应收款且继续涉入形成的资产、负债金额：无。</w:t>
      </w:r>
      <w:r>
        <w:rPr>
          <w:b w:val="0"/>
          <w:bCs w:val="0"/>
        </w:rPr>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rFonts w:ascii="宋体" w:hAnsi="宋体" w:cs="宋体" w:eastAsia="宋体" w:hint="default"/>
        </w:rPr>
        <w:t>10</w:t>
      </w:r>
      <w:r>
        <w:rPr/>
        <w:t>、存货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）存货分类</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19,499,297.22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1,099,383.47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18,399,913.75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33,793,785.40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439,886.74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33,353,898.66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6,794,149.02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6,794,149.02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8,946,272.95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8,946,272.95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1,781,783.87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56,988.76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1,724,795.11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47,915,331.96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12,497,462.69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35,417,869.27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221,869.99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221,869.99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13,041,225.19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1,620,779.14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11,420,446.05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26,370,129.00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4,058,166.32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22,311,962.68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12,793,257.93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885,016.17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11,908,241.76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14,716,068.64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14,716,068.64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98,683.74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98,683.74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53,909,713.23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3,662,167.54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50,247,545.69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132,062,141.68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16,995,515.75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115,066,625.93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439,886.74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956,650.88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297,154.15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1,099,383.47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12,497,462.69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48,086.13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264,153.20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12,224,406.86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56,988.76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4,058,166.32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1,155,560.68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870,316.38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2,722,631.48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1,620,779.14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885,016.17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885,016.17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16,995,515.75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3,045,313.86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1,431,623.73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14,947,038.34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3,662,167.54</w:t>
            </w:r>
          </w:p>
        </w:tc>
      </w:tr>
    </w:tbl>
    <w:p>
      <w:pPr>
        <w:pStyle w:val="BodyText"/>
        <w:spacing w:line="316" w:lineRule="auto" w:before="49"/>
        <w:ind w:right="144" w:firstLine="360"/>
        <w:jc w:val="left"/>
      </w:pPr>
      <w:r>
        <w:rPr/>
        <w:t>说明：可变现净值的确定为预计售价减去进一步加工成本和预计销售费用以及相关税费后的净值</w:t>
      </w:r>
      <w:r>
        <w:rPr>
          <w:rFonts w:ascii="宋体" w:hAnsi="宋体" w:cs="宋体" w:eastAsia="宋体" w:hint="default"/>
        </w:rPr>
        <w:t>;</w:t>
      </w:r>
      <w:r>
        <w:rPr/>
        <w:t>其他减少项系处置子 公司长春高琦上年跌价准备期末余额。</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t>（</w:t>
      </w:r>
      <w:r>
        <w:rPr>
          <w:rFonts w:ascii="宋体" w:hAnsi="宋体" w:cs="宋体" w:eastAsia="宋体" w:hint="default"/>
        </w:rPr>
        <w:t>3</w:t>
      </w:r>
      <w:r>
        <w:rPr/>
        <w:t>）存货期末余额含有借款费用资本化金额的说明：无。</w:t>
      </w:r>
      <w:r>
        <w:rPr>
          <w:b w:val="0"/>
          <w:bCs w:val="0"/>
        </w:rPr>
      </w:r>
    </w:p>
    <w:p>
      <w:pPr>
        <w:spacing w:line="240" w:lineRule="auto" w:before="12"/>
        <w:rPr>
          <w:rFonts w:ascii="宋体" w:hAnsi="宋体" w:cs="宋体" w:eastAsia="宋体" w:hint="default"/>
          <w:b/>
          <w:bCs/>
          <w:sz w:val="25"/>
          <w:szCs w:val="25"/>
        </w:rPr>
      </w:pPr>
    </w:p>
    <w:p>
      <w:pPr>
        <w:pStyle w:val="Heading3"/>
        <w:spacing w:line="537" w:lineRule="auto"/>
        <w:ind w:right="1674"/>
        <w:jc w:val="left"/>
        <w:rPr>
          <w:b w:val="0"/>
          <w:bCs w:val="0"/>
        </w:rPr>
      </w:pPr>
      <w:r>
        <w:rPr>
          <w:spacing w:val="-1"/>
        </w:rPr>
        <w:t>（</w:t>
      </w:r>
      <w:r>
        <w:rPr>
          <w:rFonts w:ascii="宋体" w:hAnsi="宋体" w:cs="宋体" w:eastAsia="宋体" w:hint="default"/>
          <w:spacing w:val="-1"/>
        </w:rPr>
        <w:t>4</w:t>
      </w:r>
      <w:r>
        <w:rPr>
          <w:spacing w:val="-1"/>
        </w:rPr>
        <w:t>）期末建造合同形成的已完工未结算资产情况：无。</w:t>
      </w:r>
      <w:r>
        <w:rPr>
          <w:spacing w:val="-84"/>
        </w:rPr>
        <w:t> </w:t>
      </w:r>
      <w:r>
        <w:rPr>
          <w:spacing w:val="-84"/>
        </w:rPr>
      </w:r>
      <w:r>
        <w:rPr>
          <w:rFonts w:ascii="宋体" w:hAnsi="宋体" w:cs="宋体" w:eastAsia="宋体" w:hint="default"/>
        </w:rPr>
        <w:t>11</w:t>
      </w:r>
      <w:r>
        <w:rPr/>
        <w:t>、划分为持有待售的资产：无。</w:t>
      </w:r>
      <w:r>
        <w:rPr>
          <w:b w:val="0"/>
          <w:bCs w:val="0"/>
        </w:rPr>
      </w:r>
    </w:p>
    <w:p>
      <w:pPr>
        <w:pStyle w:val="Heading3"/>
        <w:spacing w:line="240" w:lineRule="auto" w:before="76"/>
        <w:ind w:right="153"/>
        <w:jc w:val="left"/>
        <w:rPr>
          <w:b w:val="0"/>
          <w:bCs w:val="0"/>
        </w:rPr>
      </w:pPr>
      <w:r>
        <w:rPr>
          <w:rFonts w:ascii="宋体" w:hAnsi="宋体" w:cs="宋体" w:eastAsia="宋体" w:hint="default"/>
        </w:rPr>
        <w:t>12</w:t>
      </w:r>
      <w:r>
        <w:rPr/>
        <w:t>、一年内到期的非流动资产：无。</w:t>
      </w:r>
      <w:r>
        <w:rPr>
          <w:b w:val="0"/>
          <w:bCs w:val="0"/>
        </w:rPr>
      </w:r>
    </w:p>
    <w:p>
      <w:pPr>
        <w:spacing w:after="0" w:line="240" w:lineRule="auto"/>
        <w:jc w:val="left"/>
        <w:sectPr>
          <w:footerReference w:type="default" r:id="rId40"/>
          <w:pgSz w:w="11910" w:h="16840"/>
          <w:pgMar w:footer="1186" w:header="0" w:top="1100" w:bottom="1380" w:left="980" w:right="980"/>
          <w:pgNumType w:start="12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rFonts w:ascii="宋体" w:hAnsi="宋体" w:cs="宋体" w:eastAsia="宋体" w:hint="default"/>
        </w:rPr>
        <w:t>13</w:t>
      </w:r>
      <w:r>
        <w:rPr/>
        <w:t>、其他流动资产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543,398,916.58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10,361.43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27,615,379.89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923,836.99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543,409,278.01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317,039,216.88</w:t>
            </w:r>
          </w:p>
        </w:tc>
      </w:tr>
    </w:tbl>
    <w:p>
      <w:pPr>
        <w:pStyle w:val="BodyText"/>
        <w:spacing w:line="240" w:lineRule="auto" w:before="49"/>
        <w:ind w:right="153"/>
        <w:jc w:val="left"/>
      </w:pPr>
      <w:r>
        <w:rPr/>
        <w:t>其他说明：</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748"/>
        <w:gridCol w:w="2619"/>
        <w:gridCol w:w="2293"/>
      </w:tblGrid>
      <w:tr>
        <w:trPr>
          <w:trHeight w:val="344"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130,000,000.00</w:t>
            </w:r>
          </w:p>
        </w:tc>
      </w:tr>
      <w:tr>
        <w:trPr>
          <w:trHeight w:val="34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金元</w:t>
            </w:r>
            <w:r>
              <w:rPr>
                <w:rFonts w:ascii="宋体" w:hAnsi="宋体" w:cs="宋体" w:eastAsia="宋体" w:hint="default"/>
                <w:sz w:val="18"/>
                <w:szCs w:val="18"/>
              </w:rPr>
              <w:t>30</w:t>
            </w:r>
            <w:r>
              <w:rPr>
                <w:rFonts w:ascii="宋体" w:hAnsi="宋体" w:cs="宋体" w:eastAsia="宋体" w:hint="default"/>
                <w:sz w:val="18"/>
                <w:szCs w:val="18"/>
              </w:rPr>
              <w:t>天</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150,000,000.00</w:t>
            </w:r>
          </w:p>
        </w:tc>
      </w:tr>
      <w:tr>
        <w:trPr>
          <w:trHeight w:val="34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招商银行岁月流金“黄金周”1288号理财计划产品</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8,500,000.00</w:t>
            </w:r>
          </w:p>
        </w:tc>
      </w:tr>
      <w:tr>
        <w:trPr>
          <w:trHeight w:val="34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工商银行稳步添利产品</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50,000,000.00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0.00</w:t>
            </w:r>
          </w:p>
        </w:tc>
      </w:tr>
      <w:tr>
        <w:trPr>
          <w:trHeight w:val="34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平安信托私募投资基金</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300,000,000.00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r>
      <w:tr>
        <w:trPr>
          <w:trHeight w:val="34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植瑞投资</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180,000,000.00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0.00</w:t>
            </w:r>
          </w:p>
        </w:tc>
      </w:tr>
      <w:tr>
        <w:trPr>
          <w:trHeight w:val="34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招行景鑫海口</w:t>
            </w:r>
            <w:r>
              <w:rPr>
                <w:rFonts w:ascii="宋体" w:hAnsi="宋体" w:cs="宋体" w:eastAsia="宋体" w:hint="default"/>
                <w:sz w:val="18"/>
                <w:szCs w:val="18"/>
              </w:rPr>
              <w:t>1</w:t>
            </w:r>
            <w:r>
              <w:rPr>
                <w:rFonts w:ascii="宋体" w:hAnsi="宋体" w:cs="宋体" w:eastAsia="宋体" w:hint="default"/>
                <w:sz w:val="18"/>
                <w:szCs w:val="18"/>
              </w:rPr>
              <w:t>号理财</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10,000,000.00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r>
      <w:tr>
        <w:trPr>
          <w:trHeight w:val="34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3,398,916.58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0.00</w:t>
            </w:r>
          </w:p>
        </w:tc>
      </w:tr>
      <w:tr>
        <w:trPr>
          <w:trHeight w:val="34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543,398,916.58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288,500,000.00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14</w:t>
      </w:r>
      <w:r>
        <w:rPr/>
        <w:t>、可供出售金融资产：无。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15</w:t>
      </w:r>
      <w:r>
        <w:rPr/>
        <w:t>、持有至到期投资：无。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16</w:t>
      </w:r>
      <w:r>
        <w:rPr/>
        <w:t>、长期应收款：无。</w:t>
      </w:r>
      <w:r>
        <w:rPr>
          <w:b w:val="0"/>
          <w:bCs w:val="0"/>
        </w:rPr>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rFonts w:ascii="宋体" w:hAnsi="宋体" w:cs="宋体" w:eastAsia="宋体" w:hint="default"/>
        </w:rPr>
        <w:t>17</w:t>
      </w:r>
      <w:r>
        <w:rPr/>
        <w:t>、长期股权投资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1188"/>
        <w:gridCol w:w="711"/>
        <w:gridCol w:w="492"/>
        <w:gridCol w:w="1066"/>
        <w:gridCol w:w="850"/>
        <w:gridCol w:w="711"/>
        <w:gridCol w:w="850"/>
        <w:gridCol w:w="708"/>
        <w:gridCol w:w="428"/>
        <w:gridCol w:w="977"/>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1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80"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8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金喜凯德</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119,110.38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-10,016.72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109,093.66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119,110.38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-10,016.72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109,093.66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119,110.38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-10,016.72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109,093.66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18</w:t>
      </w:r>
      <w:r>
        <w:rPr/>
        <w:t>、投资性房地产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996"/>
        <w:gridCol w:w="1844"/>
        <w:gridCol w:w="1702"/>
        <w:gridCol w:w="1916"/>
      </w:tblGrid>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11,121,454.02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11,121,454.02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11,121,454.02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11,121,454.02</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7,519,456.24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7,519,456.24</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固定资产</w:t>
            </w:r>
            <w:r>
              <w:rPr>
                <w:rFonts w:ascii="宋体" w:hAnsi="宋体" w:cs="宋体" w:eastAsia="宋体" w:hint="default"/>
                <w:sz w:val="18"/>
                <w:szCs w:val="18"/>
              </w:rPr>
              <w:t>\ </w:t>
            </w:r>
            <w:r>
              <w:rPr>
                <w:rFonts w:ascii="宋体" w:hAnsi="宋体" w:cs="宋体" w:eastAsia="宋体" w:hint="default"/>
                <w:sz w:val="18"/>
                <w:szCs w:val="18"/>
              </w:rPr>
              <w:t>在建工程转入</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7,519,456.24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7,519,456.24</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18,640,910.26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18,640,910.26</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4,902,123.17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4,902,123.17</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3,186,419.01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3,186,419.01</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3,186,419.01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3,186,419.01</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6"/>
        <w:gridCol w:w="1985"/>
        <w:gridCol w:w="1844"/>
        <w:gridCol w:w="1702"/>
        <w:gridCol w:w="1916"/>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8,088,542.18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8,088,542.18</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10,552,368.08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10,552,368.08</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6,219,330.85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6,219,330.85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）采用公允价值计量模式的投资性房地产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537" w:lineRule="auto" w:before="118"/>
        <w:ind w:right="4554"/>
        <w:jc w:val="left"/>
        <w:rPr>
          <w:b w:val="0"/>
          <w:bCs w:val="0"/>
        </w:rPr>
      </w:pPr>
      <w:r>
        <w:rPr>
          <w:spacing w:val="-1"/>
        </w:rPr>
        <w:t>（</w:t>
      </w:r>
      <w:r>
        <w:rPr>
          <w:rFonts w:ascii="宋体" w:hAnsi="宋体" w:cs="宋体" w:eastAsia="宋体" w:hint="default"/>
          <w:spacing w:val="-1"/>
        </w:rPr>
        <w:t>3</w:t>
      </w:r>
      <w:r>
        <w:rPr>
          <w:spacing w:val="-1"/>
        </w:rPr>
        <w:t>）未办妥产权证书的投资性房地产情况：无。</w:t>
      </w:r>
      <w:r>
        <w:rPr>
          <w:spacing w:val="-86"/>
        </w:rPr>
        <w:t> </w:t>
      </w:r>
      <w:r>
        <w:rPr>
          <w:spacing w:val="-86"/>
        </w:rPr>
      </w:r>
      <w:r>
        <w:rPr>
          <w:rFonts w:ascii="宋体" w:hAnsi="宋体" w:cs="宋体" w:eastAsia="宋体" w:hint="default"/>
        </w:rPr>
        <w:t>19</w:t>
      </w:r>
      <w:r>
        <w:rPr/>
        <w:t>、固定资产</w:t>
      </w:r>
      <w:r>
        <w:rPr>
          <w:b w:val="0"/>
          <w:bCs w:val="0"/>
        </w:rPr>
      </w:r>
    </w:p>
    <w:p>
      <w:pPr>
        <w:pStyle w:val="Heading3"/>
        <w:spacing w:line="240" w:lineRule="auto" w:before="79"/>
        <w:ind w:right="153"/>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307,259,504.20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261,847,534.72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15,055,681.80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28,761,611.03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17,162,247.65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630,086,579.40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55,364.00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2,547,825.79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231,018.84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1,274,282.54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4,108,491.17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55,364.00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2,547,825.79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227,394.91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1,268,457.32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4,099,042.02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3,623.93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5,825.22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9,449.15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159,996,463.24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196,045,226.93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3,485,615.62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9,365,729.08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49,350.51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368,942,385.38</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152,477,007.00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196,045,226.93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3,485,615.62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9,365,729.08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49,350.51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361,422,929.14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）转入投资性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7,519,456.24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center"/>
              <w:rPr>
                <w:rFonts w:ascii="宋体" w:hAnsi="宋体" w:cs="宋体" w:eastAsia="宋体" w:hint="default"/>
                <w:sz w:val="18"/>
                <w:szCs w:val="18"/>
              </w:rPr>
            </w:pPr>
            <w:r>
              <w:rPr>
                <w:rFonts w:ascii="宋体"/>
                <w:sz w:val="18"/>
              </w:rPr>
              <w:t>7,519,456.24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147,318,404.96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68,350,133.58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11,570,066.18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19,626,900.79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18,387,179.68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 w:right="0"/>
              <w:jc w:val="center"/>
              <w:rPr>
                <w:rFonts w:ascii="宋体" w:hAnsi="宋体" w:cs="宋体" w:eastAsia="宋体" w:hint="default"/>
                <w:sz w:val="18"/>
                <w:szCs w:val="18"/>
              </w:rPr>
            </w:pPr>
            <w:r>
              <w:rPr>
                <w:rFonts w:ascii="宋体"/>
                <w:sz w:val="18"/>
              </w:rPr>
              <w:t>265,252,685.19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66,464,249.75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78,535,129.25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12,704,349.86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20,619,668.70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15,189,312.86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193,512,710.42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9,240,529.14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8,892,168.90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604,042.76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1,081,095.14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359,545.99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20,177,381.93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9,240,529.14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8,892,168.90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604,042.76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1,081,095.14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359,545.99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20,177,381.93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24,040,836.99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41,959,107.12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3,026,699.79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3,956,808.09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33,722.88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73,017,174.87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21,354,883.38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41,959,107.12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3,026,699.79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3,956,808.09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33,722.88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70,331,221.26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转入投资性</w:t>
            </w:r>
            <w:r>
              <w:rPr>
                <w:rFonts w:ascii="宋体" w:hAnsi="宋体" w:cs="宋体" w:eastAsia="宋体" w:hint="default"/>
                <w:spacing w:val="-87"/>
                <w:sz w:val="18"/>
                <w:szCs w:val="18"/>
              </w:rPr>
              <w:t> </w:t>
            </w: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2,685,953.61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center"/>
              <w:rPr>
                <w:rFonts w:ascii="宋体" w:hAnsi="宋体" w:cs="宋体" w:eastAsia="宋体" w:hint="default"/>
                <w:sz w:val="18"/>
                <w:szCs w:val="18"/>
              </w:rPr>
            </w:pPr>
            <w:r>
              <w:rPr>
                <w:rFonts w:ascii="宋体"/>
                <w:sz w:val="18"/>
              </w:rPr>
              <w:t>2,685,953.61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51,663,941.90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45,468,191.03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10,281,692.83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17,743,955.75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15,515,135.97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140,672,917.48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4,760,954.48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457,591.93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center"/>
              <w:rPr>
                <w:rFonts w:ascii="宋体" w:hAnsi="宋体" w:cs="宋体" w:eastAsia="宋体" w:hint="default"/>
                <w:sz w:val="18"/>
                <w:szCs w:val="18"/>
              </w:rPr>
            </w:pPr>
            <w:r>
              <w:rPr>
                <w:rFonts w:ascii="宋体"/>
                <w:sz w:val="18"/>
              </w:rPr>
              <w:t>5,218,546.41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5,498,075.50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786,131.89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center"/>
              <w:rPr>
                <w:rFonts w:ascii="宋体" w:hAnsi="宋体" w:cs="宋体" w:eastAsia="宋体" w:hint="default"/>
                <w:sz w:val="18"/>
                <w:szCs w:val="18"/>
              </w:rPr>
            </w:pPr>
            <w:r>
              <w:rPr>
                <w:rFonts w:ascii="宋体"/>
                <w:sz w:val="18"/>
              </w:rPr>
              <w:t>6,284,310.33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0.00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5,498,075.50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786,131.89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center"/>
              <w:rPr>
                <w:rFonts w:ascii="宋体" w:hAnsi="宋体" w:cs="宋体" w:eastAsia="宋体" w:hint="default"/>
                <w:sz w:val="18"/>
                <w:szCs w:val="18"/>
              </w:rPr>
            </w:pPr>
            <w:r>
              <w:rPr>
                <w:rFonts w:ascii="宋体"/>
                <w:sz w:val="18"/>
              </w:rPr>
              <w:t>6,284,310.33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4,292,693.16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center"/>
              <w:rPr>
                <w:rFonts w:ascii="宋体" w:hAnsi="宋体" w:cs="宋体" w:eastAsia="宋体" w:hint="default"/>
                <w:sz w:val="18"/>
                <w:szCs w:val="18"/>
              </w:rPr>
            </w:pPr>
            <w:r>
              <w:rPr>
                <w:rFonts w:ascii="宋体"/>
                <w:sz w:val="18"/>
              </w:rPr>
              <w:t>4,292,693.16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4,292,693.16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center"/>
              <w:rPr>
                <w:rFonts w:ascii="宋体" w:hAnsi="宋体" w:cs="宋体" w:eastAsia="宋体" w:hint="default"/>
                <w:sz w:val="18"/>
                <w:szCs w:val="18"/>
              </w:rPr>
            </w:pPr>
            <w:r>
              <w:rPr>
                <w:rFonts w:ascii="宋体"/>
                <w:sz w:val="18"/>
              </w:rPr>
              <w:t>4,292,693.16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5,966,336.82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786,131.89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457,694.87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center"/>
              <w:rPr>
                <w:rFonts w:ascii="宋体" w:hAnsi="宋体" w:cs="宋体" w:eastAsia="宋体" w:hint="default"/>
                <w:sz w:val="18"/>
                <w:szCs w:val="18"/>
              </w:rPr>
            </w:pPr>
            <w:r>
              <w:rPr>
                <w:rFonts w:ascii="宋体"/>
                <w:sz w:val="18"/>
              </w:rPr>
              <w:t>7,210,163.58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95,654,463.06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16,915,605.73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1,288,373.35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1,096,813.15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2,414,348.84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117,369,604.13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240,795,254.45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178,551,450.99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2,351,331.94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8,141,942.33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1,515,342.86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431,355,322.57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）暂时闲置的固定资产情况：无。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）通过融资租赁租入的固定资产情况：无。</w:t>
      </w:r>
      <w:r>
        <w:rPr>
          <w:b w:val="0"/>
          <w:bCs w:val="0"/>
        </w:rPr>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t>（</w:t>
      </w:r>
      <w:r>
        <w:rPr>
          <w:rFonts w:ascii="宋体" w:hAnsi="宋体" w:cs="宋体" w:eastAsia="宋体" w:hint="default"/>
        </w:rPr>
        <w:t>4</w:t>
      </w:r>
      <w:r>
        <w:rPr/>
        <w:t>）通过经营租赁租出的固定资产：无。</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5663"/>
        <w:jc w:val="left"/>
        <w:rPr>
          <w:b w:val="0"/>
          <w:bCs w:val="0"/>
        </w:rPr>
      </w:pPr>
      <w:r>
        <w:rPr/>
        <w:t>（</w:t>
      </w:r>
      <w:r>
        <w:rPr>
          <w:rFonts w:ascii="宋体" w:hAnsi="宋体" w:cs="宋体" w:eastAsia="宋体" w:hint="default"/>
        </w:rPr>
        <w:t>5</w:t>
      </w:r>
      <w:r>
        <w:rPr/>
        <w:t>）未办妥产权证书的固定资产情况：无。</w:t>
      </w:r>
      <w:r>
        <w:rPr>
          <w:w w:val="100"/>
        </w:rPr>
        <w:t> </w:t>
      </w:r>
      <w:r>
        <w:rPr>
          <w:rFonts w:ascii="宋体" w:hAnsi="宋体" w:cs="宋体" w:eastAsia="宋体" w:hint="default"/>
        </w:rPr>
        <w:t>20</w:t>
      </w:r>
      <w:r>
        <w:rPr/>
        <w:t>、在建工程</w:t>
      </w:r>
      <w:r>
        <w:rPr>
          <w:b w:val="0"/>
          <w:bCs w:val="0"/>
        </w:rPr>
      </w:r>
    </w:p>
    <w:p>
      <w:pPr>
        <w:pStyle w:val="Heading3"/>
        <w:spacing w:line="240" w:lineRule="auto" w:before="81"/>
        <w:ind w:right="153"/>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850"/>
        <w:gridCol w:w="1277"/>
        <w:gridCol w:w="1274"/>
        <w:gridCol w:w="1277"/>
        <w:gridCol w:w="1349"/>
      </w:tblGrid>
      <w:tr>
        <w:trPr>
          <w:trHeight w:val="40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深圳惠程聚酰亚胺隔膜生产 线设备安装（</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号线）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3,327,340.16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2,617,938.45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709,401.71</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惠程高强度聚酰亚胺隔膜生 产线设备安装（</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号线）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2,314,261.49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1,818,489.99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495,771.50</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深圳惠程聚酰亚胺流延膜生 产线设备安装（</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号线）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2,846,658.83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2,077,428.06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769,230.77</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深圳惠程聚酰亚胺隔膜牵伸 生产线设备安装（</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号线）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2,564,203.64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2,017,240.10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546,963.54</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长春聚明聚酰亚胺薄膜生产 线设备安装项目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115,570.94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115,570.94</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江西先材纳米</w:t>
            </w:r>
            <w:r>
              <w:rPr>
                <w:rFonts w:ascii="宋体" w:hAnsi="宋体" w:cs="宋体" w:eastAsia="宋体" w:hint="default"/>
                <w:spacing w:val="-64"/>
                <w:sz w:val="18"/>
                <w:szCs w:val="18"/>
              </w:rPr>
              <w:t> </w:t>
            </w:r>
            <w:r>
              <w:rPr>
                <w:rFonts w:ascii="宋体" w:hAnsi="宋体" w:cs="宋体" w:eastAsia="宋体" w:hint="default"/>
                <w:sz w:val="18"/>
                <w:szCs w:val="18"/>
              </w:rPr>
              <w:t>PI</w:t>
            </w:r>
            <w:r>
              <w:rPr>
                <w:rFonts w:ascii="宋体" w:hAnsi="宋体" w:cs="宋体" w:eastAsia="宋体" w:hint="default"/>
                <w:spacing w:val="-63"/>
                <w:sz w:val="18"/>
                <w:szCs w:val="18"/>
              </w:rPr>
              <w:t> </w:t>
            </w:r>
            <w:r>
              <w:rPr>
                <w:rFonts w:ascii="宋体" w:hAnsi="宋体" w:cs="宋体" w:eastAsia="宋体" w:hint="default"/>
                <w:sz w:val="18"/>
                <w:szCs w:val="18"/>
              </w:rPr>
              <w:t>纳米纤维电 池隔膜生产线设备安装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5,598,980.08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5,598,980.08</w:t>
            </w:r>
          </w:p>
        </w:tc>
      </w:tr>
      <w:tr>
        <w:trPr>
          <w:trHeight w:val="10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江西先材年产</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亿平方米</w:t>
            </w:r>
            <w:r>
              <w:rPr>
                <w:rFonts w:ascii="宋体" w:hAnsi="宋体" w:cs="宋体" w:eastAsia="宋体" w:hint="default"/>
                <w:spacing w:val="-47"/>
                <w:sz w:val="18"/>
                <w:szCs w:val="18"/>
              </w:rPr>
              <w:t> </w:t>
            </w:r>
            <w:r>
              <w:rPr>
                <w:rFonts w:ascii="宋体" w:hAnsi="宋体" w:cs="宋体" w:eastAsia="宋体" w:hint="default"/>
                <w:sz w:val="18"/>
                <w:szCs w:val="18"/>
              </w:rPr>
              <w:t>PI</w:t>
            </w:r>
            <w:r>
              <w:rPr>
                <w:rFonts w:ascii="宋体" w:hAnsi="宋体" w:cs="宋体" w:eastAsia="宋体" w:hint="default"/>
                <w:spacing w:val="1"/>
                <w:sz w:val="18"/>
                <w:szCs w:val="18"/>
              </w:rPr>
              <w:t> </w:t>
            </w:r>
            <w:r>
              <w:rPr>
                <w:rFonts w:ascii="宋体" w:hAnsi="宋体" w:cs="宋体" w:eastAsia="宋体" w:hint="default"/>
                <w:sz w:val="18"/>
                <w:szCs w:val="18"/>
              </w:rPr>
              <w:t>纳米纤维电池隔膜产品（一 期）工程项目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38,107,915.21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38,107,915.21</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23,294,560.00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23,294,560.00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23,295,900.00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23,295,900.00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17,688,670.00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17,688,670.00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17,690,010.00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17,690,010.00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81,969,140.00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81,969,140.00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54,874,930.35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8,531,096.60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46,343,833.75</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0"/>
        <w:rPr>
          <w:rFonts w:ascii="宋体" w:hAnsi="宋体" w:cs="宋体" w:eastAsia="宋体" w:hint="default"/>
          <w:sz w:val="24"/>
          <w:szCs w:val="24"/>
        </w:rPr>
      </w:pPr>
    </w:p>
    <w:p>
      <w:pPr>
        <w:pStyle w:val="Heading3"/>
        <w:spacing w:line="240" w:lineRule="auto"/>
        <w:ind w:left="140" w:right="-2"/>
        <w:jc w:val="left"/>
        <w:rPr>
          <w:b w:val="0"/>
          <w:bCs w:val="0"/>
        </w:rPr>
      </w:pPr>
      <w:r>
        <w:rPr/>
        <w:pict>
          <v:group style="position:absolute;margin-left:70.559998pt;margin-top:-.476309pt;width:700.95pt;height:.1pt;mso-position-horizontal-relative:page;mso-position-vertical-relative:paragraph;z-index:1888"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宋体" w:hAnsi="宋体" w:cs="宋体" w:eastAsia="宋体" w:hint="default"/>
          <w:spacing w:val="-1"/>
        </w:rPr>
        <w:t>2</w:t>
      </w:r>
      <w:r>
        <w:rPr>
          <w:spacing w:val="-1"/>
        </w:rPr>
        <w:t>）重要在建工程项目本期变动情况</w:t>
      </w:r>
      <w:r>
        <w:rPr>
          <w:b w:val="0"/>
          <w:bCs w:val="0"/>
          <w:spacing w:val="-1"/>
        </w:rPr>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1"/>
          <w:footerReference w:type="default" r:id="rId42"/>
          <w:pgSz w:w="16840" w:h="11910" w:orient="landscape"/>
          <w:pgMar w:header="0" w:footer="0" w:top="800" w:bottom="280" w:left="1300" w:right="1280"/>
          <w:cols w:num="2" w:equalWidth="0">
            <w:col w:w="3621" w:space="6287"/>
            <w:col w:w="4352"/>
          </w:cols>
        </w:sectPr>
      </w:pPr>
    </w:p>
    <w:p>
      <w:pPr>
        <w:spacing w:line="240" w:lineRule="auto" w:before="2"/>
        <w:rPr>
          <w:rFonts w:ascii="宋体" w:hAnsi="宋体" w:cs="宋体" w:eastAsia="宋体" w:hint="default"/>
          <w:sz w:val="24"/>
          <w:szCs w:val="24"/>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64"/>
        <w:gridCol w:w="1421"/>
        <w:gridCol w:w="1274"/>
        <w:gridCol w:w="1275"/>
        <w:gridCol w:w="852"/>
        <w:gridCol w:w="1274"/>
        <w:gridCol w:w="1277"/>
        <w:gridCol w:w="708"/>
        <w:gridCol w:w="708"/>
        <w:gridCol w:w="710"/>
        <w:gridCol w:w="708"/>
        <w:gridCol w:w="567"/>
        <w:gridCol w:w="379"/>
      </w:tblGrid>
      <w:tr>
        <w:trPr>
          <w:trHeight w:val="1337"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3" w:right="89"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7"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21" w:hanging="56"/>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5"/>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716"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深圳惠程聚酰亚胺隔膜生产线设备 安装（</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3,327,340.16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3,623.93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3,323,716.23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w:t>
            </w:r>
          </w:p>
        </w:tc>
      </w:tr>
      <w:tr>
        <w:trPr>
          <w:trHeight w:val="71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深圳惠程高强度聚酰亚胺隔膜生产 线设备安装（</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2,314,261.49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2,314,261.49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w:t>
            </w:r>
          </w:p>
        </w:tc>
      </w:tr>
      <w:tr>
        <w:trPr>
          <w:trHeight w:val="715"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深圳惠程聚酰亚胺流延膜生产线设 备安装（</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2,846,658.83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2,846,658.83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w:t>
            </w:r>
          </w:p>
        </w:tc>
      </w:tr>
      <w:tr>
        <w:trPr>
          <w:trHeight w:val="71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深圳惠程聚酰亚胺隔膜牵伸生产线 设备安装（</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号线）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2,564,203.64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2,564,203.64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已停建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w:t>
            </w:r>
          </w:p>
        </w:tc>
      </w:tr>
      <w:tr>
        <w:trPr>
          <w:trHeight w:val="716"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长春聚明聚酰亚胺薄膜生产线设备 安装项目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115,570.94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115,570.94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w:t>
            </w:r>
          </w:p>
        </w:tc>
      </w:tr>
      <w:tr>
        <w:trPr>
          <w:trHeight w:val="71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江西先材纳米</w:t>
            </w:r>
            <w:r>
              <w:rPr>
                <w:rFonts w:ascii="宋体" w:hAnsi="宋体" w:cs="宋体" w:eastAsia="宋体" w:hint="default"/>
                <w:spacing w:val="-45"/>
                <w:sz w:val="18"/>
                <w:szCs w:val="18"/>
              </w:rPr>
              <w:t> </w:t>
            </w:r>
            <w:r>
              <w:rPr>
                <w:rFonts w:ascii="宋体" w:hAnsi="宋体" w:cs="宋体" w:eastAsia="宋体" w:hint="default"/>
                <w:sz w:val="18"/>
                <w:szCs w:val="18"/>
              </w:rPr>
              <w:t>PI</w:t>
            </w:r>
            <w:r>
              <w:rPr>
                <w:rFonts w:ascii="宋体" w:hAnsi="宋体" w:cs="宋体" w:eastAsia="宋体" w:hint="default"/>
                <w:spacing w:val="-45"/>
                <w:sz w:val="18"/>
                <w:szCs w:val="18"/>
              </w:rPr>
              <w:t> </w:t>
            </w:r>
            <w:r>
              <w:rPr>
                <w:rFonts w:ascii="宋体" w:hAnsi="宋体" w:cs="宋体" w:eastAsia="宋体" w:hint="default"/>
                <w:sz w:val="18"/>
                <w:szCs w:val="18"/>
              </w:rPr>
              <w:t>纳米纤维电池隔膜 生产线设备安装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5,598,980.08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5,598,980.08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w:t>
            </w:r>
          </w:p>
        </w:tc>
      </w:tr>
      <w:tr>
        <w:trPr>
          <w:trHeight w:val="715"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江西先材年产</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亿平方米</w:t>
            </w:r>
            <w:r>
              <w:rPr>
                <w:rFonts w:ascii="宋体" w:hAnsi="宋体" w:cs="宋体" w:eastAsia="宋体" w:hint="default"/>
                <w:spacing w:val="-48"/>
                <w:sz w:val="18"/>
                <w:szCs w:val="18"/>
              </w:rPr>
              <w:t> </w:t>
            </w:r>
            <w:r>
              <w:rPr>
                <w:rFonts w:ascii="宋体" w:hAnsi="宋体" w:cs="宋体" w:eastAsia="宋体" w:hint="default"/>
                <w:sz w:val="18"/>
                <w:szCs w:val="18"/>
              </w:rPr>
              <w:t>PI</w:t>
            </w:r>
            <w:r>
              <w:rPr>
                <w:rFonts w:ascii="宋体" w:hAnsi="宋体" w:cs="宋体" w:eastAsia="宋体" w:hint="default"/>
                <w:spacing w:val="-45"/>
                <w:sz w:val="18"/>
                <w:szCs w:val="18"/>
              </w:rPr>
              <w:t> </w:t>
            </w:r>
            <w:r>
              <w:rPr>
                <w:rFonts w:ascii="宋体" w:hAnsi="宋体" w:cs="宋体" w:eastAsia="宋体" w:hint="default"/>
                <w:sz w:val="18"/>
                <w:szCs w:val="18"/>
              </w:rPr>
              <w:t>纳米纤 维电池隔膜产品（一期）工程项目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41,500,000.00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38,107,915.21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38,107,915.21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91.83%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23,294,560.00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23,294,560.00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宋体"/>
                <w:sz w:val="18"/>
              </w:rPr>
              <w:t>/</w:t>
            </w:r>
          </w:p>
        </w:tc>
      </w:tr>
      <w:tr>
        <w:trPr>
          <w:trHeight w:val="404"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23,295,900.00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23,295,900.00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宋体"/>
                <w:sz w:val="18"/>
              </w:rPr>
              <w:t>/</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17,688,670.00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17,688,670.00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宋体"/>
                <w:sz w:val="18"/>
              </w:rPr>
              <w:t>/</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绿地中心购办公场所</w:t>
            </w:r>
            <w:r>
              <w:rPr>
                <w:rFonts w:ascii="宋体" w:hAnsi="宋体" w:cs="宋体" w:eastAsia="宋体" w:hint="default"/>
                <w:spacing w:val="-44"/>
                <w:sz w:val="18"/>
                <w:szCs w:val="18"/>
              </w:rPr>
              <w:t> </w:t>
            </w:r>
            <w:r>
              <w:rPr>
                <w:rFonts w:ascii="宋体" w:hAnsi="宋体" w:cs="宋体" w:eastAsia="宋体" w:hint="default"/>
                <w:sz w:val="18"/>
                <w:szCs w:val="18"/>
              </w:rPr>
              <w:t>5108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17,690,010.00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17,690,010.00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宋体"/>
                <w:sz w:val="18"/>
              </w:rPr>
              <w:t>/</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113,600,000.00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54,874,930.35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81,969,140.00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center"/>
              <w:rPr>
                <w:rFonts w:ascii="宋体" w:hAnsi="宋体" w:cs="宋体" w:eastAsia="宋体" w:hint="default"/>
                <w:sz w:val="18"/>
                <w:szCs w:val="18"/>
              </w:rPr>
            </w:pPr>
            <w:r>
              <w:rPr>
                <w:rFonts w:ascii="宋体"/>
                <w:sz w:val="18"/>
              </w:rPr>
              <w:t>3,623.93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54,871,306.42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81,969,140.00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sz w:val="18"/>
              </w:rPr>
              <w:t>--</w:t>
            </w:r>
          </w:p>
        </w:tc>
      </w:tr>
    </w:tbl>
    <w:p>
      <w:pPr>
        <w:pStyle w:val="BodyText"/>
        <w:spacing w:line="240" w:lineRule="auto" w:before="40"/>
        <w:ind w:left="6966" w:right="6981"/>
        <w:jc w:val="center"/>
        <w:rPr>
          <w:rFonts w:ascii="Times New Roman" w:hAnsi="Times New Roman" w:cs="Times New Roman" w:eastAsia="Times New Roman" w:hint="default"/>
        </w:rPr>
      </w:pPr>
      <w:r>
        <w:rPr>
          <w:rFonts w:ascii="Times New Roman"/>
        </w:rPr>
        <w:t>126</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380" w:left="1300" w:right="128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53"/>
        <w:jc w:val="left"/>
        <w:rPr>
          <w:b w:val="0"/>
          <w:bCs w:val="0"/>
        </w:rPr>
      </w:pPr>
      <w:r>
        <w:rPr/>
        <w:t>（</w:t>
      </w:r>
      <w:r>
        <w:rPr>
          <w:rFonts w:ascii="宋体" w:hAnsi="宋体" w:cs="宋体" w:eastAsia="宋体" w:hint="default"/>
        </w:rPr>
        <w:t>3</w:t>
      </w:r>
      <w:r>
        <w:rPr/>
        <w:t>）本期计提在建工程减值准备情况：无。</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0"/>
        <w:jc w:val="left"/>
      </w:pPr>
      <w:r>
        <w:rPr>
          <w:spacing w:val="-2"/>
        </w:rPr>
        <w:t>其他说明：本年其他减少主要系处置江西先材与长春高琦全部股份，丧失控制权后合并范围发生变化减少在建工程；公司孙</w:t>
      </w:r>
      <w:r>
        <w:rPr>
          <w:spacing w:val="-63"/>
        </w:rPr>
        <w:t> </w:t>
      </w:r>
      <w:r>
        <w:rPr>
          <w:spacing w:val="-63"/>
        </w:rPr>
      </w:r>
      <w:r>
        <w:rPr/>
        <w:t>公司中融建银及中行置盛购置办公场所增加在建工程。</w:t>
      </w:r>
    </w:p>
    <w:p>
      <w:pPr>
        <w:spacing w:line="240" w:lineRule="auto" w:before="8"/>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21</w:t>
      </w:r>
      <w:r>
        <w:rPr/>
        <w:t>、工程物资：无。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22</w:t>
      </w:r>
      <w:r>
        <w:rPr/>
        <w:t>、固定资产清理：无。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23</w:t>
      </w:r>
      <w:r>
        <w:rPr/>
        <w:t>、生产性生物资产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）采用成本计量模式的生产性生物资产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24</w:t>
      </w:r>
      <w:r>
        <w:rPr/>
        <w:t>、油气资产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25</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28"/>
        <w:gridCol w:w="1286"/>
        <w:gridCol w:w="1277"/>
        <w:gridCol w:w="1274"/>
        <w:gridCol w:w="1277"/>
        <w:gridCol w:w="1277"/>
        <w:gridCol w:w="992"/>
        <w:gridCol w:w="1346"/>
      </w:tblGrid>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一、账面 原值</w:t>
            </w:r>
          </w:p>
        </w:tc>
        <w:tc>
          <w:tcPr>
            <w:tcW w:w="1286"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 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64,997,058.88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45,368,211.60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7,631,013.99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19,780,000.00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3,592,061.26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208,000.00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141,576,345.73</w:t>
            </w: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 加金额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29,855.00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90,646.33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796,124.53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916,625.86</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）购置</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90,646.33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796,124.53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916,625.86</w:t>
            </w: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）内部</w:t>
            </w:r>
            <w:r>
              <w:rPr>
                <w:rFonts w:ascii="宋体" w:hAnsi="宋体" w:cs="宋体" w:eastAsia="宋体" w:hint="default"/>
                <w:sz w:val="18"/>
                <w:szCs w:val="18"/>
              </w:rPr>
              <w:t> 研发</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6"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60,000,991.55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33,991,615.83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7,631,013.99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412,548.86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208,000.00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118,844,170.23</w:t>
            </w:r>
          </w:p>
        </w:tc>
      </w:tr>
    </w:tbl>
    <w:p>
      <w:pPr>
        <w:spacing w:after="0" w:line="240" w:lineRule="auto"/>
        <w:jc w:val="right"/>
        <w:rPr>
          <w:rFonts w:ascii="宋体" w:hAnsi="宋体" w:cs="宋体" w:eastAsia="宋体" w:hint="default"/>
          <w:sz w:val="18"/>
          <w:szCs w:val="18"/>
        </w:rPr>
        <w:sectPr>
          <w:footerReference w:type="default" r:id="rId43"/>
          <w:pgSz w:w="11910" w:h="16840"/>
          <w:pgMar w:footer="1186" w:header="0" w:top="1100" w:bottom="1380" w:left="980" w:right="980"/>
          <w:pgNumType w:start="127"/>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39"/>
        <w:gridCol w:w="1286"/>
        <w:gridCol w:w="1277"/>
        <w:gridCol w:w="1274"/>
        <w:gridCol w:w="1277"/>
        <w:gridCol w:w="1277"/>
        <w:gridCol w:w="992"/>
        <w:gridCol w:w="1346"/>
      </w:tblGrid>
      <w:tr>
        <w:trPr>
          <w:trHeight w:val="401"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60,000,991.55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33,991,615.83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7,631,013.99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412,548.86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118,844,170.23</w:t>
            </w: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 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5,025,922.33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11,376,595.77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3,270,646.33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3,975,636.93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23,648,801.36</w:t>
            </w:r>
          </w:p>
        </w:tc>
      </w:tr>
      <w:tr>
        <w:trPr>
          <w:trHeight w:val="71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二、累计 摊销</w:t>
            </w:r>
          </w:p>
        </w:tc>
        <w:tc>
          <w:tcPr>
            <w:tcW w:w="1286"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 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4,949,735.79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11,953,731.59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1,371,972.53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6,774,201.66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792,146.72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69,333.60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25,911,121.89</w:t>
            </w:r>
          </w:p>
        </w:tc>
      </w:tr>
      <w:tr>
        <w:trPr>
          <w:trHeight w:val="71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 加金额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439,026.85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2,122,405.73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1,251,434.63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408,646.33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359,422.21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6,933.36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4,587,869.11</w:t>
            </w:r>
          </w:p>
        </w:tc>
      </w:tr>
      <w:tr>
        <w:trPr>
          <w:trHeight w:val="404"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）计提</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439,026.85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2,122,405.73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1,251,434.63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408,646.33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359,422.21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6,933.36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4,587,869.11</w:t>
            </w:r>
          </w:p>
        </w:tc>
      </w:tr>
      <w:tr>
        <w:trPr>
          <w:trHeight w:val="71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4,260,122.91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5,430,954.87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2,623,407.16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5,475,701.66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271,852.92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76,266.96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18,138,306.48</w:t>
            </w:r>
          </w:p>
        </w:tc>
      </w:tr>
      <w:tr>
        <w:trPr>
          <w:trHeight w:val="40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4,260,122.91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5,430,954.87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2,623,407.16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5,475,701.66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271,852.92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76,266.96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18,138,306.48</w:t>
            </w:r>
          </w:p>
        </w:tc>
      </w:tr>
      <w:tr>
        <w:trPr>
          <w:trHeight w:val="71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 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1,128,639.73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8,645,182.45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1,707,146.33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879,716.01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12,360,684.52</w:t>
            </w: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三、减值 准备</w:t>
            </w:r>
          </w:p>
        </w:tc>
        <w:tc>
          <w:tcPr>
            <w:tcW w:w="1286"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 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 加金额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）计提</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 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四、账面 价值</w:t>
            </w:r>
          </w:p>
        </w:tc>
        <w:tc>
          <w:tcPr>
            <w:tcW w:w="1286"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 面价值</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3,897,282.60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2,731,413.32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1,563,500.00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3,095,920.92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11,288,116.84</w:t>
            </w:r>
          </w:p>
        </w:tc>
      </w:tr>
      <w:tr>
        <w:trPr>
          <w:trHeight w:val="715"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 面价值</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60,047,323.09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33,414,480.01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6,259,041.46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13,005,798.34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2,799,914.54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138,666.40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115,665,223.84</w:t>
            </w:r>
          </w:p>
        </w:tc>
      </w:tr>
    </w:tbl>
    <w:p>
      <w:pPr>
        <w:pStyle w:val="BodyText"/>
        <w:spacing w:line="240" w:lineRule="auto" w:before="49"/>
        <w:ind w:right="153"/>
        <w:jc w:val="left"/>
      </w:pPr>
      <w:r>
        <w:rPr/>
        <w:t>本期末通过公司内部研发形成的无形资产占无形资产余额的比例</w:t>
      </w:r>
      <w:r>
        <w:rPr>
          <w:spacing w:val="-45"/>
        </w:rPr>
        <w:t> </w:t>
      </w:r>
      <w:r>
        <w:rPr>
          <w:rFonts w:ascii="宋体" w:hAnsi="宋体" w:cs="宋体" w:eastAsia="宋体" w:hint="default"/>
        </w:rPr>
        <w:t>0.00%</w:t>
      </w:r>
      <w:r>
        <w:rPr/>
        <w:t>。</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）未办妥产权证书的土地使用权情况：无。</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其他说明：本期累计摊销的金额为</w:t>
      </w:r>
      <w:r>
        <w:rPr>
          <w:spacing w:val="-46"/>
        </w:rPr>
        <w:t> </w:t>
      </w:r>
      <w:r>
        <w:rPr>
          <w:rFonts w:ascii="宋体" w:hAnsi="宋体" w:cs="宋体" w:eastAsia="宋体" w:hint="default"/>
        </w:rPr>
        <w:t>4,587,869.11</w:t>
      </w:r>
      <w:r>
        <w:rPr>
          <w:rFonts w:ascii="宋体" w:hAnsi="宋体" w:cs="宋体" w:eastAsia="宋体" w:hint="default"/>
          <w:spacing w:val="-45"/>
        </w:rPr>
        <w:t> </w:t>
      </w:r>
      <w:r>
        <w:rPr/>
        <w:t>元。</w:t>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26</w:t>
      </w:r>
      <w:r>
        <w:rPr/>
        <w:t>、开发支出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51"/>
        <w:gridCol w:w="1226"/>
        <w:gridCol w:w="1224"/>
        <w:gridCol w:w="624"/>
        <w:gridCol w:w="790"/>
        <w:gridCol w:w="1138"/>
        <w:gridCol w:w="1226"/>
        <w:gridCol w:w="418"/>
      </w:tblGrid>
      <w:tr>
        <w:trPr>
          <w:trHeight w:val="403" w:hRule="exact"/>
        </w:trPr>
        <w:tc>
          <w:tcPr>
            <w:tcW w:w="3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3" w:hRule="exact"/>
        </w:trPr>
        <w:tc>
          <w:tcPr>
            <w:tcW w:w="3051"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2" w:right="26"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4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聚酰亚胺纤维生产工艺技术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12,544,310.13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2,526,875.98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344,536.47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14,726,649.64</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聚酰亚胺树脂生产工艺技术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1,561,090.92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1,361,172.21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192,997.54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2,729,265.59</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聚酰亚胺薄膜生产工艺技术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1,097,275.50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270,137.06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827,138.44</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电气绝缘特种纤维复合材料</w:t>
            </w:r>
            <w:r>
              <w:rPr>
                <w:rFonts w:ascii="宋体" w:hAnsi="宋体" w:cs="宋体" w:eastAsia="宋体" w:hint="default"/>
                <w:spacing w:val="-47"/>
                <w:sz w:val="18"/>
                <w:szCs w:val="18"/>
              </w:rPr>
              <w:t> </w:t>
            </w:r>
            <w:r>
              <w:rPr>
                <w:rFonts w:ascii="宋体" w:hAnsi="宋体" w:cs="宋体" w:eastAsia="宋体" w:hint="default"/>
                <w:sz w:val="18"/>
                <w:szCs w:val="18"/>
              </w:rPr>
              <w:t>SMC</w:t>
            </w:r>
            <w:r>
              <w:rPr>
                <w:rFonts w:ascii="宋体" w:hAnsi="宋体" w:cs="宋体" w:eastAsia="宋体" w:hint="default"/>
                <w:spacing w:val="-43"/>
                <w:sz w:val="18"/>
                <w:szCs w:val="18"/>
              </w:rPr>
              <w:t> </w:t>
            </w:r>
            <w:r>
              <w:rPr>
                <w:rFonts w:ascii="宋体" w:hAnsi="宋体" w:cs="宋体" w:eastAsia="宋体" w:hint="default"/>
                <w:sz w:val="18"/>
                <w:szCs w:val="18"/>
              </w:rPr>
              <w:t>及 制品项目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2,054,362.83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2,054,362.83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高性能硅橡胶电气绝缘制品项目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1,288,167.60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1,288,167.60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跌落式断路器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740,322.76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740,322.76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7.EPDM</w:t>
            </w:r>
            <w:r>
              <w:rPr>
                <w:rFonts w:ascii="宋体" w:hAnsi="宋体" w:cs="宋体" w:eastAsia="宋体" w:hint="default"/>
                <w:spacing w:val="-44"/>
                <w:sz w:val="18"/>
                <w:szCs w:val="18"/>
              </w:rPr>
              <w:t> </w:t>
            </w:r>
            <w:r>
              <w:rPr>
                <w:rFonts w:ascii="宋体" w:hAnsi="宋体" w:cs="宋体" w:eastAsia="宋体" w:hint="default"/>
                <w:sz w:val="18"/>
                <w:szCs w:val="18"/>
              </w:rPr>
              <w:t>橡胶绝缘项目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812,356.32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812,356.32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新型复合材料项目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781,914.71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781,914.71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9.RTM</w:t>
            </w:r>
            <w:r>
              <w:rPr>
                <w:rFonts w:ascii="宋体" w:hAnsi="宋体" w:cs="宋体" w:eastAsia="宋体" w:hint="default"/>
                <w:spacing w:val="-48"/>
                <w:sz w:val="18"/>
                <w:szCs w:val="18"/>
              </w:rPr>
              <w:t> </w:t>
            </w:r>
            <w:r>
              <w:rPr>
                <w:rFonts w:ascii="宋体" w:hAnsi="宋体" w:cs="宋体" w:eastAsia="宋体" w:hint="default"/>
                <w:sz w:val="18"/>
                <w:szCs w:val="18"/>
              </w:rPr>
              <w:t>复合材料新技术及制品项目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640,072.27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640,072.27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特种纤维增加复合材料及其制品项 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1,498,823.61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1,498,823.61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14,105,401.05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12,801,343.79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8,623,691.17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18,283,053.67</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27</w:t>
      </w:r>
      <w:r>
        <w:rPr/>
        <w:t>、商誉</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4"/>
        <w:gridCol w:w="2734"/>
        <w:gridCol w:w="2737"/>
        <w:gridCol w:w="1366"/>
      </w:tblGrid>
      <w:tr>
        <w:trPr>
          <w:trHeight w:val="75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146" w:right="53"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6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center"/>
              <w:rPr>
                <w:rFonts w:ascii="宋体" w:hAnsi="宋体" w:cs="宋体" w:eastAsia="宋体" w:hint="default"/>
                <w:sz w:val="18"/>
                <w:szCs w:val="18"/>
              </w:rPr>
            </w:pPr>
            <w:r>
              <w:rPr>
                <w:rFonts w:ascii="宋体"/>
                <w:sz w:val="18"/>
              </w:rPr>
              <w:t>2,850,049.14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2,850,049.14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center"/>
              <w:rPr>
                <w:rFonts w:ascii="宋体" w:hAnsi="宋体" w:cs="宋体" w:eastAsia="宋体" w:hint="default"/>
                <w:sz w:val="18"/>
                <w:szCs w:val="18"/>
              </w:rPr>
            </w:pPr>
            <w:r>
              <w:rPr>
                <w:rFonts w:ascii="宋体"/>
                <w:sz w:val="18"/>
              </w:rPr>
              <w:t>2,850,049.14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2,850,049.14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）商誉减值准备：无。</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其他说明：无。</w:t>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28</w:t>
      </w:r>
      <w:r>
        <w:rPr/>
        <w:t>、长期待摊费用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证券信息服务费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0.00</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房屋改造等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2,439,002.42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142,882.50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635,593.82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730,259.54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1,216,031.56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151,367.54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124,337.64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2,680,369.96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142,882.50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752,623.72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854,597.18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1,216,031.56</w:t>
            </w:r>
          </w:p>
        </w:tc>
      </w:tr>
    </w:tbl>
    <w:p>
      <w:pPr>
        <w:pStyle w:val="BodyText"/>
        <w:spacing w:line="319" w:lineRule="auto" w:before="49"/>
        <w:ind w:right="153"/>
        <w:jc w:val="left"/>
      </w:pPr>
      <w:r>
        <w:rPr/>
        <w:t>其他说明：本期减少</w:t>
      </w:r>
      <w:r>
        <w:rPr>
          <w:spacing w:val="-48"/>
        </w:rPr>
        <w:t> </w:t>
      </w:r>
      <w:r>
        <w:rPr>
          <w:rFonts w:ascii="宋体" w:hAnsi="宋体" w:cs="宋体" w:eastAsia="宋体" w:hint="default"/>
        </w:rPr>
        <w:t>730,259.54</w:t>
      </w:r>
      <w:r>
        <w:rPr>
          <w:rFonts w:ascii="宋体" w:hAnsi="宋体" w:cs="宋体" w:eastAsia="宋体" w:hint="default"/>
          <w:spacing w:val="-46"/>
        </w:rPr>
        <w:t> </w:t>
      </w:r>
      <w:r>
        <w:rPr/>
        <w:t>元系处置江西先材</w:t>
      </w:r>
      <w:r>
        <w:rPr>
          <w:spacing w:val="-50"/>
        </w:rPr>
        <w:t> </w:t>
      </w:r>
      <w:r>
        <w:rPr>
          <w:rFonts w:ascii="宋体" w:hAnsi="宋体" w:cs="宋体" w:eastAsia="宋体" w:hint="default"/>
        </w:rPr>
        <w:t>52.8%</w:t>
      </w:r>
      <w:r>
        <w:rPr/>
        <w:t>股份，减少</w:t>
      </w:r>
      <w:r>
        <w:rPr>
          <w:spacing w:val="-48"/>
        </w:rPr>
        <w:t> </w:t>
      </w:r>
      <w:r>
        <w:rPr>
          <w:rFonts w:ascii="宋体" w:hAnsi="宋体" w:cs="宋体" w:eastAsia="宋体" w:hint="default"/>
        </w:rPr>
        <w:t>124,337.64</w:t>
      </w:r>
      <w:r>
        <w:rPr>
          <w:rFonts w:ascii="宋体" w:hAnsi="宋体" w:cs="宋体" w:eastAsia="宋体" w:hint="default"/>
          <w:spacing w:val="-46"/>
        </w:rPr>
        <w:t> </w:t>
      </w:r>
      <w:r>
        <w:rPr/>
        <w:t>元系处置长春高琦</w:t>
      </w:r>
      <w:r>
        <w:rPr>
          <w:spacing w:val="-47"/>
        </w:rPr>
        <w:t> </w:t>
      </w:r>
      <w:r>
        <w:rPr>
          <w:rFonts w:ascii="宋体" w:hAnsi="宋体" w:cs="宋体" w:eastAsia="宋体" w:hint="default"/>
        </w:rPr>
        <w:t>51%</w:t>
      </w:r>
      <w:r>
        <w:rPr/>
        <w:t>股份均丧失控制权 后合并范围发生变化。</w:t>
      </w:r>
    </w:p>
    <w:p>
      <w:pPr>
        <w:spacing w:line="240" w:lineRule="auto" w:before="6"/>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39,485,730.98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5,927,733.85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40,414,605.67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6,062,190.85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22,093,734.75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3,314,060.21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39,123,001.90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5,868,450.29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15,766,647.52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2,364,997.13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988,337.60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148,250.64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77,346,113.25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11,606,791.19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80,525,945.17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12,078,891.78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）未经抵销的递延所得税负债：无。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03"/>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9" w:right="0"/>
              <w:jc w:val="left"/>
              <w:rPr>
                <w:rFonts w:ascii="宋体" w:hAnsi="宋体" w:cs="宋体" w:eastAsia="宋体" w:hint="default"/>
                <w:sz w:val="18"/>
                <w:szCs w:val="18"/>
              </w:rPr>
            </w:pPr>
            <w:r>
              <w:rPr>
                <w:rFonts w:ascii="宋体"/>
                <w:sz w:val="18"/>
              </w:rPr>
              <w:t>11,606,791.19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9" w:right="0"/>
              <w:jc w:val="left"/>
              <w:rPr>
                <w:rFonts w:ascii="宋体" w:hAnsi="宋体" w:cs="宋体" w:eastAsia="宋体" w:hint="default"/>
                <w:sz w:val="18"/>
                <w:szCs w:val="18"/>
              </w:rPr>
            </w:pPr>
            <w:r>
              <w:rPr>
                <w:rFonts w:ascii="宋体"/>
                <w:sz w:val="18"/>
              </w:rPr>
              <w:t>12,078,891.78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4</w:t>
      </w:r>
      <w:r>
        <w:rPr/>
        <w:t>）未确认递延所得税资产明细</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1,137,571.44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16,278,597.37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6,682,243.71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92,824,549.47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7,819,815.15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109,103,146.84</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4,281,190.85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433,308.58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6,769,302.93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389,046.23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6,967,993.14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442,271.09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13,255,757.61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385,523.03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58,813,718.35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2,514,148.47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2,517,946.31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2,736,586.59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6,682,243.71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92,824,549.47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30</w:t>
      </w:r>
      <w:r>
        <w:rPr/>
        <w:t>、其他非流动资产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1,832,200.00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预付国际专利申请费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189,549.02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预付购买办公场所款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41,503,500.00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预付停车位费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43,503,500.00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2,021,749.02</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31</w:t>
      </w:r>
      <w:r>
        <w:rPr/>
        <w:t>、短期借款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bl>
    <w:p>
      <w:pPr>
        <w:pStyle w:val="BodyText"/>
        <w:spacing w:line="240" w:lineRule="auto" w:before="49"/>
        <w:ind w:right="153"/>
        <w:jc w:val="left"/>
      </w:pPr>
      <w:r>
        <w:rPr/>
        <w:t>短期借款分类的说明：本期减少</w:t>
      </w:r>
      <w:r>
        <w:rPr>
          <w:spacing w:val="-47"/>
        </w:rPr>
        <w:t> </w:t>
      </w:r>
      <w:r>
        <w:rPr>
          <w:rFonts w:ascii="宋体" w:hAnsi="宋体" w:cs="宋体" w:eastAsia="宋体" w:hint="default"/>
        </w:rPr>
        <w:t>2,000</w:t>
      </w:r>
      <w:r>
        <w:rPr>
          <w:rFonts w:ascii="宋体" w:hAnsi="宋体" w:cs="宋体" w:eastAsia="宋体" w:hint="default"/>
          <w:spacing w:val="-46"/>
        </w:rPr>
        <w:t> </w:t>
      </w:r>
      <w:r>
        <w:rPr/>
        <w:t>万元保证借款系处置长春高琦全部股份丧失控制权后合并范围发生变化。</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）已逾期未偿还的短期借款情况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本期末已逾期未偿还的短期借款总额为</w:t>
      </w:r>
      <w:r>
        <w:rPr>
          <w:spacing w:val="-44"/>
        </w:rPr>
        <w:t> </w:t>
      </w:r>
      <w:r>
        <w:rPr>
          <w:rFonts w:ascii="宋体" w:hAnsi="宋体" w:cs="宋体" w:eastAsia="宋体" w:hint="default"/>
        </w:rPr>
        <w:t>0.00</w:t>
      </w:r>
      <w:r>
        <w:rPr>
          <w:rFonts w:ascii="宋体" w:hAnsi="宋体" w:cs="宋体" w:eastAsia="宋体" w:hint="default"/>
          <w:spacing w:val="-43"/>
        </w:rPr>
        <w:t> </w:t>
      </w:r>
      <w:r>
        <w:rPr/>
        <w:t>元。</w:t>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32</w:t>
      </w:r>
      <w:r>
        <w:rPr/>
        <w:t>、以公允价值计量且其变动计入当期损益的金融负债：无。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33</w:t>
      </w:r>
      <w:r>
        <w:rPr/>
        <w:t>、衍生金融负债</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34</w:t>
      </w:r>
      <w:r>
        <w:rPr/>
        <w:t>、应付票据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11,372,048.74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10,550,000.00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11,372,048.74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10,550,000.00</w:t>
            </w:r>
          </w:p>
        </w:tc>
      </w:tr>
    </w:tbl>
    <w:p>
      <w:pPr>
        <w:pStyle w:val="BodyText"/>
        <w:spacing w:line="240" w:lineRule="auto" w:before="49"/>
        <w:ind w:right="153"/>
        <w:jc w:val="left"/>
      </w:pPr>
      <w:r>
        <w:rPr/>
        <w:t>本期末已到期未支付的应付票据总额为</w:t>
      </w:r>
      <w:r>
        <w:rPr>
          <w:spacing w:val="-44"/>
        </w:rPr>
        <w:t> </w:t>
      </w:r>
      <w:r>
        <w:rPr>
          <w:rFonts w:ascii="宋体" w:hAnsi="宋体" w:cs="宋体" w:eastAsia="宋体" w:hint="default"/>
        </w:rPr>
        <w:t>0.00</w:t>
      </w:r>
      <w:r>
        <w:rPr>
          <w:rFonts w:ascii="宋体" w:hAnsi="宋体" w:cs="宋体" w:eastAsia="宋体" w:hint="default"/>
          <w:spacing w:val="-43"/>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35</w:t>
      </w:r>
      <w:r>
        <w:rPr/>
        <w:t>、应付账款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）应付账款列示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31,544,629.98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39,659,096.24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5,551,550.29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14,563,591.45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5,165,314.19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3,032,029.69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2,459,254.76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2,420,899.81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44,720,749.22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59,675,617.19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浙江群力电气有限公司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6,293,350.21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河南华盛隆源电气有限公司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2,355,186.27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8,648,536.48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其他说明：无。</w:t>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36</w:t>
      </w:r>
      <w:r>
        <w:rPr/>
        <w:t>、预收款项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2,621,668.70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6,410,154.59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195,745.85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301,263.66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101,260.50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33,475.50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171,569.81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138,094.31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3,090,244.86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6,882,988.06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年的重要预收款项：无。</w:t>
      </w:r>
      <w:r>
        <w:rPr>
          <w:b w:val="0"/>
          <w:bCs w:val="0"/>
        </w:rPr>
      </w:r>
    </w:p>
    <w:p>
      <w:pPr>
        <w:spacing w:line="240" w:lineRule="auto" w:before="10"/>
        <w:rPr>
          <w:rFonts w:ascii="宋体" w:hAnsi="宋体" w:cs="宋体" w:eastAsia="宋体" w:hint="default"/>
          <w:b/>
          <w:bCs/>
          <w:sz w:val="25"/>
          <w:szCs w:val="25"/>
        </w:rPr>
      </w:pPr>
    </w:p>
    <w:p>
      <w:pPr>
        <w:pStyle w:val="Heading3"/>
        <w:spacing w:line="537" w:lineRule="auto"/>
        <w:ind w:right="4554"/>
        <w:jc w:val="left"/>
        <w:rPr>
          <w:b w:val="0"/>
          <w:bCs w:val="0"/>
        </w:rPr>
      </w:pPr>
      <w:r>
        <w:rPr>
          <w:spacing w:val="-1"/>
        </w:rPr>
        <w:t>（</w:t>
      </w:r>
      <w:r>
        <w:rPr>
          <w:rFonts w:ascii="宋体" w:hAnsi="宋体" w:cs="宋体" w:eastAsia="宋体" w:hint="default"/>
          <w:spacing w:val="-1"/>
        </w:rPr>
        <w:t>3</w:t>
      </w:r>
      <w:r>
        <w:rPr>
          <w:spacing w:val="-1"/>
        </w:rPr>
        <w:t>）期末建造合同形成的已结算未完工项目情况：无。</w:t>
      </w:r>
      <w:r>
        <w:rPr>
          <w:spacing w:val="-84"/>
        </w:rPr>
        <w:t> </w:t>
      </w:r>
      <w:r>
        <w:rPr>
          <w:spacing w:val="-84"/>
        </w:rPr>
      </w:r>
      <w:r>
        <w:rPr>
          <w:rFonts w:ascii="宋体" w:hAnsi="宋体" w:cs="宋体" w:eastAsia="宋体" w:hint="default"/>
        </w:rPr>
        <w:t>37</w:t>
      </w:r>
      <w:r>
        <w:rPr/>
        <w:t>、应付职工薪酬</w:t>
      </w:r>
      <w:r>
        <w:rPr>
          <w:b w:val="0"/>
          <w:bCs w:val="0"/>
        </w:rPr>
      </w:r>
    </w:p>
    <w:p>
      <w:pPr>
        <w:pStyle w:val="Heading3"/>
        <w:spacing w:line="240" w:lineRule="auto" w:before="79"/>
        <w:ind w:right="153"/>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713"/>
        <w:gridCol w:w="1702"/>
        <w:gridCol w:w="1985"/>
        <w:gridCol w:w="1632"/>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4,752,947.59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49,049,038.77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45,836,684.85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7,965,301.51</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108,907.92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2,980,915.47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3,074,680.39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15,143.00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2,505,874.57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2,505,874.57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4,861,855.51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54,535,828.81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51,417,239.81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7,980,444.51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4"/>
        <w:gridCol w:w="1985"/>
        <w:gridCol w:w="1632"/>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、工资、奖金、津贴和补贴</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4,574,853.21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41,396,327.76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38,071,476.84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7,899,704.13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6,514.12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2,595,205.16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2,601,719.28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75,112.99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2,264,867.31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2,335,991.50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3,988.80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28,392.00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1,958,025.11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1,981,537.11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4,880.00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、工会经费和职工教育经费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68,075.27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834,613.43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845,960.12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56,728.58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4,752,947.59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49,049,038.77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45,836,684.85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7,965,301.51</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99,007.20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2,781,492.61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2,866,813.81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13,686.00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199,422.86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207,866.58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1,457.00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108,907.92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2,980,915.47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3,074,680.39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15,143.00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宋体" w:hAnsi="宋体" w:cs="宋体" w:eastAsia="宋体" w:hint="default"/>
        </w:rPr>
        <w:t>38</w:t>
      </w:r>
      <w:r>
        <w:rPr/>
        <w:t>、应交税费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2,669,516.61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2,672,743.02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21,311.80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30,317.03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10,675,728.02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1,088,883.71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167,792.24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178,982.21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192,244.10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72,421.54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137,317.23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51,729.67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202,085.07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707,499.45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46,879.48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801,731.16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14,112,874.55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5,604,307.79</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39</w:t>
      </w:r>
      <w:r>
        <w:rPr/>
        <w:t>、应付利息：无。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40</w:t>
      </w:r>
      <w:r>
        <w:rPr/>
        <w:t>、应付股利：无。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41</w:t>
      </w:r>
      <w:r>
        <w:rPr/>
        <w:t>、其他应付款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）按款项性质列示其他应付款</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146,569,600.00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322,634.00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520,353.67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1,300,078.54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683,199.53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321,363.36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1,824,249.62</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8,835,427.52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81,762,800.00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股份支付激励对象认购款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51,168,000.00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143,710,303.42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149,597,402.82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年的重要其他应付款：无。</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49"/>
        <w:jc w:val="left"/>
      </w:pPr>
      <w:r>
        <w:rPr>
          <w:spacing w:val="-4"/>
        </w:rPr>
        <w:t>其他说明：按款项性质列示其他应付款的期末余额中</w:t>
      </w:r>
      <w:r>
        <w:rPr>
          <w:spacing w:val="-30"/>
        </w:rPr>
        <w:t> </w:t>
      </w:r>
      <w:r>
        <w:rPr>
          <w:rFonts w:ascii="宋体" w:hAnsi="宋体" w:cs="宋体" w:eastAsia="宋体" w:hint="default"/>
          <w:spacing w:val="-1"/>
        </w:rPr>
        <w:t>51,168,000.00</w:t>
      </w:r>
      <w:r>
        <w:rPr>
          <w:rFonts w:ascii="宋体" w:hAnsi="宋体" w:cs="宋体" w:eastAsia="宋体" w:hint="default"/>
          <w:spacing w:val="-26"/>
        </w:rPr>
        <w:t> </w:t>
      </w:r>
      <w:r>
        <w:rPr>
          <w:spacing w:val="-1"/>
        </w:rPr>
        <w:t>元系深圳惠程实施第一期股权激励计划激励对象缴纳的</w:t>
      </w:r>
      <w:r>
        <w:rPr>
          <w:spacing w:val="-85"/>
        </w:rPr>
        <w:t> </w:t>
      </w:r>
      <w:r>
        <w:rPr>
          <w:spacing w:val="-85"/>
        </w:rPr>
      </w:r>
      <w:r>
        <w:rPr/>
        <w:t>认购款，但期末授予登记尚未完成。</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42</w:t>
      </w:r>
      <w:r>
        <w:rPr/>
        <w:t>、划分为持有待售的负债：无。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43</w:t>
      </w:r>
      <w:r>
        <w:rPr/>
        <w:t>、一年内到期的非流动负债：无。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44</w:t>
      </w:r>
      <w:r>
        <w:rPr/>
        <w:t>、其他流动负债</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097"/>
        <w:gridCol w:w="2127"/>
        <w:gridCol w:w="1346"/>
      </w:tblGrid>
      <w:tr>
        <w:trPr>
          <w:trHeight w:val="401"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、技术改造补助资金（</w:t>
            </w:r>
            <w:r>
              <w:rPr>
                <w:rFonts w:ascii="宋体" w:hAnsi="宋体" w:cs="宋体" w:eastAsia="宋体" w:hint="default"/>
                <w:sz w:val="18"/>
                <w:szCs w:val="18"/>
              </w:rPr>
              <w:t>900</w:t>
            </w:r>
            <w:r>
              <w:rPr>
                <w:rFonts w:ascii="宋体" w:hAnsi="宋体" w:cs="宋体" w:eastAsia="宋体" w:hint="default"/>
                <w:spacing w:val="-44"/>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900,000.00</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、重点产业振兴和技术改造中央预算内投资计划</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1,300,000.00</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、技术改造补助资金（</w:t>
            </w:r>
            <w:r>
              <w:rPr>
                <w:rFonts w:ascii="宋体" w:hAnsi="宋体" w:cs="宋体" w:eastAsia="宋体" w:hint="default"/>
                <w:sz w:val="18"/>
                <w:szCs w:val="18"/>
              </w:rPr>
              <w:t>1876</w:t>
            </w:r>
            <w:r>
              <w:rPr>
                <w:rFonts w:ascii="宋体" w:hAnsi="宋体" w:cs="宋体" w:eastAsia="宋体" w:hint="default"/>
                <w:spacing w:val="-48"/>
                <w:sz w:val="18"/>
                <w:szCs w:val="18"/>
              </w:rPr>
              <w:t> </w:t>
            </w:r>
            <w:r>
              <w:rPr>
                <w:rFonts w:ascii="宋体" w:hAnsi="宋体" w:cs="宋体" w:eastAsia="宋体" w:hint="default"/>
                <w:sz w:val="18"/>
                <w:szCs w:val="18"/>
              </w:rPr>
              <w:t>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1,876,000.00</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、战略性新兴产业科技创新专项资金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21,621.62</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（国家</w:t>
            </w:r>
            <w:r>
              <w:rPr>
                <w:rFonts w:ascii="宋体" w:hAnsi="宋体" w:cs="宋体" w:eastAsia="宋体" w:hint="default"/>
                <w:spacing w:val="-44"/>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6</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计划）科技计</w:t>
            </w:r>
            <w:r>
              <w:rPr>
                <w:rFonts w:ascii="宋体" w:hAnsi="宋体" w:cs="宋体" w:eastAsia="宋体" w:hint="default"/>
                <w:spacing w:val="-3"/>
                <w:sz w:val="18"/>
                <w:szCs w:val="18"/>
              </w:rPr>
              <w:t>划</w:t>
            </w: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968,421.39</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、省校合作技术开发项目资金（</w:t>
            </w:r>
            <w:r>
              <w:rPr>
                <w:rFonts w:ascii="宋体" w:hAnsi="宋体" w:cs="宋体" w:eastAsia="宋体" w:hint="default"/>
                <w:sz w:val="18"/>
                <w:szCs w:val="18"/>
              </w:rPr>
              <w:t>70</w:t>
            </w:r>
            <w:r>
              <w:rPr>
                <w:rFonts w:ascii="宋体" w:hAnsi="宋体" w:cs="宋体" w:eastAsia="宋体" w:hint="default"/>
                <w:spacing w:val="-41"/>
                <w:sz w:val="18"/>
                <w:szCs w:val="18"/>
              </w:rPr>
              <w:t> </w:t>
            </w:r>
            <w:r>
              <w:rPr>
                <w:rFonts w:ascii="宋体" w:hAnsi="宋体" w:cs="宋体" w:eastAsia="宋体" w:hint="default"/>
                <w:sz w:val="18"/>
                <w:szCs w:val="18"/>
              </w:rPr>
              <w:t>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311,111.11</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、长春市科技计划项目（</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144,000.00</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、区域发展类</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协同创新中心</w:t>
            </w:r>
            <w:r>
              <w:rPr>
                <w:rFonts w:ascii="宋体" w:hAnsi="宋体" w:cs="宋体" w:eastAsia="宋体" w:hint="default"/>
                <w:sz w:val="18"/>
                <w:szCs w:val="18"/>
              </w:rPr>
              <w:t>"</w:t>
            </w:r>
            <w:r>
              <w:rPr>
                <w:rFonts w:ascii="宋体" w:hAnsi="宋体" w:cs="宋体" w:eastAsia="宋体" w:hint="default"/>
                <w:sz w:val="18"/>
                <w:szCs w:val="18"/>
              </w:rPr>
              <w:t>项目资助资金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375,000.00</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
                <w:sz w:val="18"/>
                <w:szCs w:val="18"/>
              </w:rPr>
              <w:t>9</w:t>
            </w:r>
            <w:r>
              <w:rPr>
                <w:rFonts w:ascii="宋体" w:hAnsi="宋体" w:cs="宋体" w:eastAsia="宋体" w:hint="default"/>
                <w:sz w:val="18"/>
                <w:szCs w:val="18"/>
              </w:rPr>
              <w:t>、长春市科技计划项目（</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年第四批</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105,000.00</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年吉林市战略性新兴产业科技创新专项资金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116,869.57</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、宽温度使用范围及高倍率充放电特性的动力电池技术专项资金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750,000.00</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宋体" w:hAnsi="宋体" w:cs="宋体" w:eastAsia="宋体" w:hint="default"/>
                <w:sz w:val="18"/>
                <w:szCs w:val="18"/>
              </w:rPr>
              <w:t>250</w:t>
            </w:r>
            <w:r>
              <w:rPr>
                <w:rFonts w:ascii="宋体" w:hAnsi="宋体" w:cs="宋体" w:eastAsia="宋体" w:hint="default"/>
                <w:spacing w:val="-45"/>
                <w:sz w:val="18"/>
                <w:szCs w:val="18"/>
              </w:rPr>
              <w:t> </w:t>
            </w:r>
            <w:r>
              <w:rPr>
                <w:rFonts w:ascii="宋体" w:hAnsi="宋体" w:cs="宋体" w:eastAsia="宋体" w:hint="default"/>
                <w:sz w:val="18"/>
                <w:szCs w:val="18"/>
              </w:rPr>
              <w:t>吨（一期</w:t>
            </w:r>
            <w:r>
              <w:rPr>
                <w:rFonts w:ascii="宋体" w:hAnsi="宋体" w:cs="宋体" w:eastAsia="宋体" w:hint="default"/>
                <w:spacing w:val="-48"/>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吨）聚酰亚胺及中间产品技改项目（</w:t>
            </w:r>
            <w:r>
              <w:rPr>
                <w:rFonts w:ascii="宋体" w:hAnsi="宋体" w:cs="宋体" w:eastAsia="宋体" w:hint="default"/>
                <w:sz w:val="18"/>
                <w:szCs w:val="18"/>
              </w:rPr>
              <w:t>150</w:t>
            </w:r>
            <w:r>
              <w:rPr>
                <w:rFonts w:ascii="宋体" w:hAnsi="宋体" w:cs="宋体" w:eastAsia="宋体" w:hint="default"/>
                <w:spacing w:val="-44"/>
                <w:sz w:val="18"/>
                <w:szCs w:val="18"/>
              </w:rPr>
              <w:t> </w:t>
            </w:r>
            <w:r>
              <w:rPr>
                <w:rFonts w:ascii="宋体" w:hAnsi="宋体" w:cs="宋体" w:eastAsia="宋体" w:hint="default"/>
                <w:sz w:val="18"/>
                <w:szCs w:val="18"/>
              </w:rPr>
              <w:t>万</w:t>
            </w:r>
            <w:r>
              <w:rPr>
                <w:rFonts w:ascii="宋体" w:hAnsi="宋体" w:cs="宋体" w:eastAsia="宋体"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153,419.05</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、基础研究项目（高强度聚酰亚胺纤维结构性能与制备技术研究）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119,165.83</w:t>
            </w: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、企业技术创新项目（高性能聚酰亚胺材料研究中心）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514,285.72</w:t>
            </w: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7,654,894.29</w:t>
            </w:r>
          </w:p>
        </w:tc>
      </w:tr>
    </w:tbl>
    <w:p>
      <w:pPr>
        <w:pStyle w:val="BodyText"/>
        <w:spacing w:line="240" w:lineRule="auto" w:before="49"/>
        <w:ind w:right="153"/>
        <w:jc w:val="left"/>
      </w:pPr>
      <w:r>
        <w:rPr/>
        <w:t>短期应付债券的增减变动：无。</w:t>
      </w:r>
    </w:p>
    <w:p>
      <w:pPr>
        <w:spacing w:after="0" w:line="240" w:lineRule="auto"/>
        <w:jc w:val="left"/>
        <w:sectPr>
          <w:pgSz w:w="11910" w:h="16840"/>
          <w:pgMar w:header="0" w:footer="1186" w:top="1100" w:bottom="1380" w:left="980" w:right="980"/>
        </w:sectPr>
      </w:pPr>
    </w:p>
    <w:p>
      <w:pPr>
        <w:spacing w:line="240" w:lineRule="auto" w:before="8"/>
        <w:rPr>
          <w:rFonts w:ascii="宋体" w:hAnsi="宋体" w:cs="宋体" w:eastAsia="宋体" w:hint="default"/>
          <w:sz w:val="25"/>
          <w:szCs w:val="25"/>
        </w:rPr>
      </w:pPr>
    </w:p>
    <w:p>
      <w:pPr>
        <w:pStyle w:val="BodyText"/>
        <w:spacing w:line="240" w:lineRule="auto"/>
        <w:ind w:left="140" w:right="-20"/>
        <w:jc w:val="left"/>
      </w:pPr>
      <w:r>
        <w:rPr/>
        <w:pict>
          <v:group style="position:absolute;margin-left:70.559998pt;margin-top:-1.508291pt;width:700.95pt;height:.1pt;mso-position-horizontal-relative:page;mso-position-vertical-relative:paragraph;z-index:1912" coordorigin="1411,-30" coordsize="14019,2">
            <v:shape style="position:absolute;left:1411;top:-30;width:14019;height:2" coordorigin="1411,-30" coordsize="14019,0" path="m1411,-30l15430,-30e" filled="false" stroked="true" strokeweight=".72pt" strokecolor="#000000">
              <v:path arrowok="t"/>
            </v:shape>
            <w10:wrap type="none"/>
          </v:group>
        </w:pict>
      </w:r>
      <w:r>
        <w:rPr/>
        <w:t>其他说明：</w:t>
      </w:r>
    </w:p>
    <w:p>
      <w:pPr>
        <w:pStyle w:val="BodyText"/>
        <w:spacing w:line="240" w:lineRule="auto" w:before="117"/>
        <w:ind w:left="500" w:right="-20"/>
        <w:jc w:val="left"/>
      </w:pPr>
      <w:r>
        <w:rPr/>
        <w:t>其他流动负债的说明：</w:t>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4"/>
          <w:footerReference w:type="default" r:id="rId45"/>
          <w:pgSz w:w="16840" w:h="11910" w:orient="landscape"/>
          <w:pgMar w:header="0" w:footer="0" w:top="800" w:bottom="280" w:left="1300" w:right="1300"/>
          <w:cols w:num="2" w:equalWidth="0">
            <w:col w:w="2301" w:space="7608"/>
            <w:col w:w="4331"/>
          </w:cols>
        </w:sectPr>
      </w:pPr>
    </w:p>
    <w:p>
      <w:pPr>
        <w:spacing w:line="240" w:lineRule="auto" w:before="4"/>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5540"/>
        <w:gridCol w:w="1841"/>
        <w:gridCol w:w="1560"/>
        <w:gridCol w:w="1419"/>
        <w:gridCol w:w="1416"/>
        <w:gridCol w:w="910"/>
        <w:gridCol w:w="1294"/>
      </w:tblGrid>
      <w:tr>
        <w:trPr>
          <w:trHeight w:val="653"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43" w:right="53" w:hanging="89"/>
              <w:jc w:val="left"/>
              <w:rPr>
                <w:rFonts w:ascii="宋体" w:hAnsi="宋体" w:cs="宋体" w:eastAsia="宋体" w:hint="default"/>
                <w:sz w:val="18"/>
                <w:szCs w:val="18"/>
              </w:rPr>
            </w:pPr>
            <w:r>
              <w:rPr>
                <w:rFonts w:ascii="宋体" w:hAnsi="宋体" w:cs="宋体" w:eastAsia="宋体" w:hint="default"/>
                <w:sz w:val="18"/>
                <w:szCs w:val="18"/>
              </w:rPr>
              <w:t>递延收益未来一年 内摊销转入金额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43" w:right="75" w:hanging="272"/>
              <w:jc w:val="left"/>
              <w:rPr>
                <w:rFonts w:ascii="宋体" w:hAnsi="宋体" w:cs="宋体" w:eastAsia="宋体" w:hint="default"/>
                <w:sz w:val="18"/>
                <w:szCs w:val="18"/>
              </w:rPr>
            </w:pPr>
            <w:r>
              <w:rPr>
                <w:rFonts w:ascii="宋体" w:hAnsi="宋体" w:cs="宋体" w:eastAsia="宋体" w:hint="default"/>
                <w:sz w:val="18"/>
                <w:szCs w:val="18"/>
              </w:rPr>
              <w:t>本年计入营业外 收入金额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80" w:right="55" w:hanging="2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、技术改造补助资金（</w:t>
            </w:r>
            <w:r>
              <w:rPr>
                <w:rFonts w:ascii="宋体" w:hAnsi="宋体" w:cs="宋体" w:eastAsia="宋体" w:hint="default"/>
                <w:sz w:val="18"/>
                <w:szCs w:val="18"/>
              </w:rPr>
              <w:t>900</w:t>
            </w:r>
            <w:r>
              <w:rPr>
                <w:rFonts w:ascii="宋体" w:hAnsi="宋体" w:cs="宋体" w:eastAsia="宋体" w:hint="default"/>
                <w:sz w:val="18"/>
                <w:szCs w:val="18"/>
              </w:rPr>
              <w:t>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900,000.00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225,000.00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675,000.00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、重点产业振兴和技术改造中央预算内投资计划</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1,300,000.00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324,999.99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975,000.01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、技术改造补助资金（</w:t>
            </w:r>
            <w:r>
              <w:rPr>
                <w:rFonts w:ascii="宋体" w:hAnsi="宋体" w:cs="宋体" w:eastAsia="宋体" w:hint="default"/>
                <w:sz w:val="18"/>
                <w:szCs w:val="18"/>
              </w:rPr>
              <w:t>1876</w:t>
            </w:r>
            <w:r>
              <w:rPr>
                <w:rFonts w:ascii="宋体" w:hAnsi="宋体" w:cs="宋体" w:eastAsia="宋体" w:hint="default"/>
                <w:sz w:val="18"/>
                <w:szCs w:val="18"/>
              </w:rPr>
              <w:t>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1,876,000.00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468,999.99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1,407,000.01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3"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、战略性新兴产业科技创新专项资金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pacing w:val="-1"/>
                <w:sz w:val="18"/>
              </w:rPr>
              <w:t>21,621.62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right"/>
              <w:rPr>
                <w:rFonts w:ascii="宋体" w:hAnsi="宋体" w:cs="宋体" w:eastAsia="宋体" w:hint="default"/>
                <w:sz w:val="18"/>
                <w:szCs w:val="18"/>
              </w:rPr>
            </w:pPr>
            <w:r>
              <w:rPr>
                <w:rFonts w:ascii="宋体"/>
                <w:spacing w:val="-1"/>
                <w:sz w:val="18"/>
              </w:rPr>
              <w:t>5,405.41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pacing w:val="-1"/>
                <w:sz w:val="18"/>
              </w:rPr>
              <w:t>16,216.21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0"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、（国家</w:t>
            </w:r>
            <w:r>
              <w:rPr>
                <w:rFonts w:ascii="宋体" w:hAnsi="宋体" w:cs="宋体" w:eastAsia="宋体" w:hint="default"/>
                <w:sz w:val="18"/>
                <w:szCs w:val="18"/>
              </w:rPr>
              <w:t>863</w:t>
            </w:r>
            <w:r>
              <w:rPr>
                <w:rFonts w:ascii="宋体" w:hAnsi="宋体" w:cs="宋体" w:eastAsia="宋体" w:hint="default"/>
                <w:sz w:val="18"/>
                <w:szCs w:val="18"/>
              </w:rPr>
              <w:t>计划）科技计划项目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968,421.39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322,807.12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645,614.27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、省校合作技术开发项目资金（</w:t>
            </w:r>
            <w:r>
              <w:rPr>
                <w:rFonts w:ascii="宋体" w:hAnsi="宋体" w:cs="宋体" w:eastAsia="宋体" w:hint="default"/>
                <w:sz w:val="18"/>
                <w:szCs w:val="18"/>
              </w:rPr>
              <w:t>70</w:t>
            </w:r>
            <w:r>
              <w:rPr>
                <w:rFonts w:ascii="宋体" w:hAnsi="宋体" w:cs="宋体" w:eastAsia="宋体" w:hint="default"/>
                <w:sz w:val="18"/>
                <w:szCs w:val="18"/>
              </w:rPr>
              <w:t>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311,111.11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103,703.72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207,407.39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、长春市科技计划项目（</w:t>
            </w:r>
            <w:r>
              <w:rPr>
                <w:rFonts w:ascii="宋体" w:hAnsi="宋体" w:cs="宋体" w:eastAsia="宋体" w:hint="default"/>
                <w:sz w:val="18"/>
                <w:szCs w:val="18"/>
              </w:rPr>
              <w:t>30</w:t>
            </w:r>
            <w:r>
              <w:rPr>
                <w:rFonts w:ascii="宋体" w:hAnsi="宋体" w:cs="宋体" w:eastAsia="宋体" w:hint="default"/>
                <w:sz w:val="18"/>
                <w:szCs w:val="18"/>
              </w:rPr>
              <w:t>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144,000.00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48,000.00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96,000.00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、区域发展类</w:t>
            </w:r>
            <w:r>
              <w:rPr>
                <w:rFonts w:ascii="宋体" w:hAnsi="宋体" w:cs="宋体" w:eastAsia="宋体" w:hint="default"/>
                <w:sz w:val="18"/>
                <w:szCs w:val="18"/>
              </w:rPr>
              <w:t>"2011</w:t>
            </w:r>
            <w:r>
              <w:rPr>
                <w:rFonts w:ascii="宋体" w:hAnsi="宋体" w:cs="宋体" w:eastAsia="宋体" w:hint="default"/>
                <w:sz w:val="18"/>
                <w:szCs w:val="18"/>
              </w:rPr>
              <w:t>协同创新中心</w:t>
            </w:r>
            <w:r>
              <w:rPr>
                <w:rFonts w:ascii="宋体" w:hAnsi="宋体" w:cs="宋体" w:eastAsia="宋体" w:hint="default"/>
                <w:sz w:val="18"/>
                <w:szCs w:val="18"/>
              </w:rPr>
              <w:t>"</w:t>
            </w:r>
            <w:r>
              <w:rPr>
                <w:rFonts w:ascii="宋体" w:hAnsi="宋体" w:cs="宋体" w:eastAsia="宋体" w:hint="default"/>
                <w:sz w:val="18"/>
                <w:szCs w:val="18"/>
              </w:rPr>
              <w:t>项目资助资金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375,000.00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375,000.00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、长春市科技计划项目（</w:t>
            </w:r>
            <w:r>
              <w:rPr>
                <w:rFonts w:ascii="宋体" w:hAnsi="宋体" w:cs="宋体" w:eastAsia="宋体" w:hint="default"/>
                <w:sz w:val="18"/>
                <w:szCs w:val="18"/>
              </w:rPr>
              <w:t>2013</w:t>
            </w:r>
            <w:r>
              <w:rPr>
                <w:rFonts w:ascii="宋体" w:hAnsi="宋体" w:cs="宋体" w:eastAsia="宋体" w:hint="default"/>
                <w:sz w:val="18"/>
                <w:szCs w:val="18"/>
              </w:rPr>
              <w:t>年第四批）（</w:t>
            </w:r>
            <w:r>
              <w:rPr>
                <w:rFonts w:ascii="宋体" w:hAnsi="宋体" w:cs="宋体" w:eastAsia="宋体" w:hint="default"/>
                <w:sz w:val="18"/>
                <w:szCs w:val="18"/>
              </w:rPr>
              <w:t>21</w:t>
            </w:r>
            <w:r>
              <w:rPr>
                <w:rFonts w:ascii="宋体" w:hAnsi="宋体" w:cs="宋体" w:eastAsia="宋体" w:hint="default"/>
                <w:sz w:val="18"/>
                <w:szCs w:val="18"/>
              </w:rPr>
              <w:t>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105,000.00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8" w:right="0"/>
              <w:jc w:val="left"/>
              <w:rPr>
                <w:rFonts w:ascii="宋体" w:hAnsi="宋体" w:cs="宋体" w:eastAsia="宋体" w:hint="default"/>
                <w:sz w:val="18"/>
                <w:szCs w:val="18"/>
              </w:rPr>
            </w:pPr>
            <w:r>
              <w:rPr>
                <w:rFonts w:ascii="宋体"/>
                <w:sz w:val="18"/>
              </w:rPr>
              <w:t>35,000.00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70,000.00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3"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年吉林市战略性新兴产业科技创新专项资金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pacing w:val="-1"/>
                <w:sz w:val="18"/>
              </w:rPr>
              <w:t>116,869.57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8" w:right="0"/>
              <w:jc w:val="left"/>
              <w:rPr>
                <w:rFonts w:ascii="宋体" w:hAnsi="宋体" w:cs="宋体" w:eastAsia="宋体" w:hint="default"/>
                <w:sz w:val="18"/>
                <w:szCs w:val="18"/>
              </w:rPr>
            </w:pPr>
            <w:r>
              <w:rPr>
                <w:rFonts w:ascii="宋体"/>
                <w:sz w:val="18"/>
              </w:rPr>
              <w:t>29,217.41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pacing w:val="-1"/>
                <w:sz w:val="18"/>
              </w:rPr>
              <w:t>87,652.16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right"/>
              <w:rPr>
                <w:rFonts w:ascii="宋体" w:hAnsi="宋体" w:cs="宋体" w:eastAsia="宋体" w:hint="default"/>
                <w:sz w:val="18"/>
                <w:szCs w:val="18"/>
              </w:rPr>
            </w:pPr>
            <w:r>
              <w:rPr>
                <w:rFonts w:ascii="宋体"/>
                <w:spacing w:val="-1"/>
                <w:sz w:val="18"/>
              </w:rPr>
              <w:t>0.00</w:t>
            </w:r>
            <w:r>
              <w:rPr>
                <w:rFonts w:ascii="宋体"/>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0"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、宽温度使用范围及高倍率充放电特性的动力电池技术专项资金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750,000.00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9" w:right="0"/>
              <w:jc w:val="left"/>
              <w:rPr>
                <w:rFonts w:ascii="宋体" w:hAnsi="宋体" w:cs="宋体" w:eastAsia="宋体" w:hint="default"/>
                <w:sz w:val="18"/>
                <w:szCs w:val="18"/>
              </w:rPr>
            </w:pPr>
            <w:r>
              <w:rPr>
                <w:rFonts w:ascii="宋体"/>
                <w:sz w:val="18"/>
              </w:rPr>
              <w:t>210,000.00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540,000.00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、年产</w:t>
            </w:r>
            <w:r>
              <w:rPr>
                <w:rFonts w:ascii="宋体" w:hAnsi="宋体" w:cs="宋体" w:eastAsia="宋体" w:hint="default"/>
                <w:sz w:val="18"/>
                <w:szCs w:val="18"/>
              </w:rPr>
              <w:t>250</w:t>
            </w:r>
            <w:r>
              <w:rPr>
                <w:rFonts w:ascii="宋体" w:hAnsi="宋体" w:cs="宋体" w:eastAsia="宋体" w:hint="default"/>
                <w:sz w:val="18"/>
                <w:szCs w:val="18"/>
              </w:rPr>
              <w:t>吨（一期</w:t>
            </w:r>
            <w:r>
              <w:rPr>
                <w:rFonts w:ascii="宋体" w:hAnsi="宋体" w:cs="宋体" w:eastAsia="宋体" w:hint="default"/>
                <w:sz w:val="18"/>
                <w:szCs w:val="18"/>
              </w:rPr>
              <w:t>100</w:t>
            </w:r>
            <w:r>
              <w:rPr>
                <w:rFonts w:ascii="宋体" w:hAnsi="宋体" w:cs="宋体" w:eastAsia="宋体" w:hint="default"/>
                <w:sz w:val="18"/>
                <w:szCs w:val="18"/>
              </w:rPr>
              <w:t>吨）聚酰亚胺及中间产品技改项目（</w:t>
            </w:r>
            <w:r>
              <w:rPr>
                <w:rFonts w:ascii="宋体" w:hAnsi="宋体" w:cs="宋体" w:eastAsia="宋体" w:hint="default"/>
                <w:sz w:val="18"/>
                <w:szCs w:val="18"/>
              </w:rPr>
              <w:t>150</w:t>
            </w:r>
            <w:r>
              <w:rPr>
                <w:rFonts w:ascii="宋体" w:hAnsi="宋体" w:cs="宋体" w:eastAsia="宋体" w:hint="default"/>
                <w:sz w:val="18"/>
                <w:szCs w:val="18"/>
              </w:rPr>
              <w:t>万</w:t>
            </w:r>
            <w:r>
              <w:rPr>
                <w:rFonts w:ascii="宋体" w:hAnsi="宋体" w:cs="宋体" w:eastAsia="宋体"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153,419.05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8" w:right="0"/>
              <w:jc w:val="left"/>
              <w:rPr>
                <w:rFonts w:ascii="宋体" w:hAnsi="宋体" w:cs="宋体" w:eastAsia="宋体" w:hint="default"/>
                <w:sz w:val="18"/>
                <w:szCs w:val="18"/>
              </w:rPr>
            </w:pPr>
            <w:r>
              <w:rPr>
                <w:rFonts w:ascii="宋体"/>
                <w:sz w:val="18"/>
              </w:rPr>
              <w:t>38,354.76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115,064.29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、基础研究项目（高强度聚酰亚胺纤维结构性能与制备技术研究）</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119,165.84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8" w:right="0"/>
              <w:jc w:val="left"/>
              <w:rPr>
                <w:rFonts w:ascii="宋体" w:hAnsi="宋体" w:cs="宋体" w:eastAsia="宋体" w:hint="default"/>
                <w:sz w:val="18"/>
                <w:szCs w:val="18"/>
              </w:rPr>
            </w:pPr>
            <w:r>
              <w:rPr>
                <w:rFonts w:ascii="宋体"/>
                <w:sz w:val="18"/>
              </w:rPr>
              <w:t>39,721.96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79,443.88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、企业技术创新项目（高性能聚酰亚胺材料研究中心）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514,285.71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9" w:right="0"/>
              <w:jc w:val="left"/>
              <w:rPr>
                <w:rFonts w:ascii="宋体" w:hAnsi="宋体" w:cs="宋体" w:eastAsia="宋体" w:hint="default"/>
                <w:sz w:val="18"/>
                <w:szCs w:val="18"/>
              </w:rPr>
            </w:pPr>
            <w:r>
              <w:rPr>
                <w:rFonts w:ascii="宋体"/>
                <w:sz w:val="18"/>
              </w:rPr>
              <w:t>171,428.56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pacing w:val="-1"/>
                <w:sz w:val="18"/>
              </w:rPr>
              <w:t>342,857.15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22" w:hRule="exact"/>
        </w:trPr>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7,654,894.29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2,022,638.92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5,632,255.37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r>
    </w:tbl>
    <w:p>
      <w:pPr>
        <w:pStyle w:val="BodyText"/>
        <w:spacing w:line="240" w:lineRule="auto" w:before="8"/>
        <w:ind w:left="500" w:right="8318"/>
        <w:jc w:val="left"/>
      </w:pPr>
      <w:r>
        <w:rPr/>
        <w:t>注：其他变动系丧失子公司的控制权后合并范围发生变化。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76"/>
        <w:ind w:left="6965" w:right="6963"/>
        <w:jc w:val="center"/>
        <w:rPr>
          <w:rFonts w:ascii="Times New Roman" w:hAnsi="Times New Roman" w:cs="Times New Roman" w:eastAsia="Times New Roman" w:hint="default"/>
        </w:rPr>
      </w:pPr>
      <w:r>
        <w:rPr>
          <w:rFonts w:ascii="Times New Roman"/>
        </w:rPr>
        <w:t>136</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380" w:left="1300" w:right="130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53"/>
        <w:jc w:val="left"/>
        <w:rPr>
          <w:b w:val="0"/>
          <w:bCs w:val="0"/>
        </w:rPr>
      </w:pPr>
      <w:r>
        <w:rPr>
          <w:rFonts w:ascii="宋体" w:hAnsi="宋体" w:cs="宋体" w:eastAsia="宋体" w:hint="default"/>
        </w:rPr>
        <w:t>45</w:t>
      </w:r>
      <w:r>
        <w:rPr/>
        <w:t>、长期借款：无。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46</w:t>
      </w:r>
      <w:r>
        <w:rPr/>
        <w:t>、应付债券：无。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47</w:t>
      </w:r>
      <w:r>
        <w:rPr/>
        <w:t>、长期应付款：无。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48</w:t>
      </w:r>
      <w:r>
        <w:rPr/>
        <w:t>、长期应付职工薪酬：无。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49</w:t>
      </w:r>
      <w:r>
        <w:rPr/>
        <w:t>、专项应付款：无。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50</w:t>
      </w:r>
      <w:r>
        <w:rPr/>
        <w:t>、预计负债：无。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51</w:t>
      </w:r>
      <w:r>
        <w:rPr/>
        <w:t>、递延收益</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97" w:right="0"/>
              <w:jc w:val="left"/>
              <w:rPr>
                <w:rFonts w:ascii="宋体" w:hAnsi="宋体" w:cs="宋体" w:eastAsia="宋体" w:hint="default"/>
                <w:sz w:val="18"/>
                <w:szCs w:val="18"/>
              </w:rPr>
            </w:pPr>
            <w:r>
              <w:rPr>
                <w:rFonts w:ascii="宋体"/>
                <w:sz w:val="18"/>
              </w:rPr>
              <w:t>60,496,203.76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58,546,203.76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97" w:right="0"/>
              <w:jc w:val="left"/>
              <w:rPr>
                <w:rFonts w:ascii="宋体" w:hAnsi="宋体" w:cs="宋体" w:eastAsia="宋体" w:hint="default"/>
                <w:sz w:val="18"/>
                <w:szCs w:val="18"/>
              </w:rPr>
            </w:pPr>
            <w:r>
              <w:rPr>
                <w:rFonts w:ascii="宋体"/>
                <w:sz w:val="18"/>
              </w:rPr>
              <w:t>60,496,203.76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58,546,203.76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pacing w:val="-1"/>
                <w:sz w:val="18"/>
              </w:rPr>
              <w:t>1,950,000.00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涉及政府补助的项目：</w:t>
      </w:r>
    </w:p>
    <w:p>
      <w:pPr>
        <w:pStyle w:val="BodyText"/>
        <w:spacing w:line="240" w:lineRule="auto" w:before="115"/>
        <w:ind w:left="0" w:right="151"/>
        <w:jc w:val="right"/>
      </w:pPr>
      <w:r>
        <w:rPr/>
        <w:pict>
          <v:group style="position:absolute;margin-left:184.580002pt;margin-top:114.501724pt;width:62.2pt;height:20.65pt;mso-position-horizontal-relative:page;mso-position-vertical-relative:paragraph;z-index:-1060120" coordorigin="3692,2290" coordsize="1244,413">
            <v:group style="position:absolute;left:3702;top:2301;width:2;height:392" coordorigin="3702,2301" coordsize="2,392">
              <v:shape style="position:absolute;left:3702;top:2301;width:2;height:392" coordorigin="3702,2301" coordsize="0,392" path="m3702,2301l3702,2692e" filled="false" stroked="true" strokeweight="1.08pt" strokecolor="#ffffff">
                <v:path arrowok="t"/>
              </v:shape>
            </v:group>
            <v:group style="position:absolute;left:3713;top:2301;width:1223;height:392" coordorigin="3713,2301" coordsize="1223,392">
              <v:shape style="position:absolute;left:3713;top:2301;width:1223;height:392" coordorigin="3713,2301" coordsize="1223,392" path="m3713,2692l4935,2692,4935,2301,3713,2301,3713,2692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277"/>
        <w:gridCol w:w="850"/>
        <w:gridCol w:w="1277"/>
        <w:gridCol w:w="1277"/>
        <w:gridCol w:w="1275"/>
        <w:gridCol w:w="1066"/>
      </w:tblGrid>
      <w:tr>
        <w:trPr>
          <w:trHeight w:val="71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30"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401" w:hRule="exact"/>
        </w:trPr>
        <w:tc>
          <w:tcPr>
            <w:tcW w:w="255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、技术改造补助资金（</w:t>
            </w:r>
            <w:r>
              <w:rPr>
                <w:rFonts w:ascii="宋体" w:hAnsi="宋体" w:cs="宋体" w:eastAsia="宋体" w:hint="default"/>
                <w:sz w:val="18"/>
                <w:szCs w:val="18"/>
              </w:rPr>
              <w:t>900</w:t>
            </w:r>
            <w:r>
              <w:rPr>
                <w:rFonts w:ascii="宋体" w:hAnsi="宋体" w:cs="宋体" w:eastAsia="宋体" w:hint="default"/>
                <w:spacing w:val="-44"/>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5,775,000.00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5,775,000.00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、重点产业振兴和技术改造中 央预算内投资计划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9,100,000.00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、技术改造补助资金（</w:t>
            </w:r>
            <w:r>
              <w:rPr>
                <w:rFonts w:ascii="宋体" w:hAnsi="宋体" w:cs="宋体" w:eastAsia="宋体" w:hint="default"/>
                <w:spacing w:val="-5"/>
                <w:sz w:val="18"/>
                <w:szCs w:val="18"/>
              </w:rPr>
              <w:t>1876</w:t>
            </w:r>
            <w:r>
              <w:rPr>
                <w:rFonts w:ascii="宋体" w:hAnsi="宋体" w:cs="宋体" w:eastAsia="宋体" w:hint="default"/>
                <w:spacing w:val="-37"/>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 w:right="2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13,132,000.00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13,132,000.00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、战略性新兴产业科技创新专 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151,351.35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151,351.35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、新兴产业发展专项资金（</w:t>
            </w:r>
            <w:r>
              <w:rPr>
                <w:rFonts w:ascii="宋体" w:hAnsi="宋体" w:cs="宋体" w:eastAsia="宋体" w:hint="default"/>
                <w:spacing w:val="-2"/>
                <w:sz w:val="18"/>
                <w:szCs w:val="18"/>
              </w:rPr>
              <w:t>500</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、产学研合作项目资助资金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
              <w:jc w:val="left"/>
              <w:rPr>
                <w:rFonts w:ascii="宋体" w:hAnsi="宋体" w:cs="宋体" w:eastAsia="宋体" w:hint="default"/>
                <w:sz w:val="18"/>
                <w:szCs w:val="18"/>
              </w:rPr>
            </w:pPr>
            <w:r>
              <w:rPr>
                <w:rFonts w:ascii="宋体" w:hAnsi="宋体" w:cs="宋体" w:eastAsia="宋体" w:hint="default"/>
                <w:spacing w:val="-2"/>
                <w:sz w:val="18"/>
                <w:szCs w:val="18"/>
              </w:rPr>
              <w:t>7</w:t>
            </w:r>
            <w:r>
              <w:rPr>
                <w:rFonts w:ascii="宋体" w:hAnsi="宋体" w:cs="宋体" w:eastAsia="宋体" w:hint="default"/>
                <w:spacing w:val="-2"/>
                <w:sz w:val="18"/>
                <w:szCs w:val="18"/>
              </w:rPr>
              <w:t>、新兴产业发展专项资金（</w:t>
            </w:r>
            <w:r>
              <w:rPr>
                <w:rFonts w:ascii="宋体" w:hAnsi="宋体" w:cs="宋体" w:eastAsia="宋体" w:hint="default"/>
                <w:spacing w:val="-2"/>
                <w:sz w:val="18"/>
                <w:szCs w:val="18"/>
              </w:rPr>
              <w:t>150</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、战略性新兴产业投资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20,389,500.00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20,389,500.00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9</w:t>
            </w:r>
            <w:r>
              <w:rPr>
                <w:rFonts w:ascii="宋体" w:hAnsi="宋体" w:cs="宋体" w:eastAsia="宋体" w:hint="default"/>
                <w:spacing w:val="-6"/>
                <w:sz w:val="18"/>
                <w:szCs w:val="18"/>
              </w:rPr>
              <w:t>、区域发展类</w:t>
            </w:r>
            <w:r>
              <w:rPr>
                <w:rFonts w:ascii="宋体" w:hAnsi="宋体" w:cs="宋体" w:eastAsia="宋体" w:hint="default"/>
                <w:spacing w:val="-6"/>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协同创新中 心</w:t>
            </w:r>
            <w:r>
              <w:rPr>
                <w:rFonts w:ascii="宋体" w:hAnsi="宋体" w:cs="宋体" w:eastAsia="宋体" w:hint="default"/>
                <w:sz w:val="18"/>
                <w:szCs w:val="18"/>
              </w:rPr>
              <w:t>"</w:t>
            </w:r>
            <w:r>
              <w:rPr>
                <w:rFonts w:ascii="宋体" w:hAnsi="宋体" w:cs="宋体" w:eastAsia="宋体" w:hint="default"/>
                <w:sz w:val="18"/>
                <w:szCs w:val="18"/>
              </w:rPr>
              <w:t>项目资助资金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10</w:t>
            </w:r>
            <w:r>
              <w:rPr>
                <w:rFonts w:ascii="宋体" w:hAnsi="宋体" w:cs="宋体" w:eastAsia="宋体" w:hint="default"/>
                <w:spacing w:val="-11"/>
                <w:sz w:val="18"/>
                <w:szCs w:val="18"/>
              </w:rPr>
              <w:t>、</w:t>
            </w:r>
            <w:r>
              <w:rPr>
                <w:rFonts w:ascii="宋体" w:hAnsi="宋体" w:cs="宋体" w:eastAsia="宋体" w:hint="default"/>
                <w:spacing w:val="-11"/>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年吉林市战略性新兴产 业科技创新专项资金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68,173.91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68,173.91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
              <w:jc w:val="left"/>
              <w:rPr>
                <w:rFonts w:ascii="宋体" w:hAnsi="宋体" w:cs="宋体" w:eastAsia="宋体" w:hint="default"/>
                <w:sz w:val="18"/>
                <w:szCs w:val="18"/>
              </w:rPr>
            </w:pPr>
            <w:r>
              <w:rPr>
                <w:rFonts w:ascii="宋体" w:hAnsi="宋体" w:cs="宋体" w:eastAsia="宋体" w:hint="default"/>
                <w:spacing w:val="-7"/>
                <w:sz w:val="18"/>
                <w:szCs w:val="18"/>
              </w:rPr>
              <w:t>11</w:t>
            </w:r>
            <w:r>
              <w:rPr>
                <w:rFonts w:ascii="宋体" w:hAnsi="宋体" w:cs="宋体" w:eastAsia="宋体" w:hint="default"/>
                <w:spacing w:val="-7"/>
                <w:sz w:val="18"/>
                <w:szCs w:val="18"/>
              </w:rPr>
              <w:t>、新兴产业发展专项资金（</w:t>
            </w:r>
            <w:r>
              <w:rPr>
                <w:rFonts w:ascii="宋体" w:hAnsi="宋体" w:cs="宋体" w:eastAsia="宋体" w:hint="default"/>
                <w:spacing w:val="-7"/>
                <w:sz w:val="18"/>
                <w:szCs w:val="18"/>
              </w:rPr>
              <w:t>300</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footerReference w:type="default" r:id="rId46"/>
          <w:pgSz w:w="11910" w:h="16840"/>
          <w:pgMar w:footer="1186" w:header="0" w:top="1100" w:bottom="1380" w:left="980" w:right="980"/>
          <w:pgNumType w:start="137"/>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52"/>
        <w:gridCol w:w="1277"/>
        <w:gridCol w:w="850"/>
        <w:gridCol w:w="1277"/>
        <w:gridCol w:w="1277"/>
        <w:gridCol w:w="1275"/>
        <w:gridCol w:w="1066"/>
      </w:tblGrid>
      <w:tr>
        <w:trPr>
          <w:trHeight w:val="102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宋体" w:hAnsi="宋体" w:cs="宋体" w:eastAsia="宋体" w:hint="default"/>
                <w:sz w:val="18"/>
                <w:szCs w:val="18"/>
              </w:rPr>
              <w:t>250</w:t>
            </w:r>
            <w:r>
              <w:rPr>
                <w:rFonts w:ascii="宋体" w:hAnsi="宋体" w:cs="宋体" w:eastAsia="宋体" w:hint="default"/>
                <w:spacing w:val="-44"/>
                <w:sz w:val="18"/>
                <w:szCs w:val="18"/>
              </w:rPr>
              <w:t> </w:t>
            </w:r>
            <w:r>
              <w:rPr>
                <w:rFonts w:ascii="宋体" w:hAnsi="宋体" w:cs="宋体" w:eastAsia="宋体" w:hint="default"/>
                <w:sz w:val="18"/>
                <w:szCs w:val="18"/>
              </w:rPr>
              <w:t>吨（一期</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pacing w:val="-3"/>
                <w:sz w:val="18"/>
                <w:szCs w:val="18"/>
              </w:rPr>
              <w:t>吨） </w:t>
            </w:r>
            <w:r>
              <w:rPr>
                <w:rFonts w:ascii="宋体" w:hAnsi="宋体" w:cs="宋体" w:eastAsia="宋体" w:hint="default"/>
                <w:sz w:val="18"/>
                <w:szCs w:val="18"/>
              </w:rPr>
              <w:t>聚酰亚胺及中间产品技改项目</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150</w:t>
            </w:r>
            <w:r>
              <w:rPr>
                <w:rFonts w:ascii="宋体" w:hAnsi="宋体" w:cs="宋体" w:eastAsia="宋体" w:hint="default"/>
                <w:spacing w:val="-45"/>
                <w:sz w:val="18"/>
                <w:szCs w:val="18"/>
              </w:rPr>
              <w:t> </w:t>
            </w:r>
            <w:r>
              <w:rPr>
                <w:rFonts w:ascii="宋体" w:hAnsi="宋体" w:cs="宋体" w:eastAsia="宋体" w:hint="default"/>
                <w:sz w:val="18"/>
                <w:szCs w:val="18"/>
              </w:rPr>
              <w:t>万</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1,316,846.88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1,316,846.88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13</w:t>
            </w:r>
            <w:r>
              <w:rPr>
                <w:rFonts w:ascii="宋体" w:hAnsi="宋体" w:cs="宋体" w:eastAsia="宋体" w:hint="default"/>
                <w:spacing w:val="-2"/>
                <w:sz w:val="18"/>
                <w:szCs w:val="18"/>
              </w:rPr>
              <w:t>、基础研究项目（高强度聚酰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亚胺纤维结构性能与制备技术 研究）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238,331.62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238,331.62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综合性</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60,496,203.76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53,546,203.76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1,950,000.00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其他说明：其他变动系处置子公司的全部股份丧失控制权后合并范围发生变化。</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52</w:t>
      </w:r>
      <w:r>
        <w:rPr/>
        <w:t>、其他非流动负债：无。</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53</w:t>
      </w:r>
      <w:r>
        <w:rPr/>
        <w:t>、股本</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357"/>
        <w:gridCol w:w="1418"/>
        <w:gridCol w:w="814"/>
        <w:gridCol w:w="1198"/>
        <w:gridCol w:w="965"/>
        <w:gridCol w:w="1267"/>
        <w:gridCol w:w="135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8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61" w:type="dxa"/>
            <w:gridSpan w:val="5"/>
            <w:vMerge/>
            <w:tcBorders>
              <w:left w:val="single" w:sz="4" w:space="0" w:color="000000"/>
              <w:bottom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1267"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sz w:val="18"/>
              </w:rPr>
              <w:t>757,104,768.00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2" w:right="0"/>
              <w:jc w:val="left"/>
              <w:rPr>
                <w:rFonts w:ascii="宋体" w:hAnsi="宋体" w:cs="宋体" w:eastAsia="宋体" w:hint="default"/>
                <w:sz w:val="18"/>
                <w:szCs w:val="18"/>
              </w:rPr>
            </w:pPr>
            <w:r>
              <w:rPr>
                <w:rFonts w:ascii="宋体"/>
                <w:sz w:val="18"/>
              </w:rPr>
              <w:t>15,700,000.00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2" w:right="0"/>
              <w:jc w:val="lef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3" w:right="0"/>
              <w:jc w:val="left"/>
              <w:rPr>
                <w:rFonts w:ascii="宋体" w:hAnsi="宋体" w:cs="宋体" w:eastAsia="宋体" w:hint="default"/>
                <w:sz w:val="18"/>
                <w:szCs w:val="18"/>
              </w:rPr>
            </w:pPr>
            <w:r>
              <w:rPr>
                <w:rFonts w:ascii="宋体"/>
                <w:sz w:val="18"/>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15,700,000.00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left"/>
              <w:rPr>
                <w:rFonts w:ascii="宋体" w:hAnsi="宋体" w:cs="宋体" w:eastAsia="宋体" w:hint="default"/>
                <w:sz w:val="18"/>
                <w:szCs w:val="18"/>
              </w:rPr>
            </w:pPr>
            <w:r>
              <w:rPr>
                <w:rFonts w:ascii="宋体"/>
                <w:sz w:val="18"/>
              </w:rPr>
              <w:t>772,804,768.00</w:t>
            </w:r>
          </w:p>
        </w:tc>
      </w:tr>
    </w:tbl>
    <w:p>
      <w:pPr>
        <w:pStyle w:val="BodyText"/>
        <w:spacing w:line="240" w:lineRule="auto" w:before="49"/>
        <w:ind w:right="0"/>
        <w:jc w:val="left"/>
        <w:rPr>
          <w:rFonts w:ascii="宋体" w:hAnsi="宋体" w:cs="宋体" w:eastAsia="宋体" w:hint="default"/>
        </w:rPr>
      </w:pPr>
      <w:r>
        <w:rPr>
          <w:spacing w:val="-7"/>
        </w:rPr>
        <w:t>其他说明：本期增加</w:t>
      </w:r>
      <w:r>
        <w:rPr>
          <w:spacing w:val="-44"/>
        </w:rPr>
        <w:t> </w:t>
      </w:r>
      <w:r>
        <w:rPr>
          <w:rFonts w:ascii="宋体" w:hAnsi="宋体" w:cs="宋体" w:eastAsia="宋体" w:hint="default"/>
        </w:rPr>
        <w:t>1,570</w:t>
      </w:r>
      <w:r>
        <w:rPr>
          <w:rFonts w:ascii="宋体" w:hAnsi="宋体" w:cs="宋体" w:eastAsia="宋体" w:hint="default"/>
          <w:spacing w:val="-43"/>
        </w:rPr>
        <w:t> </w:t>
      </w:r>
      <w:r>
        <w:rPr>
          <w:spacing w:val="-6"/>
        </w:rPr>
        <w:t>万元业经立信会计师事务所（特殊普通合伙）于</w:t>
      </w:r>
      <w:r>
        <w:rPr>
          <w:spacing w:val="-44"/>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11</w:t>
      </w:r>
      <w:r>
        <w:rPr>
          <w:rFonts w:ascii="宋体" w:hAnsi="宋体" w:cs="宋体" w:eastAsia="宋体" w:hint="default"/>
          <w:spacing w:val="-44"/>
        </w:rPr>
        <w:t> </w:t>
      </w:r>
      <w:r>
        <w:rPr/>
        <w:t>月</w:t>
      </w:r>
      <w:r>
        <w:rPr>
          <w:spacing w:val="-47"/>
        </w:rPr>
        <w:t> </w:t>
      </w:r>
      <w:r>
        <w:rPr>
          <w:rFonts w:ascii="宋体" w:hAnsi="宋体" w:cs="宋体" w:eastAsia="宋体" w:hint="default"/>
        </w:rPr>
        <w:t>13</w:t>
      </w:r>
      <w:r>
        <w:rPr>
          <w:rFonts w:ascii="宋体" w:hAnsi="宋体" w:cs="宋体" w:eastAsia="宋体" w:hint="default"/>
          <w:spacing w:val="-44"/>
        </w:rPr>
        <w:t> </w:t>
      </w:r>
      <w:r>
        <w:rPr/>
        <w:t>日出具信会师报字</w:t>
      </w:r>
      <w:r>
        <w:rPr>
          <w:rFonts w:ascii="宋体" w:hAnsi="宋体" w:cs="宋体" w:eastAsia="宋体" w:hint="default"/>
        </w:rPr>
        <w:t>[2015]310882</w:t>
      </w:r>
    </w:p>
    <w:p>
      <w:pPr>
        <w:pStyle w:val="BodyText"/>
        <w:spacing w:line="240" w:lineRule="auto" w:before="74"/>
        <w:ind w:right="0"/>
        <w:jc w:val="left"/>
      </w:pPr>
      <w:r>
        <w:rPr>
          <w:spacing w:val="-3"/>
        </w:rPr>
        <w:t>号验资报告验证确认，经我们审计，截至</w:t>
      </w:r>
      <w:r>
        <w:rPr>
          <w:spacing w:val="-44"/>
        </w:rPr>
        <w:t> </w:t>
      </w:r>
      <w:r>
        <w:rPr>
          <w:rFonts w:ascii="宋体" w:hAnsi="宋体" w:cs="宋体" w:eastAsia="宋体" w:hint="default"/>
        </w:rPr>
        <w:t>2015</w:t>
      </w:r>
      <w:r>
        <w:rPr>
          <w:rFonts w:ascii="宋体" w:hAnsi="宋体" w:cs="宋体" w:eastAsia="宋体" w:hint="default"/>
          <w:spacing w:val="-43"/>
        </w:rPr>
        <w:t> </w:t>
      </w:r>
      <w:r>
        <w:rPr/>
        <w:t>年</w:t>
      </w:r>
      <w:r>
        <w:rPr>
          <w:spacing w:val="-47"/>
        </w:rPr>
        <w:t> </w:t>
      </w:r>
      <w:r>
        <w:rPr>
          <w:rFonts w:ascii="宋体" w:hAnsi="宋体" w:cs="宋体" w:eastAsia="宋体" w:hint="default"/>
        </w:rPr>
        <w:t>11</w:t>
      </w:r>
      <w:r>
        <w:rPr>
          <w:rFonts w:ascii="宋体" w:hAnsi="宋体" w:cs="宋体" w:eastAsia="宋体" w:hint="default"/>
          <w:spacing w:val="-46"/>
        </w:rPr>
        <w:t> </w:t>
      </w:r>
      <w:r>
        <w:rPr/>
        <w:t>月</w:t>
      </w:r>
      <w:r>
        <w:rPr>
          <w:spacing w:val="-45"/>
        </w:rPr>
        <w:t> </w:t>
      </w:r>
      <w:r>
        <w:rPr>
          <w:rFonts w:ascii="宋体" w:hAnsi="宋体" w:cs="宋体" w:eastAsia="宋体" w:hint="default"/>
        </w:rPr>
        <w:t>12</w:t>
      </w:r>
      <w:r>
        <w:rPr>
          <w:rFonts w:ascii="宋体" w:hAnsi="宋体" w:cs="宋体" w:eastAsia="宋体" w:hint="default"/>
          <w:spacing w:val="-44"/>
        </w:rPr>
        <w:t> </w:t>
      </w:r>
      <w:r>
        <w:rPr>
          <w:spacing w:val="-3"/>
        </w:rPr>
        <w:t>日止，贵公司已收到纪晓文等</w:t>
      </w:r>
      <w:r>
        <w:rPr>
          <w:spacing w:val="-44"/>
        </w:rPr>
        <w:t> </w:t>
      </w:r>
      <w:r>
        <w:rPr>
          <w:rFonts w:ascii="宋体" w:hAnsi="宋体" w:cs="宋体" w:eastAsia="宋体" w:hint="default"/>
        </w:rPr>
        <w:t>10</w:t>
      </w:r>
      <w:r>
        <w:rPr>
          <w:rFonts w:ascii="宋体" w:hAnsi="宋体" w:cs="宋体" w:eastAsia="宋体" w:hint="default"/>
          <w:spacing w:val="-46"/>
        </w:rPr>
        <w:t> </w:t>
      </w:r>
      <w:r>
        <w:rPr/>
        <w:t>名激励对象以货币资金缴纳的款</w:t>
      </w:r>
    </w:p>
    <w:p>
      <w:pPr>
        <w:pStyle w:val="BodyText"/>
        <w:spacing w:line="316" w:lineRule="auto" w:before="77"/>
        <w:ind w:right="147"/>
        <w:jc w:val="left"/>
      </w:pPr>
      <w:r>
        <w:rPr/>
        <w:t>项合计人民币</w:t>
      </w:r>
      <w:r>
        <w:rPr>
          <w:spacing w:val="-43"/>
        </w:rPr>
        <w:t> </w:t>
      </w:r>
      <w:r>
        <w:rPr>
          <w:rFonts w:ascii="宋体" w:hAnsi="宋体" w:cs="宋体" w:eastAsia="宋体" w:hint="default"/>
        </w:rPr>
        <w:t>6,876.6</w:t>
      </w:r>
      <w:r>
        <w:rPr>
          <w:rFonts w:ascii="宋体" w:hAnsi="宋体" w:cs="宋体" w:eastAsia="宋体" w:hint="default"/>
          <w:spacing w:val="-42"/>
        </w:rPr>
        <w:t> </w:t>
      </w:r>
      <w:r>
        <w:rPr>
          <w:spacing w:val="-4"/>
        </w:rPr>
        <w:t>万元整，其中：新增注册资本（股本）人民币</w:t>
      </w:r>
      <w:r>
        <w:rPr>
          <w:spacing w:val="-43"/>
        </w:rPr>
        <w:t> </w:t>
      </w:r>
      <w:r>
        <w:rPr>
          <w:rFonts w:ascii="宋体" w:hAnsi="宋体" w:cs="宋体" w:eastAsia="宋体" w:hint="default"/>
        </w:rPr>
        <w:t>1,570</w:t>
      </w:r>
      <w:r>
        <w:rPr>
          <w:rFonts w:ascii="宋体" w:hAnsi="宋体" w:cs="宋体" w:eastAsia="宋体" w:hint="default"/>
          <w:spacing w:val="-42"/>
        </w:rPr>
        <w:t> </w:t>
      </w:r>
      <w:r>
        <w:rPr>
          <w:spacing w:val="-3"/>
        </w:rPr>
        <w:t>万元整，其余人民币</w:t>
      </w:r>
      <w:r>
        <w:rPr>
          <w:spacing w:val="-44"/>
        </w:rPr>
        <w:t> </w:t>
      </w:r>
      <w:r>
        <w:rPr>
          <w:rFonts w:ascii="宋体" w:hAnsi="宋体" w:cs="宋体" w:eastAsia="宋体" w:hint="default"/>
        </w:rPr>
        <w:t>5,306.6</w:t>
      </w:r>
      <w:r>
        <w:rPr>
          <w:rFonts w:ascii="宋体" w:hAnsi="宋体" w:cs="宋体" w:eastAsia="宋体" w:hint="default"/>
          <w:spacing w:val="-42"/>
        </w:rPr>
        <w:t> </w:t>
      </w:r>
      <w:r>
        <w:rPr/>
        <w:t>万元整作为资本公 积。</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54</w:t>
      </w:r>
      <w:r>
        <w:rPr/>
        <w:t>、其他权益工具：无。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55</w:t>
      </w:r>
      <w:r>
        <w:rPr/>
        <w:t>、资本公积</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14,486,313.53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53,066,000.00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5,727,185.91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61,825,127.62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7,492,600.00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7,492,600.00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14,486,313.53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60,558,600.00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5,727,185.91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69,317,727.62</w:t>
            </w:r>
          </w:p>
        </w:tc>
      </w:tr>
    </w:tbl>
    <w:p>
      <w:pPr>
        <w:pStyle w:val="BodyText"/>
        <w:spacing w:line="240" w:lineRule="auto" w:before="49"/>
        <w:ind w:right="0"/>
        <w:jc w:val="both"/>
      </w:pPr>
      <w:r>
        <w:rPr>
          <w:spacing w:val="-2"/>
        </w:rPr>
        <w:t>其他说明，包括本期增减变动情况、变动原因说明：资本公积本年增加金额为</w:t>
      </w:r>
      <w:r>
        <w:rPr/>
        <w:t> </w:t>
      </w:r>
      <w:r>
        <w:rPr>
          <w:rFonts w:ascii="宋体" w:hAnsi="宋体" w:cs="宋体" w:eastAsia="宋体" w:hint="default"/>
          <w:spacing w:val="-1"/>
        </w:rPr>
        <w:t>53,066,000.00</w:t>
      </w:r>
      <w:r>
        <w:rPr>
          <w:rFonts w:ascii="宋体" w:hAnsi="宋体" w:cs="宋体" w:eastAsia="宋体" w:hint="default"/>
          <w:spacing w:val="-69"/>
        </w:rPr>
        <w:t> </w:t>
      </w:r>
      <w:r>
        <w:rPr>
          <w:spacing w:val="-2"/>
        </w:rPr>
        <w:t>元，系本公司实施第二期股权</w:t>
      </w:r>
    </w:p>
    <w:p>
      <w:pPr>
        <w:pStyle w:val="BodyText"/>
        <w:spacing w:line="316" w:lineRule="auto" w:before="76"/>
        <w:ind w:right="153"/>
        <w:jc w:val="both"/>
      </w:pPr>
      <w:r>
        <w:rPr>
          <w:spacing w:val="-3"/>
        </w:rPr>
        <w:t>激励计划激励对象股份认购款，增加</w:t>
      </w:r>
      <w:r>
        <w:rPr>
          <w:spacing w:val="-56"/>
        </w:rPr>
        <w:t> </w:t>
      </w:r>
      <w:r>
        <w:rPr>
          <w:rFonts w:ascii="宋体" w:hAnsi="宋体" w:cs="宋体" w:eastAsia="宋体" w:hint="default"/>
        </w:rPr>
        <w:t>7,492,600.00</w:t>
      </w:r>
      <w:r>
        <w:rPr>
          <w:rFonts w:ascii="宋体" w:hAnsi="宋体" w:cs="宋体" w:eastAsia="宋体" w:hint="default"/>
          <w:spacing w:val="-56"/>
        </w:rPr>
        <w:t> </w:t>
      </w:r>
      <w:r>
        <w:rPr/>
        <w:t>元系因股权激励确认的两个月期权费用，本期减少</w:t>
      </w:r>
      <w:r>
        <w:rPr>
          <w:spacing w:val="-56"/>
        </w:rPr>
        <w:t> </w:t>
      </w:r>
      <w:r>
        <w:rPr>
          <w:rFonts w:ascii="宋体" w:hAnsi="宋体" w:cs="宋体" w:eastAsia="宋体" w:hint="default"/>
        </w:rPr>
        <w:t>5,727,185.91</w:t>
      </w:r>
      <w:r>
        <w:rPr>
          <w:rFonts w:ascii="宋体" w:hAnsi="宋体" w:cs="宋体" w:eastAsia="宋体" w:hint="default"/>
          <w:spacing w:val="-56"/>
        </w:rPr>
        <w:t> </w:t>
      </w:r>
      <w:r>
        <w:rPr/>
        <w:t>元系本 公司转让长春高琦</w:t>
      </w:r>
      <w:r>
        <w:rPr>
          <w:spacing w:val="-47"/>
        </w:rPr>
        <w:t> </w:t>
      </w:r>
      <w:r>
        <w:rPr>
          <w:rFonts w:ascii="宋体" w:hAnsi="宋体" w:cs="宋体" w:eastAsia="宋体" w:hint="default"/>
        </w:rPr>
        <w:t>51%</w:t>
      </w:r>
      <w:r>
        <w:rPr/>
        <w:t>与江西先材</w:t>
      </w:r>
      <w:r>
        <w:rPr>
          <w:spacing w:val="-47"/>
        </w:rPr>
        <w:t> </w:t>
      </w:r>
      <w:r>
        <w:rPr>
          <w:rFonts w:ascii="宋体" w:hAnsi="宋体" w:cs="宋体" w:eastAsia="宋体" w:hint="default"/>
        </w:rPr>
        <w:t>52.8%</w:t>
      </w:r>
      <w:r>
        <w:rPr/>
        <w:t>的股权，在合并财务报表中，处置价款与处置长期股权投资相对应享有长春高琦与 江西先材自购买日或合并日开始持续计算的净资产份额之间的差额，调减资本公积</w:t>
      </w:r>
      <w:r>
        <w:rPr>
          <w:spacing w:val="-45"/>
        </w:rPr>
        <w:t> </w:t>
      </w:r>
      <w:r>
        <w:rPr>
          <w:rFonts w:ascii="宋体" w:hAnsi="宋体" w:cs="宋体" w:eastAsia="宋体" w:hint="default"/>
        </w:rPr>
        <w:t>5,727,185.91</w:t>
      </w:r>
      <w:r>
        <w:rPr>
          <w:rFonts w:ascii="宋体" w:hAnsi="宋体" w:cs="宋体" w:eastAsia="宋体" w:hint="default"/>
          <w:spacing w:val="-45"/>
        </w:rPr>
        <w:t> </w:t>
      </w:r>
      <w:r>
        <w:rPr/>
        <w:t>元。</w:t>
      </w:r>
    </w:p>
    <w:p>
      <w:pPr>
        <w:spacing w:after="0" w:line="316" w:lineRule="auto"/>
        <w:jc w:val="both"/>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56</w:t>
      </w:r>
      <w:r>
        <w:rPr/>
        <w:t>、库存股</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81,762,800.00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81,762,800.00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81,762,800.00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81,762,800.00</w:t>
            </w:r>
          </w:p>
        </w:tc>
      </w:tr>
    </w:tbl>
    <w:p>
      <w:pPr>
        <w:pStyle w:val="BodyText"/>
        <w:spacing w:line="316" w:lineRule="auto" w:before="49"/>
        <w:ind w:right="146"/>
        <w:jc w:val="left"/>
      </w:pPr>
      <w:r>
        <w:rPr>
          <w:spacing w:val="-4"/>
        </w:rPr>
        <w:t>其他说明，包括本期增减变动情况、变动原因说明：本期增加</w:t>
      </w:r>
      <w:r>
        <w:rPr>
          <w:spacing w:val="-38"/>
        </w:rPr>
        <w:t> </w:t>
      </w:r>
      <w:r>
        <w:rPr>
          <w:rFonts w:ascii="宋体" w:hAnsi="宋体" w:cs="宋体" w:eastAsia="宋体" w:hint="default"/>
        </w:rPr>
        <w:t>81,762,800.00</w:t>
      </w:r>
      <w:r>
        <w:rPr>
          <w:rFonts w:ascii="宋体" w:hAnsi="宋体" w:cs="宋体" w:eastAsia="宋体" w:hint="default"/>
          <w:spacing w:val="-36"/>
        </w:rPr>
        <w:t> </w:t>
      </w:r>
      <w:r>
        <w:rPr/>
        <w:t>元系本公司实施第二期股权激励计划限制性股</w:t>
      </w:r>
      <w:r>
        <w:rPr>
          <w:spacing w:val="-88"/>
        </w:rPr>
        <w:t> </w:t>
      </w:r>
      <w:r>
        <w:rPr>
          <w:spacing w:val="-88"/>
        </w:rPr>
      </w:r>
      <w:r>
        <w:rPr/>
        <w:t>票的回购义务。</w:t>
      </w:r>
    </w:p>
    <w:p>
      <w:pPr>
        <w:spacing w:line="240" w:lineRule="auto" w:before="8"/>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57</w:t>
      </w:r>
      <w:r>
        <w:rPr/>
        <w:t>、其他综合收益</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136"/>
        <w:gridCol w:w="1270"/>
        <w:gridCol w:w="1152"/>
        <w:gridCol w:w="838"/>
        <w:gridCol w:w="1033"/>
        <w:gridCol w:w="670"/>
        <w:gridCol w:w="1063"/>
      </w:tblGrid>
      <w:tr>
        <w:trPr>
          <w:trHeight w:val="396" w:hRule="exact"/>
        </w:trPr>
        <w:tc>
          <w:tcPr>
            <w:tcW w:w="2410"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410"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2"/>
              <w:ind w:left="359" w:right="86"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152" w:type="dxa"/>
            <w:vMerge/>
            <w:tcBorders>
              <w:left w:val="single" w:sz="4" w:space="0" w:color="000000"/>
              <w:right w:val="single" w:sz="4" w:space="0" w:color="000000"/>
            </w:tcBorders>
            <w:shd w:val="clear" w:color="auto" w:fill="D2D2D2"/>
          </w:tcPr>
          <w:p>
            <w:pPr/>
          </w:p>
        </w:tc>
        <w:tc>
          <w:tcPr>
            <w:tcW w:w="8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43" w:right="50"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0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42" w:right="58"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670"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410" w:type="dxa"/>
            <w:vMerge w:val="restart"/>
            <w:tcBorders>
              <w:top w:val="nil" w:sz="6" w:space="0" w:color="auto"/>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838" w:type="dxa"/>
            <w:vMerge/>
            <w:tcBorders>
              <w:left w:val="single" w:sz="4" w:space="0" w:color="000000"/>
              <w:bottom w:val="nil" w:sz="6" w:space="0" w:color="auto"/>
              <w:right w:val="single" w:sz="4" w:space="0" w:color="000000"/>
            </w:tcBorders>
            <w:shd w:val="clear" w:color="auto" w:fill="D2D2D2"/>
          </w:tcPr>
          <w:p>
            <w:pPr/>
          </w:p>
        </w:tc>
        <w:tc>
          <w:tcPr>
            <w:tcW w:w="1033" w:type="dxa"/>
            <w:vMerge/>
            <w:tcBorders>
              <w:left w:val="single" w:sz="4" w:space="0" w:color="000000"/>
              <w:bottom w:val="nil" w:sz="6" w:space="0" w:color="auto"/>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11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sz w:val="18"/>
              </w:rPr>
              <w:t>-31,938.73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-56,797.35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-56,797.35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sz w:val="18"/>
              </w:rPr>
              <w:t>-88,736.08</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-31,938.73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-56,797.35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-56,797.35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center"/>
              <w:rPr>
                <w:rFonts w:ascii="宋体" w:hAnsi="宋体" w:cs="宋体" w:eastAsia="宋体" w:hint="default"/>
                <w:sz w:val="18"/>
                <w:szCs w:val="18"/>
              </w:rPr>
            </w:pPr>
            <w:r>
              <w:rPr>
                <w:rFonts w:ascii="宋体"/>
                <w:sz w:val="18"/>
              </w:rPr>
              <w:t>-88,736.08</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sz w:val="18"/>
              </w:rPr>
              <w:t>-31,938.73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-56,797.35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-56,797.35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center"/>
              <w:rPr>
                <w:rFonts w:ascii="宋体" w:hAnsi="宋体" w:cs="宋体" w:eastAsia="宋体" w:hint="default"/>
                <w:sz w:val="18"/>
                <w:szCs w:val="18"/>
              </w:rPr>
            </w:pPr>
            <w:r>
              <w:rPr>
                <w:rFonts w:ascii="宋体"/>
                <w:sz w:val="18"/>
              </w:rPr>
              <w:t>-88,736.08</w:t>
            </w:r>
          </w:p>
        </w:tc>
      </w:tr>
    </w:tbl>
    <w:p>
      <w:pPr>
        <w:pStyle w:val="BodyText"/>
        <w:spacing w:line="240" w:lineRule="auto" w:before="49"/>
        <w:ind w:right="153"/>
        <w:jc w:val="left"/>
      </w:pPr>
      <w:r>
        <w:rPr/>
        <w:t>其他说明，包括对现金流量套期损益的有效部分转为被套期项目初始确认金额调整：无。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58</w:t>
      </w:r>
      <w:r>
        <w:rPr/>
        <w:t>、专项储备：无。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59</w:t>
      </w:r>
      <w:r>
        <w:rPr/>
        <w:t>、盈余公积</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58,669,273.30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58,669,273.30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12,154,775.66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12,154,775.66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70,824,048.96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70,824,048.96</w:t>
            </w:r>
          </w:p>
        </w:tc>
      </w:tr>
    </w:tbl>
    <w:p>
      <w:pPr>
        <w:pStyle w:val="BodyText"/>
        <w:spacing w:line="240" w:lineRule="auto" w:before="49"/>
        <w:ind w:right="153"/>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60</w:t>
      </w:r>
      <w:r>
        <w:rPr/>
        <w:t>、未分配利润</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201,191,136.29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290,043,432.53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201,191,136.29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290,043,432.53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128,331,538.12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-88,852,296.24</w:t>
            </w:r>
            <w:r>
              <w:rPr>
                <w:rFonts w:ascii="宋体"/>
                <w:sz w:val="18"/>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329,522,674.41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201,191,136.29</w:t>
            </w:r>
          </w:p>
        </w:tc>
      </w:tr>
    </w:tbl>
    <w:p>
      <w:pPr>
        <w:pStyle w:val="BodyText"/>
        <w:spacing w:line="357" w:lineRule="auto" w:before="49"/>
        <w:ind w:right="2663"/>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29"/>
        <w:ind w:right="153"/>
        <w:jc w:val="left"/>
      </w:pPr>
      <w:r>
        <w:rPr>
          <w:rFonts w:ascii="宋体" w:hAnsi="宋体" w:cs="宋体" w:eastAsia="宋体" w:hint="default"/>
        </w:rPr>
        <w:t>2)</w:t>
      </w:r>
      <w:r>
        <w:rPr/>
        <w:t>、由于会计政策变更，影响期初未分配利润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5"/>
        <w:ind w:right="153"/>
        <w:jc w:val="left"/>
      </w:pPr>
      <w:r>
        <w:rPr>
          <w:rFonts w:ascii="宋体" w:hAnsi="宋体" w:cs="宋体" w:eastAsia="宋体" w:hint="default"/>
        </w:rPr>
        <w:t>3)</w:t>
      </w:r>
      <w:r>
        <w:rPr/>
        <w:t>、由于重大会计差错更正，影响期初未分配利润</w:t>
      </w:r>
      <w:r>
        <w:rPr>
          <w:spacing w:val="-46"/>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7"/>
        <w:ind w:right="153"/>
        <w:jc w:val="left"/>
      </w:pPr>
      <w:r>
        <w:rPr>
          <w:rFonts w:ascii="宋体" w:hAnsi="宋体" w:cs="宋体" w:eastAsia="宋体" w:hint="default"/>
        </w:rPr>
        <w:t>4)</w:t>
      </w:r>
      <w:r>
        <w:rPr/>
        <w:t>、由于同一控制导致的合并范围变更，影响期初未分配利润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7"/>
        <w:ind w:right="153"/>
        <w:jc w:val="left"/>
      </w:pPr>
      <w:r>
        <w:rPr>
          <w:rFonts w:ascii="宋体" w:hAnsi="宋体" w:cs="宋体" w:eastAsia="宋体" w:hint="default"/>
        </w:rPr>
        <w:t>5)</w:t>
      </w:r>
      <w:r>
        <w:rPr/>
        <w:t>、其他调整合计影响期初未分配利润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61</w:t>
      </w:r>
      <w:r>
        <w:rPr/>
        <w:t>、营业收入和营业成本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202,992,772.06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134,307,869.51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310,314,031.77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213,466,564.28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6,377,560.28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3,567,341.85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2,886,938.81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9,065,274.57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209,370,332.34</w:t>
            </w:r>
            <w:r>
              <w:rPr>
                <w:rFonts w:ascii="宋体"/>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137,875,211.36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313,200,970.58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222,531,838.85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62</w:t>
      </w:r>
      <w:r>
        <w:rPr/>
        <w:t>、营业税金及附加</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66,830.49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9,258.15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1,268,563.06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1,201,553.81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544,105.71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535,836.85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362,010.78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341,234.78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2,241,539.94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2,087,883.59</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63</w:t>
      </w:r>
      <w:r>
        <w:rPr/>
        <w:t>、销售费用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2,532,927.41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16,287,601.26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31,254,735.81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35,565,661.32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2,421,768.12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4,772,355.11</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441,630.80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2,506,056.97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6,479,227.12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9,102,950.84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620,207.18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1,510,202.47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863,794.75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5,082,576.35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122,510.76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188,594.50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1,634,656.66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1,654,166.07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1,068,014.42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2,924,428.69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47,439,473.03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79,594,593.58</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64</w:t>
      </w:r>
      <w:r>
        <w:rPr/>
        <w:t>、管理费用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27,574,887.65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24,703,622.47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8,623,691.17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35,754,028.92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10,005,352.18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15,319,103.67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1,697,159.61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5,980,212.47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劳保用品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113,574.56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292,888.86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4,981,077.23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7,636,890.56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2,406,962.87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2,855,369.52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1,270,963.33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2,103,096.19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368,873.17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478,451.01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1,460,196.71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1,203,154.65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2,051,241.57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882,072.49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470,859.31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503,408.54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1,408,671.34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1,243,478.67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5,263,123.24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3,894,523.89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7,492,600.00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6,789,447.38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7,033,854.96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81,978,681.32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109,884,156.87</w:t>
            </w:r>
          </w:p>
        </w:tc>
      </w:tr>
    </w:tbl>
    <w:p>
      <w:pPr>
        <w:pStyle w:val="BodyText"/>
        <w:spacing w:line="240" w:lineRule="auto" w:before="49"/>
        <w:ind w:right="153"/>
        <w:jc w:val="left"/>
      </w:pPr>
      <w:r>
        <w:rPr/>
        <w:t>其他说明：无。</w:t>
      </w:r>
    </w:p>
    <w:p>
      <w:pPr>
        <w:spacing w:after="0" w:line="240" w:lineRule="auto"/>
        <w:jc w:val="left"/>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65</w:t>
      </w:r>
      <w:r>
        <w:rPr/>
        <w:t>、财务费用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1,850,049.80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1,291,646.39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3,337,456.98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5,019,226.87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186,593.16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251,914.41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129,295.23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126,360.80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-1,171,518.79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-3,349,305.27</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66</w:t>
      </w:r>
      <w:r>
        <w:rPr/>
        <w:t>、资产减值损失</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4,316,910.62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-561,429.77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3,045,313.86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13,768,849.83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6,284,310.33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4,839,268.68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8,531,096.60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13,646,534.81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26,577,785.34</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67</w:t>
      </w:r>
      <w:r>
        <w:rPr/>
        <w:t>、公允价值变动收益：无。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68</w:t>
      </w:r>
      <w:r>
        <w:rPr/>
        <w:t>、投资收益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-10,016.72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-30,889.62</w:t>
            </w: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115,279,552.02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1,210,111.00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25,170,489.88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5,034,861.54</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60,993,562.81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201,433,587.99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6,214,082.92</w:t>
            </w:r>
          </w:p>
        </w:tc>
      </w:tr>
    </w:tbl>
    <w:p>
      <w:pPr>
        <w:pStyle w:val="BodyText"/>
        <w:spacing w:line="316" w:lineRule="auto" w:before="49"/>
        <w:ind w:right="0"/>
        <w:jc w:val="left"/>
      </w:pPr>
      <w:r>
        <w:rPr>
          <w:spacing w:val="-2"/>
        </w:rPr>
        <w:t>其他说明：处置以公允价值计量且其变动计入当期损益的金融资产在持有期间的投资收益包含了证券户产生的证券投资收益</w:t>
      </w:r>
      <w:r>
        <w:rPr>
          <w:spacing w:val="-64"/>
        </w:rPr>
        <w:t> </w:t>
      </w:r>
      <w:r>
        <w:rPr>
          <w:spacing w:val="-64"/>
        </w:rPr>
      </w:r>
      <w:r>
        <w:rPr/>
        <w:t>以及证券账户购买国债逆回购等产品产生的收益。</w:t>
      </w:r>
    </w:p>
    <w:p>
      <w:pPr>
        <w:spacing w:after="0" w:line="316" w:lineRule="auto"/>
        <w:jc w:val="left"/>
        <w:sectPr>
          <w:pgSz w:w="11910" w:h="16840"/>
          <w:pgMar w:header="0"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69</w:t>
      </w:r>
      <w:r>
        <w:rPr/>
        <w:t>、营业外收入</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100,694.21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93,806.81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100,694.21</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100,694.21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93,806.81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100,694.21</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7,621,921.92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11,172,699.15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7,621,921.92</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700.18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700.18</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2,500.00</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7,725,816.31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11,302,472.86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7,725,816.31</w:t>
            </w:r>
          </w:p>
        </w:tc>
      </w:tr>
    </w:tbl>
    <w:p>
      <w:pPr>
        <w:spacing w:after="0" w:line="240" w:lineRule="auto"/>
        <w:jc w:val="right"/>
        <w:rPr>
          <w:rFonts w:ascii="宋体" w:hAnsi="宋体" w:cs="宋体" w:eastAsia="宋体" w:hint="default"/>
          <w:sz w:val="18"/>
          <w:szCs w:val="18"/>
        </w:rPr>
        <w:sectPr>
          <w:pgSz w:w="11910" w:h="16840"/>
          <w:pgMar w:header="0" w:footer="1186" w:top="1100" w:bottom="138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140" w:right="147"/>
        <w:jc w:val="left"/>
      </w:pPr>
      <w:r>
        <w:rPr/>
        <w:t>计入当期损益的政府补助：</w:t>
      </w:r>
    </w:p>
    <w:p>
      <w:pPr>
        <w:pStyle w:val="BodyText"/>
        <w:spacing w:line="240" w:lineRule="auto" w:before="117"/>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05"/>
        <w:gridCol w:w="1702"/>
        <w:gridCol w:w="569"/>
        <w:gridCol w:w="3543"/>
        <w:gridCol w:w="991"/>
        <w:gridCol w:w="709"/>
        <w:gridCol w:w="1135"/>
        <w:gridCol w:w="1284"/>
        <w:gridCol w:w="1080"/>
      </w:tblGrid>
      <w:tr>
        <w:trPr>
          <w:trHeight w:val="713"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41"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、技术改造补助资金（</w:t>
            </w:r>
            <w:r>
              <w:rPr>
                <w:rFonts w:ascii="宋体" w:hAnsi="宋体" w:cs="宋体" w:eastAsia="宋体" w:hint="default"/>
                <w:sz w:val="18"/>
                <w:szCs w:val="18"/>
              </w:rPr>
              <w:t>900</w:t>
            </w:r>
            <w:r>
              <w:rPr>
                <w:rFonts w:ascii="宋体" w:hAnsi="宋体" w:cs="宋体" w:eastAsia="宋体" w:hint="default"/>
                <w:spacing w:val="-44"/>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吉林经济技术开发区 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225,000.00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、重点产业振兴和技术改造中央预算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内投资计划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吉林市工信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324,999.99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、技术改造补助资金（</w:t>
            </w:r>
            <w:r>
              <w:rPr>
                <w:rFonts w:ascii="宋体" w:hAnsi="宋体" w:cs="宋体" w:eastAsia="宋体" w:hint="default"/>
                <w:sz w:val="18"/>
                <w:szCs w:val="18"/>
              </w:rPr>
              <w:t>1876</w:t>
            </w:r>
            <w:r>
              <w:rPr>
                <w:rFonts w:ascii="宋体" w:hAnsi="宋体" w:cs="宋体" w:eastAsia="宋体" w:hint="default"/>
                <w:spacing w:val="-48"/>
                <w:sz w:val="18"/>
                <w:szCs w:val="18"/>
              </w:rPr>
              <w:t> </w:t>
            </w:r>
            <w:r>
              <w:rPr>
                <w:rFonts w:ascii="宋体" w:hAnsi="宋体" w:cs="宋体" w:eastAsia="宋体" w:hint="default"/>
                <w:sz w:val="18"/>
                <w:szCs w:val="18"/>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吉林经济技术开发区 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468,999.99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1,876,000.00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、战略性新兴产业科技创新专项资金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5,405.41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21,621.62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、年产</w:t>
            </w:r>
            <w:r>
              <w:rPr>
                <w:rFonts w:ascii="宋体" w:hAnsi="宋体" w:cs="宋体" w:eastAsia="宋体" w:hint="default"/>
                <w:spacing w:val="-52"/>
                <w:sz w:val="18"/>
                <w:szCs w:val="18"/>
              </w:rPr>
              <w:t> </w:t>
            </w:r>
            <w:r>
              <w:rPr>
                <w:rFonts w:ascii="宋体" w:hAnsi="宋体" w:cs="宋体" w:eastAsia="宋体" w:hint="default"/>
                <w:sz w:val="18"/>
                <w:szCs w:val="18"/>
              </w:rPr>
              <w:t>250</w:t>
            </w:r>
            <w:r>
              <w:rPr>
                <w:rFonts w:ascii="宋体" w:hAnsi="宋体" w:cs="宋体" w:eastAsia="宋体" w:hint="default"/>
                <w:spacing w:val="-52"/>
                <w:sz w:val="18"/>
                <w:szCs w:val="18"/>
              </w:rPr>
              <w:t> </w:t>
            </w:r>
            <w:r>
              <w:rPr>
                <w:rFonts w:ascii="宋体" w:hAnsi="宋体" w:cs="宋体" w:eastAsia="宋体" w:hint="default"/>
                <w:sz w:val="18"/>
                <w:szCs w:val="18"/>
              </w:rPr>
              <w:t>吨（一期</w:t>
            </w:r>
            <w:r>
              <w:rPr>
                <w:rFonts w:ascii="宋体" w:hAnsi="宋体" w:cs="宋体" w:eastAsia="宋体" w:hint="default"/>
                <w:spacing w:val="-53"/>
                <w:sz w:val="18"/>
                <w:szCs w:val="18"/>
              </w:rPr>
              <w:t> </w:t>
            </w:r>
            <w:r>
              <w:rPr>
                <w:rFonts w:ascii="宋体" w:hAnsi="宋体" w:cs="宋体" w:eastAsia="宋体" w:hint="default"/>
                <w:sz w:val="18"/>
                <w:szCs w:val="18"/>
              </w:rPr>
              <w:t>100</w:t>
            </w:r>
            <w:r>
              <w:rPr>
                <w:rFonts w:ascii="宋体" w:hAnsi="宋体" w:cs="宋体" w:eastAsia="宋体" w:hint="default"/>
                <w:spacing w:val="-52"/>
                <w:sz w:val="18"/>
                <w:szCs w:val="18"/>
              </w:rPr>
              <w:t> </w:t>
            </w:r>
            <w:r>
              <w:rPr>
                <w:rFonts w:ascii="宋体" w:hAnsi="宋体" w:cs="宋体" w:eastAsia="宋体" w:hint="default"/>
                <w:sz w:val="18"/>
                <w:szCs w:val="18"/>
              </w:rPr>
              <w:t>吨）聚酰亚 胺及中间产品技改项目（</w:t>
            </w:r>
            <w:r>
              <w:rPr>
                <w:rFonts w:ascii="宋体" w:hAnsi="宋体" w:cs="宋体" w:eastAsia="宋体" w:hint="default"/>
                <w:sz w:val="18"/>
                <w:szCs w:val="18"/>
              </w:rPr>
              <w:t>150</w:t>
            </w:r>
            <w:r>
              <w:rPr>
                <w:rFonts w:ascii="宋体" w:hAnsi="宋体" w:cs="宋体" w:eastAsia="宋体" w:hint="default"/>
                <w:spacing w:val="-47"/>
                <w:sz w:val="18"/>
                <w:szCs w:val="18"/>
              </w:rPr>
              <w:t> </w:t>
            </w:r>
            <w:r>
              <w:rPr>
                <w:rFonts w:ascii="宋体" w:hAnsi="宋体" w:cs="宋体" w:eastAsia="宋体" w:hint="default"/>
                <w:sz w:val="18"/>
                <w:szCs w:val="18"/>
              </w:rPr>
              <w:t>万</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省工信厅规划与投资 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38,354.76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29,734.07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6</w:t>
            </w:r>
            <w:r>
              <w:rPr>
                <w:rFonts w:ascii="宋体" w:hAnsi="宋体" w:cs="宋体" w:eastAsia="宋体" w:hint="default"/>
                <w:spacing w:val="-2"/>
                <w:sz w:val="18"/>
                <w:szCs w:val="18"/>
              </w:rPr>
              <w:t>、基础研究项目（高强度聚酰亚胺纤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维结构性能与制备技术研究）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中国纺织工业联合会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39,721.96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19,861.02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7</w:t>
            </w:r>
            <w:r>
              <w:rPr>
                <w:rFonts w:ascii="宋体" w:hAnsi="宋体" w:cs="宋体" w:eastAsia="宋体" w:hint="default"/>
                <w:spacing w:val="-2"/>
                <w:sz w:val="18"/>
                <w:szCs w:val="18"/>
              </w:rPr>
              <w:t>、企业技术创新项目（高性能聚酰亚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胺材料研究中心）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171,428.56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85,714.29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8</w:t>
            </w:r>
            <w:r>
              <w:rPr>
                <w:rFonts w:ascii="宋体" w:hAnsi="宋体" w:cs="宋体" w:eastAsia="宋体" w:hint="default"/>
                <w:spacing w:val="-2"/>
                <w:sz w:val="18"/>
                <w:szCs w:val="18"/>
              </w:rPr>
              <w:t>、聚酰亚胺纤维及应用工程实验室项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深圳市发展和改革委 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、双十项目资金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长春市科技局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
                <w:sz w:val="18"/>
                <w:szCs w:val="18"/>
              </w:rPr>
              <w:t>10</w:t>
            </w:r>
            <w:r>
              <w:rPr>
                <w:rFonts w:ascii="宋体" w:hAnsi="宋体" w:cs="宋体" w:eastAsia="宋体" w:hint="default"/>
                <w:spacing w:val="-92"/>
                <w:sz w:val="18"/>
                <w:szCs w:val="18"/>
              </w:rPr>
              <w:t>、</w:t>
            </w:r>
            <w:r>
              <w:rPr>
                <w:rFonts w:ascii="宋体" w:hAnsi="宋体" w:cs="宋体" w:eastAsia="宋体" w:hint="default"/>
                <w:sz w:val="18"/>
                <w:szCs w:val="18"/>
              </w:rPr>
              <w:t>（国家</w:t>
            </w:r>
            <w:r>
              <w:rPr>
                <w:rFonts w:ascii="宋体" w:hAnsi="宋体" w:cs="宋体" w:eastAsia="宋体" w:hint="default"/>
                <w:spacing w:val="-44"/>
                <w:sz w:val="18"/>
                <w:szCs w:val="18"/>
              </w:rPr>
              <w:t> </w:t>
            </w:r>
            <w:r>
              <w:rPr>
                <w:rFonts w:ascii="宋体" w:hAnsi="宋体" w:cs="宋体" w:eastAsia="宋体" w:hint="default"/>
                <w:spacing w:val="-2"/>
                <w:sz w:val="18"/>
                <w:szCs w:val="18"/>
              </w:rPr>
              <w:t>8</w:t>
            </w:r>
            <w:r>
              <w:rPr>
                <w:rFonts w:ascii="宋体" w:hAnsi="宋体" w:cs="宋体" w:eastAsia="宋体" w:hint="default"/>
                <w:spacing w:val="1"/>
                <w:sz w:val="18"/>
                <w:szCs w:val="18"/>
              </w:rPr>
              <w:t>6</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计划）科技计</w:t>
            </w:r>
            <w:r>
              <w:rPr>
                <w:rFonts w:ascii="宋体" w:hAnsi="宋体" w:cs="宋体" w:eastAsia="宋体" w:hint="default"/>
                <w:spacing w:val="-3"/>
                <w:sz w:val="18"/>
                <w:szCs w:val="18"/>
              </w:rPr>
              <w:t>划</w:t>
            </w: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604,210.87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、省校合作技术开发项目资金（</w:t>
            </w:r>
            <w:r>
              <w:rPr>
                <w:rFonts w:ascii="宋体" w:hAnsi="宋体" w:cs="宋体" w:eastAsia="宋体" w:hint="default"/>
                <w:sz w:val="18"/>
                <w:szCs w:val="18"/>
              </w:rPr>
              <w:t>40</w:t>
            </w:r>
            <w:r>
              <w:rPr>
                <w:rFonts w:ascii="宋体" w:hAnsi="宋体" w:cs="宋体" w:eastAsia="宋体" w:hint="default"/>
                <w:spacing w:val="1"/>
                <w:sz w:val="18"/>
                <w:szCs w:val="18"/>
              </w:rPr>
              <w:t> </w:t>
            </w:r>
            <w:r>
              <w:rPr>
                <w:rFonts w:ascii="宋体" w:hAnsi="宋体" w:cs="宋体" w:eastAsia="宋体" w:hint="default"/>
                <w:sz w:val="18"/>
                <w:szCs w:val="18"/>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省工信厅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53,333.33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bl>
    <w:p>
      <w:pPr>
        <w:spacing w:after="0" w:line="240" w:lineRule="auto"/>
        <w:jc w:val="right"/>
        <w:rPr>
          <w:rFonts w:ascii="宋体" w:hAnsi="宋体" w:cs="宋体" w:eastAsia="宋体" w:hint="default"/>
          <w:sz w:val="18"/>
          <w:szCs w:val="18"/>
        </w:rPr>
        <w:sectPr>
          <w:headerReference w:type="default" r:id="rId47"/>
          <w:footerReference w:type="default" r:id="rId48"/>
          <w:pgSz w:w="16840" w:h="11910" w:orient="landscape"/>
          <w:pgMar w:header="867" w:footer="1186" w:top="1060" w:bottom="1380" w:left="1300" w:right="1280"/>
          <w:pgNumType w:start="144"/>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005"/>
        <w:gridCol w:w="1702"/>
        <w:gridCol w:w="569"/>
        <w:gridCol w:w="3543"/>
        <w:gridCol w:w="991"/>
        <w:gridCol w:w="709"/>
        <w:gridCol w:w="1135"/>
        <w:gridCol w:w="1284"/>
        <w:gridCol w:w="1080"/>
      </w:tblGrid>
      <w:tr>
        <w:trPr>
          <w:trHeight w:val="730" w:hRule="exact"/>
        </w:trPr>
        <w:tc>
          <w:tcPr>
            <w:tcW w:w="3005"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、省校合作技术开发项目资金（</w:t>
            </w:r>
            <w:r>
              <w:rPr>
                <w:rFonts w:ascii="宋体" w:hAnsi="宋体" w:cs="宋体" w:eastAsia="宋体" w:hint="default"/>
                <w:sz w:val="18"/>
                <w:szCs w:val="18"/>
              </w:rPr>
              <w:t>70</w:t>
            </w:r>
            <w:r>
              <w:rPr>
                <w:rFonts w:ascii="宋体" w:hAnsi="宋体" w:cs="宋体" w:eastAsia="宋体" w:hint="default"/>
                <w:spacing w:val="1"/>
                <w:sz w:val="18"/>
                <w:szCs w:val="18"/>
              </w:rPr>
              <w:t> </w:t>
            </w:r>
            <w:r>
              <w:rPr>
                <w:rFonts w:ascii="宋体" w:hAnsi="宋体" w:cs="宋体" w:eastAsia="宋体" w:hint="default"/>
                <w:sz w:val="18"/>
                <w:szCs w:val="18"/>
              </w:rPr>
              <w:t>万）</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311,111.11</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、长春市科技计划项目（</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、技术改造和结构调整专项资金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长春市财政局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、科技型中小企业技术创新基金初 创期企业创新项目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110,526.32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6"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、区域发展类</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协同创新中心</w:t>
            </w:r>
            <w:r>
              <w:rPr>
                <w:rFonts w:ascii="宋体" w:hAnsi="宋体" w:cs="宋体" w:eastAsia="宋体" w:hint="default"/>
                <w:sz w:val="18"/>
                <w:szCs w:val="18"/>
              </w:rPr>
              <w:t>" </w:t>
            </w:r>
            <w:r>
              <w:rPr>
                <w:rFonts w:ascii="宋体" w:hAnsi="宋体" w:cs="宋体" w:eastAsia="宋体" w:hint="default"/>
                <w:sz w:val="18"/>
                <w:szCs w:val="18"/>
              </w:rPr>
              <w:t>项目资助资金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468,750.00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年吉林市战略性新兴产业科 技创新专项资金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29,217.41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38,956.52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、宽温带范围和高倍率充放特性动 力锂电池制备技术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、市科技型中小企业技术创新基金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长春市科技局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6"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、高强高模聚酰亚胺纤维制备关键 技术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国家科技部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322,807.12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、高强度聚酰亚胺纤维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103,703.72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、高性能聚酰亚胺特种工程塑料项 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长春市科技局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综合性</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、就业见习补助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经开区人社局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36,960.00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216,480.00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89"/>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、国家高科技研究发展计划课题经 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177,400.00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年度科技创新支持补助资金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长春市高新区财政局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3"/>
                <w:sz w:val="18"/>
                <w:szCs w:val="18"/>
              </w:rPr>
              <w:t>26</w:t>
            </w:r>
            <w:r>
              <w:rPr>
                <w:rFonts w:ascii="宋体" w:hAnsi="宋体" w:cs="宋体" w:eastAsia="宋体" w:hint="default"/>
                <w:spacing w:val="-3"/>
                <w:sz w:val="18"/>
                <w:szCs w:val="18"/>
              </w:rPr>
              <w:t>、表彰奖励</w:t>
            </w:r>
            <w:r>
              <w:rPr>
                <w:rFonts w:ascii="宋体" w:hAnsi="宋体" w:cs="宋体" w:eastAsia="宋体" w:hint="default"/>
                <w:spacing w:val="-50"/>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年为全区经济发展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67" w:footer="1186" w:top="1060" w:bottom="138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005"/>
        <w:gridCol w:w="1702"/>
        <w:gridCol w:w="569"/>
        <w:gridCol w:w="3543"/>
        <w:gridCol w:w="991"/>
        <w:gridCol w:w="709"/>
        <w:gridCol w:w="1135"/>
        <w:gridCol w:w="1284"/>
        <w:gridCol w:w="1080"/>
      </w:tblGrid>
      <w:tr>
        <w:trPr>
          <w:trHeight w:val="377" w:hRule="exact"/>
        </w:trPr>
        <w:tc>
          <w:tcPr>
            <w:tcW w:w="300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做出突出贡献单位的决定</w:t>
            </w:r>
          </w:p>
        </w:tc>
        <w:tc>
          <w:tcPr>
            <w:tcW w:w="1702"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35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而获得的补助</w:t>
            </w:r>
          </w:p>
        </w:tc>
        <w:tc>
          <w:tcPr>
            <w:tcW w:w="991"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84" w:type="dxa"/>
            <w:tcBorders>
              <w:top w:val="single" w:sz="15" w:space="0" w:color="000000"/>
              <w:left w:val="single" w:sz="4" w:space="0" w:color="000000"/>
              <w:bottom w:val="single" w:sz="4" w:space="0" w:color="000000"/>
              <w:right w:val="single" w:sz="4" w:space="0" w:color="000000"/>
            </w:tcBorders>
          </w:tcPr>
          <w:p>
            <w:pPr/>
          </w:p>
        </w:tc>
        <w:tc>
          <w:tcPr>
            <w:tcW w:w="1080"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、参加国外展会补助款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深圳市经济贸易和信 息化委员会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17,323.00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8"/>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、高新区创新基金项目资金（</w:t>
            </w:r>
            <w:r>
              <w:rPr>
                <w:rFonts w:ascii="宋体" w:hAnsi="宋体" w:cs="宋体" w:eastAsia="宋体" w:hint="default"/>
                <w:sz w:val="18"/>
                <w:szCs w:val="18"/>
              </w:rPr>
              <w:t>2013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长春市高新区财政局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29</w:t>
            </w:r>
            <w:r>
              <w:rPr>
                <w:rFonts w:ascii="宋体" w:hAnsi="宋体" w:cs="宋体" w:eastAsia="宋体" w:hint="default"/>
                <w:spacing w:val="-3"/>
                <w:sz w:val="18"/>
                <w:szCs w:val="18"/>
              </w:rPr>
              <w:t>、长春高新区</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年度技术创新资 金项目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长春市高新区财政局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、中小企业发展基金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、深圳市坪山新区科学技术奖励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深圳市坪山新区经济 服务局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奖励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z w:val="18"/>
                <w:szCs w:val="18"/>
              </w:rPr>
              <w:t>、卫生管理示范企业创建活动补助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z w:val="18"/>
                <w:szCs w:val="18"/>
              </w:rPr>
              <w:t>、坪山新区创新创业专项扶持资金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深圳市坪山新区经济 服务局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325,000.00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、涉外发展服务补助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、科学技术部拨付的政策引导类项 目资金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长春市科技局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、专利补贴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年长春市重点新产品专项项 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长春市科技局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补助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z w:val="18"/>
                <w:szCs w:val="18"/>
              </w:rPr>
              <w:t>、省标准创新贡献奖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吉林省人民政府</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5"/>
              <w:jc w:val="right"/>
              <w:rPr>
                <w:rFonts w:ascii="宋体" w:hAnsi="宋体" w:cs="宋体" w:eastAsia="宋体" w:hint="default"/>
                <w:sz w:val="18"/>
                <w:szCs w:val="18"/>
              </w:rPr>
            </w:pPr>
            <w:r>
              <w:rPr>
                <w:rFonts w:ascii="宋体" w:hAnsi="宋体" w:cs="宋体" w:eastAsia="宋体" w:hint="default"/>
                <w:sz w:val="18"/>
                <w:szCs w:val="18"/>
              </w:rPr>
              <w:t>奖励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sz w:val="18"/>
              </w:rPr>
              <w:t>--</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7,621,921.92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11,172,699.15</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left="140" w:right="147"/>
        <w:jc w:val="left"/>
      </w:pPr>
      <w:r>
        <w:rPr/>
        <w:t>其他说明：无。</w:t>
      </w:r>
    </w:p>
    <w:p>
      <w:pPr>
        <w:spacing w:after="0" w:line="240" w:lineRule="auto"/>
        <w:jc w:val="left"/>
        <w:sectPr>
          <w:pgSz w:w="16840" w:h="11910" w:orient="landscape"/>
          <w:pgMar w:header="867" w:footer="1186" w:top="1060" w:bottom="1380" w:left="1300" w:right="12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70</w:t>
      </w:r>
      <w:r>
        <w:rPr/>
        <w:t>、营业外支出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163"/>
        <w:gridCol w:w="2624"/>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949,782.73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5,084,345.29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949,782.73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949,782.73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5,084,345.29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949,782.73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245,537.34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57,032.17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245,537.34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在建工程停工损失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5,675,911.52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26,911.24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853,973.31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26,911.24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长期挂账预付账款转入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1,536,188.97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100,487.10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1,222,231.31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13,321,838.36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1,222,231.31</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71</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11,601,006.13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155,669.29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472,100.59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-701,391.93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12,073,106.72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-545,722.64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9"/>
        <w:gridCol w:w="3910"/>
      </w:tblGrid>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135,297,583.66</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20,294,637.55</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-211,440.03</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843.16</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-9,748,948.16</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-97,372.06</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1,835,386.26</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12,073,106.72</w:t>
            </w:r>
          </w:p>
        </w:tc>
      </w:tr>
    </w:tbl>
    <w:p>
      <w:pPr>
        <w:spacing w:after="0" w:line="240" w:lineRule="auto"/>
        <w:jc w:val="right"/>
        <w:rPr>
          <w:rFonts w:ascii="宋体" w:hAnsi="宋体" w:cs="宋体" w:eastAsia="宋体" w:hint="default"/>
          <w:sz w:val="18"/>
          <w:szCs w:val="18"/>
        </w:rPr>
        <w:sectPr>
          <w:headerReference w:type="default" r:id="rId49"/>
          <w:footerReference w:type="default" r:id="rId50"/>
          <w:pgSz w:w="11910" w:h="16840"/>
          <w:pgMar w:header="877" w:footer="1186" w:top="1100" w:bottom="1380" w:left="980" w:right="980"/>
          <w:pgNumType w:start="147"/>
        </w:sectPr>
      </w:pPr>
    </w:p>
    <w:p>
      <w:pPr>
        <w:spacing w:line="240" w:lineRule="auto" w:before="11"/>
        <w:rPr>
          <w:rFonts w:ascii="宋体" w:hAnsi="宋体" w:cs="宋体" w:eastAsia="宋体" w:hint="default"/>
          <w:sz w:val="21"/>
          <w:szCs w:val="21"/>
        </w:rPr>
      </w:pPr>
    </w:p>
    <w:p>
      <w:pPr>
        <w:spacing w:line="578" w:lineRule="auto" w:before="44"/>
        <w:ind w:left="152" w:right="7434" w:firstLine="0"/>
        <w:jc w:val="left"/>
        <w:rPr>
          <w:rFonts w:ascii="宋体" w:hAnsi="宋体" w:cs="宋体" w:eastAsia="宋体" w:hint="default"/>
          <w:sz w:val="18"/>
          <w:szCs w:val="18"/>
        </w:rPr>
      </w:pPr>
      <w:r>
        <w:rPr>
          <w:rFonts w:ascii="宋体" w:hAnsi="宋体" w:cs="宋体" w:eastAsia="宋体" w:hint="default"/>
          <w:sz w:val="18"/>
          <w:szCs w:val="18"/>
        </w:rPr>
        <w:t>其他说明：无。 </w:t>
      </w:r>
      <w:r>
        <w:rPr>
          <w:rFonts w:ascii="宋体" w:hAnsi="宋体" w:cs="宋体" w:eastAsia="宋体"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spacing w:val="-104"/>
          <w:sz w:val="21"/>
          <w:szCs w:val="21"/>
        </w:rPr>
        <w:t> </w:t>
      </w:r>
      <w:r>
        <w:rPr>
          <w:rFonts w:ascii="宋体" w:hAnsi="宋体" w:cs="宋体" w:eastAsia="宋体" w:hint="default"/>
          <w:sz w:val="18"/>
          <w:szCs w:val="18"/>
        </w:rPr>
        <w:t>详见附注</w:t>
      </w:r>
      <w:r>
        <w:rPr>
          <w:rFonts w:ascii="宋体" w:hAnsi="宋体" w:cs="宋体" w:eastAsia="宋体" w:hint="default"/>
          <w:spacing w:val="-42"/>
          <w:sz w:val="18"/>
          <w:szCs w:val="18"/>
        </w:rPr>
        <w:t> </w:t>
      </w:r>
      <w:r>
        <w:rPr>
          <w:rFonts w:ascii="宋体" w:hAnsi="宋体" w:cs="宋体" w:eastAsia="宋体" w:hint="default"/>
          <w:sz w:val="18"/>
          <w:szCs w:val="18"/>
        </w:rPr>
        <w:t>57</w:t>
      </w:r>
      <w:r>
        <w:rPr>
          <w:rFonts w:ascii="宋体" w:hAnsi="宋体" w:cs="宋体" w:eastAsia="宋体" w:hint="default"/>
          <w:sz w:val="18"/>
          <w:szCs w:val="18"/>
        </w:rPr>
        <w:t>。</w:t>
      </w:r>
    </w:p>
    <w:p>
      <w:pPr>
        <w:pStyle w:val="Heading3"/>
        <w:spacing w:line="240" w:lineRule="auto" w:before="99"/>
        <w:ind w:right="153"/>
        <w:jc w:val="left"/>
        <w:rPr>
          <w:b w:val="0"/>
          <w:bCs w:val="0"/>
        </w:rPr>
      </w:pPr>
      <w:r>
        <w:rPr>
          <w:rFonts w:ascii="宋体" w:hAnsi="宋体" w:cs="宋体" w:eastAsia="宋体" w:hint="default"/>
        </w:rPr>
        <w:t>73</w:t>
      </w:r>
      <w:r>
        <w:rPr/>
        <w:t>、现金流量表项目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收到与收益相关的政府补助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342,323.00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8,441,238.48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860,861.55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6,676,882.53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26,139,672.12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38,073,261.64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2,601,840.54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5,457,928.26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677,078.50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998,709.15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1,296,780.89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37,737,777.62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53,831,999.08</w:t>
            </w:r>
          </w:p>
        </w:tc>
      </w:tr>
    </w:tbl>
    <w:p>
      <w:pPr>
        <w:pStyle w:val="BodyText"/>
        <w:spacing w:line="240" w:lineRule="auto" w:before="49"/>
        <w:ind w:right="153"/>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65,548,268.90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95,664,067.48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19,519,682.12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38,951,896.44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13,882,009.39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77,071.76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126,360.80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1,659,351.17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149,557.91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938,813.31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100,686,383.34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135,830,695.94</w:t>
            </w:r>
          </w:p>
        </w:tc>
      </w:tr>
    </w:tbl>
    <w:p>
      <w:pPr>
        <w:pStyle w:val="BodyText"/>
        <w:spacing w:line="240" w:lineRule="auto" w:before="49"/>
        <w:ind w:right="153"/>
        <w:jc w:val="left"/>
      </w:pPr>
      <w:r>
        <w:rPr/>
        <w:t>支付的其他与经营活动有关的现金说明：无。</w:t>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4,500,000.00</w:t>
            </w:r>
          </w:p>
        </w:tc>
      </w:tr>
    </w:tbl>
    <w:p>
      <w:pPr>
        <w:pStyle w:val="BodyText"/>
        <w:spacing w:line="240" w:lineRule="auto" w:before="49"/>
        <w:ind w:right="153"/>
        <w:jc w:val="left"/>
      </w:pPr>
      <w:r>
        <w:rPr/>
        <w:t>收到的其他与投资活动有关的现金说明：无。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返还与资产相关的政府补助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53"/>
        <w:jc w:val="left"/>
      </w:pPr>
      <w:r>
        <w:rPr/>
        <w:t>支付的其他与投资活动有关的现金说明：无。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612,909.69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4,555,000.00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5,167,909.69</w:t>
            </w:r>
          </w:p>
        </w:tc>
      </w:tr>
    </w:tbl>
    <w:p>
      <w:pPr>
        <w:pStyle w:val="BodyText"/>
        <w:spacing w:line="240" w:lineRule="auto" w:before="49"/>
        <w:ind w:right="153"/>
        <w:jc w:val="left"/>
      </w:pPr>
      <w:r>
        <w:rPr/>
        <w:t>收到的其他与筹资活动有关的现金说明：无。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7,384,294.73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818,318.13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5,822,314.84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13,206,609.57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818,318.13</w:t>
            </w:r>
          </w:p>
        </w:tc>
      </w:tr>
    </w:tbl>
    <w:p>
      <w:pPr>
        <w:pStyle w:val="BodyText"/>
        <w:spacing w:line="240" w:lineRule="auto" w:before="49"/>
        <w:ind w:right="153"/>
        <w:jc w:val="left"/>
      </w:pPr>
      <w:r>
        <w:rPr/>
        <w:t>支付的其他与筹资活动有关的现金说明：无。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74</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1186" w:top="1100" w:bottom="1380" w:left="980" w:right="980"/>
        </w:sectPr>
      </w:pPr>
    </w:p>
    <w:p>
      <w:pPr>
        <w:spacing w:line="240" w:lineRule="auto" w:before="8"/>
        <w:rPr>
          <w:rFonts w:ascii="宋体" w:hAnsi="宋体" w:cs="宋体" w:eastAsia="宋体" w:hint="default"/>
          <w:sz w:val="24"/>
          <w:szCs w:val="24"/>
        </w:rPr>
      </w:pPr>
      <w:r>
        <w:rPr/>
        <w:pict>
          <v:group style="position:absolute;margin-left:223.369995pt;margin-top:263.989990pt;width:151.25pt;height:20.65pt;mso-position-horizontal-relative:page;mso-position-vertical-relative:page;z-index:-1060072" coordorigin="4467,5280" coordsize="3025,413">
            <v:group style="position:absolute;left:4478;top:5291;width:2;height:392" coordorigin="4478,5291" coordsize="2,392">
              <v:shape style="position:absolute;left:4478;top:5291;width:2;height:392" coordorigin="4478,5291" coordsize="0,392" path="m4478,5291l4478,5682e" filled="false" stroked="true" strokeweight="1.08pt" strokecolor="#ffffff">
                <v:path arrowok="t"/>
              </v:shape>
            </v:group>
            <v:group style="position:absolute;left:4489;top:5291;width:3003;height:392" coordorigin="4489,5291" coordsize="3003,392">
              <v:shape style="position:absolute;left:4489;top:5291;width:3003;height:392" coordorigin="4489,5291" coordsize="3003,392" path="m4489,5682l7492,5682,7492,5291,4489,5291,4489,568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376"/>
        <w:gridCol w:w="1693"/>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67" w:right="0"/>
              <w:jc w:val="left"/>
              <w:rPr>
                <w:rFonts w:ascii="宋体" w:hAnsi="宋体" w:cs="宋体" w:eastAsia="宋体" w:hint="default"/>
                <w:sz w:val="18"/>
                <w:szCs w:val="18"/>
              </w:rPr>
            </w:pPr>
            <w:r>
              <w:rPr>
                <w:rFonts w:ascii="宋体"/>
                <w:sz w:val="18"/>
              </w:rPr>
              <w:t>123,224,476.94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-119,385,542.32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856" w:right="0"/>
              <w:jc w:val="left"/>
              <w:rPr>
                <w:rFonts w:ascii="宋体" w:hAnsi="宋体" w:cs="宋体" w:eastAsia="宋体" w:hint="default"/>
                <w:sz w:val="18"/>
                <w:szCs w:val="18"/>
              </w:rPr>
            </w:pPr>
            <w:r>
              <w:rPr>
                <w:rFonts w:ascii="宋体"/>
                <w:sz w:val="18"/>
              </w:rPr>
              <w:t>13,646,534.81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26,577,785.34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56" w:right="0"/>
              <w:jc w:val="left"/>
              <w:rPr>
                <w:rFonts w:ascii="宋体" w:hAnsi="宋体" w:cs="宋体" w:eastAsia="宋体" w:hint="default"/>
                <w:sz w:val="18"/>
                <w:szCs w:val="18"/>
              </w:rPr>
            </w:pPr>
            <w:r>
              <w:rPr>
                <w:rFonts w:ascii="宋体"/>
                <w:sz w:val="18"/>
              </w:rPr>
              <w:t>20,677,847.33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37,215,553.45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948" w:right="0"/>
              <w:jc w:val="left"/>
              <w:rPr>
                <w:rFonts w:ascii="宋体" w:hAnsi="宋体" w:cs="宋体" w:eastAsia="宋体" w:hint="default"/>
                <w:sz w:val="18"/>
                <w:szCs w:val="18"/>
              </w:rPr>
            </w:pPr>
            <w:r>
              <w:rPr>
                <w:rFonts w:ascii="宋体"/>
                <w:sz w:val="18"/>
              </w:rPr>
              <w:t>4,587,869.11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6,779,234.47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752,623.72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3,098,732.89</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849,088.52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2,380,775.35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137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2,609,763.13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1,196,891.63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76" w:right="0"/>
              <w:jc w:val="left"/>
              <w:rPr>
                <w:rFonts w:ascii="宋体" w:hAnsi="宋体" w:cs="宋体" w:eastAsia="宋体" w:hint="default"/>
                <w:sz w:val="18"/>
                <w:szCs w:val="18"/>
              </w:rPr>
            </w:pPr>
            <w:r>
              <w:rPr>
                <w:rFonts w:ascii="宋体"/>
                <w:sz w:val="18"/>
              </w:rPr>
              <w:t>-201,433,587.99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-6,214,082.92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472,100.59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-701,391.93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56" w:right="0"/>
              <w:jc w:val="left"/>
              <w:rPr>
                <w:rFonts w:ascii="宋体" w:hAnsi="宋体" w:cs="宋体" w:eastAsia="宋体" w:hint="default"/>
                <w:sz w:val="18"/>
                <w:szCs w:val="18"/>
              </w:rPr>
            </w:pPr>
            <w:r>
              <w:rPr>
                <w:rFonts w:ascii="宋体"/>
                <w:sz w:val="18"/>
              </w:rPr>
              <w:t>64,819,080.24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30,816,313.73</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7" w:right="0"/>
              <w:jc w:val="left"/>
              <w:rPr>
                <w:rFonts w:ascii="宋体" w:hAnsi="宋体" w:cs="宋体" w:eastAsia="宋体" w:hint="default"/>
                <w:sz w:val="18"/>
                <w:szCs w:val="18"/>
              </w:rPr>
            </w:pPr>
            <w:r>
              <w:rPr>
                <w:rFonts w:ascii="宋体"/>
                <w:sz w:val="18"/>
              </w:rPr>
              <w:t>-26,185,601.62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81,722,255.52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8" w:right="0"/>
              <w:jc w:val="left"/>
              <w:rPr>
                <w:rFonts w:ascii="宋体" w:hAnsi="宋体" w:cs="宋体" w:eastAsia="宋体" w:hint="default"/>
                <w:sz w:val="18"/>
                <w:szCs w:val="18"/>
              </w:rPr>
            </w:pPr>
            <w:r>
              <w:rPr>
                <w:rFonts w:ascii="宋体"/>
                <w:sz w:val="18"/>
              </w:rPr>
              <w:t>1,453,293.93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-17,071,184.58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8,825,226.93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48" w:right="0"/>
              <w:jc w:val="left"/>
              <w:rPr>
                <w:rFonts w:ascii="宋体" w:hAnsi="宋体" w:cs="宋体" w:eastAsia="宋体" w:hint="default"/>
                <w:sz w:val="18"/>
                <w:szCs w:val="18"/>
              </w:rPr>
            </w:pPr>
            <w:r>
              <w:rPr>
                <w:rFonts w:ascii="宋体"/>
                <w:sz w:val="18"/>
              </w:rPr>
              <w:t>2,863,725.58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57,850,330.69</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1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767" w:right="0"/>
              <w:jc w:val="left"/>
              <w:rPr>
                <w:rFonts w:ascii="宋体" w:hAnsi="宋体" w:cs="宋体" w:eastAsia="宋体" w:hint="default"/>
                <w:sz w:val="18"/>
                <w:szCs w:val="18"/>
              </w:rPr>
            </w:pPr>
            <w:r>
              <w:rPr>
                <w:rFonts w:ascii="宋体"/>
                <w:sz w:val="18"/>
              </w:rPr>
              <w:t>367,477,462.51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360,961,121.21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67" w:right="0"/>
              <w:jc w:val="left"/>
              <w:rPr>
                <w:rFonts w:ascii="宋体" w:hAnsi="宋体" w:cs="宋体" w:eastAsia="宋体" w:hint="default"/>
                <w:sz w:val="18"/>
                <w:szCs w:val="18"/>
              </w:rPr>
            </w:pPr>
            <w:r>
              <w:rPr>
                <w:rFonts w:ascii="宋体"/>
                <w:sz w:val="18"/>
              </w:rPr>
              <w:t>360,961,121.21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343,514,032.63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948" w:right="0"/>
              <w:jc w:val="left"/>
              <w:rPr>
                <w:rFonts w:ascii="宋体" w:hAnsi="宋体" w:cs="宋体" w:eastAsia="宋体" w:hint="default"/>
                <w:sz w:val="18"/>
                <w:szCs w:val="18"/>
              </w:rPr>
            </w:pPr>
            <w:r>
              <w:rPr>
                <w:rFonts w:ascii="宋体"/>
                <w:sz w:val="18"/>
              </w:rPr>
              <w:t>6,516,341.30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17,447,088.58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）本期支付的取得子公司的现金净额：无。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）本期收到的处置子公司的现金净额：无。</w:t>
      </w:r>
      <w:r>
        <w:rPr>
          <w:b w:val="0"/>
          <w:bCs w:val="0"/>
        </w:rPr>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367,477,462.51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360,961,121.21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9,650.34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106,019.50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140,474,860.23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360,855,101.71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226,992,951.94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367,477,462.51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360,961,121.21</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75</w:t>
      </w:r>
      <w:r>
        <w:rPr/>
        <w:t>、所有者权益变动表项目注释：无。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76</w:t>
      </w:r>
      <w:r>
        <w:rPr/>
        <w:t>、所有权或使用权受到限制的资产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2356"/>
        <w:gridCol w:w="3898"/>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39,148,622.05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银行承兑汇票、信用证、保函保证金及定期存款</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39,148,622.05</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77</w:t>
      </w:r>
      <w:r>
        <w:rPr/>
        <w:t>、外币货币性项目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3,918,839.62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324,027.25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2,104,103.35</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254,954.59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1,808,953.81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5,782.46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698,321.05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53,462.90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347,166.69</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49,491.82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351,154.36</w:t>
            </w:r>
          </w:p>
        </w:tc>
      </w:tr>
    </w:tbl>
    <w:p>
      <w:pPr>
        <w:pStyle w:val="BodyText"/>
        <w:spacing w:line="240" w:lineRule="auto" w:before="49"/>
        <w:ind w:right="153"/>
        <w:jc w:val="left"/>
      </w:pPr>
      <w:r>
        <w:rPr/>
        <w:t>其他说明：无。</w:t>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3"/>
        <w:spacing w:line="273" w:lineRule="auto" w:before="36"/>
        <w:ind w:right="153"/>
        <w:jc w:val="left"/>
        <w:rPr>
          <w:b w:val="0"/>
          <w:bCs w:val="0"/>
        </w:rPr>
      </w:pPr>
      <w:r>
        <w:rPr/>
        <w:t>（</w:t>
      </w:r>
      <w:r>
        <w:rPr>
          <w:rFonts w:ascii="宋体" w:hAnsi="宋体" w:cs="宋体" w:eastAsia="宋体"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78</w:t>
      </w:r>
      <w:r>
        <w:rPr/>
        <w:t>、套期：无。</w:t>
      </w:r>
      <w:r>
        <w:rPr>
          <w:b w:val="0"/>
          <w:bCs w:val="0"/>
        </w:rPr>
      </w:r>
    </w:p>
    <w:p>
      <w:pPr>
        <w:spacing w:line="240" w:lineRule="auto" w:before="12"/>
        <w:rPr>
          <w:rFonts w:ascii="宋体" w:hAnsi="宋体" w:cs="宋体" w:eastAsia="宋体" w:hint="default"/>
          <w:b/>
          <w:bCs/>
          <w:sz w:val="25"/>
          <w:szCs w:val="25"/>
        </w:rPr>
      </w:pPr>
    </w:p>
    <w:p>
      <w:pPr>
        <w:spacing w:line="501" w:lineRule="auto" w:before="0"/>
        <w:ind w:left="152" w:right="7349" w:firstLine="0"/>
        <w:jc w:val="left"/>
        <w:rPr>
          <w:rFonts w:ascii="宋体" w:hAnsi="宋体" w:cs="宋体" w:eastAsia="宋体" w:hint="default"/>
          <w:sz w:val="21"/>
          <w:szCs w:val="21"/>
        </w:rPr>
      </w:pPr>
      <w:r>
        <w:rPr>
          <w:rFonts w:ascii="宋体" w:hAnsi="宋体" w:cs="宋体" w:eastAsia="宋体" w:hint="default"/>
          <w:b/>
          <w:bCs/>
          <w:sz w:val="21"/>
          <w:szCs w:val="21"/>
        </w:rPr>
        <w:t>79</w:t>
      </w:r>
      <w:r>
        <w:rPr>
          <w:rFonts w:ascii="宋体" w:hAnsi="宋体" w:cs="宋体" w:eastAsia="宋体" w:hint="default"/>
          <w:b/>
          <w:bCs/>
          <w:sz w:val="21"/>
          <w:szCs w:val="21"/>
        </w:rPr>
        <w:t>、其他：无。</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108"/>
        <w:ind w:right="153"/>
        <w:jc w:val="left"/>
        <w:rPr>
          <w:b w:val="0"/>
          <w:bCs w:val="0"/>
        </w:rPr>
      </w:pPr>
      <w:r>
        <w:rPr/>
        <w:t>（</w:t>
      </w:r>
      <w:r>
        <w:rPr>
          <w:rFonts w:ascii="宋体" w:hAnsi="宋体" w:cs="宋体" w:eastAsia="宋体" w:hint="default"/>
        </w:rPr>
        <w:t>1</w:t>
      </w:r>
      <w:r>
        <w:rPr/>
        <w:t>）本期发生的非同一控制下企业合并：无。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2</w:t>
      </w:r>
      <w:r>
        <w:rPr/>
        <w:t>）合并成本及商誉：无。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）被购买方于购买日可辨认资产、负债：无。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是否存在通过多次交易分步实现企业合并且在报告期内取得控制权的交易</w:t>
      </w:r>
    </w:p>
    <w:p>
      <w:pPr>
        <w:pStyle w:val="BodyText"/>
        <w:spacing w:line="240" w:lineRule="auto" w:before="117"/>
        <w:ind w:right="15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73" w:lineRule="auto" w:before="120"/>
        <w:ind w:right="153"/>
        <w:jc w:val="left"/>
        <w:rPr>
          <w:b w:val="0"/>
          <w:bCs w:val="0"/>
        </w:rPr>
      </w:pPr>
      <w:r>
        <w:rPr/>
        <w:t>（</w:t>
      </w:r>
      <w:r>
        <w:rPr>
          <w:rFonts w:ascii="宋体" w:hAnsi="宋体" w:cs="宋体" w:eastAsia="宋体" w:hint="default"/>
        </w:rPr>
        <w:t>5</w:t>
      </w:r>
      <w:r>
        <w:rPr/>
        <w:t>）购买日或合并当期期末无法合理确定合并对价或被购买方可辨认资产、负债公允价值的相关说明：</w:t>
      </w:r>
      <w:r>
        <w:rPr>
          <w:spacing w:val="-62"/>
        </w:rPr>
        <w:t> </w:t>
      </w:r>
      <w:r>
        <w:rPr>
          <w:spacing w:val="-62"/>
        </w:rPr>
      </w:r>
      <w:r>
        <w:rPr/>
        <w:t>无。</w:t>
      </w:r>
      <w:r>
        <w:rPr>
          <w:b w:val="0"/>
          <w:bCs w:val="0"/>
        </w:rPr>
      </w:r>
    </w:p>
    <w:p>
      <w:pPr>
        <w:spacing w:line="240" w:lineRule="auto" w:before="7"/>
        <w:rPr>
          <w:rFonts w:ascii="宋体" w:hAnsi="宋体" w:cs="宋体" w:eastAsia="宋体" w:hint="default"/>
          <w:b/>
          <w:bCs/>
          <w:sz w:val="23"/>
          <w:szCs w:val="23"/>
        </w:rPr>
      </w:pPr>
    </w:p>
    <w:p>
      <w:pPr>
        <w:pStyle w:val="Heading3"/>
        <w:spacing w:line="537" w:lineRule="auto"/>
        <w:ind w:right="7560"/>
        <w:jc w:val="left"/>
        <w:rPr>
          <w:b w:val="0"/>
          <w:bCs w:val="0"/>
        </w:rPr>
      </w:pPr>
      <w:r>
        <w:rPr/>
        <w:t>（</w:t>
      </w:r>
      <w:r>
        <w:rPr>
          <w:rFonts w:ascii="宋体" w:hAnsi="宋体" w:cs="宋体" w:eastAsia="宋体" w:hint="default"/>
        </w:rPr>
        <w:t>6</w:t>
      </w:r>
      <w:r>
        <w:rPr/>
        <w:t>）其他说明：无。</w:t>
      </w:r>
      <w:r>
        <w:rPr>
          <w:spacing w:val="-104"/>
        </w:rPr>
        <w:t> </w:t>
      </w:r>
      <w:r>
        <w:rPr>
          <w:spacing w:val="-104"/>
        </w:rPr>
      </w:r>
      <w:r>
        <w:rPr>
          <w:rFonts w:ascii="宋体" w:hAnsi="宋体" w:cs="宋体" w:eastAsia="宋体" w:hint="default"/>
        </w:rPr>
        <w:t>2</w:t>
      </w:r>
      <w:r>
        <w:rPr/>
        <w:t>、同一控制下企业合并</w:t>
      </w:r>
      <w:r>
        <w:rPr>
          <w:b w:val="0"/>
          <w:bCs w:val="0"/>
        </w:rPr>
      </w:r>
    </w:p>
    <w:p>
      <w:pPr>
        <w:pStyle w:val="Heading3"/>
        <w:spacing w:line="240" w:lineRule="auto" w:before="76"/>
        <w:ind w:right="153"/>
        <w:jc w:val="left"/>
        <w:rPr>
          <w:b w:val="0"/>
          <w:bCs w:val="0"/>
        </w:rPr>
      </w:pPr>
      <w:r>
        <w:rPr/>
        <w:t>（</w:t>
      </w:r>
      <w:r>
        <w:rPr>
          <w:rFonts w:ascii="宋体" w:hAnsi="宋体" w:cs="宋体" w:eastAsia="宋体" w:hint="default"/>
        </w:rPr>
        <w:t>1</w:t>
      </w:r>
      <w:r>
        <w:rPr/>
        <w:t>）本期发生的同一控制下企业合并：无。</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2</w:t>
      </w:r>
      <w:r>
        <w:rPr/>
        <w:t>）合并成本：无。</w:t>
      </w:r>
      <w:r>
        <w:rPr>
          <w:b w:val="0"/>
          <w:bCs w:val="0"/>
        </w:rPr>
      </w:r>
    </w:p>
    <w:p>
      <w:pPr>
        <w:spacing w:line="240" w:lineRule="auto" w:before="10"/>
        <w:rPr>
          <w:rFonts w:ascii="宋体" w:hAnsi="宋体" w:cs="宋体" w:eastAsia="宋体" w:hint="default"/>
          <w:b/>
          <w:bCs/>
          <w:sz w:val="25"/>
          <w:szCs w:val="25"/>
        </w:rPr>
      </w:pPr>
    </w:p>
    <w:p>
      <w:pPr>
        <w:pStyle w:val="Heading3"/>
        <w:spacing w:line="537" w:lineRule="auto"/>
        <w:ind w:right="4554"/>
        <w:jc w:val="left"/>
        <w:rPr>
          <w:b w:val="0"/>
          <w:bCs w:val="0"/>
        </w:rPr>
      </w:pPr>
      <w:r>
        <w:rPr>
          <w:spacing w:val="-1"/>
        </w:rPr>
        <w:t>（</w:t>
      </w:r>
      <w:r>
        <w:rPr>
          <w:rFonts w:ascii="宋体" w:hAnsi="宋体" w:cs="宋体" w:eastAsia="宋体" w:hint="default"/>
          <w:spacing w:val="-1"/>
        </w:rPr>
        <w:t>3</w:t>
      </w:r>
      <w:r>
        <w:rPr>
          <w:spacing w:val="-1"/>
        </w:rPr>
        <w:t>）合并日被合并方资产、负债的账面价值：无。</w:t>
      </w:r>
      <w:r>
        <w:rPr>
          <w:spacing w:val="-84"/>
        </w:rPr>
        <w:t> </w:t>
      </w:r>
      <w:r>
        <w:rPr>
          <w:spacing w:val="-84"/>
        </w:rPr>
      </w:r>
      <w:r>
        <w:rPr>
          <w:rFonts w:ascii="宋体" w:hAnsi="宋体" w:cs="宋体" w:eastAsia="宋体" w:hint="default"/>
        </w:rPr>
        <w:t>3</w:t>
      </w:r>
      <w:r>
        <w:rPr/>
        <w:t>、反向购买：无。</w:t>
      </w:r>
      <w:r>
        <w:rPr>
          <w:b w:val="0"/>
          <w:bCs w:val="0"/>
        </w:rPr>
      </w:r>
    </w:p>
    <w:p>
      <w:pPr>
        <w:spacing w:after="0" w:line="537" w:lineRule="auto"/>
        <w:jc w:val="left"/>
        <w:sectPr>
          <w:pgSz w:w="11910" w:h="16840"/>
          <w:pgMar w:header="877" w:footer="1186" w:top="1100" w:bottom="1380" w:left="980" w:right="980"/>
        </w:sectPr>
      </w:pPr>
    </w:p>
    <w:p>
      <w:pPr>
        <w:spacing w:line="240" w:lineRule="auto" w:before="11"/>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8318"/>
        <w:jc w:val="left"/>
        <w:rPr>
          <w:b w:val="0"/>
          <w:bCs w:val="0"/>
        </w:rPr>
      </w:pPr>
      <w:r>
        <w:rPr>
          <w:rFonts w:ascii="宋体" w:hAnsi="宋体" w:cs="宋体" w:eastAsia="宋体" w:hint="default"/>
        </w:rPr>
        <w:t>4</w:t>
      </w:r>
      <w:r>
        <w:rPr/>
        <w:t>、处置子公司</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headerReference w:type="default" r:id="rId51"/>
          <w:footerReference w:type="default" r:id="rId52"/>
          <w:pgSz w:w="16840" w:h="11910" w:orient="landscape"/>
          <w:pgMar w:header="867" w:footer="1186" w:top="1060" w:bottom="1380" w:left="1300" w:right="1300"/>
          <w:pgNumType w:start="153"/>
        </w:sectPr>
      </w:pPr>
    </w:p>
    <w:p>
      <w:pPr>
        <w:pStyle w:val="BodyText"/>
        <w:spacing w:line="240" w:lineRule="auto" w:before="44"/>
        <w:ind w:left="140" w:right="-20"/>
        <w:jc w:val="left"/>
      </w:pPr>
      <w:r>
        <w:rPr/>
        <w:t>是否存在单次处置对子公司投资即丧失控制权的情形</w:t>
      </w:r>
    </w:p>
    <w:p>
      <w:pPr>
        <w:pStyle w:val="BodyText"/>
        <w:spacing w:line="240" w:lineRule="auto" w:before="117"/>
        <w:ind w:left="140"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380" w:left="1300" w:right="1300"/>
          <w:cols w:num="2" w:equalWidth="0">
            <w:col w:w="4281" w:space="8869"/>
            <w:col w:w="109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81"/>
        <w:gridCol w:w="1277"/>
        <w:gridCol w:w="706"/>
        <w:gridCol w:w="853"/>
        <w:gridCol w:w="1721"/>
        <w:gridCol w:w="1541"/>
        <w:gridCol w:w="1277"/>
        <w:gridCol w:w="852"/>
        <w:gridCol w:w="847"/>
        <w:gridCol w:w="910"/>
        <w:gridCol w:w="1051"/>
        <w:gridCol w:w="1054"/>
        <w:gridCol w:w="1048"/>
      </w:tblGrid>
      <w:tr>
        <w:trPr>
          <w:trHeight w:val="1964"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46" w:right="72"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76" w:right="77"/>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9" w:right="62"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34"/>
              <w:jc w:val="right"/>
              <w:rPr>
                <w:rFonts w:ascii="宋体" w:hAnsi="宋体" w:cs="宋体" w:eastAsia="宋体" w:hint="default"/>
                <w:sz w:val="18"/>
                <w:szCs w:val="18"/>
              </w:rPr>
            </w:pPr>
            <w:r>
              <w:rPr>
                <w:rFonts w:ascii="宋体" w:hAnsi="宋体" w:cs="宋体" w:eastAsia="宋体" w:hint="default"/>
                <w:sz w:val="18"/>
                <w:szCs w:val="18"/>
              </w:rPr>
              <w:t>丧失控制权的时点</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05" w:right="45" w:hanging="360"/>
              <w:jc w:val="left"/>
              <w:rPr>
                <w:rFonts w:ascii="宋体" w:hAnsi="宋体" w:cs="宋体" w:eastAsia="宋体" w:hint="default"/>
                <w:sz w:val="18"/>
                <w:szCs w:val="18"/>
              </w:rPr>
            </w:pPr>
            <w:r>
              <w:rPr>
                <w:rFonts w:ascii="宋体" w:hAnsi="宋体" w:cs="宋体" w:eastAsia="宋体" w:hint="default"/>
                <w:sz w:val="18"/>
                <w:szCs w:val="18"/>
              </w:rPr>
              <w:t>丧失控制权时点的 确定依据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合并财务报表 层面享有该子 公司净资产份 额的差额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9" w:right="60"/>
              <w:jc w:val="center"/>
              <w:rPr>
                <w:rFonts w:ascii="宋体" w:hAnsi="宋体" w:cs="宋体" w:eastAsia="宋体" w:hint="default"/>
                <w:sz w:val="18"/>
                <w:szCs w:val="18"/>
              </w:rPr>
            </w:pPr>
            <w:r>
              <w:rPr>
                <w:rFonts w:ascii="宋体" w:hAnsi="宋体" w:cs="宋体" w:eastAsia="宋体" w:hint="default"/>
                <w:sz w:val="18"/>
                <w:szCs w:val="18"/>
              </w:rPr>
              <w:t>丧失控制 权之日剩 余股权的 比例</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7" w:right="59"/>
              <w:jc w:val="both"/>
              <w:rPr>
                <w:rFonts w:ascii="宋体" w:hAnsi="宋体" w:cs="宋体" w:eastAsia="宋体" w:hint="default"/>
                <w:sz w:val="18"/>
                <w:szCs w:val="18"/>
              </w:rPr>
            </w:pPr>
            <w:r>
              <w:rPr>
                <w:rFonts w:ascii="宋体" w:hAnsi="宋体" w:cs="宋体" w:eastAsia="宋体" w:hint="default"/>
                <w:sz w:val="18"/>
                <w:szCs w:val="18"/>
              </w:rPr>
              <w:t>丧失控制 权之日剩 余股权的 账面价值</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9" w:right="89"/>
              <w:jc w:val="both"/>
              <w:rPr>
                <w:rFonts w:ascii="宋体" w:hAnsi="宋体" w:cs="宋体" w:eastAsia="宋体" w:hint="default"/>
                <w:sz w:val="18"/>
                <w:szCs w:val="18"/>
              </w:rPr>
            </w:pPr>
            <w:r>
              <w:rPr>
                <w:rFonts w:ascii="宋体" w:hAnsi="宋体" w:cs="宋体" w:eastAsia="宋体" w:hint="default"/>
                <w:sz w:val="18"/>
                <w:szCs w:val="18"/>
              </w:rPr>
              <w:t>丧失控制 权之日剩 余股权的 公允价值</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2"/>
              <w:jc w:val="both"/>
              <w:rPr>
                <w:rFonts w:ascii="宋体" w:hAnsi="宋体" w:cs="宋体" w:eastAsia="宋体" w:hint="default"/>
                <w:sz w:val="18"/>
                <w:szCs w:val="18"/>
              </w:rPr>
            </w:pPr>
            <w:r>
              <w:rPr>
                <w:rFonts w:ascii="宋体" w:hAnsi="宋体" w:cs="宋体" w:eastAsia="宋体" w:hint="default"/>
                <w:sz w:val="18"/>
                <w:szCs w:val="18"/>
              </w:rPr>
              <w:t>丧失控制权 之日剩余股 权公允价值 的确定方法 及主要假设</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9"/>
              <w:jc w:val="center"/>
              <w:rPr>
                <w:rFonts w:ascii="宋体" w:hAnsi="宋体" w:cs="宋体" w:eastAsia="宋体" w:hint="default"/>
                <w:sz w:val="18"/>
                <w:szCs w:val="18"/>
              </w:rPr>
            </w:pPr>
            <w:r>
              <w:rPr>
                <w:rFonts w:ascii="宋体" w:hAnsi="宋体" w:cs="宋体" w:eastAsia="宋体" w:hint="default"/>
                <w:sz w:val="18"/>
                <w:szCs w:val="18"/>
              </w:rPr>
              <w:t>与原子公司 股权投资相 关的其他综 合收益转入 投资损益的 金额</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46,569,600.00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sz w:val="18"/>
              </w:rPr>
              <w:t>52.80%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完成工商股权登记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11,743,489.98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6" w:right="0"/>
              <w:jc w:val="left"/>
              <w:rPr>
                <w:rFonts w:ascii="宋体" w:hAnsi="宋体" w:cs="宋体" w:eastAsia="宋体" w:hint="default"/>
                <w:sz w:val="18"/>
                <w:szCs w:val="18"/>
              </w:rPr>
            </w:pPr>
            <w:r>
              <w:rPr>
                <w:rFonts w:ascii="宋体"/>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7" w:right="0"/>
              <w:jc w:val="left"/>
              <w:rPr>
                <w:rFonts w:ascii="宋体" w:hAnsi="宋体" w:cs="宋体" w:eastAsia="宋体" w:hint="default"/>
                <w:sz w:val="18"/>
                <w:szCs w:val="18"/>
              </w:rPr>
            </w:pPr>
            <w:r>
              <w:rPr>
                <w:rFonts w:ascii="宋体"/>
                <w:sz w:val="18"/>
              </w:rPr>
              <w:t>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3" w:right="0"/>
              <w:jc w:val="left"/>
              <w:rPr>
                <w:rFonts w:ascii="宋体" w:hAnsi="宋体" w:cs="宋体" w:eastAsia="宋体" w:hint="default"/>
                <w:sz w:val="18"/>
                <w:szCs w:val="18"/>
              </w:rPr>
            </w:pPr>
            <w:r>
              <w:rPr>
                <w:rFonts w:ascii="宋体"/>
                <w:sz w:val="18"/>
              </w:rPr>
              <w:t>0.00</w:t>
            </w:r>
          </w:p>
        </w:tc>
      </w:tr>
    </w:tbl>
    <w:p>
      <w:pPr>
        <w:pStyle w:val="BodyText"/>
        <w:spacing w:line="360" w:lineRule="auto" w:before="49"/>
        <w:ind w:left="140" w:right="8318"/>
        <w:jc w:val="left"/>
      </w:pPr>
      <w:r>
        <w:rPr/>
        <w:t>其他说明： 是否存在通过多次交易分步处置对子公司投资且在本期丧失控制权的情形</w:t>
      </w:r>
    </w:p>
    <w:p>
      <w:pPr>
        <w:pStyle w:val="BodyText"/>
        <w:spacing w:line="360" w:lineRule="auto" w:before="25"/>
        <w:ind w:left="140" w:right="13085"/>
        <w:jc w:val="left"/>
      </w:pPr>
      <w:r>
        <w:rPr/>
        <w:t>√ 是 □</w:t>
      </w:r>
      <w:r>
        <w:rPr>
          <w:spacing w:val="3"/>
        </w:rPr>
        <w:t> </w:t>
      </w:r>
      <w:r>
        <w:rPr/>
        <w:t>否</w:t>
      </w:r>
      <w:r>
        <w:rPr/>
        <w:t> 一揽子交易</w:t>
      </w:r>
    </w:p>
    <w:p>
      <w:pPr>
        <w:pStyle w:val="BodyText"/>
        <w:spacing w:line="240" w:lineRule="auto" w:before="27"/>
        <w:ind w:left="140" w:right="8318"/>
        <w:jc w:val="left"/>
      </w:pPr>
      <w:r>
        <w:rPr/>
        <w:t>□ 适用 √</w:t>
      </w:r>
      <w:r>
        <w:rPr>
          <w:spacing w:val="3"/>
        </w:rPr>
        <w:t> </w:t>
      </w:r>
      <w:r>
        <w:rPr/>
        <w:t>不适用</w:t>
      </w:r>
    </w:p>
    <w:p>
      <w:pPr>
        <w:spacing w:after="0" w:line="240" w:lineRule="auto"/>
        <w:jc w:val="left"/>
        <w:sectPr>
          <w:type w:val="continuous"/>
          <w:pgSz w:w="16840" w:h="11910" w:orient="landscape"/>
          <w:pgMar w:top="1060" w:bottom="1380" w:left="1300" w:right="1300"/>
        </w:sectPr>
      </w:pPr>
    </w:p>
    <w:p>
      <w:pPr>
        <w:pStyle w:val="BodyText"/>
        <w:spacing w:line="240" w:lineRule="auto" w:before="74"/>
        <w:ind w:left="140" w:right="-19"/>
        <w:jc w:val="left"/>
      </w:pPr>
      <w:r>
        <w:rPr/>
        <w:pict>
          <v:group style="position:absolute;margin-left:70.559998pt;margin-top:2.191709pt;width:700.95pt;height:.1pt;mso-position-horizontal-relative:page;mso-position-vertical-relative:paragraph;z-index:2032" coordorigin="1411,44" coordsize="14019,2">
            <v:shape style="position:absolute;left:1411;top:44;width:14019;height:2" coordorigin="1411,44" coordsize="14019,0" path="m1411,44l15430,44e" filled="false" stroked="true" strokeweight=".72pt" strokecolor="#000000">
              <v:path arrowok="t"/>
            </v:shape>
            <w10:wrap type="none"/>
          </v:group>
        </w:pict>
      </w:r>
      <w:r>
        <w:rPr/>
        <w:t>非一揽子交易</w:t>
      </w:r>
    </w:p>
    <w:p>
      <w:pPr>
        <w:pStyle w:val="BodyText"/>
        <w:spacing w:line="240" w:lineRule="auto" w:before="117"/>
        <w:ind w:left="140" w:right="-19"/>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140" w:right="0"/>
        <w:jc w:val="left"/>
      </w:pPr>
      <w:r>
        <w:rPr/>
        <w:t>单位：</w:t>
      </w:r>
      <w:r>
        <w:rPr>
          <w:spacing w:val="1"/>
        </w:rPr>
        <w:t> </w:t>
      </w:r>
      <w:r>
        <w:rPr/>
        <w:t>元</w:t>
      </w:r>
    </w:p>
    <w:p>
      <w:pPr>
        <w:spacing w:after="0" w:line="240" w:lineRule="auto"/>
        <w:jc w:val="left"/>
        <w:sectPr>
          <w:pgSz w:w="16840" w:h="11910" w:orient="landscape"/>
          <w:pgMar w:header="867" w:footer="1186" w:top="1060" w:bottom="1380" w:left="1300" w:right="1280"/>
          <w:cols w:num="2" w:equalWidth="0">
            <w:col w:w="1675" w:space="11475"/>
            <w:col w:w="1110"/>
          </w:cols>
        </w:sectPr>
      </w:pP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96"/>
        <w:gridCol w:w="1562"/>
        <w:gridCol w:w="1417"/>
        <w:gridCol w:w="610"/>
        <w:gridCol w:w="526"/>
        <w:gridCol w:w="1274"/>
        <w:gridCol w:w="1560"/>
        <w:gridCol w:w="852"/>
        <w:gridCol w:w="706"/>
        <w:gridCol w:w="852"/>
        <w:gridCol w:w="992"/>
        <w:gridCol w:w="994"/>
        <w:gridCol w:w="996"/>
        <w:gridCol w:w="1083"/>
      </w:tblGrid>
      <w:tr>
        <w:trPr>
          <w:trHeight w:val="1963" w:hRule="exact"/>
        </w:trPr>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12" w:right="111"/>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3"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8" w:right="29"/>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1"/>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合并财务报表 层面享有该子 公司净资产份 额的差额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2" w:right="0"/>
              <w:jc w:val="left"/>
              <w:rPr>
                <w:rFonts w:ascii="宋体" w:hAnsi="宋体" w:cs="宋体" w:eastAsia="宋体" w:hint="default"/>
                <w:sz w:val="18"/>
                <w:szCs w:val="18"/>
              </w:rPr>
            </w:pPr>
            <w:r>
              <w:rPr>
                <w:rFonts w:ascii="宋体" w:hAnsi="宋体" w:cs="宋体" w:eastAsia="宋体" w:hint="default"/>
                <w:sz w:val="18"/>
                <w:szCs w:val="18"/>
              </w:rPr>
              <w:t>丧失控制权的时点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丧失控制 权时点的 确定依据</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4"/>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both"/>
              <w:rPr>
                <w:rFonts w:ascii="宋体" w:hAnsi="宋体" w:cs="宋体" w:eastAsia="宋体" w:hint="default"/>
                <w:sz w:val="18"/>
                <w:szCs w:val="18"/>
              </w:rPr>
            </w:pPr>
            <w:r>
              <w:rPr>
                <w:rFonts w:ascii="宋体" w:hAnsi="宋体" w:cs="宋体" w:eastAsia="宋体" w:hint="default"/>
                <w:sz w:val="18"/>
                <w:szCs w:val="18"/>
              </w:rPr>
              <w:t>丧失控制 权之日剩 余股权的 账面价值</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0" w:right="39"/>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丧失控制权 之日剩余股 权公允价值 的确定方法 及主要假设</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4" w:right="87"/>
              <w:jc w:val="center"/>
              <w:rPr>
                <w:rFonts w:ascii="宋体" w:hAnsi="宋体" w:cs="宋体" w:eastAsia="宋体" w:hint="default"/>
                <w:sz w:val="18"/>
                <w:szCs w:val="18"/>
              </w:rPr>
            </w:pPr>
            <w:r>
              <w:rPr>
                <w:rFonts w:ascii="宋体" w:hAnsi="宋体" w:cs="宋体" w:eastAsia="宋体" w:hint="default"/>
                <w:sz w:val="18"/>
                <w:szCs w:val="18"/>
              </w:rPr>
              <w:t>与原子公司 股权投资相 关的其他综 合收益转入 投资损益的 金额</w:t>
            </w:r>
          </w:p>
        </w:tc>
      </w:tr>
      <w:tr>
        <w:trPr>
          <w:trHeight w:val="713" w:hRule="exact"/>
        </w:trPr>
        <w:tc>
          <w:tcPr>
            <w:tcW w:w="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4" w:lineRule="auto"/>
              <w:ind w:left="23" w:right="201"/>
              <w:jc w:val="left"/>
              <w:rPr>
                <w:rFonts w:ascii="宋体" w:hAnsi="宋体" w:cs="宋体" w:eastAsia="宋体" w:hint="default"/>
                <w:sz w:val="18"/>
                <w:szCs w:val="18"/>
              </w:rPr>
            </w:pPr>
            <w:r>
              <w:rPr>
                <w:rFonts w:ascii="宋体" w:hAnsi="宋体" w:cs="宋体" w:eastAsia="宋体" w:hint="default"/>
                <w:sz w:val="18"/>
                <w:szCs w:val="18"/>
              </w:rPr>
              <w:t>长春 高琦</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160,834,356.00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33.63%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协议 转让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12,795,444.72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完成工商 股权登记</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0" w:right="0"/>
              <w:jc w:val="left"/>
              <w:rPr>
                <w:rFonts w:ascii="宋体" w:hAnsi="宋体" w:cs="宋体" w:eastAsia="宋体" w:hint="default"/>
                <w:sz w:val="18"/>
                <w:szCs w:val="18"/>
              </w:rPr>
            </w:pPr>
            <w:r>
              <w:rPr>
                <w:rFonts w:ascii="宋体"/>
                <w:sz w:val="18"/>
              </w:rPr>
              <w:t>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98" w:right="0"/>
              <w:jc w:val="left"/>
              <w:rPr>
                <w:rFonts w:ascii="宋体" w:hAnsi="宋体" w:cs="宋体" w:eastAsia="宋体" w:hint="default"/>
                <w:sz w:val="18"/>
                <w:szCs w:val="18"/>
              </w:rPr>
            </w:pPr>
            <w:r>
              <w:rPr>
                <w:rFonts w:ascii="宋体"/>
                <w:sz w:val="18"/>
              </w:rPr>
              <w:t>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00" w:right="0"/>
              <w:jc w:val="left"/>
              <w:rPr>
                <w:rFonts w:ascii="宋体" w:hAnsi="宋体" w:cs="宋体" w:eastAsia="宋体" w:hint="default"/>
                <w:sz w:val="18"/>
                <w:szCs w:val="18"/>
              </w:rPr>
            </w:pPr>
            <w:r>
              <w:rPr>
                <w:rFonts w:ascii="宋体"/>
                <w:sz w:val="18"/>
              </w:rPr>
              <w:t>0.00</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89" w:right="0"/>
              <w:jc w:val="left"/>
              <w:rPr>
                <w:rFonts w:ascii="宋体" w:hAnsi="宋体" w:cs="宋体" w:eastAsia="宋体" w:hint="default"/>
                <w:sz w:val="18"/>
                <w:szCs w:val="18"/>
              </w:rPr>
            </w:pPr>
            <w:r>
              <w:rPr>
                <w:rFonts w:ascii="宋体"/>
                <w:sz w:val="18"/>
              </w:rPr>
              <w:t>0.00</w:t>
            </w:r>
          </w:p>
        </w:tc>
      </w:tr>
      <w:tr>
        <w:trPr>
          <w:trHeight w:val="715" w:hRule="exact"/>
        </w:trPr>
        <w:tc>
          <w:tcPr>
            <w:tcW w:w="596" w:type="dxa"/>
            <w:vMerge/>
            <w:tcBorders>
              <w:left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157,813,055.40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1"/>
              <w:jc w:val="left"/>
              <w:rPr>
                <w:rFonts w:ascii="宋体" w:hAnsi="宋体" w:cs="宋体" w:eastAsia="宋体" w:hint="default"/>
                <w:sz w:val="18"/>
                <w:szCs w:val="18"/>
              </w:rPr>
            </w:pPr>
            <w:r>
              <w:rPr>
                <w:rFonts w:ascii="宋体" w:hAnsi="宋体" w:cs="宋体" w:eastAsia="宋体" w:hint="default"/>
                <w:sz w:val="18"/>
                <w:szCs w:val="18"/>
              </w:rPr>
              <w:t>协议 转让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25,704,835.00</w:t>
            </w:r>
          </w:p>
        </w:tc>
        <w:tc>
          <w:tcPr>
            <w:tcW w:w="156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1083" w:type="dxa"/>
            <w:vMerge/>
            <w:tcBorders>
              <w:left w:val="single" w:sz="4" w:space="0" w:color="000000"/>
              <w:right w:val="single" w:sz="4" w:space="0" w:color="000000"/>
            </w:tcBorders>
          </w:tcPr>
          <w:p>
            <w:pPr/>
          </w:p>
        </w:tc>
      </w:tr>
      <w:tr>
        <w:trPr>
          <w:trHeight w:val="715" w:hRule="exact"/>
        </w:trPr>
        <w:tc>
          <w:tcPr>
            <w:tcW w:w="596"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78,350,229.36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协议 转让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10,749,793.12</w:t>
            </w:r>
          </w:p>
        </w:tc>
        <w:tc>
          <w:tcPr>
            <w:tcW w:w="156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1083" w:type="dxa"/>
            <w:vMerge/>
            <w:tcBorders>
              <w:left w:val="single" w:sz="4" w:space="0" w:color="000000"/>
              <w:bottom w:val="single" w:sz="4" w:space="0" w:color="000000"/>
              <w:right w:val="single" w:sz="4" w:space="0" w:color="000000"/>
            </w:tcBorders>
          </w:tcPr>
          <w:p>
            <w:pPr/>
          </w:p>
        </w:tc>
      </w:tr>
    </w:tbl>
    <w:p>
      <w:pPr>
        <w:pStyle w:val="BodyText"/>
        <w:spacing w:line="240" w:lineRule="auto" w:before="49"/>
        <w:ind w:left="140" w:right="147"/>
        <w:jc w:val="left"/>
      </w:pPr>
      <w:r>
        <w:rPr/>
        <w:t>分步处置股权至丧失控制权过程中的各项交易不构成一揽子交易的原因：</w:t>
      </w:r>
    </w:p>
    <w:p>
      <w:pPr>
        <w:pStyle w:val="BodyText"/>
        <w:spacing w:line="316" w:lineRule="auto" w:before="115"/>
        <w:ind w:left="154" w:right="147" w:firstLine="360"/>
        <w:jc w:val="left"/>
      </w:pPr>
      <w:r>
        <w:rPr/>
        <w:t>一揽子交易需符合以下情形：</w:t>
      </w:r>
      <w:r>
        <w:rPr>
          <w:rFonts w:ascii="宋体" w:hAnsi="宋体" w:cs="宋体" w:eastAsia="宋体" w:hint="default"/>
        </w:rPr>
        <w:t>(1)</w:t>
      </w:r>
      <w:r>
        <w:rPr/>
        <w:t>交易是同时或者在考虑了彼此影响的情况下订立的</w:t>
      </w:r>
      <w:r>
        <w:rPr>
          <w:rFonts w:ascii="宋体" w:hAnsi="宋体" w:cs="宋体" w:eastAsia="宋体" w:hint="default"/>
        </w:rPr>
        <w:t>; (2)</w:t>
      </w:r>
      <w:r>
        <w:rPr/>
        <w:t>交易整体才能达成一项完整的商业结果</w:t>
      </w:r>
      <w:r>
        <w:rPr>
          <w:rFonts w:ascii="宋体" w:hAnsi="宋体" w:cs="宋体" w:eastAsia="宋体" w:hint="default"/>
        </w:rPr>
        <w:t>;</w:t>
      </w:r>
      <w:r>
        <w:rPr>
          <w:rFonts w:ascii="宋体" w:hAnsi="宋体" w:cs="宋体" w:eastAsia="宋体" w:hint="default"/>
          <w:spacing w:val="-13"/>
        </w:rPr>
        <w:t> </w:t>
      </w:r>
      <w:r>
        <w:rPr>
          <w:rFonts w:ascii="宋体" w:hAnsi="宋体" w:cs="宋体" w:eastAsia="宋体" w:hint="default"/>
        </w:rPr>
        <w:t>(3)</w:t>
      </w:r>
      <w:r>
        <w:rPr/>
        <w:t>一项交易发生取决于其他至少一项交易 的发生</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(4)</w:t>
      </w:r>
      <w:r>
        <w:rPr/>
        <w:t>一项交易单独看是不经济的，但是和其他交易一并考虑时是经济的。</w:t>
      </w:r>
    </w:p>
    <w:p>
      <w:pPr>
        <w:pStyle w:val="BodyText"/>
        <w:spacing w:line="316" w:lineRule="auto" w:before="19"/>
        <w:ind w:left="154" w:right="147" w:firstLine="360"/>
        <w:jc w:val="left"/>
      </w:pPr>
      <w:r>
        <w:rPr/>
        <w:t>公司转让长春高琦和江西先材的股权的主要目的是优化公司资产质量，减轻公司负担，改善公司财务状况；每次股权处置事项都是独立进行的并未考虑交易事项之间会彼此 产生影响而订立，单项处置事项分别能达成一项完整的商业结果，交易过程经过市场评估定价，并未作为一项整体交易来实现其经济性。</w:t>
      </w:r>
    </w:p>
    <w:p>
      <w:pPr>
        <w:spacing w:line="240" w:lineRule="auto" w:before="10"/>
        <w:rPr>
          <w:rFonts w:ascii="宋体" w:hAnsi="宋体" w:cs="宋体" w:eastAsia="宋体" w:hint="default"/>
          <w:sz w:val="22"/>
          <w:szCs w:val="22"/>
        </w:rPr>
      </w:pPr>
    </w:p>
    <w:p>
      <w:pPr>
        <w:pStyle w:val="Heading3"/>
        <w:spacing w:line="240" w:lineRule="auto"/>
        <w:ind w:left="140" w:right="147"/>
        <w:jc w:val="left"/>
        <w:rPr>
          <w:b w:val="0"/>
          <w:bCs w:val="0"/>
        </w:rPr>
      </w:pPr>
      <w:r>
        <w:rPr>
          <w:rFonts w:ascii="宋体" w:hAnsi="宋体" w:cs="宋体" w:eastAsia="宋体" w:hint="default"/>
        </w:rPr>
        <w:t>5</w:t>
      </w:r>
      <w:r>
        <w:rPr/>
        <w:t>、其他原因的合并范围变动</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left="140" w:right="147"/>
        <w:jc w:val="left"/>
      </w:pPr>
      <w:r>
        <w:rPr>
          <w:spacing w:val="-2"/>
        </w:rPr>
        <w:t>说明其他原因导致的合并范围变动（如，新设子公司、清算子公司等）及其相关情况：本年新设立子公司喀什中汇联银、孙公司中行置盛及中融建银，自该公司成立之日期纳入合</w:t>
      </w:r>
      <w:r>
        <w:rPr>
          <w:spacing w:val="-25"/>
        </w:rPr>
        <w:t> </w:t>
      </w:r>
      <w:r>
        <w:rPr>
          <w:spacing w:val="-25"/>
        </w:rPr>
      </w:r>
      <w:r>
        <w:rPr/>
        <w:t>并范围。</w:t>
      </w:r>
    </w:p>
    <w:p>
      <w:pPr>
        <w:spacing w:after="0" w:line="316" w:lineRule="auto"/>
        <w:jc w:val="left"/>
        <w:sectPr>
          <w:type w:val="continuous"/>
          <w:pgSz w:w="16840" w:h="11910" w:orient="landscape"/>
          <w:pgMar w:top="1060" w:bottom="1380" w:left="1300" w:right="1280"/>
        </w:sectPr>
      </w:pPr>
    </w:p>
    <w:p>
      <w:pPr>
        <w:spacing w:line="240" w:lineRule="auto" w:before="12"/>
        <w:rPr>
          <w:rFonts w:ascii="宋体" w:hAnsi="宋体" w:cs="宋体" w:eastAsia="宋体" w:hint="default"/>
          <w:sz w:val="20"/>
          <w:szCs w:val="20"/>
        </w:rPr>
      </w:pPr>
    </w:p>
    <w:p>
      <w:pPr>
        <w:spacing w:line="501" w:lineRule="auto" w:before="36"/>
        <w:ind w:left="152" w:right="712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110"/>
        <w:ind w:right="153"/>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中行置盛（孙公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中融建银（孙公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9"/>
        <w:ind w:right="0"/>
        <w:jc w:val="left"/>
        <w:rPr>
          <w:rFonts w:ascii="宋体" w:hAnsi="宋体" w:cs="宋体" w:eastAsia="宋体" w:hint="default"/>
        </w:rPr>
      </w:pPr>
      <w:r>
        <w:rPr/>
        <w:t>在子公司的持股比例不同于表决权比例的说明：深圳市惠程高能能源科技有限公司（以下简称“惠程高能”）在</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58"/>
        </w:rPr>
        <w:t> </w:t>
      </w:r>
      <w:r>
        <w:rPr>
          <w:rFonts w:ascii="宋体" w:hAnsi="宋体" w:cs="宋体" w:eastAsia="宋体" w:hint="default"/>
        </w:rPr>
        <w:t>11</w:t>
      </w:r>
    </w:p>
    <w:p>
      <w:pPr>
        <w:pStyle w:val="BodyText"/>
        <w:spacing w:line="357" w:lineRule="auto" w:before="77"/>
        <w:ind w:right="1494"/>
        <w:jc w:val="left"/>
      </w:pPr>
      <w:r>
        <w:rPr/>
        <w:t>月</w:t>
      </w:r>
      <w:r>
        <w:rPr>
          <w:spacing w:val="-45"/>
        </w:rPr>
        <w:t> </w:t>
      </w:r>
      <w:r>
        <w:rPr>
          <w:rFonts w:ascii="宋体" w:hAnsi="宋体" w:cs="宋体" w:eastAsia="宋体" w:hint="default"/>
        </w:rPr>
        <w:t>17</w:t>
      </w:r>
      <w:r>
        <w:rPr>
          <w:rFonts w:ascii="宋体" w:hAnsi="宋体" w:cs="宋体" w:eastAsia="宋体" w:hint="default"/>
          <w:spacing w:val="-45"/>
        </w:rPr>
        <w:t> </w:t>
      </w:r>
      <w:r>
        <w:rPr/>
        <w:t>日完成工商变更，公司名称变更为深圳市惠程智能电力设备有限公司（以下简称“惠程智能”） 持有半数或以下表决权但仍控制被投资单位、以及持有半数以上表决权但不控制被投资单位的依据：无。 对于纳入合并范围的重要的结构化主体，控制的依据：无。</w:t>
      </w:r>
    </w:p>
    <w:p>
      <w:pPr>
        <w:pStyle w:val="BodyText"/>
        <w:spacing w:line="360" w:lineRule="auto" w:before="29"/>
        <w:ind w:right="6354"/>
        <w:jc w:val="left"/>
      </w:pPr>
      <w:r>
        <w:rPr/>
        <w:t>确定公司是代理人还是委托人的依据：无。 其他说明：无。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2</w:t>
      </w:r>
      <w:r>
        <w:rPr/>
        <w:t>）重要的非全资子公司：无。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）重要非全资子公司的主要财务信息：无。</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4</w:t>
      </w:r>
      <w:r>
        <w:rPr/>
        <w:t>）使用企业集团资产和清偿企业集团债务的重大限制：无。</w:t>
      </w:r>
      <w:r>
        <w:rPr>
          <w:b w:val="0"/>
          <w:bCs w:val="0"/>
        </w:rPr>
      </w:r>
    </w:p>
    <w:p>
      <w:pPr>
        <w:spacing w:line="240" w:lineRule="auto" w:before="10"/>
        <w:rPr>
          <w:rFonts w:ascii="宋体" w:hAnsi="宋体" w:cs="宋体" w:eastAsia="宋体" w:hint="default"/>
          <w:b/>
          <w:bCs/>
          <w:sz w:val="25"/>
          <w:szCs w:val="25"/>
        </w:rPr>
      </w:pPr>
    </w:p>
    <w:p>
      <w:pPr>
        <w:pStyle w:val="Heading3"/>
        <w:spacing w:line="537" w:lineRule="auto"/>
        <w:ind w:right="153"/>
        <w:jc w:val="left"/>
        <w:rPr>
          <w:b w:val="0"/>
          <w:bCs w:val="0"/>
        </w:rPr>
      </w:pPr>
      <w:r>
        <w:rPr>
          <w:spacing w:val="-1"/>
        </w:rPr>
        <w:t>（</w:t>
      </w:r>
      <w:r>
        <w:rPr>
          <w:rFonts w:ascii="宋体" w:hAnsi="宋体" w:cs="宋体" w:eastAsia="宋体" w:hint="default"/>
          <w:spacing w:val="-1"/>
        </w:rPr>
        <w:t>5</w:t>
      </w:r>
      <w:r>
        <w:rPr>
          <w:spacing w:val="-1"/>
        </w:rPr>
        <w:t>）向纳入合并财务报表范围的结构化主体提供的财务支持或其他支持</w:t>
      </w:r>
      <w:r>
        <w:rPr>
          <w:rFonts w:ascii="宋体" w:hAnsi="宋体" w:cs="宋体" w:eastAsia="宋体" w:hint="default"/>
          <w:b w:val="0"/>
          <w:bCs w:val="0"/>
          <w:spacing w:val="-1"/>
          <w:sz w:val="18"/>
          <w:szCs w:val="18"/>
        </w:rPr>
        <w:t>：</w:t>
      </w:r>
      <w:r>
        <w:rPr>
          <w:spacing w:val="-1"/>
        </w:rPr>
        <w:t>无。</w:t>
      </w:r>
      <w:r>
        <w:rPr>
          <w:spacing w:val="-80"/>
        </w:rPr>
        <w:t> </w:t>
      </w:r>
      <w:r>
        <w:rPr>
          <w:rFonts w:ascii="宋体" w:hAnsi="宋体" w:cs="宋体" w:eastAsia="宋体" w:hint="default"/>
        </w:rPr>
        <w:t>2</w:t>
      </w:r>
      <w:r>
        <w:rPr/>
        <w:t>、在子公司的所有者权益份额发生变化且仍控制子公司的交易</w:t>
      </w:r>
      <w:r>
        <w:rPr>
          <w:b w:val="0"/>
          <w:bCs w:val="0"/>
        </w:rPr>
      </w:r>
    </w:p>
    <w:p>
      <w:pPr>
        <w:pStyle w:val="Heading3"/>
        <w:spacing w:line="240" w:lineRule="auto" w:before="76"/>
        <w:ind w:right="153"/>
        <w:jc w:val="left"/>
        <w:rPr>
          <w:b w:val="0"/>
          <w:bCs w:val="0"/>
        </w:rPr>
      </w:pPr>
      <w:r>
        <w:rPr/>
        <w:t>（</w:t>
      </w:r>
      <w:r>
        <w:rPr>
          <w:rFonts w:ascii="宋体" w:hAnsi="宋体" w:cs="宋体" w:eastAsia="宋体" w:hint="default"/>
        </w:rPr>
        <w:t>1</w:t>
      </w:r>
      <w:r>
        <w:rPr/>
        <w:t>）在子公司所有者权益份额发生变化的情况说明：无。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2</w:t>
      </w:r>
      <w:r>
        <w:rPr/>
        <w:t>）交易对于少数股东权益及归属于母公司所有者权益的影响：无。</w:t>
      </w:r>
      <w:r>
        <w:rPr>
          <w:b w:val="0"/>
          <w:bCs w:val="0"/>
        </w:rPr>
      </w:r>
    </w:p>
    <w:p>
      <w:pPr>
        <w:spacing w:after="0" w:line="240" w:lineRule="auto"/>
        <w:jc w:val="left"/>
        <w:sectPr>
          <w:headerReference w:type="default" r:id="rId53"/>
          <w:footerReference w:type="default" r:id="rId54"/>
          <w:pgSz w:w="11910" w:h="16840"/>
          <w:pgMar w:header="877" w:footer="1186" w:top="1100" w:bottom="1380" w:left="980" w:right="980"/>
          <w:pgNumType w:start="155"/>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rFonts w:ascii="宋体" w:hAnsi="宋体" w:cs="宋体" w:eastAsia="宋体" w:hint="default"/>
        </w:rPr>
        <w:t>3</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）重要的合营企业或联营企业</w:t>
      </w:r>
      <w:r>
        <w:rPr>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金喜凯德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53"/>
        <w:jc w:val="left"/>
      </w:pPr>
      <w:r>
        <w:rPr/>
        <w:t>在合营企业或联营企业的持股比例不同于表决权比例的说明：无。</w:t>
      </w:r>
    </w:p>
    <w:p>
      <w:pPr>
        <w:pStyle w:val="BodyText"/>
        <w:spacing w:line="240" w:lineRule="auto" w:before="117"/>
        <w:ind w:right="153"/>
        <w:jc w:val="left"/>
      </w:pPr>
      <w:r>
        <w:rPr/>
        <w:t>持有</w:t>
      </w:r>
      <w:r>
        <w:rPr>
          <w:spacing w:val="-47"/>
        </w:rPr>
        <w:t> </w:t>
      </w:r>
      <w:r>
        <w:rPr>
          <w:rFonts w:ascii="宋体" w:hAnsi="宋体" w:cs="宋体" w:eastAsia="宋体" w:hint="default"/>
        </w:rPr>
        <w:t>20%</w:t>
      </w:r>
      <w:r>
        <w:rPr/>
        <w:t>以下表决权但具有重大影响，或者持有</w:t>
      </w:r>
      <w:r>
        <w:rPr>
          <w:spacing w:val="-48"/>
        </w:rPr>
        <w:t> </w:t>
      </w:r>
      <w:r>
        <w:rPr>
          <w:rFonts w:ascii="宋体" w:hAnsi="宋体" w:cs="宋体" w:eastAsia="宋体" w:hint="default"/>
        </w:rPr>
        <w:t>20%</w:t>
      </w:r>
      <w:r>
        <w:rPr/>
        <w:t>或以上表决权但不具有重大影响的依据：无。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）重要合营企业的主要财务信息：无。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）重要联营企业的主要财务信息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407,485.15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427,338.10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407,485.15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427,338.10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145,832.92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132,296.80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145,832.92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132,296.80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261,652.23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295,041.30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78,495.67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88,512.39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109,093.66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119,110.38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-33,389.07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-102,965.40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-33,389.07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-102,965.40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4</w:t>
      </w:r>
      <w:r>
        <w:rPr/>
        <w:t>）不重要的合营企业和联营企业的汇总财务信息：无。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5</w:t>
      </w:r>
      <w:r>
        <w:rPr/>
        <w:t>）合营企业或联营企业向本公司转移资金的能力存在重大限制的说明：无。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6</w:t>
      </w:r>
      <w:r>
        <w:rPr/>
        <w:t>）合营企业或联营企业发生的超额亏损：无。</w:t>
      </w:r>
      <w:r>
        <w:rPr>
          <w:b w:val="0"/>
          <w:bCs w:val="0"/>
        </w:rPr>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94"/>
        <w:jc w:val="left"/>
        <w:rPr>
          <w:b w:val="0"/>
          <w:bCs w:val="0"/>
        </w:rPr>
      </w:pPr>
      <w:r>
        <w:rPr/>
        <w:t>（</w:t>
      </w:r>
      <w:r>
        <w:rPr>
          <w:rFonts w:ascii="宋体" w:hAnsi="宋体" w:cs="宋体" w:eastAsia="宋体" w:hint="default"/>
        </w:rPr>
        <w:t>7</w:t>
      </w:r>
      <w:r>
        <w:rPr/>
        <w:t>）与合营企业投资相关的未确认承诺：无。</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4414"/>
        <w:jc w:val="left"/>
        <w:rPr>
          <w:b w:val="0"/>
          <w:bCs w:val="0"/>
        </w:rPr>
      </w:pPr>
      <w:r>
        <w:rPr>
          <w:spacing w:val="-1"/>
        </w:rPr>
        <w:t>（</w:t>
      </w:r>
      <w:r>
        <w:rPr>
          <w:rFonts w:ascii="宋体" w:hAnsi="宋体" w:cs="宋体" w:eastAsia="宋体" w:hint="default"/>
          <w:spacing w:val="-1"/>
        </w:rPr>
        <w:t>8</w:t>
      </w:r>
      <w:r>
        <w:rPr>
          <w:spacing w:val="-1"/>
        </w:rPr>
        <w:t>）与合营企业或联营企业投资相关的或有负债：无。</w:t>
      </w:r>
      <w:r>
        <w:rPr>
          <w:spacing w:val="-85"/>
        </w:rPr>
        <w:t> </w:t>
      </w:r>
      <w:r>
        <w:rPr>
          <w:spacing w:val="-85"/>
        </w:rPr>
      </w:r>
      <w:r>
        <w:rPr>
          <w:rFonts w:ascii="宋体" w:hAnsi="宋体" w:cs="宋体" w:eastAsia="宋体" w:hint="default"/>
        </w:rPr>
        <w:t>4</w:t>
      </w:r>
      <w:r>
        <w:rPr/>
        <w:t>、重要的共同经营：无。</w:t>
      </w:r>
      <w:r>
        <w:rPr>
          <w:b w:val="0"/>
          <w:bCs w:val="0"/>
        </w:rPr>
      </w:r>
    </w:p>
    <w:p>
      <w:pPr>
        <w:pStyle w:val="Heading3"/>
        <w:spacing w:line="240" w:lineRule="auto" w:before="81"/>
        <w:ind w:right="94"/>
        <w:jc w:val="left"/>
        <w:rPr>
          <w:b w:val="0"/>
          <w:bCs w:val="0"/>
        </w:rPr>
      </w:pPr>
      <w:r>
        <w:rPr>
          <w:rFonts w:ascii="宋体" w:hAnsi="宋体" w:cs="宋体" w:eastAsia="宋体" w:hint="default"/>
        </w:rPr>
        <w:t>5</w:t>
      </w:r>
      <w:r>
        <w:rPr/>
        <w:t>、在未纳入合并财务报表范围的结构化主体中的权益：无。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5748"/>
        <w:jc w:val="left"/>
        <w:rPr>
          <w:b w:val="0"/>
          <w:bCs w:val="0"/>
        </w:rPr>
      </w:pPr>
      <w:r>
        <w:rPr>
          <w:rFonts w:ascii="宋体" w:hAnsi="宋体" w:cs="宋体" w:eastAsia="宋体" w:hint="default"/>
        </w:rPr>
        <w:t>6</w:t>
      </w:r>
      <w:r>
        <w:rPr/>
        <w:t>、其他：无。</w:t>
      </w:r>
      <w:r>
        <w:rPr>
          <w:b w:val="0"/>
          <w:bCs w:val="0"/>
        </w:rPr>
      </w:r>
    </w:p>
    <w:p>
      <w:pPr>
        <w:spacing w:line="240" w:lineRule="auto" w:before="0"/>
        <w:rPr>
          <w:rFonts w:ascii="宋体" w:hAnsi="宋体" w:cs="宋体" w:eastAsia="宋体" w:hint="default"/>
          <w:b/>
          <w:bCs/>
          <w:sz w:val="24"/>
          <w:szCs w:val="24"/>
        </w:rPr>
      </w:pPr>
    </w:p>
    <w:p>
      <w:pPr>
        <w:pStyle w:val="Heading2"/>
        <w:spacing w:line="240" w:lineRule="auto"/>
        <w:ind w:right="5748"/>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的确定，并对风险管理目标和政策承担最终责任，但是董事会已授权本公司战略部门设计和实施能够确保风险管理目标和政</w:t>
      </w:r>
      <w:r>
        <w:rPr>
          <w:spacing w:val="-64"/>
        </w:rPr>
        <w:t> </w:t>
      </w:r>
      <w:r>
        <w:rPr>
          <w:spacing w:val="-64"/>
        </w:rPr>
      </w:r>
      <w:r>
        <w:rPr/>
        <w:t>策得以有效执行的程序。本公司的内部审计师审查风险管理的政策和程序，并且将有关发现汇报给审计委员会。</w:t>
      </w:r>
    </w:p>
    <w:p>
      <w:pPr>
        <w:pStyle w:val="BodyText"/>
        <w:spacing w:line="316" w:lineRule="auto" w:before="19"/>
        <w:ind w:left="513" w:right="453"/>
        <w:jc w:val="left"/>
        <w:rPr>
          <w:rFonts w:ascii="宋体" w:hAnsi="宋体" w:cs="宋体" w:eastAsia="宋体" w:hint="default"/>
        </w:rPr>
      </w:pPr>
      <w:r>
        <w:rPr/>
        <w:t>本公司风险管理的总体目标是在不过度影响公司竞争力和应变力的情况下，制定尽可能降低风险的风险管理政策。 </w:t>
      </w: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spacing w:val="26"/>
        </w:rPr>
        <w:t> </w:t>
      </w:r>
      <w:r>
        <w:rPr>
          <w:rFonts w:ascii="宋体" w:hAnsi="宋体" w:cs="宋体" w:eastAsia="宋体" w:hint="default"/>
          <w:b/>
          <w:bCs/>
        </w:rPr>
        <w:t>信用风险</w:t>
      </w:r>
      <w:r>
        <w:rPr>
          <w:rFonts w:ascii="宋体" w:hAnsi="宋体" w:cs="宋体" w:eastAsia="宋体" w:hint="default"/>
        </w:rPr>
      </w:r>
    </w:p>
    <w:p>
      <w:pPr>
        <w:pStyle w:val="BodyText"/>
        <w:spacing w:line="316" w:lineRule="auto" w:before="19"/>
        <w:ind w:right="94"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w:t>
      </w:r>
    </w:p>
    <w:p>
      <w:pPr>
        <w:pStyle w:val="BodyText"/>
        <w:spacing w:line="319" w:lineRule="auto" w:before="19"/>
        <w:ind w:right="185" w:firstLine="360"/>
        <w:jc w:val="both"/>
      </w:pPr>
      <w:r>
        <w:rPr/>
        <w:t>公司通过对已有客户信用评级的季度监控以及应收账款账龄分析的月度审核来确保公司的整体信用风险在可控的范围</w:t>
      </w:r>
      <w:r>
        <w:rPr>
          <w:spacing w:val="2"/>
        </w:rPr>
        <w:t> </w:t>
      </w:r>
      <w:r>
        <w:rPr>
          <w:spacing w:val="-2"/>
        </w:rPr>
        <w:t>内。在监控客户的信用风险时，按照客户的信用特征对其分组。被评为“高风险”级别的客户会放在受限制客户名单里，并</w:t>
      </w:r>
      <w:r>
        <w:rPr>
          <w:spacing w:val="-63"/>
        </w:rPr>
        <w:t> </w:t>
      </w:r>
      <w:r>
        <w:rPr>
          <w:spacing w:val="-63"/>
        </w:rPr>
      </w:r>
      <w:r>
        <w:rPr/>
        <w:t>且只有在额外批准的前提下，公司才可在未来期间内对其赊销，否则必须要求其提前支付相应款项。</w:t>
      </w:r>
    </w:p>
    <w:p>
      <w:pPr>
        <w:pStyle w:val="BodyText"/>
        <w:spacing w:line="316" w:lineRule="auto" w:before="17"/>
        <w:ind w:left="513" w:right="94" w:firstLine="91"/>
        <w:jc w:val="left"/>
      </w:pP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40" w:lineRule="auto" w:before="19"/>
        <w:ind w:right="5748"/>
        <w:jc w:val="left"/>
      </w:pPr>
      <w:r>
        <w:rPr/>
        <w:t>率风险和其他价格风险。</w:t>
      </w:r>
    </w:p>
    <w:p>
      <w:pPr>
        <w:pStyle w:val="BodyText"/>
        <w:spacing w:line="316" w:lineRule="auto" w:before="76"/>
        <w:ind w:left="513" w:right="94"/>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40" w:lineRule="auto" w:before="19"/>
        <w:ind w:right="94"/>
        <w:jc w:val="left"/>
      </w:pPr>
      <w:r>
        <w:rPr/>
        <w:t>源于银行短期借款。公司目前短期借款是固定利率借款，因此不存在利率风险。</w:t>
      </w:r>
    </w:p>
    <w:p>
      <w:pPr>
        <w:pStyle w:val="BodyText"/>
        <w:spacing w:line="316" w:lineRule="auto" w:before="76"/>
        <w:ind w:left="513" w:right="94"/>
        <w:jc w:val="left"/>
      </w:pPr>
      <w:r>
        <w:rPr/>
        <w:t>（</w:t>
      </w:r>
      <w:r>
        <w:rPr>
          <w:rFonts w:ascii="宋体" w:hAnsi="宋体" w:cs="宋体" w:eastAsia="宋体"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9" w:lineRule="auto" w:before="19"/>
        <w:ind w:right="94"/>
        <w:jc w:val="left"/>
      </w:pPr>
      <w:r>
        <w:rPr>
          <w:spacing w:val="-2"/>
        </w:rPr>
        <w:t>币支出相匹配以降低汇率风险。本公司未签署任何远期外汇合约或货币互换合约。本公司以美元计价的金融资产和金融负债</w:t>
      </w:r>
      <w:r>
        <w:rPr>
          <w:spacing w:val="-64"/>
        </w:rPr>
        <w:t> </w:t>
      </w:r>
      <w:r>
        <w:rPr>
          <w:spacing w:val="-64"/>
        </w:rPr>
      </w:r>
      <w:r>
        <w:rPr/>
        <w:t>金额较小，因此不存在重大汇率风险。</w:t>
      </w:r>
    </w:p>
    <w:tbl>
      <w:tblPr>
        <w:tblW w:w="0" w:type="auto"/>
        <w:jc w:val="left"/>
        <w:tblInd w:w="138" w:type="dxa"/>
        <w:tblLayout w:type="fixed"/>
        <w:tblCellMar>
          <w:top w:w="0" w:type="dxa"/>
          <w:left w:w="0" w:type="dxa"/>
          <w:bottom w:w="0" w:type="dxa"/>
          <w:right w:w="0" w:type="dxa"/>
        </w:tblCellMar>
        <w:tblLook w:val="01E0"/>
      </w:tblPr>
      <w:tblGrid>
        <w:gridCol w:w="1013"/>
        <w:gridCol w:w="1123"/>
        <w:gridCol w:w="1157"/>
        <w:gridCol w:w="869"/>
        <w:gridCol w:w="1157"/>
        <w:gridCol w:w="1013"/>
        <w:gridCol w:w="1303"/>
        <w:gridCol w:w="869"/>
        <w:gridCol w:w="1154"/>
      </w:tblGrid>
      <w:tr>
        <w:trPr>
          <w:trHeight w:val="343" w:hRule="exact"/>
        </w:trPr>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3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1013"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76"/>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2,104,103.35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1,808,953.81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0" w:right="0"/>
              <w:jc w:val="center"/>
              <w:rPr>
                <w:rFonts w:ascii="宋体" w:hAnsi="宋体" w:cs="宋体" w:eastAsia="宋体" w:hint="default"/>
                <w:sz w:val="18"/>
                <w:szCs w:val="18"/>
              </w:rPr>
            </w:pPr>
            <w:r>
              <w:rPr>
                <w:rFonts w:ascii="宋体"/>
                <w:sz w:val="18"/>
              </w:rPr>
              <w:t>5,782.46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3,918,839.62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3" w:right="0"/>
              <w:jc w:val="center"/>
              <w:rPr>
                <w:rFonts w:ascii="宋体" w:hAnsi="宋体" w:cs="宋体" w:eastAsia="宋体" w:hint="default"/>
                <w:sz w:val="18"/>
                <w:szCs w:val="18"/>
              </w:rPr>
            </w:pPr>
            <w:r>
              <w:rPr>
                <w:rFonts w:ascii="宋体"/>
                <w:sz w:val="18"/>
              </w:rPr>
              <w:t>118,069.40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2,392,773.24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7,748.38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 w:right="0"/>
              <w:jc w:val="center"/>
              <w:rPr>
                <w:rFonts w:ascii="宋体" w:hAnsi="宋体" w:cs="宋体" w:eastAsia="宋体" w:hint="default"/>
                <w:sz w:val="18"/>
                <w:szCs w:val="18"/>
              </w:rPr>
            </w:pPr>
            <w:r>
              <w:rPr>
                <w:rFonts w:ascii="宋体"/>
                <w:sz w:val="18"/>
              </w:rPr>
              <w:t>2,518,591.02</w:t>
            </w:r>
          </w:p>
        </w:tc>
      </w:tr>
      <w:tr>
        <w:trPr>
          <w:trHeight w:val="34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6"/>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347,166.69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351,154.36</w:t>
            </w:r>
          </w:p>
        </w:tc>
        <w:tc>
          <w:tcPr>
            <w:tcW w:w="86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698,321.05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3" w:right="0"/>
              <w:jc w:val="center"/>
              <w:rPr>
                <w:rFonts w:ascii="宋体" w:hAnsi="宋体" w:cs="宋体" w:eastAsia="宋体" w:hint="default"/>
                <w:sz w:val="18"/>
                <w:szCs w:val="18"/>
              </w:rPr>
            </w:pPr>
            <w:r>
              <w:rPr>
                <w:rFonts w:ascii="宋体"/>
                <w:sz w:val="18"/>
              </w:rPr>
              <w:t>845,699.47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1,559,037.25</w:t>
            </w:r>
          </w:p>
        </w:tc>
        <w:tc>
          <w:tcPr>
            <w:tcW w:w="8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 w:right="0"/>
              <w:jc w:val="center"/>
              <w:rPr>
                <w:rFonts w:ascii="宋体" w:hAnsi="宋体" w:cs="宋体" w:eastAsia="宋体" w:hint="default"/>
                <w:sz w:val="18"/>
                <w:szCs w:val="18"/>
              </w:rPr>
            </w:pPr>
            <w:r>
              <w:rPr>
                <w:rFonts w:ascii="宋体"/>
                <w:sz w:val="18"/>
              </w:rPr>
              <w:t>2,404,736.72</w:t>
            </w:r>
          </w:p>
        </w:tc>
      </w:tr>
      <w:tr>
        <w:trPr>
          <w:trHeight w:val="34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19"/>
              <w:jc w:val="right"/>
              <w:rPr>
                <w:rFonts w:ascii="宋体" w:hAnsi="宋体" w:cs="宋体" w:eastAsia="宋体" w:hint="default"/>
                <w:sz w:val="18"/>
                <w:szCs w:val="18"/>
              </w:rPr>
            </w:pPr>
            <w:r>
              <w:rPr>
                <w:rFonts w:ascii="宋体" w:hAnsi="宋体" w:cs="宋体" w:eastAsia="宋体" w:hint="default"/>
                <w:sz w:val="18"/>
                <w:szCs w:val="18"/>
              </w:rPr>
              <w:t>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2,451,270.04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2,160,108.17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0" w:right="0"/>
              <w:jc w:val="center"/>
              <w:rPr>
                <w:rFonts w:ascii="宋体" w:hAnsi="宋体" w:cs="宋体" w:eastAsia="宋体" w:hint="default"/>
                <w:sz w:val="18"/>
                <w:szCs w:val="18"/>
              </w:rPr>
            </w:pPr>
            <w:r>
              <w:rPr>
                <w:rFonts w:ascii="宋体"/>
                <w:sz w:val="18"/>
              </w:rPr>
              <w:t>5,782.46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4,617,160.67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3" w:right="0"/>
              <w:jc w:val="center"/>
              <w:rPr>
                <w:rFonts w:ascii="宋体" w:hAnsi="宋体" w:cs="宋体" w:eastAsia="宋体" w:hint="default"/>
                <w:sz w:val="18"/>
                <w:szCs w:val="18"/>
              </w:rPr>
            </w:pPr>
            <w:r>
              <w:rPr>
                <w:rFonts w:ascii="宋体"/>
                <w:sz w:val="18"/>
              </w:rPr>
              <w:t>963,768.87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3,951,810.49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7,748.38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 w:right="0"/>
              <w:jc w:val="center"/>
              <w:rPr>
                <w:rFonts w:ascii="宋体" w:hAnsi="宋体" w:cs="宋体" w:eastAsia="宋体" w:hint="default"/>
                <w:sz w:val="18"/>
                <w:szCs w:val="18"/>
              </w:rPr>
            </w:pPr>
            <w:r>
              <w:rPr>
                <w:rFonts w:ascii="宋体"/>
                <w:sz w:val="18"/>
              </w:rPr>
              <w:t>4,923,327.74</w:t>
            </w:r>
          </w:p>
        </w:tc>
      </w:tr>
    </w:tbl>
    <w:p>
      <w:pPr>
        <w:pStyle w:val="BodyText"/>
        <w:spacing w:line="316" w:lineRule="auto" w:before="17"/>
        <w:ind w:left="513" w:right="94" w:firstLine="91"/>
        <w:jc w:val="left"/>
      </w:pP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 </w:t>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流动风险，是指企业在履行以交付现金或其他金融资产的方式结算的义务时发生资金短缺的风险。本公司的政策是确保</w:t>
      </w:r>
    </w:p>
    <w:p>
      <w:pPr>
        <w:pStyle w:val="BodyText"/>
        <w:spacing w:line="316" w:lineRule="auto" w:before="19"/>
        <w:ind w:right="94"/>
        <w:jc w:val="left"/>
      </w:pPr>
      <w:r>
        <w:rPr>
          <w:spacing w:val="-2"/>
        </w:rPr>
        <w:t>拥有充足的现金以偿还到期债务。流动性风险由本公司的财务部门集中控制。财务部门通过监控现金余额、可随时变现的有</w:t>
      </w:r>
      <w:r>
        <w:rPr>
          <w:spacing w:val="-62"/>
        </w:rPr>
        <w:t> </w:t>
      </w:r>
      <w:r>
        <w:rPr>
          <w:spacing w:val="-62"/>
        </w:rPr>
      </w:r>
      <w:r>
        <w:rPr/>
        <w:t>价证券以及对未来现金流量的滚动预测，确保公司在所有合理预测的情况下拥有充足的资金偿还债务。</w:t>
      </w:r>
    </w:p>
    <w:p>
      <w:pPr>
        <w:spacing w:after="0" w:line="316"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3" w:right="153"/>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44"/>
        <w:gridCol w:w="1561"/>
        <w:gridCol w:w="1560"/>
        <w:gridCol w:w="1558"/>
        <w:gridCol w:w="1419"/>
        <w:gridCol w:w="1560"/>
      </w:tblGrid>
      <w:tr>
        <w:trPr>
          <w:trHeight w:val="341"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3" w:hRule="exact"/>
        </w:trPr>
        <w:tc>
          <w:tcPr>
            <w:tcW w:w="1844"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w:t>
            </w:r>
            <w:r>
              <w:rPr>
                <w:rFonts w:ascii="宋体" w:hAnsi="宋体" w:cs="宋体" w:eastAsia="宋体" w:hint="default"/>
                <w:sz w:val="18"/>
                <w:szCs w:val="18"/>
              </w:rPr>
              <w:t>-1</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11,372,048.74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11,372,048.74</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31,135,112.92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409,517.06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12,267,276.12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908,843.12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44,720,749.22</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7,980,444.51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7,980,444.51</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134,160,490.11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8,502,908.92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813,400.61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233,503.78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143,710,303.42</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184,648,096.28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8,912,425.98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13,080,676.73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1,142,346.90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207,783,545.89</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、以公允价值计量的资产和负债的期末公允价值：无。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2</w:t>
      </w:r>
      <w:r>
        <w:rPr/>
        <w:t>、持续和非持续第一层次公允价值计量项目市价的确定依据：无。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3</w:t>
      </w:r>
      <w:r>
        <w:rPr/>
        <w:t>、持续和非持续第二层次公允价值计量项目，采用的估值技术和重要参数的定性及定量信息：无。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w:t>
      </w:r>
      <w:r>
        <w:rPr/>
        <w:t>、持续和非持续第三层次公允价值计量项目，采用的估值技术和重要参数的定性及定量信息：无。</w:t>
      </w:r>
      <w:r>
        <w:rPr>
          <w:b w:val="0"/>
          <w:bCs w:val="0"/>
        </w:rPr>
      </w:r>
    </w:p>
    <w:p>
      <w:pPr>
        <w:spacing w:line="240" w:lineRule="auto" w:before="12"/>
        <w:rPr>
          <w:rFonts w:ascii="宋体" w:hAnsi="宋体" w:cs="宋体" w:eastAsia="宋体" w:hint="default"/>
          <w:b/>
          <w:bCs/>
          <w:sz w:val="25"/>
          <w:szCs w:val="25"/>
        </w:rPr>
      </w:pPr>
    </w:p>
    <w:p>
      <w:pPr>
        <w:pStyle w:val="Heading3"/>
        <w:spacing w:line="276" w:lineRule="auto"/>
        <w:ind w:right="153"/>
        <w:jc w:val="left"/>
        <w:rPr>
          <w:b w:val="0"/>
          <w:bCs w:val="0"/>
        </w:rPr>
      </w:pPr>
      <w:r>
        <w:rPr>
          <w:rFonts w:ascii="宋体" w:hAnsi="宋体" w:cs="宋体" w:eastAsia="宋体" w:hint="default"/>
        </w:rPr>
        <w:t>5</w:t>
      </w:r>
      <w:r>
        <w:rPr/>
        <w:t>、持续的第三层次公允价值计量项目，期初与期末账面价值间的调节信息及不可观察参数敏感性分析：</w:t>
      </w:r>
      <w:r>
        <w:rPr>
          <w:spacing w:val="-61"/>
        </w:rPr>
        <w:t> </w:t>
      </w:r>
      <w:r>
        <w:rPr>
          <w:spacing w:val="-61"/>
        </w:rPr>
      </w:r>
      <w:r>
        <w:rPr/>
        <w:t>无。</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right="153"/>
        <w:jc w:val="left"/>
        <w:rPr>
          <w:b w:val="0"/>
          <w:bCs w:val="0"/>
        </w:rPr>
      </w:pPr>
      <w:r>
        <w:rPr>
          <w:rFonts w:ascii="宋体" w:hAnsi="宋体" w:cs="宋体" w:eastAsia="宋体" w:hint="default"/>
        </w:rPr>
        <w:t>6</w:t>
      </w:r>
      <w:r>
        <w:rPr/>
        <w:t>、持续的公允价值计量项目，本期内发生各层级之间转换的，转换的原因及确定转换时点的政策：无。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7</w:t>
      </w:r>
      <w:r>
        <w:rPr/>
        <w:t>、本期内发生的估值技术变更及变更原因：无。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8</w:t>
      </w:r>
      <w:r>
        <w:rPr/>
        <w:t>、不以公允价值计量的金融资产和金融负债的公允价值情况：无。</w:t>
      </w:r>
      <w:r>
        <w:rPr>
          <w:b w:val="0"/>
          <w:bCs w:val="0"/>
        </w:rPr>
      </w:r>
    </w:p>
    <w:p>
      <w:pPr>
        <w:spacing w:line="240" w:lineRule="auto" w:before="12"/>
        <w:rPr>
          <w:rFonts w:ascii="宋体" w:hAnsi="宋体" w:cs="宋体" w:eastAsia="宋体" w:hint="default"/>
          <w:b/>
          <w:bCs/>
          <w:sz w:val="25"/>
          <w:szCs w:val="25"/>
        </w:rPr>
      </w:pPr>
    </w:p>
    <w:p>
      <w:pPr>
        <w:spacing w:line="501" w:lineRule="auto" w:before="0"/>
        <w:ind w:left="152" w:right="5814"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578" w:lineRule="auto" w:before="129"/>
        <w:ind w:right="4554"/>
        <w:jc w:val="left"/>
      </w:pPr>
      <w:r>
        <w:rPr/>
        <w:t>本企业最终控制方是何平及其一致行动人任金生。 </w:t>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3"/>
          <w:sz w:val="21"/>
          <w:szCs w:val="21"/>
        </w:rPr>
        <w:t> </w:t>
      </w:r>
      <w:r>
        <w:rPr>
          <w:spacing w:val="-4"/>
        </w:rPr>
        <w:t>本企业子公司的情况详见附注“九、在其他主体中的权益”。</w:t>
      </w:r>
    </w:p>
    <w:p>
      <w:pPr>
        <w:pStyle w:val="Heading3"/>
        <w:spacing w:line="240" w:lineRule="auto" w:before="102"/>
        <w:ind w:right="153"/>
        <w:jc w:val="left"/>
        <w:rPr>
          <w:b w:val="0"/>
          <w:bCs w:val="0"/>
        </w:rPr>
      </w:pPr>
      <w:r>
        <w:rPr>
          <w:rFonts w:ascii="宋体" w:hAnsi="宋体" w:cs="宋体" w:eastAsia="宋体" w:hint="default"/>
        </w:rPr>
        <w:t>3</w:t>
      </w:r>
      <w:r>
        <w:rPr/>
        <w:t>、本企业合营和联营企业情况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1314"/>
        <w:jc w:val="left"/>
      </w:pPr>
      <w:r>
        <w:rPr/>
        <w:t>本企业重要的合营或联营企业详见附注“九、在其他主体中的权益”。 本期与本公司发生关联方交易，或前期与本公司发生关联方交易形成余额的其他合营或联营企业情况如下：</w:t>
      </w:r>
    </w:p>
    <w:p>
      <w:pPr>
        <w:spacing w:after="0" w:line="360" w:lineRule="auto"/>
        <w:jc w:val="left"/>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金喜凯德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许为宁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吕凤华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原实际控制人之一吕晓义之亲属、总工程师</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原实际控制人之一</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谢战军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本公司之原子公司长春高琦股东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深圳市微纳先材商贸有限公司（简称“深圳微纳先材”）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本公司原实际控制人之一吕晓义之亲属吕琳控制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北京金轮沃德科技有限公司（简称“北京金轮沃德”）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本公司之原子公司长春高琦股东杨艳控制的公司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长春高琦聚酰亚胺材料有限公司（简称“长春高琦”）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江西先材纳米纤维科技有限公司（简称“江西先材”）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吉林高琦聚酰亚胺材料有限公司（简称“吉林高琦”）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原孙公司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长春聚明光电材料有限公司（简称“长春聚明”）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原孙公司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吉林高航复合材料有限公司（简称“吉林高航”）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原孙公司</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w:t>
      </w:r>
      <w:r>
        <w:rPr/>
        <w:t>、关联交易情况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采购商品</w:t>
      </w:r>
      <w:r>
        <w:rPr>
          <w:rFonts w:ascii="宋体" w:hAnsi="宋体" w:cs="宋体" w:eastAsia="宋体" w:hint="default"/>
        </w:rPr>
        <w:t>/</w:t>
      </w:r>
      <w:r>
        <w:rPr/>
        <w:t>接受劳务情况表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863"/>
        <w:gridCol w:w="1044"/>
        <w:gridCol w:w="1709"/>
        <w:gridCol w:w="1707"/>
        <w:gridCol w:w="1706"/>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采购服装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 w:right="0"/>
              <w:jc w:val="center"/>
              <w:rPr>
                <w:rFonts w:ascii="宋体" w:hAnsi="宋体" w:cs="宋体" w:eastAsia="宋体" w:hint="default"/>
                <w:sz w:val="18"/>
                <w:szCs w:val="18"/>
              </w:rPr>
            </w:pPr>
            <w:r>
              <w:rPr>
                <w:rFonts w:ascii="宋体"/>
                <w:sz w:val="18"/>
              </w:rPr>
              <w:t>667,770.00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41"/>
        <w:gridCol w:w="1863"/>
        <w:gridCol w:w="1044"/>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采购聚酰亚胺纤维长丝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289,848.72</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采购纱线</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98,683.74</w:t>
            </w:r>
          </w:p>
        </w:tc>
      </w:tr>
    </w:tbl>
    <w:p>
      <w:pPr>
        <w:pStyle w:val="BodyText"/>
        <w:spacing w:line="240" w:lineRule="auto" w:before="49"/>
        <w:ind w:right="153"/>
        <w:jc w:val="left"/>
      </w:pPr>
      <w:r>
        <w:rPr/>
        <w:t>出售商品</w:t>
      </w:r>
      <w:r>
        <w:rPr>
          <w:rFonts w:ascii="宋体" w:hAnsi="宋体" w:cs="宋体" w:eastAsia="宋体" w:hint="default"/>
        </w:rPr>
        <w:t>/</w:t>
      </w:r>
      <w:r>
        <w:rPr/>
        <w:t>提供劳务情况表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销售聚酰亚胺纤维短丝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5,405,983.00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北京金轮沃德</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销售聚酰亚胺纤维短丝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358,094.02</w:t>
            </w:r>
          </w:p>
        </w:tc>
      </w:tr>
    </w:tbl>
    <w:p>
      <w:pPr>
        <w:pStyle w:val="BodyText"/>
        <w:spacing w:line="240" w:lineRule="auto" w:before="49"/>
        <w:ind w:right="153"/>
        <w:jc w:val="left"/>
      </w:pPr>
      <w:r>
        <w:rPr/>
        <w:t>购销商品、提供和接受劳务的关联交易说明：无。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本公司作为出租方：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1" w:right="0"/>
              <w:jc w:val="left"/>
              <w:rPr>
                <w:rFonts w:ascii="宋体" w:hAnsi="宋体" w:cs="宋体" w:eastAsia="宋体" w:hint="default"/>
                <w:sz w:val="18"/>
                <w:szCs w:val="18"/>
              </w:rPr>
            </w:pPr>
            <w:r>
              <w:rPr>
                <w:rFonts w:ascii="宋体"/>
                <w:sz w:val="18"/>
              </w:rPr>
              <w:t>267,365.00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2" w:right="0"/>
              <w:jc w:val="left"/>
              <w:rPr>
                <w:rFonts w:ascii="宋体" w:hAnsi="宋体" w:cs="宋体" w:eastAsia="宋体" w:hint="default"/>
                <w:sz w:val="18"/>
                <w:szCs w:val="18"/>
              </w:rPr>
            </w:pPr>
            <w:r>
              <w:rPr>
                <w:rFonts w:ascii="宋体"/>
                <w:sz w:val="18"/>
              </w:rPr>
              <w:t>243,848.00</w:t>
            </w:r>
          </w:p>
        </w:tc>
      </w:tr>
    </w:tbl>
    <w:p>
      <w:pPr>
        <w:pStyle w:val="BodyText"/>
        <w:spacing w:line="357" w:lineRule="auto" w:before="49"/>
        <w:ind w:right="7794"/>
        <w:jc w:val="left"/>
      </w:pPr>
      <w:r>
        <w:rPr/>
        <w:t>本公司作为承租方：无。 关联租赁情况说明：无。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4</w:t>
      </w:r>
      <w:r>
        <w:rPr/>
        <w:t>）关联担保情况：无。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5</w:t>
      </w:r>
      <w:r>
        <w:rPr/>
        <w:t>）关联方资金拆借：无。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3365"/>
        <w:gridCol w:w="2393"/>
        <w:gridCol w:w="2393"/>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长春高琦</w:t>
            </w:r>
            <w:r>
              <w:rPr>
                <w:rFonts w:ascii="宋体" w:hAnsi="宋体" w:cs="宋体" w:eastAsia="宋体" w:hint="default"/>
                <w:spacing w:val="-47"/>
                <w:sz w:val="18"/>
                <w:szCs w:val="18"/>
              </w:rPr>
              <w:t> </w:t>
            </w:r>
            <w:r>
              <w:rPr>
                <w:rFonts w:ascii="宋体" w:hAnsi="宋体" w:cs="宋体" w:eastAsia="宋体" w:hint="default"/>
                <w:sz w:val="18"/>
                <w:szCs w:val="18"/>
              </w:rPr>
              <w:t>33.63%</w:t>
            </w:r>
            <w:r>
              <w:rPr>
                <w:rFonts w:ascii="宋体" w:hAnsi="宋体" w:cs="宋体" w:eastAsia="宋体" w:hint="default"/>
                <w:sz w:val="18"/>
                <w:szCs w:val="18"/>
              </w:rPr>
              <w:t>的股权转让给吕晓义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160,834,356.00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长春高琦</w:t>
            </w:r>
            <w:r>
              <w:rPr>
                <w:rFonts w:ascii="宋体" w:hAnsi="宋体" w:cs="宋体" w:eastAsia="宋体" w:hint="default"/>
                <w:spacing w:val="-48"/>
                <w:sz w:val="18"/>
                <w:szCs w:val="18"/>
              </w:rPr>
              <w:t> </w:t>
            </w:r>
            <w:r>
              <w:rPr>
                <w:rFonts w:ascii="宋体" w:hAnsi="宋体" w:cs="宋体" w:eastAsia="宋体" w:hint="default"/>
                <w:sz w:val="18"/>
                <w:szCs w:val="18"/>
              </w:rPr>
              <w:t>51%</w:t>
            </w:r>
            <w:r>
              <w:rPr>
                <w:rFonts w:ascii="宋体" w:hAnsi="宋体" w:cs="宋体" w:eastAsia="宋体" w:hint="default"/>
                <w:sz w:val="18"/>
                <w:szCs w:val="18"/>
              </w:rPr>
              <w:t>的股权转让给吕晓义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236,163,255.40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江西先材</w:t>
            </w:r>
            <w:r>
              <w:rPr>
                <w:rFonts w:ascii="宋体" w:hAnsi="宋体" w:cs="宋体" w:eastAsia="宋体" w:hint="default"/>
                <w:spacing w:val="-49"/>
                <w:sz w:val="18"/>
                <w:szCs w:val="18"/>
              </w:rPr>
              <w:t> </w:t>
            </w:r>
            <w:r>
              <w:rPr>
                <w:rFonts w:ascii="宋体" w:hAnsi="宋体" w:cs="宋体" w:eastAsia="宋体" w:hint="default"/>
                <w:sz w:val="18"/>
                <w:szCs w:val="18"/>
              </w:rPr>
              <w:t>26.4%</w:t>
            </w:r>
            <w:r>
              <w:rPr>
                <w:rFonts w:ascii="宋体" w:hAnsi="宋体" w:cs="宋体" w:eastAsia="宋体" w:hint="default"/>
                <w:sz w:val="18"/>
                <w:szCs w:val="18"/>
              </w:rPr>
              <w:t>的股份转让给吕晓义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23,284,800.00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江西先材</w:t>
            </w:r>
            <w:r>
              <w:rPr>
                <w:rFonts w:ascii="宋体" w:hAnsi="宋体" w:cs="宋体" w:eastAsia="宋体" w:hint="default"/>
                <w:spacing w:val="-49"/>
                <w:sz w:val="18"/>
                <w:szCs w:val="18"/>
              </w:rPr>
              <w:t> </w:t>
            </w:r>
            <w:r>
              <w:rPr>
                <w:rFonts w:ascii="宋体" w:hAnsi="宋体" w:cs="宋体" w:eastAsia="宋体" w:hint="default"/>
                <w:sz w:val="18"/>
                <w:szCs w:val="18"/>
              </w:rPr>
              <w:t>26.4%</w:t>
            </w:r>
            <w:r>
              <w:rPr>
                <w:rFonts w:ascii="宋体" w:hAnsi="宋体" w:cs="宋体" w:eastAsia="宋体" w:hint="default"/>
                <w:sz w:val="18"/>
                <w:szCs w:val="18"/>
              </w:rPr>
              <w:t>的股份转让给何平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23,284,800.00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7</w:t>
      </w:r>
      <w:r>
        <w:rPr/>
        <w:t>）关键管理人员报酬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7,782,552.73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5,221,300.00</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宋体" w:hAnsi="宋体" w:cs="宋体" w:eastAsia="宋体" w:hint="default"/>
        </w:rPr>
        <w:t>8</w:t>
      </w:r>
      <w:r>
        <w:rPr/>
        <w:t>）其他关联交易</w:t>
      </w:r>
      <w:r>
        <w:rPr>
          <w:b w:val="0"/>
          <w:bCs w:val="0"/>
        </w:rPr>
      </w:r>
    </w:p>
    <w:p>
      <w:pPr>
        <w:spacing w:line="240" w:lineRule="auto" w:before="7"/>
        <w:rPr>
          <w:rFonts w:ascii="宋体" w:hAnsi="宋体" w:cs="宋体" w:eastAsia="宋体" w:hint="default"/>
          <w:b/>
          <w:bCs/>
          <w:sz w:val="27"/>
          <w:szCs w:val="27"/>
        </w:rPr>
      </w:pPr>
    </w:p>
    <w:p>
      <w:pPr>
        <w:spacing w:line="316"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转让控股子公司长春高琦和江西先材股权</w:t>
      </w:r>
      <w:r>
        <w:rPr>
          <w:rFonts w:ascii="宋体" w:hAnsi="宋体" w:cs="宋体" w:eastAsia="宋体" w:hint="default"/>
          <w:b/>
          <w:bCs/>
          <w:w w:val="99"/>
          <w:sz w:val="18"/>
          <w:szCs w:val="18"/>
        </w:rPr>
        <w:t> </w:t>
      </w:r>
      <w:r>
        <w:rPr>
          <w:rFonts w:ascii="宋体" w:hAnsi="宋体" w:cs="宋体" w:eastAsia="宋体" w:hint="default"/>
          <w:spacing w:val="-2"/>
          <w:sz w:val="18"/>
          <w:szCs w:val="18"/>
        </w:rPr>
        <w:t>由于长春高琦和江西先材持续亏损，董事会为了保证公司资产的安全和保值，回避经营风险，优化资产质量，决定转让</w:t>
      </w:r>
    </w:p>
    <w:p>
      <w:pPr>
        <w:pStyle w:val="BodyText"/>
        <w:spacing w:line="240" w:lineRule="auto" w:before="19"/>
        <w:ind w:right="153"/>
        <w:jc w:val="left"/>
      </w:pPr>
      <w:r>
        <w:rPr/>
        <w:t>长春高琦和江西先材的全部股权。</w:t>
      </w:r>
    </w:p>
    <w:p>
      <w:pPr>
        <w:pStyle w:val="Heading4"/>
        <w:spacing w:line="240" w:lineRule="auto" w:before="76"/>
        <w:ind w:right="153"/>
        <w:jc w:val="left"/>
        <w:rPr>
          <w:b w:val="0"/>
          <w:bCs w:val="0"/>
        </w:rPr>
      </w:pPr>
      <w:r>
        <w:rPr/>
        <w:t>（</w:t>
      </w:r>
      <w:r>
        <w:rPr>
          <w:rFonts w:ascii="宋体" w:hAnsi="宋体" w:cs="宋体" w:eastAsia="宋体" w:hint="default"/>
        </w:rPr>
        <w:t>1</w:t>
      </w:r>
      <w:r>
        <w:rPr/>
        <w:t>）转让长春高琦</w:t>
      </w:r>
      <w:r>
        <w:rPr>
          <w:b w:val="0"/>
          <w:bCs w:val="0"/>
        </w:rPr>
      </w:r>
    </w:p>
    <w:p>
      <w:pPr>
        <w:pStyle w:val="BodyText"/>
        <w:spacing w:line="316" w:lineRule="auto" w:before="76"/>
        <w:ind w:right="149" w:firstLine="360"/>
        <w:jc w:val="both"/>
      </w:pPr>
      <w:r>
        <w:rPr>
          <w:spacing w:val="-2"/>
        </w:rPr>
        <w:t>①本公司于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日与原实际控制人之一吕晓义先生签订了</w:t>
      </w:r>
      <w:r>
        <w:rPr>
          <w:rFonts w:ascii="宋体" w:hAnsi="宋体" w:cs="宋体" w:eastAsia="宋体" w:hint="default"/>
          <w:spacing w:val="-2"/>
        </w:rPr>
        <w:t>2014-003</w:t>
      </w:r>
      <w:r>
        <w:rPr>
          <w:spacing w:val="-2"/>
        </w:rPr>
        <w:t>号《股权转让协议》，公司将持有的长春高</w:t>
      </w:r>
      <w:r>
        <w:rPr/>
        <w:t> 琦</w:t>
      </w:r>
      <w:r>
        <w:rPr>
          <w:rFonts w:ascii="宋体" w:hAnsi="宋体" w:cs="宋体" w:eastAsia="宋体" w:hint="default"/>
        </w:rPr>
        <w:t>33%</w:t>
      </w:r>
      <w:r>
        <w:rPr/>
        <w:t>的股权转让给原实际控制人之一吕晓义先生，转让价格为每元注册资本</w:t>
      </w:r>
      <w:r>
        <w:rPr>
          <w:rFonts w:ascii="宋体" w:hAnsi="宋体" w:cs="宋体" w:eastAsia="宋体" w:hint="default"/>
        </w:rPr>
        <w:t>4.90</w:t>
      </w:r>
      <w:r>
        <w:rPr/>
        <w:t>元，转让总价款为</w:t>
      </w:r>
      <w:r>
        <w:rPr>
          <w:rFonts w:ascii="宋体" w:hAnsi="宋体" w:cs="宋体" w:eastAsia="宋体" w:hint="default"/>
        </w:rPr>
        <w:t>157,813,055.40</w:t>
      </w:r>
      <w:r>
        <w:rPr/>
        <w:t>元。</w:t>
      </w:r>
    </w:p>
    <w:p>
      <w:pPr>
        <w:pStyle w:val="BodyText"/>
        <w:spacing w:line="316" w:lineRule="auto" w:before="19"/>
        <w:ind w:right="146" w:firstLine="360"/>
        <w:jc w:val="both"/>
        <w:rPr>
          <w:rFonts w:ascii="宋体" w:hAnsi="宋体" w:cs="宋体" w:eastAsia="宋体" w:hint="default"/>
        </w:rPr>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日，上述股权转让事项经本公司</w:t>
      </w:r>
      <w:r>
        <w:rPr>
          <w:rFonts w:ascii="宋体" w:hAnsi="宋体" w:cs="宋体" w:eastAsia="宋体" w:hint="default"/>
          <w:spacing w:val="-2"/>
        </w:rPr>
        <w:t>2014</w:t>
      </w:r>
      <w:r>
        <w:rPr>
          <w:spacing w:val="-2"/>
        </w:rPr>
        <w:t>年第七次临时股东大会审议通过；</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日，本公司收到原实</w:t>
      </w:r>
      <w:r>
        <w:rPr/>
        <w:t> </w:t>
      </w:r>
      <w:r>
        <w:rPr>
          <w:spacing w:val="-5"/>
        </w:rPr>
        <w:t>际控制人之一吕晓义先生的部分股权转让款，剩余款项在</w:t>
      </w:r>
      <w:r>
        <w:rPr>
          <w:rFonts w:ascii="宋体" w:hAnsi="宋体" w:cs="宋体" w:eastAsia="宋体" w:hint="default"/>
          <w:spacing w:val="-5"/>
        </w:rPr>
        <w:t>2015</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16</w:t>
      </w:r>
      <w:r>
        <w:rPr>
          <w:spacing w:val="-5"/>
        </w:rPr>
        <w:t>日前收到；由于转让款项已全部收到，</w:t>
      </w:r>
      <w:r>
        <w:rPr>
          <w:rFonts w:ascii="宋体" w:hAnsi="宋体" w:cs="宋体" w:eastAsia="宋体" w:hint="default"/>
          <w:spacing w:val="-5"/>
        </w:rPr>
        <w:t>2015</w:t>
      </w:r>
      <w:r>
        <w:rPr>
          <w:rFonts w:ascii="宋体" w:hAnsi="宋体" w:cs="宋体" w:eastAsia="宋体" w:hint="default"/>
        </w:rPr>
        <w:t> </w:t>
      </w:r>
      <w:r>
        <w:rPr/>
        <w:t>年 </w:t>
      </w:r>
      <w:r>
        <w:rPr>
          <w:rFonts w:ascii="宋体" w:hAnsi="宋体" w:cs="宋体" w:eastAsia="宋体" w:hint="default"/>
        </w:rPr>
        <w:t>4 </w:t>
      </w:r>
      <w:r>
        <w:rPr/>
        <w:t>月</w:t>
      </w:r>
      <w:r>
        <w:rPr>
          <w:spacing w:val="9"/>
        </w:rPr>
        <w:t> </w:t>
      </w:r>
      <w:r>
        <w:rPr>
          <w:rFonts w:ascii="宋体" w:hAnsi="宋体" w:cs="宋体" w:eastAsia="宋体" w:hint="default"/>
          <w:spacing w:val="-2"/>
        </w:rPr>
        <w:t>16</w:t>
      </w:r>
      <w:r>
        <w:rPr>
          <w:rFonts w:ascii="宋体" w:hAnsi="宋体" w:cs="宋体" w:eastAsia="宋体" w:hint="default"/>
        </w:rPr>
      </w:r>
    </w:p>
    <w:p>
      <w:pPr>
        <w:pStyle w:val="BodyText"/>
        <w:spacing w:line="240" w:lineRule="auto" w:before="19"/>
        <w:ind w:right="153"/>
        <w:jc w:val="left"/>
      </w:pPr>
      <w:r>
        <w:rPr/>
        <w:t>日，公司收到长春高琦的通知，上述股权转让的工商变更登记手续已于 </w:t>
      </w:r>
      <w:r>
        <w:rPr>
          <w:rFonts w:ascii="宋体" w:hAnsi="宋体" w:cs="宋体" w:eastAsia="宋体" w:hint="default"/>
        </w:rPr>
        <w:t>2015 </w:t>
      </w:r>
      <w:r>
        <w:rPr/>
        <w:t>年 </w:t>
      </w:r>
      <w:r>
        <w:rPr>
          <w:rFonts w:ascii="宋体" w:hAnsi="宋体" w:cs="宋体" w:eastAsia="宋体" w:hint="default"/>
        </w:rPr>
        <w:t>4 </w:t>
      </w:r>
      <w:r>
        <w:rPr/>
        <w:t>月 </w:t>
      </w:r>
      <w:r>
        <w:rPr>
          <w:rFonts w:ascii="宋体" w:hAnsi="宋体" w:cs="宋体" w:eastAsia="宋体" w:hint="default"/>
        </w:rPr>
        <w:t>13</w:t>
      </w:r>
      <w:r>
        <w:rPr>
          <w:rFonts w:ascii="宋体" w:hAnsi="宋体" w:cs="宋体" w:eastAsia="宋体" w:hint="default"/>
          <w:spacing w:val="-2"/>
        </w:rPr>
        <w:t> </w:t>
      </w:r>
      <w:r>
        <w:rPr/>
        <w:t>日完成。</w:t>
      </w:r>
    </w:p>
    <w:p>
      <w:pPr>
        <w:pStyle w:val="BodyText"/>
        <w:spacing w:line="316" w:lineRule="auto" w:before="77"/>
        <w:ind w:right="151" w:firstLine="360"/>
        <w:jc w:val="both"/>
      </w:pPr>
      <w:r>
        <w:rPr/>
        <w:t>②本公司于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17</w:t>
      </w:r>
      <w:r>
        <w:rPr/>
        <w:t>日与原实际控制人之一吕晓义先生签订了</w:t>
      </w:r>
      <w:r>
        <w:rPr>
          <w:rFonts w:ascii="宋体" w:hAnsi="宋体" w:cs="宋体" w:eastAsia="宋体" w:hint="default"/>
        </w:rPr>
        <w:t>2015-001</w:t>
      </w:r>
      <w:r>
        <w:rPr/>
        <w:t>号《股权转让协议》，公司拟将所持长春高 琦</w:t>
      </w:r>
      <w:r>
        <w:rPr>
          <w:rFonts w:ascii="宋体" w:hAnsi="宋体" w:cs="宋体" w:eastAsia="宋体" w:hint="default"/>
        </w:rPr>
        <w:t>18%</w:t>
      </w:r>
      <w:r>
        <w:rPr/>
        <w:t>的股权转让给原实际控制人之一吕晓义先生，转让价格为每元注册资本</w:t>
      </w:r>
      <w:r>
        <w:rPr>
          <w:rFonts w:ascii="宋体" w:hAnsi="宋体" w:cs="宋体" w:eastAsia="宋体" w:hint="default"/>
        </w:rPr>
        <w:t>4.46</w:t>
      </w:r>
      <w:r>
        <w:rPr/>
        <w:t>元，转让总价款为</w:t>
      </w:r>
      <w:r>
        <w:rPr>
          <w:rFonts w:ascii="宋体" w:hAnsi="宋体" w:cs="宋体" w:eastAsia="宋体" w:hint="default"/>
        </w:rPr>
        <w:t>7,835.02</w:t>
      </w:r>
      <w:r>
        <w:rPr/>
        <w:t>万元。上述股</w:t>
      </w:r>
      <w:r>
        <w:rPr>
          <w:spacing w:val="-87"/>
        </w:rPr>
        <w:t> </w:t>
      </w:r>
      <w:r>
        <w:rPr/>
        <w:t>权转让的工商变更登记手续已于 </w:t>
      </w:r>
      <w:r>
        <w:rPr>
          <w:rFonts w:ascii="宋体" w:hAnsi="宋体" w:cs="宋体" w:eastAsia="宋体" w:hint="default"/>
        </w:rPr>
        <w:t>2015 </w:t>
      </w:r>
      <w:r>
        <w:rPr/>
        <w:t>年 </w:t>
      </w:r>
      <w:r>
        <w:rPr>
          <w:rFonts w:ascii="宋体" w:hAnsi="宋体" w:cs="宋体" w:eastAsia="宋体" w:hint="default"/>
        </w:rPr>
        <w:t>4 </w:t>
      </w:r>
      <w:r>
        <w:rPr/>
        <w:t>月</w:t>
      </w:r>
      <w:r>
        <w:rPr>
          <w:rFonts w:ascii="宋体" w:hAnsi="宋体" w:cs="宋体" w:eastAsia="宋体" w:hint="default"/>
        </w:rPr>
        <w:t>23</w:t>
      </w:r>
      <w:r>
        <w:rPr>
          <w:rFonts w:ascii="宋体" w:hAnsi="宋体" w:cs="宋体" w:eastAsia="宋体" w:hint="default"/>
          <w:spacing w:val="-1"/>
        </w:rPr>
        <w:t> </w:t>
      </w:r>
      <w:r>
        <w:rPr/>
        <w:t>日完成。</w:t>
      </w:r>
    </w:p>
    <w:p>
      <w:pPr>
        <w:pStyle w:val="Heading4"/>
        <w:spacing w:line="240" w:lineRule="auto"/>
        <w:ind w:right="153"/>
        <w:jc w:val="left"/>
        <w:rPr>
          <w:b w:val="0"/>
          <w:bCs w:val="0"/>
        </w:rPr>
      </w:pPr>
      <w:r>
        <w:rPr/>
        <w:t>（</w:t>
      </w:r>
      <w:r>
        <w:rPr>
          <w:rFonts w:ascii="宋体" w:hAnsi="宋体" w:cs="宋体" w:eastAsia="宋体" w:hint="default"/>
        </w:rPr>
        <w:t>2</w:t>
      </w:r>
      <w:r>
        <w:rPr/>
        <w:t>）转让江西先材</w:t>
      </w:r>
      <w:r>
        <w:rPr>
          <w:b w:val="0"/>
          <w:bCs w:val="0"/>
        </w:rPr>
      </w:r>
    </w:p>
    <w:p>
      <w:pPr>
        <w:pStyle w:val="BodyText"/>
        <w:spacing w:line="316" w:lineRule="auto" w:before="76"/>
        <w:ind w:right="148" w:firstLine="360"/>
        <w:jc w:val="both"/>
      </w:pPr>
      <w:r>
        <w:rPr/>
        <w:t>本公司于</w:t>
      </w:r>
      <w:r>
        <w:rPr>
          <w:rFonts w:ascii="宋体" w:hAnsi="宋体" w:cs="宋体" w:eastAsia="宋体" w:hint="default"/>
        </w:rPr>
        <w:t>2014</w:t>
      </w:r>
      <w:r>
        <w:rPr>
          <w:rFonts w:ascii="宋体" w:hAnsi="宋体" w:cs="宋体" w:eastAsia="宋体" w:hint="default"/>
          <w:spacing w:val="2"/>
        </w:rPr>
        <w:t> </w:t>
      </w:r>
      <w:r>
        <w:rPr/>
        <w:t>年</w:t>
      </w:r>
      <w:r>
        <w:rPr>
          <w:rFonts w:ascii="宋体" w:hAnsi="宋体" w:cs="宋体" w:eastAsia="宋体" w:hint="default"/>
        </w:rPr>
        <w:t>11</w:t>
      </w:r>
      <w:r>
        <w:rPr/>
        <w:t>月</w:t>
      </w:r>
      <w:r>
        <w:rPr>
          <w:rFonts w:ascii="宋体" w:hAnsi="宋体" w:cs="宋体" w:eastAsia="宋体" w:hint="default"/>
        </w:rPr>
        <w:t>23</w:t>
      </w:r>
      <w:r>
        <w:rPr/>
        <w:t>日分别与深圳惠程原实际控制人之一吕晓义先生、现实际控制人何平女士签订了</w:t>
      </w:r>
      <w:r>
        <w:rPr>
          <w:rFonts w:ascii="宋体" w:hAnsi="宋体" w:cs="宋体" w:eastAsia="宋体" w:hint="default"/>
        </w:rPr>
        <w:t>2014-005</w:t>
      </w:r>
      <w:r>
        <w:rPr/>
        <w:t>号、 </w:t>
      </w:r>
      <w:r>
        <w:rPr>
          <w:rFonts w:ascii="宋体" w:hAnsi="宋体" w:cs="宋体" w:eastAsia="宋体" w:hint="default"/>
          <w:spacing w:val="-2"/>
        </w:rPr>
        <w:t>2014-006</w:t>
      </w:r>
      <w:r>
        <w:rPr>
          <w:spacing w:val="-2"/>
        </w:rPr>
        <w:t>号《股权转让协议》，本公司将持有的江西先材全部股权分别转让给吕晓义先生</w:t>
      </w:r>
      <w:r>
        <w:rPr>
          <w:rFonts w:ascii="宋体" w:hAnsi="宋体" w:cs="宋体" w:eastAsia="宋体" w:hint="default"/>
          <w:spacing w:val="-2"/>
        </w:rPr>
        <w:t>26.4%</w:t>
      </w:r>
      <w:r>
        <w:rPr>
          <w:spacing w:val="-2"/>
        </w:rPr>
        <w:t>、转让给何平女士</w:t>
      </w:r>
      <w:r>
        <w:rPr>
          <w:rFonts w:ascii="宋体" w:hAnsi="宋体" w:cs="宋体" w:eastAsia="宋体" w:hint="default"/>
          <w:spacing w:val="-2"/>
        </w:rPr>
        <w:t>26.4%</w:t>
      </w:r>
      <w:r>
        <w:rPr>
          <w:spacing w:val="-2"/>
        </w:rPr>
        <w:t>，转</w:t>
      </w:r>
      <w:r>
        <w:rPr>
          <w:spacing w:val="-75"/>
        </w:rPr>
        <w:t> </w:t>
      </w:r>
      <w:r>
        <w:rPr>
          <w:spacing w:val="-5"/>
        </w:rPr>
        <w:t>让价为每元注册资本</w:t>
      </w:r>
      <w:r>
        <w:rPr>
          <w:rFonts w:ascii="宋体" w:hAnsi="宋体" w:cs="宋体" w:eastAsia="宋体" w:hint="default"/>
          <w:spacing w:val="-5"/>
        </w:rPr>
        <w:t>0.98</w:t>
      </w:r>
      <w:r>
        <w:rPr>
          <w:spacing w:val="-5"/>
        </w:rPr>
        <w:t>元（经银信资产评估有限公司评估的每元注册资本评估值为</w:t>
      </w:r>
      <w:r>
        <w:rPr>
          <w:rFonts w:ascii="宋体" w:hAnsi="宋体" w:cs="宋体" w:eastAsia="宋体" w:hint="default"/>
          <w:spacing w:val="-5"/>
        </w:rPr>
        <w:t>0.978</w:t>
      </w:r>
      <w:r>
        <w:rPr>
          <w:spacing w:val="-5"/>
        </w:rPr>
        <w:t>元），转让总价款为</w:t>
      </w:r>
      <w:r>
        <w:rPr>
          <w:rFonts w:ascii="宋体" w:hAnsi="宋体" w:cs="宋体" w:eastAsia="宋体" w:hint="default"/>
          <w:spacing w:val="-5"/>
        </w:rPr>
        <w:t>46,569,600.00</w:t>
      </w:r>
      <w:r>
        <w:rPr>
          <w:rFonts w:ascii="宋体" w:hAnsi="宋体" w:cs="宋体" w:eastAsia="宋体" w:hint="default"/>
          <w:spacing w:val="-30"/>
        </w:rPr>
        <w:t> </w:t>
      </w:r>
      <w:r>
        <w:rPr>
          <w:rFonts w:ascii="宋体" w:hAnsi="宋体" w:cs="宋体" w:eastAsia="宋体" w:hint="default"/>
          <w:spacing w:val="-30"/>
        </w:rPr>
      </w:r>
      <w:r>
        <w:rPr/>
        <w:t>元。</w:t>
      </w:r>
    </w:p>
    <w:p>
      <w:pPr>
        <w:pStyle w:val="BodyText"/>
        <w:spacing w:line="319" w:lineRule="auto" w:before="19"/>
        <w:ind w:right="148" w:firstLine="360"/>
        <w:jc w:val="both"/>
      </w:pPr>
      <w:r>
        <w:rPr>
          <w:spacing w:val="-2"/>
        </w:rPr>
        <w:t>上述股权转让事项经本公司</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日召开的</w:t>
      </w:r>
      <w:r>
        <w:rPr>
          <w:rFonts w:ascii="宋体" w:hAnsi="宋体" w:cs="宋体" w:eastAsia="宋体" w:hint="default"/>
          <w:spacing w:val="-2"/>
        </w:rPr>
        <w:t>2014</w:t>
      </w:r>
      <w:r>
        <w:rPr>
          <w:spacing w:val="-2"/>
        </w:rPr>
        <w:t>年第七次临时股东大会审议通过；</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日，本公司收到</w:t>
      </w:r>
      <w:r>
        <w:rPr/>
        <w:t> 吕晓义先生的全部股权转让款共计</w:t>
      </w:r>
      <w:r>
        <w:rPr>
          <w:rFonts w:ascii="宋体" w:hAnsi="宋体" w:cs="宋体" w:eastAsia="宋体" w:hint="default"/>
        </w:rPr>
        <w:t>2,328.48</w:t>
      </w:r>
      <w:r>
        <w:rPr/>
        <w:t>万元；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日，本公司收到何平女士的全部股权转让款共计</w:t>
      </w:r>
      <w:r>
        <w:rPr>
          <w:rFonts w:ascii="宋体" w:hAnsi="宋体" w:cs="宋体" w:eastAsia="宋体" w:hint="default"/>
        </w:rPr>
        <w:t>2,328.48</w:t>
      </w:r>
      <w:r>
        <w:rPr>
          <w:rFonts w:ascii="宋体" w:hAnsi="宋体" w:cs="宋体" w:eastAsia="宋体" w:hint="default"/>
          <w:spacing w:val="-11"/>
        </w:rPr>
        <w:t> </w:t>
      </w:r>
      <w:r>
        <w:rPr>
          <w:rFonts w:ascii="宋体" w:hAnsi="宋体" w:cs="宋体" w:eastAsia="宋体" w:hint="default"/>
          <w:spacing w:val="-11"/>
        </w:rPr>
      </w:r>
      <w:r>
        <w:rPr>
          <w:spacing w:val="-2"/>
        </w:rPr>
        <w:t>万元；</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23</w:t>
      </w:r>
      <w:r>
        <w:rPr>
          <w:spacing w:val="-2"/>
        </w:rPr>
        <w:t>日，上述股权转让事项经江西先材股东会审议通过，其他股东放弃优先购买权；</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23</w:t>
      </w:r>
      <w:r>
        <w:rPr>
          <w:spacing w:val="-2"/>
        </w:rPr>
        <w:t>日，办理了</w:t>
      </w:r>
      <w:r>
        <w:rPr>
          <w:spacing w:val="-56"/>
        </w:rPr>
        <w:t> </w:t>
      </w:r>
      <w:r>
        <w:rPr>
          <w:spacing w:val="-56"/>
        </w:rPr>
      </w:r>
      <w:r>
        <w:rPr/>
        <w:t>股权转让的工商变更登记手续。</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6</w:t>
      </w:r>
      <w:r>
        <w:rPr/>
        <w:t>、关联方应收应付款项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）应收项目：无。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8982" w:right="0"/>
        <w:jc w:val="left"/>
      </w:pPr>
      <w:r>
        <w:rPr/>
        <w:t>单位：</w:t>
      </w:r>
      <w:r>
        <w:rPr>
          <w:spacing w:val="1"/>
        </w:rPr>
        <w:t> </w:t>
      </w:r>
      <w:r>
        <w:rPr/>
        <w:t>元</w:t>
      </w:r>
    </w:p>
    <w:p>
      <w:pPr>
        <w:spacing w:line="240" w:lineRule="auto" w:before="5"/>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422"/>
        <w:gridCol w:w="2427"/>
        <w:gridCol w:w="2424"/>
        <w:gridCol w:w="2425"/>
      </w:tblGrid>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深圳微纳先材</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2,875,000.00</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854,217.78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123,284,800.00</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23,284,800.00</w:t>
            </w:r>
          </w:p>
        </w:tc>
      </w:tr>
    </w:tbl>
    <w:p>
      <w:pPr>
        <w:spacing w:line="240" w:lineRule="auto" w:before="13"/>
        <w:rPr>
          <w:rFonts w:ascii="宋体" w:hAnsi="宋体" w:cs="宋体" w:eastAsia="宋体" w:hint="default"/>
          <w:sz w:val="21"/>
          <w:szCs w:val="21"/>
        </w:rPr>
      </w:pPr>
    </w:p>
    <w:p>
      <w:pPr>
        <w:pStyle w:val="Heading3"/>
        <w:spacing w:line="240" w:lineRule="auto"/>
        <w:ind w:right="153"/>
        <w:jc w:val="left"/>
        <w:rPr>
          <w:b w:val="0"/>
          <w:bCs w:val="0"/>
        </w:rPr>
      </w:pPr>
      <w:r>
        <w:rPr>
          <w:rFonts w:ascii="宋体" w:hAnsi="宋体" w:cs="宋体" w:eastAsia="宋体" w:hint="default"/>
        </w:rPr>
        <w:t>7</w:t>
      </w:r>
      <w:r>
        <w:rPr/>
        <w:t>、关联方承诺：无。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8</w:t>
      </w:r>
      <w:r>
        <w:rPr/>
        <w:t>、其他：无。</w:t>
      </w:r>
      <w:r>
        <w:rPr>
          <w:b w:val="0"/>
          <w:bCs w:val="0"/>
        </w:rPr>
      </w:r>
    </w:p>
    <w:p>
      <w:pPr>
        <w:spacing w:after="0" w:line="240" w:lineRule="auto"/>
        <w:jc w:val="left"/>
        <w:sectPr>
          <w:pgSz w:w="11910" w:h="16840"/>
          <w:pgMar w:header="877" w:footer="1186" w:top="1100" w:bottom="1380" w:left="980" w:right="980"/>
        </w:sectPr>
      </w:pPr>
    </w:p>
    <w:p>
      <w:pPr>
        <w:spacing w:line="240" w:lineRule="auto" w:before="10"/>
        <w:rPr>
          <w:rFonts w:ascii="宋体" w:hAnsi="宋体" w:cs="宋体" w:eastAsia="宋体" w:hint="default"/>
          <w:b/>
          <w:bCs/>
          <w:sz w:val="19"/>
          <w:szCs w:val="19"/>
        </w:rPr>
      </w:pPr>
    </w:p>
    <w:p>
      <w:pPr>
        <w:pStyle w:val="Heading2"/>
        <w:spacing w:line="240" w:lineRule="auto" w:before="26"/>
        <w:ind w:right="153"/>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、股份支付总体情况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68,766,000.00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53"/>
        <w:jc w:val="left"/>
      </w:pPr>
      <w:r>
        <w:rPr/>
        <w:t>其他说明</w:t>
      </w:r>
    </w:p>
    <w:p>
      <w:pPr>
        <w:pStyle w:val="BodyText"/>
        <w:spacing w:line="316" w:lineRule="auto" w:before="115"/>
        <w:ind w:right="0" w:firstLine="360"/>
        <w:jc w:val="left"/>
      </w:pPr>
      <w:r>
        <w:rPr>
          <w:spacing w:val="-2"/>
        </w:rPr>
        <w:t>公司本期发生两期股权激励，期末第一期股权激励计划首次授予尚未完成授予登记，第二期股权激励计划首次授予已经</w:t>
      </w:r>
      <w:r>
        <w:rPr/>
        <w:t> 完成授予登记。</w:t>
      </w:r>
    </w:p>
    <w:p>
      <w:pPr>
        <w:pStyle w:val="BodyText"/>
        <w:spacing w:line="316" w:lineRule="auto" w:before="19"/>
        <w:ind w:left="513" w:right="1133"/>
        <w:jc w:val="left"/>
      </w:pPr>
      <w:r>
        <w:rPr/>
        <w:t>公司第二期股权激励计划首次授予限制性股票情况如下： 公司期末发行在外的限制性股票授予价格为</w:t>
      </w:r>
      <w:r>
        <w:rPr>
          <w:rFonts w:ascii="宋体" w:hAnsi="宋体" w:cs="宋体" w:eastAsia="宋体" w:hint="default"/>
        </w:rPr>
        <w:t>4.38</w:t>
      </w:r>
      <w:r>
        <w:rPr/>
        <w:t>元</w:t>
      </w:r>
      <w:r>
        <w:rPr>
          <w:rFonts w:ascii="宋体" w:hAnsi="宋体" w:cs="宋体" w:eastAsia="宋体" w:hint="default"/>
        </w:rPr>
        <w:t>/</w:t>
      </w:r>
      <w:r>
        <w:rPr/>
        <w:t>股，授予数量总计</w:t>
      </w:r>
      <w:r>
        <w:rPr>
          <w:rFonts w:ascii="宋体" w:hAnsi="宋体" w:cs="宋体" w:eastAsia="宋体" w:hint="default"/>
        </w:rPr>
        <w:t>1,570</w:t>
      </w:r>
      <w:r>
        <w:rPr/>
        <w:t>万股，总额为</w:t>
      </w:r>
      <w:r>
        <w:rPr>
          <w:rFonts w:ascii="宋体" w:hAnsi="宋体" w:cs="宋体" w:eastAsia="宋体" w:hint="default"/>
        </w:rPr>
        <w:t>6,876.60</w:t>
      </w:r>
      <w:r>
        <w:rPr/>
        <w:t>万元； 公司期末发行在外的限制性股票合同剩余期限：</w:t>
      </w:r>
    </w:p>
    <w:p>
      <w:pPr>
        <w:pStyle w:val="BodyText"/>
        <w:spacing w:line="316" w:lineRule="auto" w:before="19"/>
        <w:ind w:left="513" w:right="5093"/>
        <w:jc w:val="left"/>
      </w:pPr>
      <w:r>
        <w:rPr/>
        <w:t>距第一个解锁期剩余</w:t>
      </w:r>
      <w:r>
        <w:rPr>
          <w:rFonts w:ascii="宋体" w:hAnsi="宋体" w:cs="宋体" w:eastAsia="宋体" w:hint="default"/>
        </w:rPr>
        <w:t>10</w:t>
      </w:r>
      <w:r>
        <w:rPr/>
        <w:t>个月； 距第二个解锁期剩余</w:t>
      </w:r>
      <w:r>
        <w:rPr>
          <w:rFonts w:ascii="宋体" w:hAnsi="宋体" w:cs="宋体" w:eastAsia="宋体" w:hint="default"/>
        </w:rPr>
        <w:t>22</w:t>
      </w:r>
      <w:r>
        <w:rPr/>
        <w:t>个月； 距第三个解锁期剩余</w:t>
      </w:r>
      <w:r>
        <w:rPr>
          <w:rFonts w:ascii="宋体" w:hAnsi="宋体" w:cs="宋体" w:eastAsia="宋体" w:hint="default"/>
        </w:rPr>
        <w:t>34</w:t>
      </w:r>
      <w:r>
        <w:rPr/>
        <w:t>个月。 公司第二期股权激励计划首次授予股票期权情况如下：</w:t>
      </w:r>
    </w:p>
    <w:p>
      <w:pPr>
        <w:pStyle w:val="BodyText"/>
        <w:spacing w:line="319" w:lineRule="auto" w:before="19"/>
        <w:ind w:left="513" w:right="3293"/>
        <w:jc w:val="left"/>
      </w:pPr>
      <w:r>
        <w:rPr/>
        <w:t>公司期末发行在外的股份期权行权价格为</w:t>
      </w:r>
      <w:r>
        <w:rPr>
          <w:rFonts w:ascii="宋体" w:hAnsi="宋体" w:cs="宋体" w:eastAsia="宋体" w:hint="default"/>
        </w:rPr>
        <w:t>9.25</w:t>
      </w:r>
      <w:r>
        <w:rPr/>
        <w:t>元</w:t>
      </w:r>
      <w:r>
        <w:rPr>
          <w:rFonts w:ascii="宋体" w:hAnsi="宋体" w:cs="宋体" w:eastAsia="宋体" w:hint="default"/>
        </w:rPr>
        <w:t>/</w:t>
      </w:r>
      <w:r>
        <w:rPr/>
        <w:t>份，授予数量总计</w:t>
      </w:r>
      <w:r>
        <w:rPr>
          <w:rFonts w:ascii="宋体" w:hAnsi="宋体" w:cs="宋体" w:eastAsia="宋体" w:hint="default"/>
        </w:rPr>
        <w:t>650</w:t>
      </w:r>
      <w:r>
        <w:rPr/>
        <w:t>万份； 公司期末发行在外的股份期权合同剩余期限：</w:t>
      </w:r>
    </w:p>
    <w:p>
      <w:pPr>
        <w:pStyle w:val="BodyText"/>
        <w:spacing w:line="316" w:lineRule="auto" w:before="17"/>
        <w:ind w:left="513" w:right="7088"/>
        <w:jc w:val="both"/>
      </w:pPr>
      <w:r>
        <w:rPr/>
        <w:t>距第一个行权期剩余</w:t>
      </w:r>
      <w:r>
        <w:rPr>
          <w:rFonts w:ascii="宋体" w:hAnsi="宋体" w:cs="宋体" w:eastAsia="宋体" w:hint="default"/>
        </w:rPr>
        <w:t>10</w:t>
      </w:r>
      <w:r>
        <w:rPr/>
        <w:t>个月； 距第二个行权期剩余</w:t>
      </w:r>
      <w:r>
        <w:rPr>
          <w:rFonts w:ascii="宋体" w:hAnsi="宋体" w:cs="宋体" w:eastAsia="宋体" w:hint="default"/>
        </w:rPr>
        <w:t>22</w:t>
      </w:r>
      <w:r>
        <w:rPr/>
        <w:t>个月； 距第三个行权期剩余</w:t>
      </w:r>
      <w:r>
        <w:rPr>
          <w:rFonts w:ascii="宋体" w:hAnsi="宋体" w:cs="宋体" w:eastAsia="宋体" w:hint="default"/>
        </w:rPr>
        <w:t>34</w:t>
      </w:r>
      <w:r>
        <w:rPr/>
        <w:t>个月。</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2</w:t>
      </w:r>
      <w:r>
        <w:rPr/>
        <w:t>、以权益结算的股份支付情况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333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第二期股权激励计划首次授予的限制性股票授予价格依据 本激励计划披露前 </w:t>
            </w:r>
            <w:r>
              <w:rPr>
                <w:rFonts w:ascii="宋体" w:hAnsi="宋体" w:cs="宋体" w:eastAsia="宋体" w:hint="default"/>
                <w:sz w:val="18"/>
                <w:szCs w:val="18"/>
              </w:rPr>
              <w:t>20 </w:t>
            </w:r>
            <w:r>
              <w:rPr>
                <w:rFonts w:ascii="宋体" w:hAnsi="宋体" w:cs="宋体" w:eastAsia="宋体" w:hint="default"/>
                <w:sz w:val="18"/>
                <w:szCs w:val="18"/>
              </w:rPr>
              <w:t>个交易日深圳惠程股票均价（前</w:t>
            </w:r>
            <w:r>
              <w:rPr>
                <w:rFonts w:ascii="宋体" w:hAnsi="宋体" w:cs="宋体" w:eastAsia="宋体" w:hint="default"/>
                <w:spacing w:val="-60"/>
                <w:sz w:val="18"/>
                <w:szCs w:val="18"/>
              </w:rPr>
              <w:t> </w:t>
            </w:r>
            <w:r>
              <w:rPr>
                <w:rFonts w:ascii="宋体" w:hAnsi="宋体" w:cs="宋体" w:eastAsia="宋体" w:hint="default"/>
                <w:sz w:val="18"/>
                <w:szCs w:val="18"/>
              </w:rPr>
              <w:t>20</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个交易日股票交易总额</w:t>
            </w:r>
            <w:r>
              <w:rPr>
                <w:rFonts w:ascii="宋体" w:hAnsi="宋体" w:cs="宋体" w:eastAsia="宋体" w:hint="default"/>
                <w:sz w:val="18"/>
                <w:szCs w:val="18"/>
              </w:rPr>
              <w:t>/</w:t>
            </w:r>
            <w:r>
              <w:rPr>
                <w:rFonts w:ascii="宋体" w:hAnsi="宋体" w:cs="宋体" w:eastAsia="宋体" w:hint="default"/>
                <w:sz w:val="18"/>
                <w:szCs w:val="18"/>
              </w:rPr>
              <w:t>前 </w:t>
            </w:r>
            <w:r>
              <w:rPr>
                <w:rFonts w:ascii="宋体" w:hAnsi="宋体" w:cs="宋体" w:eastAsia="宋体" w:hint="default"/>
                <w:sz w:val="18"/>
                <w:szCs w:val="18"/>
              </w:rPr>
              <w:t>20 </w:t>
            </w:r>
            <w:r>
              <w:rPr>
                <w:rFonts w:ascii="宋体" w:hAnsi="宋体" w:cs="宋体" w:eastAsia="宋体" w:hint="default"/>
                <w:sz w:val="18"/>
                <w:szCs w:val="18"/>
              </w:rPr>
              <w:t>个交易日股票交易总量）</w:t>
            </w:r>
          </w:p>
          <w:p>
            <w:pPr>
              <w:pStyle w:val="TableParagraph"/>
              <w:spacing w:line="338" w:lineRule="auto" w:before="76"/>
              <w:ind w:left="23" w:right="51"/>
              <w:jc w:val="left"/>
              <w:rPr>
                <w:rFonts w:ascii="宋体" w:hAnsi="宋体" w:cs="宋体" w:eastAsia="宋体" w:hint="default"/>
                <w:sz w:val="18"/>
                <w:szCs w:val="18"/>
              </w:rPr>
            </w:pPr>
            <w:r>
              <w:rPr>
                <w:rFonts w:ascii="宋体" w:hAnsi="宋体" w:cs="宋体" w:eastAsia="宋体" w:hint="default"/>
                <w:sz w:val="18"/>
                <w:szCs w:val="18"/>
              </w:rPr>
              <w:t>8.75 </w:t>
            </w:r>
            <w:r>
              <w:rPr>
                <w:rFonts w:ascii="宋体" w:hAnsi="宋体" w:cs="宋体" w:eastAsia="宋体" w:hint="default"/>
                <w:sz w:val="18"/>
                <w:szCs w:val="18"/>
              </w:rPr>
              <w:t>元的</w:t>
            </w:r>
            <w:r>
              <w:rPr>
                <w:rFonts w:ascii="宋体" w:hAnsi="宋体" w:cs="宋体" w:eastAsia="宋体" w:hint="default"/>
                <w:spacing w:val="1"/>
                <w:sz w:val="18"/>
                <w:szCs w:val="18"/>
              </w:rPr>
              <w:t> </w:t>
            </w:r>
            <w:r>
              <w:rPr>
                <w:rFonts w:ascii="宋体" w:hAnsi="宋体" w:cs="宋体" w:eastAsia="宋体" w:hint="default"/>
                <w:sz w:val="18"/>
                <w:szCs w:val="18"/>
              </w:rPr>
              <w:t>50%</w:t>
            </w:r>
            <w:r>
              <w:rPr>
                <w:rFonts w:ascii="宋体" w:hAnsi="宋体" w:cs="宋体" w:eastAsia="宋体" w:hint="default"/>
                <w:sz w:val="18"/>
                <w:szCs w:val="18"/>
              </w:rPr>
              <w:t>确定。 第二期股权激励计划首次授予的股票期权行权价格根据下 列价格较高者确定：</w:t>
            </w:r>
          </w:p>
          <w:p>
            <w:pPr>
              <w:pStyle w:val="TableParagraph"/>
              <w:spacing w:line="316" w:lineRule="auto" w:before="41"/>
              <w:ind w:left="23" w:right="2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）本激励计划草案公布（董事会决议）前一个交易日的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公司股票收盘价 </w:t>
            </w:r>
            <w:r>
              <w:rPr>
                <w:rFonts w:ascii="宋体" w:hAnsi="宋体" w:cs="宋体" w:eastAsia="宋体" w:hint="default"/>
                <w:sz w:val="18"/>
                <w:szCs w:val="18"/>
              </w:rPr>
              <w:t>9.25</w:t>
            </w:r>
            <w:r>
              <w:rPr>
                <w:rFonts w:ascii="宋体" w:hAnsi="宋体" w:cs="宋体" w:eastAsia="宋体" w:hint="default"/>
                <w:spacing w:val="-45"/>
                <w:sz w:val="18"/>
                <w:szCs w:val="18"/>
              </w:rPr>
              <w:t> </w:t>
            </w:r>
            <w:r>
              <w:rPr>
                <w:rFonts w:ascii="宋体" w:hAnsi="宋体" w:cs="宋体" w:eastAsia="宋体" w:hint="default"/>
                <w:sz w:val="18"/>
                <w:szCs w:val="18"/>
              </w:rPr>
              <w:t>算元；</w:t>
            </w:r>
          </w:p>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）本激励计划草案公布（董事会决议）前 </w:t>
            </w:r>
            <w:r>
              <w:rPr>
                <w:rFonts w:ascii="宋体" w:hAnsi="宋体" w:cs="宋体" w:eastAsia="宋体" w:hint="default"/>
                <w:sz w:val="18"/>
                <w:szCs w:val="18"/>
              </w:rPr>
              <w:t>30</w:t>
            </w:r>
            <w:r>
              <w:rPr>
                <w:rFonts w:ascii="宋体" w:hAnsi="宋体" w:cs="宋体" w:eastAsia="宋体" w:hint="default"/>
                <w:spacing w:val="23"/>
                <w:sz w:val="18"/>
                <w:szCs w:val="18"/>
              </w:rPr>
              <w:t> </w:t>
            </w:r>
            <w:r>
              <w:rPr>
                <w:rFonts w:ascii="宋体" w:hAnsi="宋体" w:cs="宋体" w:eastAsia="宋体" w:hint="default"/>
                <w:sz w:val="18"/>
                <w:szCs w:val="18"/>
              </w:rPr>
              <w:t>个交易日</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内的公司股票平均收盘价 </w:t>
            </w:r>
            <w:r>
              <w:rPr>
                <w:rFonts w:ascii="宋体" w:hAnsi="宋体" w:cs="宋体" w:eastAsia="宋体" w:hint="default"/>
                <w:sz w:val="18"/>
                <w:szCs w:val="18"/>
              </w:rPr>
              <w:t>8.96</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102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3" w:right="138"/>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 第二期股权激励计划首次授予的授予日（</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日）公司股票收盘价为</w:t>
            </w:r>
            <w:r>
              <w:rPr>
                <w:rFonts w:ascii="宋体" w:hAnsi="宋体" w:cs="宋体" w:eastAsia="宋体" w:hint="default"/>
                <w:spacing w:val="-45"/>
                <w:sz w:val="18"/>
                <w:szCs w:val="18"/>
              </w:rPr>
              <w:t> </w:t>
            </w:r>
            <w:r>
              <w:rPr>
                <w:rFonts w:ascii="宋体" w:hAnsi="宋体" w:cs="宋体" w:eastAsia="宋体" w:hint="default"/>
                <w:sz w:val="18"/>
                <w:szCs w:val="18"/>
              </w:rPr>
              <w:t>11.01</w:t>
            </w:r>
            <w:r>
              <w:rPr>
                <w:rFonts w:ascii="宋体" w:hAnsi="宋体" w:cs="宋体" w:eastAsia="宋体" w:hint="default"/>
                <w:spacing w:val="-46"/>
                <w:sz w:val="18"/>
                <w:szCs w:val="18"/>
              </w:rPr>
              <w:t> </w:t>
            </w:r>
            <w:r>
              <w:rPr>
                <w:rFonts w:ascii="宋体" w:hAnsi="宋体" w:cs="宋体" w:eastAsia="宋体" w:hint="default"/>
                <w:spacing w:val="-7"/>
                <w:sz w:val="18"/>
                <w:szCs w:val="18"/>
              </w:rPr>
              <w:t>元</w:t>
            </w:r>
            <w:r>
              <w:rPr>
                <w:rFonts w:ascii="宋体" w:hAnsi="宋体" w:cs="宋体" w:eastAsia="宋体" w:hint="default"/>
                <w:spacing w:val="-7"/>
                <w:sz w:val="18"/>
                <w:szCs w:val="18"/>
              </w:rPr>
              <w:t>/</w:t>
            </w:r>
            <w:r>
              <w:rPr>
                <w:rFonts w:ascii="宋体" w:hAnsi="宋体" w:cs="宋体" w:eastAsia="宋体" w:hint="default"/>
                <w:spacing w:val="-7"/>
                <w:sz w:val="18"/>
                <w:szCs w:val="18"/>
              </w:rPr>
              <w:t>股，在</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r>
    </w:tbl>
    <w:p>
      <w:pPr>
        <w:spacing w:after="0" w:line="224" w:lineRule="exact"/>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2"/>
        <w:gridCol w:w="972"/>
        <w:gridCol w:w="866"/>
        <w:gridCol w:w="902"/>
        <w:gridCol w:w="905"/>
        <w:gridCol w:w="943"/>
      </w:tblGrid>
      <w:tr>
        <w:trPr>
          <w:trHeight w:val="2002" w:hRule="exact"/>
        </w:trPr>
        <w:tc>
          <w:tcPr>
            <w:tcW w:w="4982" w:type="dxa"/>
            <w:vMerge w:val="restart"/>
            <w:tcBorders>
              <w:top w:val="single" w:sz="4" w:space="0" w:color="000000"/>
              <w:left w:val="single" w:sz="4" w:space="0" w:color="000000"/>
              <w:right w:val="single" w:sz="4" w:space="0" w:color="000000"/>
            </w:tcBorders>
            <w:shd w:val="clear" w:color="auto" w:fill="D2D2D2"/>
          </w:tcPr>
          <w:p>
            <w:pPr/>
          </w:p>
        </w:tc>
        <w:tc>
          <w:tcPr>
            <w:tcW w:w="4590" w:type="dxa"/>
            <w:gridSpan w:val="5"/>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将按照各期限制性股票的解锁比例和授予日限制性股票的 公允价值总额分期确认限制性股票激励成本。 </w:t>
            </w:r>
            <w:r>
              <w:rPr>
                <w:rFonts w:ascii="宋体" w:hAnsi="宋体" w:cs="宋体" w:eastAsia="宋体" w:hint="default"/>
                <w:sz w:val="18"/>
                <w:szCs w:val="18"/>
              </w:rPr>
              <w:t>1.</w:t>
            </w:r>
            <w:r>
              <w:rPr>
                <w:rFonts w:ascii="宋体" w:hAnsi="宋体" w:cs="宋体" w:eastAsia="宋体" w:hint="default"/>
                <w:sz w:val="18"/>
                <w:szCs w:val="18"/>
              </w:rPr>
              <w:t>经测算，第二期股权激励计划首次授予的限制性股票激</w:t>
            </w:r>
          </w:p>
          <w:p>
            <w:pPr>
              <w:pStyle w:val="TableParagraph"/>
              <w:spacing w:line="316" w:lineRule="auto" w:before="2"/>
              <w:ind w:left="23" w:right="23"/>
              <w:jc w:val="left"/>
              <w:rPr>
                <w:rFonts w:ascii="宋体" w:hAnsi="宋体" w:cs="宋体" w:eastAsia="宋体" w:hint="default"/>
                <w:sz w:val="18"/>
                <w:szCs w:val="18"/>
              </w:rPr>
            </w:pPr>
            <w:r>
              <w:rPr>
                <w:rFonts w:ascii="宋体" w:hAnsi="宋体" w:cs="宋体" w:eastAsia="宋体" w:hint="default"/>
                <w:sz w:val="18"/>
                <w:szCs w:val="18"/>
              </w:rPr>
              <w:t>励成本合计为</w:t>
            </w:r>
            <w:r>
              <w:rPr>
                <w:rFonts w:ascii="宋体" w:hAnsi="宋体" w:cs="宋体" w:eastAsia="宋体" w:hint="default"/>
                <w:spacing w:val="-45"/>
                <w:sz w:val="18"/>
                <w:szCs w:val="18"/>
              </w:rPr>
              <w:t> </w:t>
            </w:r>
            <w:r>
              <w:rPr>
                <w:rFonts w:ascii="宋体" w:hAnsi="宋体" w:cs="宋体" w:eastAsia="宋体" w:hint="default"/>
                <w:sz w:val="18"/>
                <w:szCs w:val="18"/>
              </w:rPr>
              <w:t>4,410.14</w:t>
            </w:r>
            <w:r>
              <w:rPr>
                <w:rFonts w:ascii="宋体" w:hAnsi="宋体" w:cs="宋体" w:eastAsia="宋体" w:hint="default"/>
                <w:spacing w:val="-44"/>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年限制性股 票成本摊销情况表见下表：</w:t>
            </w:r>
          </w:p>
          <w:p>
            <w:pPr>
              <w:pStyle w:val="TableParagraph"/>
              <w:spacing w:line="240" w:lineRule="auto" w:before="57"/>
              <w:ind w:right="24"/>
              <w:jc w:val="right"/>
              <w:rPr>
                <w:rFonts w:ascii="宋体" w:hAnsi="宋体" w:cs="宋体" w:eastAsia="宋体" w:hint="default"/>
                <w:sz w:val="18"/>
                <w:szCs w:val="18"/>
              </w:rPr>
            </w:pPr>
            <w:r>
              <w:rPr>
                <w:rFonts w:ascii="宋体" w:hAnsi="宋体" w:cs="宋体" w:eastAsia="宋体" w:hint="default"/>
                <w:sz w:val="18"/>
                <w:szCs w:val="18"/>
              </w:rPr>
              <w:t>单位：万元</w:t>
            </w:r>
          </w:p>
        </w:tc>
      </w:tr>
      <w:tr>
        <w:trPr>
          <w:trHeight w:val="403" w:hRule="exact"/>
        </w:trPr>
        <w:tc>
          <w:tcPr>
            <w:tcW w:w="4982" w:type="dxa"/>
            <w:vMerge/>
            <w:tcBorders>
              <w:left w:val="single" w:sz="4" w:space="0" w:color="000000"/>
              <w:right w:val="single" w:sz="4" w:space="0" w:color="000000"/>
            </w:tcBorders>
            <w:shd w:val="clear" w:color="auto" w:fill="D2D2D2"/>
          </w:tcPr>
          <w:p>
            <w:pPr/>
          </w:p>
        </w:tc>
        <w:tc>
          <w:tcPr>
            <w:tcW w:w="972" w:type="dxa"/>
            <w:tcBorders>
              <w:top w:val="single" w:sz="4" w:space="0" w:color="000000"/>
              <w:left w:val="single" w:sz="17"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43" w:type="dxa"/>
            <w:tcBorders>
              <w:top w:val="single" w:sz="4" w:space="0" w:color="000000"/>
              <w:left w:val="single" w:sz="4" w:space="0" w:color="000000"/>
              <w:bottom w:val="single" w:sz="4" w:space="0" w:color="000000"/>
              <w:right w:val="single" w:sz="19"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982" w:type="dxa"/>
            <w:vMerge/>
            <w:tcBorders>
              <w:left w:val="single" w:sz="4" w:space="0" w:color="000000"/>
              <w:right w:val="single" w:sz="4" w:space="0" w:color="000000"/>
            </w:tcBorders>
            <w:shd w:val="clear" w:color="auto" w:fill="D2D2D2"/>
          </w:tcPr>
          <w:p>
            <w:pPr/>
          </w:p>
        </w:tc>
        <w:tc>
          <w:tcPr>
            <w:tcW w:w="97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解锁比例</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30%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30%</w:t>
            </w:r>
          </w:p>
        </w:tc>
        <w:tc>
          <w:tcPr>
            <w:tcW w:w="943" w:type="dxa"/>
            <w:tcBorders>
              <w:top w:val="single" w:sz="4" w:space="0" w:color="000000"/>
              <w:left w:val="single" w:sz="4" w:space="0" w:color="000000"/>
              <w:bottom w:val="single" w:sz="4" w:space="0" w:color="000000"/>
              <w:right w:val="single" w:sz="19"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4982" w:type="dxa"/>
            <w:vMerge/>
            <w:tcBorders>
              <w:left w:val="single" w:sz="4" w:space="0" w:color="000000"/>
              <w:right w:val="single" w:sz="4" w:space="0" w:color="000000"/>
            </w:tcBorders>
            <w:shd w:val="clear" w:color="auto" w:fill="D2D2D2"/>
          </w:tcPr>
          <w:p>
            <w:pPr/>
          </w:p>
        </w:tc>
        <w:tc>
          <w:tcPr>
            <w:tcW w:w="97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摊销数额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488.34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2,620.42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961.52</w:t>
            </w:r>
          </w:p>
        </w:tc>
        <w:tc>
          <w:tcPr>
            <w:tcW w:w="943" w:type="dxa"/>
            <w:tcBorders>
              <w:top w:val="single" w:sz="4" w:space="0" w:color="000000"/>
              <w:left w:val="single" w:sz="4" w:space="0" w:color="000000"/>
              <w:bottom w:val="single" w:sz="4" w:space="0" w:color="000000"/>
              <w:right w:val="single" w:sz="19" w:space="0" w:color="000000"/>
            </w:tcBorders>
          </w:tcPr>
          <w:p>
            <w:pPr>
              <w:pStyle w:val="TableParagraph"/>
              <w:spacing w:line="240" w:lineRule="auto" w:before="91"/>
              <w:ind w:right="122"/>
              <w:jc w:val="right"/>
              <w:rPr>
                <w:rFonts w:ascii="Times New Roman" w:hAnsi="Times New Roman" w:cs="Times New Roman" w:eastAsia="Times New Roman" w:hint="default"/>
                <w:sz w:val="18"/>
                <w:szCs w:val="18"/>
              </w:rPr>
            </w:pPr>
            <w:r>
              <w:rPr>
                <w:rFonts w:ascii="Times New Roman"/>
                <w:spacing w:val="-1"/>
                <w:sz w:val="18"/>
              </w:rPr>
              <w:t>339.86</w:t>
            </w:r>
          </w:p>
        </w:tc>
      </w:tr>
      <w:tr>
        <w:trPr>
          <w:trHeight w:val="1378" w:hRule="exact"/>
        </w:trPr>
        <w:tc>
          <w:tcPr>
            <w:tcW w:w="4982" w:type="dxa"/>
            <w:vMerge/>
            <w:tcBorders>
              <w:left w:val="single" w:sz="4" w:space="0" w:color="000000"/>
              <w:right w:val="single" w:sz="4" w:space="0" w:color="000000"/>
            </w:tcBorders>
            <w:shd w:val="clear" w:color="auto" w:fill="D2D2D2"/>
          </w:tcPr>
          <w:p>
            <w:pPr/>
          </w:p>
        </w:tc>
        <w:tc>
          <w:tcPr>
            <w:tcW w:w="459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经测算，第二期股权激励计划首次授予的股票期权激励 成本合计为</w:t>
            </w:r>
            <w:r>
              <w:rPr>
                <w:rFonts w:ascii="宋体" w:hAnsi="宋体" w:cs="宋体" w:eastAsia="宋体" w:hint="default"/>
                <w:spacing w:val="-45"/>
                <w:sz w:val="18"/>
                <w:szCs w:val="18"/>
              </w:rPr>
              <w:t> </w:t>
            </w:r>
            <w:r>
              <w:rPr>
                <w:rFonts w:ascii="宋体" w:hAnsi="宋体" w:cs="宋体" w:eastAsia="宋体" w:hint="default"/>
                <w:sz w:val="18"/>
                <w:szCs w:val="18"/>
              </w:rPr>
              <w:t>2,912.86</w:t>
            </w:r>
            <w:r>
              <w:rPr>
                <w:rFonts w:ascii="宋体" w:hAnsi="宋体" w:cs="宋体" w:eastAsia="宋体" w:hint="default"/>
                <w:spacing w:val="-44"/>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年股票期权成 本摊销情况表见下表：</w:t>
            </w:r>
          </w:p>
          <w:p>
            <w:pPr>
              <w:pStyle w:val="TableParagraph"/>
              <w:spacing w:line="240" w:lineRule="auto" w:before="59"/>
              <w:ind w:right="24"/>
              <w:jc w:val="right"/>
              <w:rPr>
                <w:rFonts w:ascii="宋体" w:hAnsi="宋体" w:cs="宋体" w:eastAsia="宋体" w:hint="default"/>
                <w:sz w:val="18"/>
                <w:szCs w:val="18"/>
              </w:rPr>
            </w:pPr>
            <w:r>
              <w:rPr>
                <w:rFonts w:ascii="宋体" w:hAnsi="宋体" w:cs="宋体" w:eastAsia="宋体" w:hint="default"/>
                <w:sz w:val="18"/>
                <w:szCs w:val="18"/>
              </w:rPr>
              <w:t>单位：万元</w:t>
            </w:r>
          </w:p>
        </w:tc>
      </w:tr>
      <w:tr>
        <w:trPr>
          <w:trHeight w:val="401" w:hRule="exact"/>
        </w:trPr>
        <w:tc>
          <w:tcPr>
            <w:tcW w:w="4982" w:type="dxa"/>
            <w:vMerge/>
            <w:tcBorders>
              <w:left w:val="single" w:sz="4" w:space="0" w:color="000000"/>
              <w:right w:val="single" w:sz="4" w:space="0" w:color="000000"/>
            </w:tcBorders>
            <w:shd w:val="clear" w:color="auto" w:fill="D2D2D2"/>
          </w:tcPr>
          <w:p>
            <w:pPr/>
          </w:p>
        </w:tc>
        <w:tc>
          <w:tcPr>
            <w:tcW w:w="972" w:type="dxa"/>
            <w:tcBorders>
              <w:top w:val="single" w:sz="4" w:space="0" w:color="000000"/>
              <w:left w:val="single" w:sz="17"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43" w:type="dxa"/>
            <w:tcBorders>
              <w:top w:val="single" w:sz="4" w:space="0" w:color="000000"/>
              <w:left w:val="single" w:sz="4" w:space="0" w:color="000000"/>
              <w:bottom w:val="single" w:sz="4" w:space="0" w:color="000000"/>
              <w:right w:val="single" w:sz="19"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4982" w:type="dxa"/>
            <w:vMerge/>
            <w:tcBorders>
              <w:left w:val="single" w:sz="4" w:space="0" w:color="000000"/>
              <w:right w:val="single" w:sz="4" w:space="0" w:color="000000"/>
            </w:tcBorders>
            <w:shd w:val="clear" w:color="auto" w:fill="D2D2D2"/>
          </w:tcPr>
          <w:p>
            <w:pPr/>
          </w:p>
        </w:tc>
        <w:tc>
          <w:tcPr>
            <w:tcW w:w="97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解锁比例</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30%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30%</w:t>
            </w:r>
          </w:p>
        </w:tc>
        <w:tc>
          <w:tcPr>
            <w:tcW w:w="943" w:type="dxa"/>
            <w:tcBorders>
              <w:top w:val="single" w:sz="4" w:space="0" w:color="000000"/>
              <w:left w:val="single" w:sz="4" w:space="0" w:color="000000"/>
              <w:bottom w:val="single" w:sz="4" w:space="0" w:color="000000"/>
              <w:right w:val="single" w:sz="19"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r>
              <w:rPr>
                <w:rFonts w:ascii="Times New Roman"/>
                <w:sz w:val="18"/>
              </w:rPr>
              <w:t>40%</w:t>
            </w:r>
          </w:p>
        </w:tc>
      </w:tr>
      <w:tr>
        <w:trPr>
          <w:trHeight w:val="412" w:hRule="exact"/>
        </w:trPr>
        <w:tc>
          <w:tcPr>
            <w:tcW w:w="4982" w:type="dxa"/>
            <w:vMerge/>
            <w:tcBorders>
              <w:left w:val="single" w:sz="4" w:space="0" w:color="000000"/>
              <w:bottom w:val="single" w:sz="4" w:space="0" w:color="000000"/>
              <w:right w:val="single" w:sz="4" w:space="0" w:color="000000"/>
            </w:tcBorders>
            <w:shd w:val="clear" w:color="auto" w:fill="D2D2D2"/>
          </w:tcPr>
          <w:p>
            <w:pPr/>
          </w:p>
        </w:tc>
        <w:tc>
          <w:tcPr>
            <w:tcW w:w="972" w:type="dxa"/>
            <w:tcBorders>
              <w:top w:val="single" w:sz="4" w:space="0" w:color="000000"/>
              <w:left w:val="single" w:sz="17" w:space="0" w:color="000000"/>
              <w:bottom w:val="single" w:sz="8"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摊销数额</w:t>
            </w:r>
          </w:p>
        </w:tc>
        <w:tc>
          <w:tcPr>
            <w:tcW w:w="8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260.92</w:t>
            </w:r>
          </w:p>
        </w:tc>
        <w:tc>
          <w:tcPr>
            <w:tcW w:w="9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1,453.17</w:t>
            </w:r>
          </w:p>
        </w:tc>
        <w:tc>
          <w:tcPr>
            <w:tcW w:w="90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818.81</w:t>
            </w:r>
          </w:p>
        </w:tc>
        <w:tc>
          <w:tcPr>
            <w:tcW w:w="943" w:type="dxa"/>
            <w:tcBorders>
              <w:top w:val="single" w:sz="4" w:space="0" w:color="000000"/>
              <w:left w:val="single" w:sz="4" w:space="0" w:color="000000"/>
              <w:bottom w:val="single" w:sz="8" w:space="0" w:color="000000"/>
              <w:right w:val="single" w:sz="19" w:space="0" w:color="000000"/>
            </w:tcBorders>
          </w:tcPr>
          <w:p>
            <w:pPr>
              <w:pStyle w:val="TableParagraph"/>
              <w:spacing w:line="240" w:lineRule="auto" w:before="91"/>
              <w:ind w:right="122"/>
              <w:jc w:val="right"/>
              <w:rPr>
                <w:rFonts w:ascii="Times New Roman" w:hAnsi="Times New Roman" w:cs="Times New Roman" w:eastAsia="Times New Roman" w:hint="default"/>
                <w:sz w:val="18"/>
                <w:szCs w:val="18"/>
              </w:rPr>
            </w:pPr>
            <w:r>
              <w:rPr>
                <w:rFonts w:ascii="Times New Roman"/>
                <w:spacing w:val="-1"/>
                <w:sz w:val="18"/>
              </w:rPr>
              <w:t>379.96</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9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宋体" w:hAnsi="宋体" w:cs="宋体" w:eastAsia="宋体" w:hint="default"/>
                <w:sz w:val="18"/>
                <w:szCs w:val="18"/>
              </w:rPr>
            </w:pPr>
            <w:r>
              <w:rPr>
                <w:rFonts w:ascii="宋体"/>
                <w:spacing w:val="-1"/>
                <w:sz w:val="18"/>
              </w:rPr>
              <w:t>60,558,600.00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7,492,600.00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w:t>
      </w:r>
      <w:r>
        <w:rPr/>
        <w:t>、以现金结算的股份支付情况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、股份支付的修改、终止情况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1146" w:right="153"/>
        <w:jc w:val="left"/>
      </w:pPr>
      <w:r>
        <w:rPr/>
        <w:t>公司第一期股权激励计划首次授予激励对象名单及授予数量发生调整：</w:t>
      </w:r>
    </w:p>
    <w:p>
      <w:pPr>
        <w:pStyle w:val="BodyText"/>
        <w:spacing w:line="360" w:lineRule="auto" w:before="117"/>
        <w:ind w:left="513" w:right="0"/>
        <w:jc w:val="left"/>
      </w:pPr>
      <w:r>
        <w:rPr/>
        <w:t>（</w:t>
      </w:r>
      <w:r>
        <w:rPr>
          <w:rFonts w:ascii="宋体" w:hAnsi="宋体" w:cs="宋体" w:eastAsia="宋体" w:hint="default"/>
        </w:rPr>
        <w:t>1</w:t>
      </w:r>
      <w:r>
        <w:rPr/>
        <w:t>）首次授予限制性股票激励对象名单及授予数量的调整 </w:t>
      </w:r>
      <w:r>
        <w:rPr>
          <w:spacing w:val="-2"/>
        </w:rPr>
        <w:t>鉴于：本次股权激励计划首次授予前，激励对象纪晓文、杨富年、王东、田青、朱丽梅、方莉等人因资金不足决定减少</w:t>
      </w:r>
    </w:p>
    <w:p>
      <w:pPr>
        <w:pStyle w:val="BodyText"/>
        <w:spacing w:line="222" w:lineRule="exact"/>
        <w:ind w:right="0"/>
        <w:jc w:val="left"/>
      </w:pPr>
      <w:r>
        <w:rPr/>
        <w:t>限制性股票认购数额，激励对象迟永军、祁锦波、许东、程昭霞因个人原因放弃授予，不再满足成为本次股权激励计划激励</w:t>
      </w:r>
    </w:p>
    <w:p>
      <w:pPr>
        <w:pStyle w:val="BodyText"/>
        <w:spacing w:line="316" w:lineRule="auto" w:before="76"/>
        <w:ind w:right="0"/>
        <w:jc w:val="left"/>
      </w:pPr>
      <w:r>
        <w:rPr>
          <w:spacing w:val="-2"/>
        </w:rPr>
        <w:t>对象的条件。经公司第五届董事会第二十二次会议决议，董事会同意对本次股权激励计划首次授予限制性股票激励对象名单</w:t>
      </w:r>
      <w:r>
        <w:rPr>
          <w:spacing w:val="-64"/>
        </w:rPr>
        <w:t> </w:t>
      </w:r>
      <w:r>
        <w:rPr>
          <w:spacing w:val="-64"/>
        </w:rPr>
      </w:r>
      <w:r>
        <w:rPr/>
        <w:t>及授予数量进行调整。</w:t>
      </w:r>
    </w:p>
    <w:p>
      <w:pPr>
        <w:pStyle w:val="BodyText"/>
        <w:spacing w:line="316" w:lineRule="auto" w:before="57"/>
        <w:ind w:right="136" w:firstLine="360"/>
        <w:jc w:val="left"/>
      </w:pPr>
      <w:r>
        <w:rPr/>
        <w:t>经本次调整后，首次授予限制性股票的激励对象共计</w:t>
      </w:r>
      <w:r>
        <w:rPr>
          <w:spacing w:val="-46"/>
        </w:rPr>
        <w:t> </w:t>
      </w:r>
      <w:r>
        <w:rPr>
          <w:rFonts w:ascii="宋体" w:hAnsi="宋体" w:cs="宋体" w:eastAsia="宋体" w:hint="default"/>
        </w:rPr>
        <w:t>6</w:t>
      </w:r>
      <w:r>
        <w:rPr>
          <w:rFonts w:ascii="宋体" w:hAnsi="宋体" w:cs="宋体" w:eastAsia="宋体" w:hint="default"/>
          <w:spacing w:val="-46"/>
        </w:rPr>
        <w:t> </w:t>
      </w:r>
      <w:r>
        <w:rPr>
          <w:spacing w:val="-3"/>
        </w:rPr>
        <w:t>人，首次授予限制性股票数量为</w:t>
      </w:r>
      <w:r>
        <w:rPr>
          <w:spacing w:val="-46"/>
        </w:rPr>
        <w:t> </w:t>
      </w:r>
      <w:r>
        <w:rPr>
          <w:rFonts w:ascii="宋体" w:hAnsi="宋体" w:cs="宋体" w:eastAsia="宋体" w:hint="default"/>
        </w:rPr>
        <w:t>820</w:t>
      </w:r>
      <w:r>
        <w:rPr>
          <w:rFonts w:ascii="宋体" w:hAnsi="宋体" w:cs="宋体" w:eastAsia="宋体" w:hint="default"/>
          <w:spacing w:val="-46"/>
        </w:rPr>
        <w:t> </w:t>
      </w:r>
      <w:r>
        <w:rPr>
          <w:spacing w:val="-3"/>
        </w:rPr>
        <w:t>万股。调整后的本次股权激</w:t>
      </w:r>
      <w:r>
        <w:rPr/>
        <w:t> 励计划确定的首次授予限制性股票激励对象名单及授予数量具体情况如下表所示：</w:t>
      </w:r>
    </w:p>
    <w:p>
      <w:pPr>
        <w:spacing w:line="240" w:lineRule="auto" w:before="12"/>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419"/>
        <w:gridCol w:w="1417"/>
        <w:gridCol w:w="1702"/>
        <w:gridCol w:w="2127"/>
        <w:gridCol w:w="1702"/>
      </w:tblGrid>
      <w:tr>
        <w:trPr>
          <w:trHeight w:val="667" w:hRule="exact"/>
        </w:trPr>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40" w:right="0"/>
              <w:jc w:val="left"/>
              <w:rPr>
                <w:rFonts w:ascii="宋体" w:hAnsi="宋体" w:cs="宋体" w:eastAsia="宋体" w:hint="default"/>
                <w:sz w:val="18"/>
                <w:szCs w:val="18"/>
              </w:rPr>
            </w:pPr>
            <w:r>
              <w:rPr>
                <w:rFonts w:ascii="宋体" w:hAnsi="宋体" w:cs="宋体" w:eastAsia="宋体" w:hint="default"/>
                <w:sz w:val="18"/>
                <w:szCs w:val="18"/>
              </w:rPr>
              <w:t>激励对象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124" w:right="120" w:firstLine="88"/>
              <w:jc w:val="left"/>
              <w:rPr>
                <w:rFonts w:ascii="宋体" w:hAnsi="宋体" w:cs="宋体" w:eastAsia="宋体" w:hint="default"/>
                <w:sz w:val="18"/>
                <w:szCs w:val="18"/>
              </w:rPr>
            </w:pPr>
            <w:r>
              <w:rPr>
                <w:rFonts w:ascii="宋体" w:hAnsi="宋体" w:cs="宋体" w:eastAsia="宋体" w:hint="default"/>
                <w:sz w:val="18"/>
                <w:szCs w:val="18"/>
              </w:rPr>
              <w:t>拟授予的限制性 股票数量（万股）</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92" w:right="283" w:firstLine="45"/>
              <w:jc w:val="left"/>
              <w:rPr>
                <w:rFonts w:ascii="宋体" w:hAnsi="宋体" w:cs="宋体" w:eastAsia="宋体" w:hint="default"/>
                <w:sz w:val="18"/>
                <w:szCs w:val="18"/>
              </w:rPr>
            </w:pPr>
            <w:r>
              <w:rPr>
                <w:rFonts w:ascii="宋体" w:hAnsi="宋体" w:cs="宋体" w:eastAsia="宋体" w:hint="default"/>
                <w:sz w:val="18"/>
                <w:szCs w:val="18"/>
              </w:rPr>
              <w:t>占首次授予限制性 股票总量的比例</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167" w:right="170" w:firstLine="316"/>
              <w:jc w:val="left"/>
              <w:rPr>
                <w:rFonts w:ascii="宋体" w:hAnsi="宋体" w:cs="宋体" w:eastAsia="宋体" w:hint="default"/>
                <w:sz w:val="18"/>
                <w:szCs w:val="18"/>
              </w:rPr>
            </w:pPr>
            <w:r>
              <w:rPr>
                <w:rFonts w:ascii="宋体" w:hAnsi="宋体" w:cs="宋体" w:eastAsia="宋体" w:hint="default"/>
                <w:sz w:val="18"/>
                <w:szCs w:val="18"/>
              </w:rPr>
              <w:t>占授予时 总股本的比例</w:t>
            </w:r>
            <w:r>
              <w:rPr>
                <w:rFonts w:ascii="宋体" w:hAnsi="宋体" w:cs="宋体" w:eastAsia="宋体" w:hint="default"/>
                <w:sz w:val="18"/>
                <w:szCs w:val="18"/>
              </w:rPr>
              <w:t>(%)</w:t>
            </w:r>
          </w:p>
        </w:tc>
      </w:tr>
      <w:tr>
        <w:trPr>
          <w:trHeight w:val="350"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325.00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39.63</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0.42</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325.00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39.63</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sz w:val="18"/>
              </w:rPr>
              <w:t>0.42</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40.00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4.88</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0.05</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80.00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9.76</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0.10</w:t>
            </w:r>
          </w:p>
        </w:tc>
      </w:tr>
    </w:tbl>
    <w:p>
      <w:pPr>
        <w:spacing w:after="0" w:line="240" w:lineRule="auto"/>
        <w:jc w:val="right"/>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419"/>
        <w:gridCol w:w="1417"/>
        <w:gridCol w:w="1702"/>
        <w:gridCol w:w="2127"/>
        <w:gridCol w:w="1702"/>
      </w:tblGrid>
      <w:tr>
        <w:trPr>
          <w:trHeight w:val="356" w:hRule="exact"/>
        </w:trPr>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5</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25.00</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3.05</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6"/>
              <w:jc w:val="right"/>
              <w:rPr>
                <w:rFonts w:ascii="宋体" w:hAnsi="宋体" w:cs="宋体" w:eastAsia="宋体" w:hint="default"/>
                <w:sz w:val="18"/>
                <w:szCs w:val="18"/>
              </w:rPr>
            </w:pPr>
            <w:r>
              <w:rPr>
                <w:rFonts w:ascii="宋体"/>
                <w:sz w:val="18"/>
              </w:rPr>
              <w:t>0.03</w:t>
            </w:r>
          </w:p>
        </w:tc>
      </w:tr>
      <w:tr>
        <w:trPr>
          <w:trHeight w:val="350"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25.00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3.05</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0.03</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820.00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sz w:val="18"/>
              </w:rPr>
              <w:t>1.06</w:t>
            </w:r>
          </w:p>
        </w:tc>
      </w:tr>
    </w:tbl>
    <w:p>
      <w:pPr>
        <w:pStyle w:val="BodyText"/>
        <w:spacing w:line="360" w:lineRule="auto" w:before="49"/>
        <w:ind w:left="513" w:right="94"/>
        <w:jc w:val="left"/>
      </w:pPr>
      <w:r>
        <w:rPr/>
        <w:t>（</w:t>
      </w:r>
      <w:r>
        <w:rPr>
          <w:rFonts w:ascii="宋体" w:hAnsi="宋体" w:cs="宋体" w:eastAsia="宋体" w:hint="default"/>
        </w:rPr>
        <w:t>2</w:t>
      </w:r>
      <w:r>
        <w:rPr/>
        <w:t>）首次授予股票期权激励对象名单及授予数量的调整 </w:t>
      </w:r>
      <w:r>
        <w:rPr>
          <w:spacing w:val="-4"/>
        </w:rPr>
        <w:t>鉴于：本次股权激励计划首次授予前，激励对象纪晓文、杨富年、王东、田青、朱丽梅、方莉、迟永军、祁锦波、许东、</w:t>
      </w:r>
    </w:p>
    <w:p>
      <w:pPr>
        <w:pStyle w:val="BodyText"/>
        <w:spacing w:line="222" w:lineRule="exact"/>
        <w:ind w:right="0"/>
        <w:jc w:val="left"/>
      </w:pPr>
      <w:r>
        <w:rPr/>
        <w:t>程昭霞因个人原因放弃授予，不再满足成为本次股权激励计划激励对象的条件。经公司第五届董事会第二十二次会议决议，</w:t>
      </w:r>
    </w:p>
    <w:p>
      <w:pPr>
        <w:pStyle w:val="BodyText"/>
        <w:spacing w:line="357" w:lineRule="auto" w:before="76"/>
        <w:ind w:left="513" w:right="2434" w:hanging="361"/>
        <w:jc w:val="left"/>
      </w:pPr>
      <w:r>
        <w:rPr/>
        <w:t>董事会同意对本次股权激励计划首次授予股票期权激励对象名单及授予数量进行调整。 经本次调整后，首次授予股票期权的激励对象共计</w:t>
      </w:r>
      <w:r>
        <w:rPr>
          <w:spacing w:val="-45"/>
        </w:rPr>
        <w:t> </w:t>
      </w:r>
      <w:r>
        <w:rPr>
          <w:rFonts w:ascii="宋体" w:hAnsi="宋体" w:cs="宋体" w:eastAsia="宋体" w:hint="default"/>
        </w:rPr>
        <w:t>0</w:t>
      </w:r>
      <w:r>
        <w:rPr>
          <w:rFonts w:ascii="宋体" w:hAnsi="宋体" w:cs="宋体" w:eastAsia="宋体" w:hint="default"/>
          <w:spacing w:val="-45"/>
        </w:rPr>
        <w:t> </w:t>
      </w:r>
      <w:r>
        <w:rPr/>
        <w:t>人，首次授予股票期权数量为</w:t>
      </w:r>
      <w:r>
        <w:rPr>
          <w:spacing w:val="-46"/>
        </w:rPr>
        <w:t> </w:t>
      </w:r>
      <w:r>
        <w:rPr>
          <w:rFonts w:ascii="宋体" w:hAnsi="宋体" w:cs="宋体" w:eastAsia="宋体" w:hint="default"/>
        </w:rPr>
        <w:t>0</w:t>
      </w:r>
      <w:r>
        <w:rPr>
          <w:rFonts w:ascii="宋体" w:hAnsi="宋体" w:cs="宋体" w:eastAsia="宋体" w:hint="default"/>
          <w:spacing w:val="-45"/>
        </w:rPr>
        <w:t> </w:t>
      </w:r>
      <w:r>
        <w:rPr/>
        <w:t>份。</w:t>
      </w:r>
    </w:p>
    <w:p>
      <w:pPr>
        <w:pStyle w:val="BodyText"/>
        <w:spacing w:line="240" w:lineRule="auto" w:before="29"/>
        <w:ind w:left="513" w:right="94"/>
        <w:jc w:val="left"/>
      </w:pPr>
      <w:r>
        <w:rPr/>
        <w:t>（</w:t>
      </w:r>
      <w:r>
        <w:rPr>
          <w:rFonts w:ascii="宋体" w:hAnsi="宋体" w:cs="宋体" w:eastAsia="宋体" w:hint="default"/>
        </w:rPr>
        <w:t>3</w:t>
      </w:r>
      <w:r>
        <w:rPr/>
        <w:t>）调整本次股权激励计划首次授予激励对象名单及授予数量不会对公司的财务状况和经营成果产生实质性影响。</w:t>
      </w:r>
    </w:p>
    <w:p>
      <w:pPr>
        <w:spacing w:line="240" w:lineRule="auto" w:before="0"/>
        <w:rPr>
          <w:rFonts w:ascii="宋体" w:hAnsi="宋体" w:cs="宋体" w:eastAsia="宋体" w:hint="default"/>
          <w:sz w:val="18"/>
          <w:szCs w:val="18"/>
        </w:rPr>
      </w:pPr>
    </w:p>
    <w:p>
      <w:pPr>
        <w:pStyle w:val="Heading3"/>
        <w:spacing w:line="240" w:lineRule="auto" w:before="121"/>
        <w:ind w:right="5748"/>
        <w:jc w:val="left"/>
        <w:rPr>
          <w:b w:val="0"/>
          <w:bCs w:val="0"/>
        </w:rPr>
      </w:pPr>
      <w:r>
        <w:rPr>
          <w:rFonts w:ascii="宋体" w:hAnsi="宋体" w:cs="宋体" w:eastAsia="宋体" w:hint="default"/>
        </w:rPr>
        <w:t>5</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94"/>
        <w:jc w:val="left"/>
      </w:pPr>
      <w:r>
        <w:rPr/>
        <w:t>公司第一期股权激励计划于</w:t>
      </w:r>
      <w:r>
        <w:rPr>
          <w:spacing w:val="-46"/>
        </w:rPr>
        <w:t> </w:t>
      </w:r>
      <w:r>
        <w:rPr>
          <w:rFonts w:ascii="宋体" w:hAnsi="宋体" w:cs="宋体" w:eastAsia="宋体" w:hint="default"/>
        </w:rPr>
        <w:t>2016</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13</w:t>
      </w:r>
      <w:r>
        <w:rPr>
          <w:rFonts w:ascii="宋体" w:hAnsi="宋体" w:cs="宋体" w:eastAsia="宋体" w:hint="default"/>
          <w:spacing w:val="-45"/>
        </w:rPr>
        <w:t> </w:t>
      </w:r>
      <w:r>
        <w:rPr/>
        <w:t>日完成了首次授予限制性股票的授予登记工作，具体情况如下：</w:t>
      </w:r>
    </w:p>
    <w:p>
      <w:pPr>
        <w:pStyle w:val="BodyText"/>
        <w:spacing w:line="240" w:lineRule="auto" w:before="115"/>
        <w:ind w:left="513" w:right="94"/>
        <w:jc w:val="left"/>
      </w:pPr>
      <w:r>
        <w:rPr>
          <w:rFonts w:ascii="宋体" w:hAnsi="宋体" w:cs="宋体" w:eastAsia="宋体" w:hint="default"/>
        </w:rPr>
        <w:t>1</w:t>
      </w:r>
      <w:r>
        <w:rPr/>
        <w:t>、本次授予限制性股票的授予日：</w:t>
      </w: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28</w:t>
      </w:r>
      <w:r>
        <w:rPr>
          <w:rFonts w:ascii="宋体" w:hAnsi="宋体" w:cs="宋体" w:eastAsia="宋体" w:hint="default"/>
          <w:spacing w:val="-45"/>
        </w:rPr>
        <w:t> </w:t>
      </w:r>
      <w:r>
        <w:rPr/>
        <w:t>日。</w:t>
      </w:r>
    </w:p>
    <w:p>
      <w:pPr>
        <w:pStyle w:val="BodyText"/>
        <w:spacing w:line="240" w:lineRule="auto" w:before="117"/>
        <w:ind w:left="513" w:right="94"/>
        <w:jc w:val="left"/>
      </w:pPr>
      <w:r>
        <w:rPr>
          <w:rFonts w:ascii="宋体" w:hAnsi="宋体" w:cs="宋体" w:eastAsia="宋体" w:hint="default"/>
        </w:rPr>
        <w:t>2</w:t>
      </w:r>
      <w:r>
        <w:rPr/>
        <w:t>、本次授予限制性股票的授予对象：公司董事、高级管理人员，共计</w:t>
      </w:r>
      <w:r>
        <w:rPr>
          <w:spacing w:val="-44"/>
        </w:rPr>
        <w:t> </w:t>
      </w:r>
      <w:r>
        <w:rPr>
          <w:rFonts w:ascii="宋体" w:hAnsi="宋体" w:cs="宋体" w:eastAsia="宋体" w:hint="default"/>
        </w:rPr>
        <w:t>6</w:t>
      </w:r>
      <w:r>
        <w:rPr>
          <w:rFonts w:ascii="宋体" w:hAnsi="宋体" w:cs="宋体" w:eastAsia="宋体" w:hint="default"/>
          <w:spacing w:val="-44"/>
        </w:rPr>
        <w:t> </w:t>
      </w:r>
      <w:r>
        <w:rPr/>
        <w:t>人。</w:t>
      </w:r>
    </w:p>
    <w:p>
      <w:pPr>
        <w:pStyle w:val="BodyText"/>
        <w:spacing w:line="240" w:lineRule="auto" w:before="117"/>
        <w:ind w:left="513" w:right="94"/>
        <w:jc w:val="left"/>
      </w:pPr>
      <w:r>
        <w:rPr>
          <w:rFonts w:ascii="宋体" w:hAnsi="宋体" w:cs="宋体" w:eastAsia="宋体" w:hint="default"/>
        </w:rPr>
        <w:t>3</w:t>
      </w:r>
      <w:r>
        <w:rPr/>
        <w:t>、本次授予限制性股票的授予价格：</w:t>
      </w:r>
      <w:r>
        <w:rPr>
          <w:rFonts w:ascii="宋体" w:hAnsi="宋体" w:cs="宋体" w:eastAsia="宋体" w:hint="default"/>
        </w:rPr>
        <w:t>6.24</w:t>
      </w:r>
      <w:r>
        <w:rPr>
          <w:rFonts w:ascii="宋体" w:hAnsi="宋体" w:cs="宋体" w:eastAsia="宋体" w:hint="default"/>
          <w:spacing w:val="-45"/>
        </w:rPr>
        <w:t> </w:t>
      </w:r>
      <w:r>
        <w:rPr/>
        <w:t>元</w:t>
      </w:r>
      <w:r>
        <w:rPr>
          <w:rFonts w:ascii="宋体" w:hAnsi="宋体" w:cs="宋体" w:eastAsia="宋体" w:hint="default"/>
        </w:rPr>
        <w:t>/</w:t>
      </w:r>
      <w:r>
        <w:rPr/>
        <w:t>股。</w:t>
      </w:r>
    </w:p>
    <w:p>
      <w:pPr>
        <w:pStyle w:val="BodyText"/>
        <w:spacing w:line="316" w:lineRule="auto" w:before="115"/>
        <w:ind w:right="187" w:firstLine="360"/>
        <w:jc w:val="left"/>
      </w:pPr>
      <w:r>
        <w:rPr>
          <w:rFonts w:ascii="宋体" w:hAnsi="宋体" w:cs="宋体" w:eastAsia="宋体" w:hint="default"/>
        </w:rPr>
        <w:t>4</w:t>
      </w:r>
      <w:r>
        <w:rPr/>
        <w:t>、本次授予限制性股票的股票来源及数量：公司向激励对象定向发行</w:t>
      </w:r>
      <w:r>
        <w:rPr>
          <w:spacing w:val="-45"/>
        </w:rPr>
        <w:t> </w:t>
      </w:r>
      <w:r>
        <w:rPr>
          <w:rFonts w:ascii="宋体" w:hAnsi="宋体" w:cs="宋体" w:eastAsia="宋体" w:hint="default"/>
        </w:rPr>
        <w:t>820</w:t>
      </w:r>
      <w:r>
        <w:rPr>
          <w:rFonts w:ascii="宋体" w:hAnsi="宋体" w:cs="宋体" w:eastAsia="宋体" w:hint="default"/>
          <w:spacing w:val="-45"/>
        </w:rPr>
        <w:t> </w:t>
      </w:r>
      <w:r>
        <w:rPr/>
        <w:t>万股人民币</w:t>
      </w:r>
      <w:r>
        <w:rPr>
          <w:spacing w:val="-48"/>
        </w:rPr>
        <w:t> </w:t>
      </w:r>
      <w:r>
        <w:rPr>
          <w:rFonts w:ascii="宋体" w:hAnsi="宋体" w:cs="宋体" w:eastAsia="宋体" w:hint="default"/>
        </w:rPr>
        <w:t>A</w:t>
      </w:r>
      <w:r>
        <w:rPr>
          <w:rFonts w:ascii="宋体" w:hAnsi="宋体" w:cs="宋体" w:eastAsia="宋体" w:hint="default"/>
          <w:spacing w:val="-45"/>
        </w:rPr>
        <w:t> </w:t>
      </w:r>
      <w:r>
        <w:rPr/>
        <w:t>股普通股，占授予前公司总股 本的</w:t>
      </w:r>
      <w:r>
        <w:rPr>
          <w:spacing w:val="-45"/>
        </w:rPr>
        <w:t> </w:t>
      </w:r>
      <w:r>
        <w:rPr>
          <w:rFonts w:ascii="宋体" w:hAnsi="宋体" w:cs="宋体" w:eastAsia="宋体" w:hint="default"/>
        </w:rPr>
        <w:t>1.06%</w:t>
      </w:r>
      <w:r>
        <w:rPr/>
        <w:t>。</w:t>
      </w:r>
    </w:p>
    <w:p>
      <w:pPr>
        <w:pStyle w:val="BodyText"/>
        <w:spacing w:line="240" w:lineRule="auto" w:before="59"/>
        <w:ind w:left="513" w:right="5748"/>
        <w:jc w:val="left"/>
      </w:pPr>
      <w:r>
        <w:rPr>
          <w:rFonts w:ascii="宋体" w:hAnsi="宋体" w:cs="宋体" w:eastAsia="宋体" w:hint="default"/>
        </w:rPr>
        <w:t>5</w:t>
      </w:r>
      <w:r>
        <w:rPr/>
        <w:t>、本次授予限制性股票的激励对象名单</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74"/>
        <w:gridCol w:w="1637"/>
        <w:gridCol w:w="2127"/>
        <w:gridCol w:w="2458"/>
        <w:gridCol w:w="1964"/>
      </w:tblGrid>
      <w:tr>
        <w:trPr>
          <w:trHeight w:val="65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激励对象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340" w:right="334" w:firstLine="88"/>
              <w:jc w:val="left"/>
              <w:rPr>
                <w:rFonts w:ascii="宋体" w:hAnsi="宋体" w:cs="宋体" w:eastAsia="宋体" w:hint="default"/>
                <w:sz w:val="18"/>
                <w:szCs w:val="18"/>
              </w:rPr>
            </w:pPr>
            <w:r>
              <w:rPr>
                <w:rFonts w:ascii="宋体" w:hAnsi="宋体" w:cs="宋体" w:eastAsia="宋体" w:hint="default"/>
                <w:sz w:val="18"/>
                <w:szCs w:val="18"/>
              </w:rPr>
              <w:t>拟授予的限制性 股票数量（万股）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58" w:right="455" w:firstLine="45"/>
              <w:jc w:val="left"/>
              <w:rPr>
                <w:rFonts w:ascii="宋体" w:hAnsi="宋体" w:cs="宋体" w:eastAsia="宋体" w:hint="default"/>
                <w:sz w:val="18"/>
                <w:szCs w:val="18"/>
              </w:rPr>
            </w:pPr>
            <w:r>
              <w:rPr>
                <w:rFonts w:ascii="宋体" w:hAnsi="宋体" w:cs="宋体" w:eastAsia="宋体" w:hint="default"/>
                <w:sz w:val="18"/>
                <w:szCs w:val="18"/>
              </w:rPr>
              <w:t>占首次授予限制性 股票总量的比例</w:t>
            </w:r>
            <w:r>
              <w:rPr>
                <w:rFonts w:ascii="宋体" w:hAnsi="宋体" w:cs="宋体" w:eastAsia="宋体" w:hint="default"/>
                <w:sz w:val="18"/>
                <w:szCs w:val="18"/>
              </w:rPr>
              <w:t>(%)</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302" w:right="295" w:firstLine="316"/>
              <w:jc w:val="left"/>
              <w:rPr>
                <w:rFonts w:ascii="宋体" w:hAnsi="宋体" w:cs="宋体" w:eastAsia="宋体" w:hint="default"/>
                <w:sz w:val="18"/>
                <w:szCs w:val="18"/>
              </w:rPr>
            </w:pPr>
            <w:r>
              <w:rPr>
                <w:rFonts w:ascii="宋体" w:hAnsi="宋体" w:cs="宋体" w:eastAsia="宋体" w:hint="default"/>
                <w:sz w:val="18"/>
                <w:szCs w:val="18"/>
              </w:rPr>
              <w:t>占授予时 总股本的比例</w:t>
            </w:r>
            <w:r>
              <w:rPr>
                <w:rFonts w:ascii="宋体" w:hAnsi="宋体" w:cs="宋体" w:eastAsia="宋体" w:hint="default"/>
                <w:sz w:val="18"/>
                <w:szCs w:val="18"/>
              </w:rPr>
              <w:t>(%)</w:t>
            </w:r>
          </w:p>
        </w:tc>
      </w:tr>
      <w:tr>
        <w:trPr>
          <w:trHeight w:val="34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纪晓文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325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39.63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0.42</w:t>
            </w:r>
          </w:p>
        </w:tc>
      </w:tr>
      <w:tr>
        <w:trPr>
          <w:trHeight w:val="34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杨富年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325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39.63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0.42</w:t>
            </w:r>
          </w:p>
        </w:tc>
      </w:tr>
      <w:tr>
        <w:trPr>
          <w:trHeight w:val="34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王东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40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4.88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0.05</w:t>
            </w:r>
          </w:p>
        </w:tc>
      </w:tr>
      <w:tr>
        <w:trPr>
          <w:trHeight w:val="34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田青</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80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9.76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0.10</w:t>
            </w:r>
          </w:p>
        </w:tc>
      </w:tr>
      <w:tr>
        <w:trPr>
          <w:trHeight w:val="34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朱丽梅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25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3.05</w:t>
            </w:r>
            <w:r>
              <w:rPr>
                <w:rFonts w:ascii="宋体"/>
                <w:sz w:val="18"/>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0.03</w:t>
            </w:r>
          </w:p>
        </w:tc>
      </w:tr>
      <w:tr>
        <w:trPr>
          <w:trHeight w:val="34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方莉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25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3.05</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0.03</w:t>
            </w:r>
          </w:p>
        </w:tc>
      </w:tr>
      <w:tr>
        <w:trPr>
          <w:trHeight w:val="343" w:hRule="exact"/>
        </w:trPr>
        <w:tc>
          <w:tcPr>
            <w:tcW w:w="3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820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1.06</w:t>
            </w:r>
          </w:p>
        </w:tc>
      </w:tr>
    </w:tbl>
    <w:p>
      <w:pPr>
        <w:pStyle w:val="BodyText"/>
        <w:spacing w:line="240" w:lineRule="auto" w:before="49"/>
        <w:ind w:left="513" w:right="94"/>
        <w:jc w:val="left"/>
      </w:pPr>
      <w:r>
        <w:rPr>
          <w:rFonts w:ascii="宋体" w:hAnsi="宋体" w:cs="宋体" w:eastAsia="宋体" w:hint="default"/>
        </w:rPr>
        <w:t>6</w:t>
      </w:r>
      <w:r>
        <w:rPr/>
        <w:t>、本次授予的限制性股票的有效期、锁定期及解锁安排：</w:t>
      </w:r>
    </w:p>
    <w:p>
      <w:pPr>
        <w:pStyle w:val="BodyText"/>
        <w:spacing w:line="240" w:lineRule="auto" w:before="115"/>
        <w:ind w:left="513" w:right="94"/>
        <w:jc w:val="left"/>
      </w:pPr>
      <w:r>
        <w:rPr/>
        <w:t>（</w:t>
      </w:r>
      <w:r>
        <w:rPr>
          <w:rFonts w:ascii="宋体" w:hAnsi="宋体" w:cs="宋体" w:eastAsia="宋体" w:hint="default"/>
          <w:spacing w:val="1"/>
        </w:rPr>
        <w:t>1</w:t>
      </w:r>
      <w:r>
        <w:rPr>
          <w:spacing w:val="-82"/>
        </w:rPr>
        <w:t>）</w:t>
      </w:r>
      <w:r>
        <w:rPr/>
        <w:t>本次授予的限制性股票</w:t>
      </w:r>
      <w:r>
        <w:rPr>
          <w:spacing w:val="-3"/>
        </w:rPr>
        <w:t>有</w:t>
      </w:r>
      <w:r>
        <w:rPr/>
        <w:t>效期自限制性股票授予之日</w:t>
      </w:r>
      <w:r>
        <w:rPr>
          <w:spacing w:val="-44"/>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43"/>
        </w:rPr>
        <w:t> </w:t>
      </w:r>
      <w:r>
        <w:rPr/>
        <w:t>年</w:t>
      </w:r>
      <w:r>
        <w:rPr>
          <w:spacing w:val="-47"/>
        </w:rPr>
        <w:t> </w:t>
      </w:r>
      <w:r>
        <w:rPr>
          <w:rFonts w:ascii="宋体" w:hAnsi="宋体" w:cs="宋体" w:eastAsia="宋体" w:hint="default"/>
          <w:spacing w:val="-2"/>
        </w:rPr>
        <w:t>1</w:t>
      </w:r>
      <w:r>
        <w:rPr>
          <w:rFonts w:ascii="宋体" w:hAnsi="宋体" w:cs="宋体" w:eastAsia="宋体" w:hint="default"/>
        </w:rPr>
        <w:t>2</w:t>
      </w:r>
      <w:r>
        <w:rPr>
          <w:rFonts w:ascii="宋体" w:hAnsi="宋体" w:cs="宋体" w:eastAsia="宋体" w:hint="default"/>
          <w:spacing w:val="-44"/>
        </w:rPr>
        <w:t> </w:t>
      </w:r>
      <w:r>
        <w:rPr/>
        <w:t>月</w:t>
      </w:r>
      <w:r>
        <w:rPr>
          <w:spacing w:val="-45"/>
        </w:rPr>
        <w:t> </w:t>
      </w:r>
      <w:r>
        <w:rPr>
          <w:rFonts w:ascii="宋体" w:hAnsi="宋体" w:cs="宋体" w:eastAsia="宋体" w:hint="default"/>
          <w:spacing w:val="-2"/>
        </w:rPr>
        <w:t>2</w:t>
      </w:r>
      <w:r>
        <w:rPr>
          <w:rFonts w:ascii="宋体" w:hAnsi="宋体" w:cs="宋体" w:eastAsia="宋体" w:hint="default"/>
        </w:rPr>
        <w:t>8</w:t>
      </w:r>
      <w:r>
        <w:rPr>
          <w:rFonts w:ascii="宋体" w:hAnsi="宋体" w:cs="宋体" w:eastAsia="宋体" w:hint="default"/>
          <w:spacing w:val="-44"/>
        </w:rPr>
        <w:t> </w:t>
      </w:r>
      <w:r>
        <w:rPr/>
        <w:t>日至激励对象</w:t>
      </w:r>
      <w:r>
        <w:rPr>
          <w:spacing w:val="-3"/>
        </w:rPr>
        <w:t>获</w:t>
      </w:r>
      <w:r>
        <w:rPr/>
        <w:t>授的限制性股票全部解锁或</w:t>
      </w:r>
    </w:p>
    <w:p>
      <w:pPr>
        <w:pStyle w:val="BodyText"/>
        <w:spacing w:line="240" w:lineRule="auto" w:before="76"/>
        <w:ind w:right="5748"/>
        <w:jc w:val="left"/>
      </w:pPr>
      <w:r>
        <w:rPr/>
        <w:t>回购注销之日止，最长不超过</w:t>
      </w:r>
      <w:r>
        <w:rPr>
          <w:spacing w:val="-44"/>
        </w:rPr>
        <w:t> </w:t>
      </w:r>
      <w:r>
        <w:rPr>
          <w:rFonts w:ascii="宋体" w:hAnsi="宋体" w:cs="宋体" w:eastAsia="宋体" w:hint="default"/>
        </w:rPr>
        <w:t>48</w:t>
      </w:r>
      <w:r>
        <w:rPr>
          <w:rFonts w:ascii="宋体" w:hAnsi="宋体" w:cs="宋体" w:eastAsia="宋体" w:hint="default"/>
          <w:spacing w:val="-44"/>
        </w:rPr>
        <w:t> </w:t>
      </w:r>
      <w:r>
        <w:rPr/>
        <w:t>个月。</w:t>
      </w:r>
    </w:p>
    <w:p>
      <w:pPr>
        <w:pStyle w:val="BodyText"/>
        <w:spacing w:line="316" w:lineRule="auto" w:before="117"/>
        <w:ind w:right="191" w:firstLine="360"/>
        <w:jc w:val="both"/>
      </w:pPr>
      <w:r>
        <w:rPr/>
        <w:t>（</w:t>
      </w:r>
      <w:r>
        <w:rPr>
          <w:rFonts w:ascii="宋体" w:hAnsi="宋体" w:cs="宋体" w:eastAsia="宋体" w:hint="default"/>
        </w:rPr>
        <w:t>2</w:t>
      </w:r>
      <w:r>
        <w:rPr/>
        <w:t>）本次授予的限制性股票自授予之日起即行锁定，激励对象获授的限制性股票在满足解锁条件的前提下，分三次分 别按照</w:t>
      </w:r>
      <w:r>
        <w:rPr>
          <w:spacing w:val="-52"/>
        </w:rPr>
        <w:t> </w:t>
      </w:r>
      <w:r>
        <w:rPr>
          <w:rFonts w:ascii="宋体" w:hAnsi="宋体" w:cs="宋体" w:eastAsia="宋体" w:hint="default"/>
        </w:rPr>
        <w:t>30%</w:t>
      </w:r>
      <w:r>
        <w:rPr/>
        <w:t>、</w:t>
      </w:r>
      <w:r>
        <w:rPr>
          <w:rFonts w:ascii="宋体" w:hAnsi="宋体" w:cs="宋体" w:eastAsia="宋体" w:hint="default"/>
        </w:rPr>
        <w:t>30%</w:t>
      </w:r>
      <w:r>
        <w:rPr/>
        <w:t>、</w:t>
      </w:r>
      <w:r>
        <w:rPr>
          <w:rFonts w:ascii="宋体" w:hAnsi="宋体" w:cs="宋体" w:eastAsia="宋体" w:hint="default"/>
        </w:rPr>
        <w:t>40%</w:t>
      </w:r>
      <w:r>
        <w:rPr/>
        <w:t>的比例解锁，每次可解锁比例的限制性股票的锁定期分别为</w:t>
      </w:r>
      <w:r>
        <w:rPr>
          <w:spacing w:val="-52"/>
        </w:rPr>
        <w:t> </w:t>
      </w:r>
      <w:r>
        <w:rPr>
          <w:rFonts w:ascii="宋体" w:hAnsi="宋体" w:cs="宋体" w:eastAsia="宋体" w:hint="default"/>
        </w:rPr>
        <w:t>12</w:t>
      </w:r>
      <w:r>
        <w:rPr>
          <w:rFonts w:ascii="宋体" w:hAnsi="宋体" w:cs="宋体" w:eastAsia="宋体" w:hint="default"/>
          <w:spacing w:val="-52"/>
        </w:rPr>
        <w:t> </w:t>
      </w:r>
      <w:r>
        <w:rPr>
          <w:spacing w:val="-4"/>
        </w:rPr>
        <w:t>个月、</w:t>
      </w:r>
      <w:r>
        <w:rPr>
          <w:rFonts w:ascii="宋体" w:hAnsi="宋体" w:cs="宋体" w:eastAsia="宋体" w:hint="default"/>
          <w:spacing w:val="-4"/>
        </w:rPr>
        <w:t>24</w:t>
      </w:r>
      <w:r>
        <w:rPr>
          <w:rFonts w:ascii="宋体" w:hAnsi="宋体" w:cs="宋体" w:eastAsia="宋体" w:hint="default"/>
          <w:spacing w:val="-52"/>
        </w:rPr>
        <w:t> </w:t>
      </w:r>
      <w:r>
        <w:rPr/>
        <w:t>个月和</w:t>
      </w:r>
      <w:r>
        <w:rPr>
          <w:spacing w:val="-55"/>
        </w:rPr>
        <w:t> </w:t>
      </w:r>
      <w:r>
        <w:rPr>
          <w:rFonts w:ascii="宋体" w:hAnsi="宋体" w:cs="宋体" w:eastAsia="宋体" w:hint="default"/>
        </w:rPr>
        <w:t>36</w:t>
      </w:r>
      <w:r>
        <w:rPr>
          <w:rFonts w:ascii="宋体" w:hAnsi="宋体" w:cs="宋体" w:eastAsia="宋体" w:hint="default"/>
          <w:spacing w:val="-52"/>
        </w:rPr>
        <w:t> </w:t>
      </w:r>
      <w:r>
        <w:rPr>
          <w:spacing w:val="-3"/>
        </w:rPr>
        <w:t>个月，锁定期满后</w:t>
      </w:r>
      <w:r>
        <w:rPr/>
        <w:t> 的</w:t>
      </w:r>
      <w:r>
        <w:rPr>
          <w:spacing w:val="-45"/>
        </w:rPr>
        <w:t> </w:t>
      </w:r>
      <w:r>
        <w:rPr>
          <w:rFonts w:ascii="宋体" w:hAnsi="宋体" w:cs="宋体" w:eastAsia="宋体" w:hint="default"/>
        </w:rPr>
        <w:t>12</w:t>
      </w:r>
      <w:r>
        <w:rPr>
          <w:rFonts w:ascii="宋体" w:hAnsi="宋体" w:cs="宋体" w:eastAsia="宋体" w:hint="default"/>
          <w:spacing w:val="-45"/>
        </w:rPr>
        <w:t> </w:t>
      </w:r>
      <w:r>
        <w:rPr/>
        <w:t>个月为解锁期。具体解锁安排如下表所示：</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292"/>
        <w:gridCol w:w="5240"/>
        <w:gridCol w:w="2127"/>
      </w:tblGrid>
      <w:tr>
        <w:trPr>
          <w:trHeight w:val="34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解锁安排</w:t>
            </w:r>
          </w:p>
        </w:tc>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解锁期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5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5"/>
                <w:sz w:val="18"/>
                <w:szCs w:val="18"/>
              </w:rPr>
              <w:t>自首次授予日起 </w:t>
            </w:r>
            <w:r>
              <w:rPr>
                <w:rFonts w:ascii="宋体" w:hAnsi="宋体" w:cs="宋体" w:eastAsia="宋体" w:hint="default"/>
                <w:sz w:val="18"/>
                <w:szCs w:val="18"/>
              </w:rPr>
              <w:t>12</w:t>
            </w:r>
            <w:r>
              <w:rPr>
                <w:rFonts w:ascii="宋体" w:hAnsi="宋体" w:cs="宋体" w:eastAsia="宋体" w:hint="default"/>
                <w:spacing w:val="35"/>
                <w:sz w:val="18"/>
                <w:szCs w:val="18"/>
              </w:rPr>
              <w:t> </w:t>
            </w:r>
            <w:r>
              <w:rPr>
                <w:rFonts w:ascii="宋体" w:hAnsi="宋体" w:cs="宋体" w:eastAsia="宋体" w:hint="default"/>
                <w:spacing w:val="5"/>
                <w:sz w:val="18"/>
                <w:szCs w:val="18"/>
              </w:rPr>
              <w:t>个月后的首个交易日起至首次授予日起</w:t>
            </w:r>
            <w:r>
              <w:rPr>
                <w:rFonts w:ascii="宋体" w:hAnsi="宋体" w:cs="宋体" w:eastAsia="宋体" w:hint="default"/>
                <w:spacing w:val="5"/>
                <w:sz w:val="18"/>
                <w:szCs w:val="18"/>
              </w:rPr>
              <w:t>24</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30%</w:t>
            </w:r>
          </w:p>
        </w:tc>
      </w:tr>
      <w:tr>
        <w:trPr>
          <w:trHeight w:val="65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5"/>
                <w:sz w:val="18"/>
                <w:szCs w:val="18"/>
              </w:rPr>
              <w:t>自首次授予日起 </w:t>
            </w:r>
            <w:r>
              <w:rPr>
                <w:rFonts w:ascii="宋体" w:hAnsi="宋体" w:cs="宋体" w:eastAsia="宋体" w:hint="default"/>
                <w:sz w:val="18"/>
                <w:szCs w:val="18"/>
              </w:rPr>
              <w:t>24</w:t>
            </w:r>
            <w:r>
              <w:rPr>
                <w:rFonts w:ascii="宋体" w:hAnsi="宋体" w:cs="宋体" w:eastAsia="宋体" w:hint="default"/>
                <w:spacing w:val="35"/>
                <w:sz w:val="18"/>
                <w:szCs w:val="18"/>
              </w:rPr>
              <w:t> </w:t>
            </w:r>
            <w:r>
              <w:rPr>
                <w:rFonts w:ascii="宋体" w:hAnsi="宋体" w:cs="宋体" w:eastAsia="宋体" w:hint="default"/>
                <w:spacing w:val="5"/>
                <w:sz w:val="18"/>
                <w:szCs w:val="18"/>
              </w:rPr>
              <w:t>个月后的首个交易日起至首次授予日起</w:t>
            </w:r>
            <w:r>
              <w:rPr>
                <w:rFonts w:ascii="宋体" w:hAnsi="宋体" w:cs="宋体" w:eastAsia="宋体" w:hint="default"/>
                <w:spacing w:val="5"/>
                <w:sz w:val="18"/>
                <w:szCs w:val="18"/>
              </w:rPr>
              <w:t>36</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30%</w:t>
            </w:r>
          </w:p>
        </w:tc>
      </w:tr>
      <w:tr>
        <w:trPr>
          <w:trHeight w:val="65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
              <w:jc w:val="left"/>
              <w:rPr>
                <w:rFonts w:ascii="宋体" w:hAnsi="宋体" w:cs="宋体" w:eastAsia="宋体" w:hint="default"/>
                <w:sz w:val="18"/>
                <w:szCs w:val="18"/>
              </w:rPr>
            </w:pPr>
            <w:r>
              <w:rPr>
                <w:rFonts w:ascii="宋体" w:hAnsi="宋体" w:cs="宋体" w:eastAsia="宋体" w:hint="default"/>
                <w:spacing w:val="5"/>
                <w:sz w:val="18"/>
                <w:szCs w:val="18"/>
              </w:rPr>
              <w:t>自首次授予日起 </w:t>
            </w:r>
            <w:r>
              <w:rPr>
                <w:rFonts w:ascii="宋体" w:hAnsi="宋体" w:cs="宋体" w:eastAsia="宋体" w:hint="default"/>
                <w:sz w:val="18"/>
                <w:szCs w:val="18"/>
              </w:rPr>
              <w:t>36</w:t>
            </w:r>
            <w:r>
              <w:rPr>
                <w:rFonts w:ascii="宋体" w:hAnsi="宋体" w:cs="宋体" w:eastAsia="宋体" w:hint="default"/>
                <w:spacing w:val="35"/>
                <w:sz w:val="18"/>
                <w:szCs w:val="18"/>
              </w:rPr>
              <w:t> </w:t>
            </w:r>
            <w:r>
              <w:rPr>
                <w:rFonts w:ascii="宋体" w:hAnsi="宋体" w:cs="宋体" w:eastAsia="宋体" w:hint="default"/>
                <w:spacing w:val="5"/>
                <w:sz w:val="18"/>
                <w:szCs w:val="18"/>
              </w:rPr>
              <w:t>个月后的首个交易日起至首次授予日起</w:t>
            </w:r>
            <w:r>
              <w:rPr>
                <w:rFonts w:ascii="宋体" w:hAnsi="宋体" w:cs="宋体" w:eastAsia="宋体" w:hint="default"/>
                <w:spacing w:val="5"/>
                <w:sz w:val="18"/>
                <w:szCs w:val="18"/>
              </w:rPr>
              <w:t>48</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40%</w:t>
            </w:r>
          </w:p>
        </w:tc>
      </w:tr>
    </w:tbl>
    <w:p>
      <w:pPr>
        <w:spacing w:after="0" w:line="240" w:lineRule="auto"/>
        <w:jc w:val="right"/>
        <w:rPr>
          <w:rFonts w:ascii="宋体" w:hAnsi="宋体" w:cs="宋体" w:eastAsia="宋体" w:hint="default"/>
          <w:sz w:val="18"/>
          <w:szCs w:val="18"/>
        </w:rPr>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0" w:firstLine="360"/>
        <w:jc w:val="left"/>
      </w:pPr>
      <w:r>
        <w:rPr>
          <w:spacing w:val="-2"/>
        </w:rPr>
        <w:t>在锁定期内，激励对象获授的限制性股票不得进行转让、用于偿还债务，享有其股票应有的权利，包括但不限于该等股</w:t>
      </w:r>
      <w:r>
        <w:rPr/>
        <w:t> 票的分红权、配股权、投票权等。</w:t>
      </w:r>
    </w:p>
    <w:p>
      <w:pPr>
        <w:pStyle w:val="BodyText"/>
        <w:spacing w:line="316" w:lineRule="auto" w:before="59"/>
        <w:ind w:right="0" w:firstLine="360"/>
        <w:jc w:val="left"/>
      </w:pPr>
      <w:r>
        <w:rPr>
          <w:spacing w:val="-2"/>
        </w:rPr>
        <w:t>公司在解锁期为满足解锁条件的激励对象办理解锁事宜，公司将按《限制性股票与股票期权激励计划》规定的原则回购</w:t>
      </w:r>
      <w:r>
        <w:rPr/>
        <w:t> 注销激励对象不满足解锁条件的相应尚未解锁的限制性股票。</w:t>
      </w:r>
    </w:p>
    <w:p>
      <w:pPr>
        <w:pStyle w:val="BodyText"/>
        <w:spacing w:line="316" w:lineRule="auto" w:before="57"/>
        <w:ind w:right="139" w:firstLine="360"/>
        <w:jc w:val="left"/>
      </w:pPr>
      <w:r>
        <w:rPr/>
        <w:t>本次授予的限制性股票分三期解锁，解锁考核年度分别为</w:t>
      </w:r>
      <w:r>
        <w:rPr>
          <w:spacing w:val="-53"/>
        </w:rPr>
        <w:t> </w:t>
      </w:r>
      <w:r>
        <w:rPr>
          <w:rFonts w:ascii="宋体" w:hAnsi="宋体" w:cs="宋体" w:eastAsia="宋体" w:hint="default"/>
        </w:rPr>
        <w:t>2015</w:t>
      </w:r>
      <w:r>
        <w:rPr>
          <w:rFonts w:ascii="宋体" w:hAnsi="宋体" w:cs="宋体" w:eastAsia="宋体" w:hint="default"/>
          <w:spacing w:val="-52"/>
        </w:rPr>
        <w:t> </w:t>
      </w:r>
      <w:r>
        <w:rPr>
          <w:spacing w:val="-4"/>
        </w:rPr>
        <w:t>年度、</w:t>
      </w:r>
      <w:r>
        <w:rPr>
          <w:rFonts w:ascii="宋体" w:hAnsi="宋体" w:cs="宋体" w:eastAsia="宋体" w:hint="default"/>
          <w:spacing w:val="-4"/>
        </w:rPr>
        <w:t>2016</w:t>
      </w:r>
      <w:r>
        <w:rPr>
          <w:rFonts w:ascii="宋体" w:hAnsi="宋体" w:cs="宋体" w:eastAsia="宋体" w:hint="default"/>
          <w:spacing w:val="-52"/>
        </w:rPr>
        <w:t> </w:t>
      </w:r>
      <w:r>
        <w:rPr>
          <w:spacing w:val="-4"/>
        </w:rPr>
        <w:t>年度、</w:t>
      </w:r>
      <w:r>
        <w:rPr>
          <w:rFonts w:ascii="宋体" w:hAnsi="宋体" w:cs="宋体" w:eastAsia="宋体" w:hint="default"/>
          <w:spacing w:val="-4"/>
        </w:rPr>
        <w:t>2017</w:t>
      </w:r>
      <w:r>
        <w:rPr>
          <w:rFonts w:ascii="宋体" w:hAnsi="宋体" w:cs="宋体" w:eastAsia="宋体" w:hint="default"/>
          <w:spacing w:val="-52"/>
        </w:rPr>
        <w:t> </w:t>
      </w:r>
      <w:r>
        <w:rPr/>
        <w:t>年度。公司将对激励对象分年度 进行绩效考核，每个会计年度考核一次，以达到业绩考核目标作为激励对象的解锁条件之一，具体如下表所示：</w:t>
      </w:r>
    </w:p>
    <w:p>
      <w:pPr>
        <w:spacing w:line="240" w:lineRule="auto" w:before="12"/>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145"/>
        <w:gridCol w:w="8514"/>
      </w:tblGrid>
      <w:tr>
        <w:trPr>
          <w:trHeight w:val="34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解锁期</w:t>
            </w:r>
          </w:p>
        </w:tc>
        <w:tc>
          <w:tcPr>
            <w:tcW w:w="8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655"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锁定期</w:t>
            </w:r>
          </w:p>
        </w:tc>
        <w:tc>
          <w:tcPr>
            <w:tcW w:w="8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8"/>
                <w:sz w:val="18"/>
                <w:szCs w:val="18"/>
              </w:rPr>
              <w:t>归属于上市公司股东的净利润及归属于上市公司股东的扣除非经常性损益的净利润均不得低于授予日前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4"/>
                <w:sz w:val="18"/>
                <w:szCs w:val="18"/>
              </w:rPr>
              <w:t> </w:t>
            </w:r>
            <w:r>
              <w:rPr>
                <w:rFonts w:ascii="宋体" w:hAnsi="宋体" w:cs="宋体" w:eastAsia="宋体" w:hint="default"/>
                <w:sz w:val="18"/>
                <w:szCs w:val="18"/>
              </w:rPr>
              <w:t>年的平均水平且不得为负。</w:t>
            </w:r>
          </w:p>
        </w:tc>
      </w:tr>
      <w:tr>
        <w:trPr>
          <w:trHeight w:val="965"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8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公司需满足下列条件之一：</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①以</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z w:val="18"/>
                <w:szCs w:val="18"/>
              </w:rPr>
              <w:t>年净利润平均值的绝对值为基数，公司</w:t>
            </w:r>
            <w:r>
              <w:rPr>
                <w:rFonts w:ascii="宋体" w:hAnsi="宋体" w:cs="宋体" w:eastAsia="宋体" w:hint="default"/>
                <w:sz w:val="18"/>
                <w:szCs w:val="18"/>
              </w:rPr>
              <w:t>2015</w:t>
            </w:r>
            <w:r>
              <w:rPr>
                <w:rFonts w:ascii="宋体" w:hAnsi="宋体" w:cs="宋体" w:eastAsia="宋体" w:hint="default"/>
                <w:sz w:val="18"/>
                <w:szCs w:val="18"/>
              </w:rPr>
              <w:t>年实现的净利润不低于基数；或</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②相比</w:t>
            </w:r>
            <w:r>
              <w:rPr>
                <w:rFonts w:ascii="宋体" w:hAnsi="宋体" w:cs="宋体" w:eastAsia="宋体" w:hint="default"/>
                <w:sz w:val="18"/>
                <w:szCs w:val="18"/>
              </w:rPr>
              <w:t>2014</w:t>
            </w:r>
            <w:r>
              <w:rPr>
                <w:rFonts w:ascii="宋体" w:hAnsi="宋体" w:cs="宋体" w:eastAsia="宋体" w:hint="default"/>
                <w:sz w:val="18"/>
                <w:szCs w:val="18"/>
              </w:rPr>
              <w:t>年，公司</w:t>
            </w:r>
            <w:r>
              <w:rPr>
                <w:rFonts w:ascii="宋体" w:hAnsi="宋体" w:cs="宋体" w:eastAsia="宋体" w:hint="default"/>
                <w:sz w:val="18"/>
                <w:szCs w:val="18"/>
              </w:rPr>
              <w:t>2015</w:t>
            </w:r>
            <w:r>
              <w:rPr>
                <w:rFonts w:ascii="宋体" w:hAnsi="宋体" w:cs="宋体" w:eastAsia="宋体" w:hint="default"/>
                <w:sz w:val="18"/>
                <w:szCs w:val="18"/>
              </w:rPr>
              <w:t>年市值增长率不低于</w:t>
            </w:r>
            <w:r>
              <w:rPr>
                <w:rFonts w:ascii="宋体" w:hAnsi="宋体" w:cs="宋体" w:eastAsia="宋体" w:hint="default"/>
                <w:sz w:val="18"/>
                <w:szCs w:val="18"/>
              </w:rPr>
              <w:t>25%</w:t>
            </w:r>
            <w:r>
              <w:rPr>
                <w:rFonts w:ascii="宋体" w:hAnsi="宋体" w:cs="宋体" w:eastAsia="宋体" w:hint="default"/>
                <w:sz w:val="18"/>
                <w:szCs w:val="18"/>
              </w:rPr>
              <w:t>。</w:t>
            </w:r>
          </w:p>
        </w:tc>
      </w:tr>
      <w:tr>
        <w:trPr>
          <w:trHeight w:val="967"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8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公司需满足下列条件之一：</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①以</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z w:val="18"/>
                <w:szCs w:val="18"/>
              </w:rPr>
              <w:t>年净利润平均值的绝对值为基数，公司</w:t>
            </w:r>
            <w:r>
              <w:rPr>
                <w:rFonts w:ascii="宋体" w:hAnsi="宋体" w:cs="宋体" w:eastAsia="宋体" w:hint="default"/>
                <w:sz w:val="18"/>
                <w:szCs w:val="18"/>
              </w:rPr>
              <w:t>2016</w:t>
            </w:r>
            <w:r>
              <w:rPr>
                <w:rFonts w:ascii="宋体" w:hAnsi="宋体" w:cs="宋体" w:eastAsia="宋体" w:hint="default"/>
                <w:sz w:val="18"/>
                <w:szCs w:val="18"/>
              </w:rPr>
              <w:t>年实现的净利润不低于基数的</w:t>
            </w:r>
            <w:r>
              <w:rPr>
                <w:rFonts w:ascii="宋体" w:hAnsi="宋体" w:cs="宋体" w:eastAsia="宋体" w:hint="default"/>
                <w:sz w:val="18"/>
                <w:szCs w:val="18"/>
              </w:rPr>
              <w:t>200%</w:t>
            </w:r>
            <w:r>
              <w:rPr>
                <w:rFonts w:ascii="宋体" w:hAnsi="宋体" w:cs="宋体" w:eastAsia="宋体" w:hint="default"/>
                <w:sz w:val="18"/>
                <w:szCs w:val="18"/>
              </w:rPr>
              <w:t>；或</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②相比</w:t>
            </w:r>
            <w:r>
              <w:rPr>
                <w:rFonts w:ascii="宋体" w:hAnsi="宋体" w:cs="宋体" w:eastAsia="宋体" w:hint="default"/>
                <w:sz w:val="18"/>
                <w:szCs w:val="18"/>
              </w:rPr>
              <w:t>2014</w:t>
            </w:r>
            <w:r>
              <w:rPr>
                <w:rFonts w:ascii="宋体" w:hAnsi="宋体" w:cs="宋体" w:eastAsia="宋体" w:hint="default"/>
                <w:sz w:val="18"/>
                <w:szCs w:val="18"/>
              </w:rPr>
              <w:t>年，公司</w:t>
            </w:r>
            <w:r>
              <w:rPr>
                <w:rFonts w:ascii="宋体" w:hAnsi="宋体" w:cs="宋体" w:eastAsia="宋体" w:hint="default"/>
                <w:sz w:val="18"/>
                <w:szCs w:val="18"/>
              </w:rPr>
              <w:t>2016</w:t>
            </w:r>
            <w:r>
              <w:rPr>
                <w:rFonts w:ascii="宋体" w:hAnsi="宋体" w:cs="宋体" w:eastAsia="宋体" w:hint="default"/>
                <w:sz w:val="18"/>
                <w:szCs w:val="18"/>
              </w:rPr>
              <w:t>年市值增长率不低于</w:t>
            </w:r>
            <w:r>
              <w:rPr>
                <w:rFonts w:ascii="宋体" w:hAnsi="宋体" w:cs="宋体" w:eastAsia="宋体" w:hint="default"/>
                <w:sz w:val="18"/>
                <w:szCs w:val="18"/>
              </w:rPr>
              <w:t>50%</w:t>
            </w:r>
            <w:r>
              <w:rPr>
                <w:rFonts w:ascii="宋体" w:hAnsi="宋体" w:cs="宋体" w:eastAsia="宋体" w:hint="default"/>
                <w:sz w:val="18"/>
                <w:szCs w:val="18"/>
              </w:rPr>
              <w:t>。</w:t>
            </w:r>
          </w:p>
        </w:tc>
      </w:tr>
      <w:tr>
        <w:trPr>
          <w:trHeight w:val="967"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第三个解锁期</w:t>
            </w:r>
          </w:p>
        </w:tc>
        <w:tc>
          <w:tcPr>
            <w:tcW w:w="8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公司需满足下列条件之一：</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①以</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z w:val="18"/>
                <w:szCs w:val="18"/>
              </w:rPr>
              <w:t>年净利润平均值的绝对值为基数，公司</w:t>
            </w:r>
            <w:r>
              <w:rPr>
                <w:rFonts w:ascii="宋体" w:hAnsi="宋体" w:cs="宋体" w:eastAsia="宋体" w:hint="default"/>
                <w:sz w:val="18"/>
                <w:szCs w:val="18"/>
              </w:rPr>
              <w:t>2017</w:t>
            </w:r>
            <w:r>
              <w:rPr>
                <w:rFonts w:ascii="宋体" w:hAnsi="宋体" w:cs="宋体" w:eastAsia="宋体" w:hint="default"/>
                <w:sz w:val="18"/>
                <w:szCs w:val="18"/>
              </w:rPr>
              <w:t>年净利润不低于基数的</w:t>
            </w:r>
            <w:r>
              <w:rPr>
                <w:rFonts w:ascii="宋体" w:hAnsi="宋体" w:cs="宋体" w:eastAsia="宋体" w:hint="default"/>
                <w:sz w:val="18"/>
                <w:szCs w:val="18"/>
              </w:rPr>
              <w:t>400%</w:t>
            </w:r>
            <w:r>
              <w:rPr>
                <w:rFonts w:ascii="宋体" w:hAnsi="宋体" w:cs="宋体" w:eastAsia="宋体" w:hint="default"/>
                <w:sz w:val="18"/>
                <w:szCs w:val="18"/>
              </w:rPr>
              <w:t>；或</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②相比</w:t>
            </w:r>
            <w:r>
              <w:rPr>
                <w:rFonts w:ascii="宋体" w:hAnsi="宋体" w:cs="宋体" w:eastAsia="宋体" w:hint="default"/>
                <w:sz w:val="18"/>
                <w:szCs w:val="18"/>
              </w:rPr>
              <w:t>2014</w:t>
            </w:r>
            <w:r>
              <w:rPr>
                <w:rFonts w:ascii="宋体" w:hAnsi="宋体" w:cs="宋体" w:eastAsia="宋体" w:hint="default"/>
                <w:sz w:val="18"/>
                <w:szCs w:val="18"/>
              </w:rPr>
              <w:t>年，公司</w:t>
            </w:r>
            <w:r>
              <w:rPr>
                <w:rFonts w:ascii="宋体" w:hAnsi="宋体" w:cs="宋体" w:eastAsia="宋体" w:hint="default"/>
                <w:sz w:val="18"/>
                <w:szCs w:val="18"/>
              </w:rPr>
              <w:t>2017</w:t>
            </w:r>
            <w:r>
              <w:rPr>
                <w:rFonts w:ascii="宋体" w:hAnsi="宋体" w:cs="宋体" w:eastAsia="宋体" w:hint="default"/>
                <w:sz w:val="18"/>
                <w:szCs w:val="18"/>
              </w:rPr>
              <w:t>年市值增长率不低于</w:t>
            </w:r>
            <w:r>
              <w:rPr>
                <w:rFonts w:ascii="宋体" w:hAnsi="宋体" w:cs="宋体" w:eastAsia="宋体" w:hint="default"/>
                <w:spacing w:val="-3"/>
                <w:sz w:val="18"/>
                <w:szCs w:val="18"/>
              </w:rPr>
              <w:t> </w:t>
            </w:r>
            <w:r>
              <w:rPr>
                <w:rFonts w:ascii="宋体" w:hAnsi="宋体" w:cs="宋体" w:eastAsia="宋体" w:hint="default"/>
                <w:sz w:val="18"/>
                <w:szCs w:val="18"/>
              </w:rPr>
              <w:t>75%</w:t>
            </w:r>
            <w:r>
              <w:rPr>
                <w:rFonts w:ascii="宋体" w:hAnsi="宋体" w:cs="宋体" w:eastAsia="宋体" w:hint="default"/>
                <w:sz w:val="18"/>
                <w:szCs w:val="18"/>
              </w:rPr>
              <w:t>。</w:t>
            </w:r>
          </w:p>
        </w:tc>
      </w:tr>
    </w:tbl>
    <w:p>
      <w:pPr>
        <w:pStyle w:val="BodyText"/>
        <w:spacing w:line="357" w:lineRule="auto" w:before="49"/>
        <w:ind w:left="513" w:right="0"/>
        <w:jc w:val="left"/>
      </w:pPr>
      <w:r>
        <w:rPr/>
        <w:t>“净利润”指归属于上市公司股东的扣除非经常性损益的净利润。若公司发生 再融资等行为，则融资当年及下一年度以扣除融资数量后的净资产及该等净资产产生的净利润为计算依据。 </w:t>
      </w:r>
      <w:r>
        <w:rPr>
          <w:spacing w:val="-2"/>
        </w:rPr>
        <w:t>“公司市值”为当年第一个交易日至最后一个交易日该项指标的算术平均值，“公司市值”的“增长率”是指考核年度</w:t>
      </w:r>
    </w:p>
    <w:p>
      <w:pPr>
        <w:pStyle w:val="BodyText"/>
        <w:spacing w:line="224" w:lineRule="exact"/>
        <w:ind w:right="153"/>
        <w:jc w:val="left"/>
      </w:pPr>
      <w:r>
        <w:rPr/>
        <w:t>该项指标与</w:t>
      </w:r>
      <w:r>
        <w:rPr>
          <w:spacing w:val="-46"/>
        </w:rPr>
        <w:t> </w:t>
      </w:r>
      <w:r>
        <w:rPr>
          <w:rFonts w:ascii="宋体" w:hAnsi="宋体" w:cs="宋体" w:eastAsia="宋体" w:hint="default"/>
        </w:rPr>
        <w:t>2014</w:t>
      </w:r>
      <w:r>
        <w:rPr>
          <w:rFonts w:ascii="宋体" w:hAnsi="宋体" w:cs="宋体" w:eastAsia="宋体" w:hint="default"/>
          <w:spacing w:val="-45"/>
        </w:rPr>
        <w:t> </w:t>
      </w:r>
      <w:r>
        <w:rPr/>
        <w:t>年度值相比的增长率。公司</w:t>
      </w:r>
      <w:r>
        <w:rPr>
          <w:spacing w:val="-46"/>
        </w:rPr>
        <w:t> </w:t>
      </w:r>
      <w:r>
        <w:rPr>
          <w:rFonts w:ascii="宋体" w:hAnsi="宋体" w:cs="宋体" w:eastAsia="宋体" w:hint="default"/>
        </w:rPr>
        <w:t>2014</w:t>
      </w:r>
      <w:r>
        <w:rPr>
          <w:rFonts w:ascii="宋体" w:hAnsi="宋体" w:cs="宋体" w:eastAsia="宋体" w:hint="default"/>
          <w:spacing w:val="-45"/>
        </w:rPr>
        <w:t> </w:t>
      </w:r>
      <w:r>
        <w:rPr/>
        <w:t>年市值的算术平均值为</w:t>
      </w:r>
      <w:r>
        <w:rPr>
          <w:spacing w:val="-47"/>
        </w:rPr>
        <w:t> </w:t>
      </w:r>
      <w:r>
        <w:rPr>
          <w:rFonts w:ascii="宋体" w:hAnsi="宋体" w:cs="宋体" w:eastAsia="宋体" w:hint="default"/>
        </w:rPr>
        <w:t>610,761.05</w:t>
      </w:r>
      <w:r>
        <w:rPr>
          <w:rFonts w:ascii="宋体" w:hAnsi="宋体" w:cs="宋体" w:eastAsia="宋体" w:hint="default"/>
          <w:spacing w:val="-45"/>
        </w:rPr>
        <w:t> </w:t>
      </w:r>
      <w:r>
        <w:rPr/>
        <w:t>万元。</w:t>
      </w:r>
    </w:p>
    <w:p>
      <w:pPr>
        <w:pStyle w:val="BodyText"/>
        <w:spacing w:line="316" w:lineRule="auto" w:before="115"/>
        <w:ind w:right="149" w:firstLine="360"/>
        <w:jc w:val="both"/>
      </w:pPr>
      <w:r>
        <w:rPr>
          <w:spacing w:val="-2"/>
        </w:rPr>
        <w:t>公司年度平均市值以当年各交易日公司股票收盘时市值（即收盘价×总股本）的平均数作为计算基础；但若公司于考核</w:t>
      </w:r>
      <w:r>
        <w:rPr/>
        <w:t> </w:t>
      </w:r>
      <w:r>
        <w:rPr>
          <w:spacing w:val="-2"/>
        </w:rPr>
        <w:t>年度内发生增发新股、配股、可转债转股情形的，在计算总市值时，因上述情形产生的新增市值不计算在内。由本次股权激</w:t>
      </w:r>
      <w:r>
        <w:rPr>
          <w:spacing w:val="-67"/>
        </w:rPr>
        <w:t> </w:t>
      </w:r>
      <w:r>
        <w:rPr>
          <w:spacing w:val="-67"/>
        </w:rPr>
      </w:r>
      <w:r>
        <w:rPr>
          <w:spacing w:val="-2"/>
        </w:rPr>
        <w:t>励产生的激励成本将在管理费用中列支。解锁期内，公司为满足解锁条件的激励对象办理解锁事宜。若第一个、第二个解锁</w:t>
      </w:r>
      <w:r>
        <w:rPr>
          <w:spacing w:val="-66"/>
        </w:rPr>
        <w:t> </w:t>
      </w:r>
      <w:r>
        <w:rPr>
          <w:spacing w:val="-66"/>
        </w:rPr>
      </w:r>
      <w:r>
        <w:rPr>
          <w:spacing w:val="-2"/>
        </w:rPr>
        <w:t>期届满，公司当期业绩水平未达到业绩考核目标条件时，这部分标的股票可以递延到下一年，在下一年公司达到相应业绩考</w:t>
      </w:r>
      <w:r>
        <w:rPr>
          <w:spacing w:val="-63"/>
        </w:rPr>
        <w:t> </w:t>
      </w:r>
      <w:r>
        <w:rPr>
          <w:spacing w:val="-63"/>
        </w:rPr>
      </w:r>
      <w:r>
        <w:rPr>
          <w:spacing w:val="-2"/>
        </w:rPr>
        <w:t>核目标条件时解锁。第三个解锁期内，如公司业绩考核达不到业绩考核目标条件时，本期标的股票及未能满足前期解锁条件</w:t>
      </w:r>
      <w:r>
        <w:rPr>
          <w:spacing w:val="-62"/>
        </w:rPr>
        <w:t> </w:t>
      </w:r>
      <w:r>
        <w:rPr>
          <w:spacing w:val="-62"/>
        </w:rPr>
      </w:r>
      <w:r>
        <w:rPr/>
        <w:t>而递延至本期的前期标的股票将由公司回购注销。</w:t>
      </w:r>
    </w:p>
    <w:p>
      <w:pPr>
        <w:pStyle w:val="BodyText"/>
        <w:spacing w:line="360" w:lineRule="auto" w:before="59"/>
        <w:ind w:left="513" w:right="157"/>
        <w:jc w:val="left"/>
      </w:pPr>
      <w:r>
        <w:rPr/>
        <w:t>（</w:t>
      </w:r>
      <w:r>
        <w:rPr>
          <w:rFonts w:ascii="宋体" w:hAnsi="宋体" w:cs="宋体" w:eastAsia="宋体" w:hint="default"/>
        </w:rPr>
        <w:t>3</w:t>
      </w:r>
      <w:r>
        <w:rPr/>
        <w:t>）激励对象个人年度绩效考核合格 </w:t>
      </w:r>
      <w:r>
        <w:rPr>
          <w:spacing w:val="-2"/>
        </w:rPr>
        <w:t>根据公司制定的《实施考核管理办法》，激励对象在解锁的上一年度绩效考核结果为“合格”以上时，才能部分或全额</w:t>
      </w:r>
    </w:p>
    <w:p>
      <w:pPr>
        <w:pStyle w:val="BodyText"/>
        <w:spacing w:line="223" w:lineRule="exact"/>
        <w:ind w:right="0"/>
        <w:jc w:val="left"/>
      </w:pPr>
      <w:r>
        <w:rPr/>
        <w:t>解锁当期限制性股票。各解锁期内，因个人绩效考核结果不达标导致不能解锁或部分不能解锁的限制性股票由公司以授予价</w:t>
      </w:r>
    </w:p>
    <w:p>
      <w:pPr>
        <w:pStyle w:val="BodyText"/>
        <w:spacing w:line="240" w:lineRule="auto" w:before="76"/>
        <w:ind w:right="153"/>
        <w:jc w:val="left"/>
      </w:pPr>
      <w:r>
        <w:rPr/>
        <w:t>格加上年化</w:t>
      </w:r>
      <w:r>
        <w:rPr>
          <w:spacing w:val="-42"/>
        </w:rPr>
        <w:t> </w:t>
      </w:r>
      <w:r>
        <w:rPr>
          <w:rFonts w:ascii="宋体" w:hAnsi="宋体" w:cs="宋体" w:eastAsia="宋体" w:hint="default"/>
        </w:rPr>
        <w:t>9%</w:t>
      </w:r>
      <w:r>
        <w:rPr/>
        <w:t>利率回购注销。</w:t>
      </w:r>
    </w:p>
    <w:p>
      <w:pPr>
        <w:spacing w:after="0" w:line="240" w:lineRule="auto"/>
        <w:jc w:val="left"/>
        <w:sectPr>
          <w:pgSz w:w="11910" w:h="16840"/>
          <w:pgMar w:header="877" w:footer="1186" w:top="1100" w:bottom="138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153"/>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、重要承诺事项：无。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）资产负债表日存在的重要或有事项：无。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2</w:t>
      </w:r>
      <w:r>
        <w:rPr/>
        <w:t>）公司没有需要披露的重要或有事项，也应予以说明：无。</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公司不存在需要披露的重要或有事项。</w:t>
      </w:r>
    </w:p>
    <w:p>
      <w:pPr>
        <w:spacing w:line="240" w:lineRule="auto" w:before="0"/>
        <w:rPr>
          <w:rFonts w:ascii="宋体" w:hAnsi="宋体" w:cs="宋体" w:eastAsia="宋体" w:hint="default"/>
          <w:sz w:val="18"/>
          <w:szCs w:val="18"/>
        </w:rPr>
      </w:pPr>
    </w:p>
    <w:p>
      <w:pPr>
        <w:spacing w:line="501" w:lineRule="auto" w:before="118"/>
        <w:ind w:left="152" w:right="688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、重要的非调整事项：无。</w:t>
      </w:r>
      <w:r>
        <w:rPr>
          <w:rFonts w:ascii="宋体" w:hAnsi="宋体" w:cs="宋体" w:eastAsia="宋体" w:hint="default"/>
          <w:sz w:val="21"/>
          <w:szCs w:val="21"/>
        </w:rPr>
      </w:r>
    </w:p>
    <w:p>
      <w:pPr>
        <w:pStyle w:val="Heading3"/>
        <w:spacing w:line="240" w:lineRule="auto" w:before="108"/>
        <w:ind w:right="153"/>
        <w:jc w:val="left"/>
        <w:rPr>
          <w:b w:val="0"/>
          <w:bCs w:val="0"/>
        </w:rPr>
      </w:pPr>
      <w:r>
        <w:rPr>
          <w:rFonts w:ascii="宋体" w:hAnsi="宋体" w:cs="宋体" w:eastAsia="宋体" w:hint="default"/>
        </w:rPr>
        <w:t>2</w:t>
      </w:r>
      <w:r>
        <w:rPr/>
        <w:t>、利润分配情况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宋体" w:hAnsi="宋体" w:cs="宋体" w:eastAsia="宋体" w:hint="default"/>
        </w:rPr>
        <w:t>3</w:t>
      </w:r>
      <w:r>
        <w:rPr/>
        <w:t>、销售退回：无。</w:t>
      </w:r>
      <w:r>
        <w:rPr>
          <w:b w:val="0"/>
          <w:bCs w:val="0"/>
        </w:rPr>
      </w:r>
    </w:p>
    <w:p>
      <w:pPr>
        <w:spacing w:line="240" w:lineRule="auto" w:before="12"/>
        <w:rPr>
          <w:rFonts w:ascii="宋体" w:hAnsi="宋体" w:cs="宋体" w:eastAsia="宋体" w:hint="default"/>
          <w:b/>
          <w:bCs/>
          <w:sz w:val="25"/>
          <w:szCs w:val="25"/>
        </w:rPr>
      </w:pPr>
    </w:p>
    <w:p>
      <w:pPr>
        <w:spacing w:line="501" w:lineRule="auto" w:before="0"/>
        <w:ind w:left="152" w:right="608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、其他资产负债表日后事项说明：无。</w:t>
      </w:r>
      <w:r>
        <w:rPr>
          <w:rFonts w:ascii="宋体" w:hAnsi="宋体" w:cs="宋体" w:eastAsia="宋体" w:hint="default"/>
          <w:b/>
          <w:bCs/>
          <w:w w:val="100"/>
          <w:sz w:val="21"/>
          <w:szCs w:val="21"/>
        </w:rPr>
        <w:t> </w:t>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、前期会计差错更正：无。</w:t>
      </w:r>
      <w:r>
        <w:rPr>
          <w:rFonts w:ascii="宋体" w:hAnsi="宋体" w:cs="宋体" w:eastAsia="宋体" w:hint="default"/>
          <w:sz w:val="21"/>
          <w:szCs w:val="21"/>
        </w:rPr>
      </w:r>
    </w:p>
    <w:p>
      <w:pPr>
        <w:pStyle w:val="Heading3"/>
        <w:spacing w:line="240" w:lineRule="auto" w:before="108"/>
        <w:ind w:right="153"/>
        <w:jc w:val="left"/>
        <w:rPr>
          <w:b w:val="0"/>
          <w:bCs w:val="0"/>
        </w:rPr>
      </w:pPr>
      <w:r>
        <w:rPr>
          <w:rFonts w:ascii="宋体" w:hAnsi="宋体" w:cs="宋体" w:eastAsia="宋体" w:hint="default"/>
        </w:rPr>
        <w:t>2</w:t>
      </w:r>
      <w:r>
        <w:rPr/>
        <w:t>、债务重组：无。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3</w:t>
      </w:r>
      <w:r>
        <w:rPr/>
        <w:t>、资产置换：无。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4</w:t>
      </w:r>
      <w:r>
        <w:rPr/>
        <w:t>、年金计划：无。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5</w:t>
      </w:r>
      <w:r>
        <w:rPr/>
        <w:t>、终止经营：无。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rFonts w:ascii="宋体" w:hAnsi="宋体" w:cs="宋体" w:eastAsia="宋体" w:hint="default"/>
        </w:rPr>
        <w:t>6</w:t>
      </w:r>
      <w:r>
        <w:rPr/>
        <w:t>、分部信息</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）报告分部的确定依据与会计政策</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0" w:firstLine="360"/>
        <w:jc w:val="left"/>
      </w:pPr>
      <w:r>
        <w:rPr>
          <w:spacing w:val="-2"/>
        </w:rPr>
        <w:t>本公司今年处置子公司长春高琦与江西先材全部股份丧失控制权后合并范围发生变化，因此不再将聚酰亚胺业务作为一</w:t>
      </w:r>
      <w:r>
        <w:rPr/>
        <w:t> 个报告分部披露，截止到</w:t>
      </w:r>
      <w:r>
        <w:rPr>
          <w:spacing w:val="-45"/>
        </w:rPr>
        <w:t> </w:t>
      </w: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日，本公司无报告分部。</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t>（</w:t>
      </w:r>
      <w:r>
        <w:rPr>
          <w:rFonts w:ascii="宋体" w:hAnsi="宋体" w:cs="宋体" w:eastAsia="宋体" w:hint="default"/>
        </w:rPr>
        <w:t>2</w:t>
      </w:r>
      <w:r>
        <w:rPr/>
        <w:t>）报告分部的财务信息：无。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3</w:t>
      </w:r>
      <w:r>
        <w:rPr/>
        <w:t>）公司无报告分部的，或者不能披露各报告分部的资产总额和负债总额的，应说明原因：无。</w:t>
      </w:r>
      <w:r>
        <w:rPr>
          <w:b w:val="0"/>
          <w:bCs w:val="0"/>
        </w:rPr>
      </w:r>
    </w:p>
    <w:p>
      <w:pPr>
        <w:spacing w:line="240" w:lineRule="auto" w:before="10"/>
        <w:rPr>
          <w:rFonts w:ascii="宋体" w:hAnsi="宋体" w:cs="宋体" w:eastAsia="宋体" w:hint="default"/>
          <w:b/>
          <w:bCs/>
          <w:sz w:val="25"/>
          <w:szCs w:val="25"/>
        </w:rPr>
      </w:pPr>
    </w:p>
    <w:p>
      <w:pPr>
        <w:pStyle w:val="Heading3"/>
        <w:spacing w:line="537" w:lineRule="auto"/>
        <w:ind w:right="4554"/>
        <w:jc w:val="left"/>
        <w:rPr>
          <w:b w:val="0"/>
          <w:bCs w:val="0"/>
        </w:rPr>
      </w:pPr>
      <w:r>
        <w:rPr/>
        <w:t>（</w:t>
      </w:r>
      <w:r>
        <w:rPr>
          <w:rFonts w:ascii="宋体" w:hAnsi="宋体" w:cs="宋体" w:eastAsia="宋体" w:hint="default"/>
        </w:rPr>
        <w:t>4</w:t>
      </w:r>
      <w:r>
        <w:rPr/>
        <w:t>）其他说明：无。</w:t>
      </w:r>
      <w:r>
        <w:rPr>
          <w:spacing w:val="-104"/>
        </w:rPr>
        <w:t> </w:t>
      </w:r>
      <w:r>
        <w:rPr>
          <w:spacing w:val="-104"/>
        </w:rPr>
      </w:r>
      <w:r>
        <w:rPr>
          <w:rFonts w:ascii="宋体" w:hAnsi="宋体" w:cs="宋体" w:eastAsia="宋体" w:hint="default"/>
          <w:spacing w:val="-1"/>
        </w:rPr>
        <w:t>7</w:t>
      </w:r>
      <w:r>
        <w:rPr>
          <w:spacing w:val="-1"/>
        </w:rPr>
        <w:t>、其他对投资者决策有影响的重要交易和事项：无。</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66"/>
        <w:ind w:right="153"/>
        <w:jc w:val="left"/>
        <w:rPr>
          <w:b w:val="0"/>
          <w:bCs w:val="0"/>
        </w:rPr>
      </w:pPr>
      <w:r>
        <w:rPr>
          <w:rFonts w:ascii="宋体" w:hAnsi="宋体" w:cs="宋体" w:eastAsia="宋体" w:hint="default"/>
        </w:rPr>
        <w:t>8</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240" w:firstLine="360"/>
        <w:jc w:val="left"/>
      </w:pPr>
      <w:r>
        <w:rPr/>
        <w:t>截至</w:t>
      </w:r>
      <w:r>
        <w:rPr>
          <w:spacing w:val="-46"/>
        </w:rPr>
        <w:t> </w:t>
      </w: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5"/>
        </w:rPr>
        <w:t> </w:t>
      </w:r>
      <w:r>
        <w:rPr/>
        <w:t>日，本公司及下属子公司与出租方签订经营场所租赁合同，</w:t>
      </w:r>
      <w:r>
        <w:rPr>
          <w:rFonts w:ascii="宋体" w:hAnsi="宋体" w:cs="宋体" w:eastAsia="宋体" w:hint="default"/>
        </w:rPr>
        <w:t>2016</w:t>
      </w:r>
      <w:r>
        <w:rPr>
          <w:rFonts w:ascii="宋体" w:hAnsi="宋体" w:cs="宋体" w:eastAsia="宋体" w:hint="default"/>
          <w:spacing w:val="-44"/>
        </w:rPr>
        <w:t> </w:t>
      </w:r>
      <w:r>
        <w:rPr/>
        <w:t>年应支付租金总金额为</w:t>
      </w:r>
      <w:r>
        <w:rPr>
          <w:spacing w:val="-45"/>
        </w:rPr>
        <w:t> </w:t>
      </w:r>
      <w:r>
        <w:rPr>
          <w:rFonts w:ascii="宋体" w:hAnsi="宋体" w:cs="宋体" w:eastAsia="宋体" w:hint="default"/>
        </w:rPr>
        <w:t>511.51 </w:t>
      </w:r>
      <w:r>
        <w:rPr/>
        <w:t>万元，具体明细如下：</w:t>
      </w:r>
    </w:p>
    <w:p>
      <w:pPr>
        <w:spacing w:line="240" w:lineRule="auto" w:before="12"/>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995"/>
        <w:gridCol w:w="1700"/>
        <w:gridCol w:w="2271"/>
        <w:gridCol w:w="2055"/>
        <w:gridCol w:w="1639"/>
      </w:tblGrid>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2" w:right="0"/>
              <w:jc w:val="left"/>
              <w:rPr>
                <w:rFonts w:ascii="宋体" w:hAnsi="宋体" w:cs="宋体" w:eastAsia="宋体" w:hint="default"/>
                <w:sz w:val="18"/>
                <w:szCs w:val="18"/>
              </w:rPr>
            </w:pPr>
            <w:r>
              <w:rPr>
                <w:rFonts w:ascii="宋体" w:hAnsi="宋体" w:cs="宋体" w:eastAsia="宋体" w:hint="default"/>
                <w:sz w:val="18"/>
                <w:szCs w:val="18"/>
              </w:rPr>
              <w:t>出租房名称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租赁期</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年度应确认的租赁费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sz w:val="18"/>
                <w:szCs w:val="18"/>
              </w:rPr>
              <w:t>租赁合同总金额</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张小勇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经营办公</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2014.10.24-2017.10.19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2,132,754.00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6,482,448.00</w:t>
            </w:r>
          </w:p>
        </w:tc>
      </w:tr>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北京金隅股份有限公司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经营办公</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2014.8.20-2017.8.19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2,982,311.53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9,218,053.82</w:t>
            </w:r>
          </w:p>
        </w:tc>
      </w:tr>
      <w:tr>
        <w:trPr>
          <w:trHeight w:val="343" w:hRule="exact"/>
        </w:trPr>
        <w:tc>
          <w:tcPr>
            <w:tcW w:w="59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5,115,065.53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15,700,501.82</w:t>
            </w:r>
          </w:p>
        </w:tc>
      </w:tr>
    </w:tbl>
    <w:p>
      <w:pPr>
        <w:spacing w:after="0" w:line="240" w:lineRule="auto"/>
        <w:jc w:val="right"/>
        <w:rPr>
          <w:rFonts w:ascii="宋体" w:hAnsi="宋体" w:cs="宋体" w:eastAsia="宋体" w:hint="default"/>
          <w:sz w:val="18"/>
          <w:szCs w:val="18"/>
        </w:rPr>
        <w:sectPr>
          <w:pgSz w:w="11910" w:h="16840"/>
          <w:pgMar w:header="877" w:footer="1186" w:top="1100" w:bottom="1380" w:left="980" w:right="980"/>
        </w:sectPr>
      </w:pPr>
    </w:p>
    <w:p>
      <w:pPr>
        <w:pStyle w:val="Heading2"/>
        <w:spacing w:line="240" w:lineRule="auto" w:before="28"/>
        <w:ind w:left="140" w:right="147"/>
        <w:jc w:val="left"/>
        <w:rPr>
          <w:b w:val="0"/>
          <w:bCs w:val="0"/>
        </w:rPr>
      </w:pPr>
      <w:r>
        <w:rPr/>
        <w:pict>
          <v:group style="position:absolute;margin-left:70.559998pt;margin-top:2.195603pt;width:700.95pt;height:.1pt;mso-position-horizontal-relative:page;mso-position-vertical-relative:paragraph;z-index:-1060000" coordorigin="1411,44" coordsize="14019,2">
            <v:shape style="position:absolute;left:1411;top:44;width:14019;height:2" coordorigin="1411,44" coordsize="14019,0" path="m1411,44l15430,44e" filled="false" stroked="true" strokeweight=".72pt" strokecolor="#000000">
              <v:path arrowok="t"/>
            </v:shape>
            <w10:wrap type="none"/>
          </v:group>
        </w:pict>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47"/>
        <w:jc w:val="left"/>
        <w:rPr>
          <w:b w:val="0"/>
          <w:bCs w:val="0"/>
        </w:rPr>
      </w:pPr>
      <w:r>
        <w:rPr>
          <w:rFonts w:ascii="宋体" w:hAnsi="宋体" w:cs="宋体" w:eastAsia="宋体" w:hint="default"/>
        </w:rPr>
        <w:t>1</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40" w:right="147"/>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226"/>
        <w:gridCol w:w="1329"/>
        <w:gridCol w:w="970"/>
        <w:gridCol w:w="1226"/>
        <w:gridCol w:w="974"/>
        <w:gridCol w:w="1227"/>
        <w:gridCol w:w="1315"/>
        <w:gridCol w:w="973"/>
        <w:gridCol w:w="1226"/>
        <w:gridCol w:w="1222"/>
        <w:gridCol w:w="1318"/>
      </w:tblGrid>
      <w:tr>
        <w:trPr>
          <w:trHeight w:val="401" w:hRule="exact"/>
        </w:trPr>
        <w:tc>
          <w:tcPr>
            <w:tcW w:w="2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7" w:hRule="exact"/>
        </w:trPr>
        <w:tc>
          <w:tcPr>
            <w:tcW w:w="2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26" w:type="dxa"/>
            <w:vMerge/>
            <w:tcBorders>
              <w:left w:val="single" w:sz="4" w:space="0" w:color="000000"/>
              <w:bottom w:val="nil" w:sz="6" w:space="0" w:color="auto"/>
              <w:right w:val="single" w:sz="4" w:space="0" w:color="000000"/>
            </w:tcBorders>
            <w:shd w:val="clear" w:color="auto" w:fill="D2D2D2"/>
          </w:tcPr>
          <w:p>
            <w:pPr/>
          </w:p>
        </w:tc>
        <w:tc>
          <w:tcPr>
            <w:tcW w:w="2299" w:type="dxa"/>
            <w:gridSpan w:val="2"/>
            <w:vMerge/>
            <w:tcBorders>
              <w:left w:val="single" w:sz="4" w:space="0" w:color="000000"/>
              <w:bottom w:val="single" w:sz="4" w:space="0" w:color="000000"/>
              <w:right w:val="single" w:sz="4" w:space="0" w:color="000000"/>
            </w:tcBorders>
            <w:shd w:val="clear" w:color="auto" w:fill="D2D2D2"/>
          </w:tcPr>
          <w:p>
            <w:pPr/>
          </w:p>
        </w:tc>
        <w:tc>
          <w:tcPr>
            <w:tcW w:w="2201" w:type="dxa"/>
            <w:gridSpan w:val="2"/>
            <w:vMerge/>
            <w:tcBorders>
              <w:left w:val="single" w:sz="4" w:space="0" w:color="000000"/>
              <w:bottom w:val="single" w:sz="4" w:space="0" w:color="000000"/>
              <w:right w:val="single" w:sz="4" w:space="0" w:color="000000"/>
            </w:tcBorders>
            <w:shd w:val="clear" w:color="auto" w:fill="D2D2D2"/>
          </w:tcPr>
          <w:p>
            <w:pP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88" w:type="dxa"/>
            <w:gridSpan w:val="2"/>
            <w:vMerge/>
            <w:tcBorders>
              <w:left w:val="single" w:sz="4" w:space="0" w:color="000000"/>
              <w:bottom w:val="single" w:sz="4" w:space="0" w:color="000000"/>
              <w:right w:val="single" w:sz="4" w:space="0" w:color="000000"/>
            </w:tcBorders>
            <w:shd w:val="clear" w:color="auto" w:fill="D2D2D2"/>
          </w:tcPr>
          <w:p>
            <w:pPr/>
          </w:p>
        </w:tc>
        <w:tc>
          <w:tcPr>
            <w:tcW w:w="2448" w:type="dxa"/>
            <w:gridSpan w:val="2"/>
            <w:vMerge/>
            <w:tcBorders>
              <w:left w:val="single" w:sz="4" w:space="0" w:color="000000"/>
              <w:bottom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226" w:type="dxa"/>
            <w:vMerge w:val="restart"/>
            <w:tcBorders>
              <w:top w:val="nil" w:sz="6" w:space="0" w:color="auto"/>
              <w:left w:val="single" w:sz="4" w:space="0" w:color="000000"/>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27"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226" w:type="dxa"/>
            <w:vMerge/>
            <w:tcBorders>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2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2"/>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8,940,204.01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6,222,491.61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69.60%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2,717,712.40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7,143,460.82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3,184,919.48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44.59%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3,958,541.34</w:t>
            </w:r>
          </w:p>
        </w:tc>
      </w:tr>
      <w:tr>
        <w:trPr>
          <w:trHeight w:val="71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2"/>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108,070,428.42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86.51%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15,296,509.30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14.15%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92,773,919.12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130,875,480.26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92.76%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13,518,918.86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117,356,561.40</w:t>
            </w:r>
          </w:p>
        </w:tc>
      </w:tr>
      <w:tr>
        <w:trPr>
          <w:trHeight w:val="716"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42"/>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7,915,365.50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6.33%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6,074,664.35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76.75%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1,840,701.15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3,079,673.00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2,572,097.33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83.52%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507,575.67</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124,925,997.93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27,593,665.26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97,332,332.67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141,098,614.08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19,275,935.67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121,822,678.41</w:t>
            </w:r>
          </w:p>
        </w:tc>
      </w:tr>
    </w:tbl>
    <w:p>
      <w:pPr>
        <w:spacing w:after="0" w:line="240" w:lineRule="auto"/>
        <w:jc w:val="right"/>
        <w:rPr>
          <w:rFonts w:ascii="宋体" w:hAnsi="宋体" w:cs="宋体" w:eastAsia="宋体" w:hint="default"/>
          <w:sz w:val="18"/>
          <w:szCs w:val="18"/>
        </w:rPr>
        <w:sectPr>
          <w:headerReference w:type="default" r:id="rId55"/>
          <w:footerReference w:type="default" r:id="rId56"/>
          <w:pgSz w:w="16840" w:h="11910" w:orient="landscape"/>
          <w:pgMar w:header="867" w:footer="1186" w:top="1060" w:bottom="1380" w:left="1300" w:right="1280"/>
          <w:pgNumType w:start="168"/>
        </w:sectPr>
      </w:pPr>
    </w:p>
    <w:p>
      <w:pPr>
        <w:pStyle w:val="BodyText"/>
        <w:spacing w:line="240" w:lineRule="auto" w:before="49"/>
        <w:ind w:left="140" w:right="-20"/>
        <w:jc w:val="left"/>
      </w:pPr>
      <w:r>
        <w:rPr/>
        <w:t>期末单项金额重大并单项计提坏账准备的应收账款：</w:t>
      </w:r>
    </w:p>
    <w:p>
      <w:pPr>
        <w:pStyle w:val="BodyText"/>
        <w:spacing w:line="240" w:lineRule="auto" w:before="117"/>
        <w:ind w:left="140"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380" w:left="1300" w:right="1280"/>
          <w:cols w:num="2" w:equalWidth="0">
            <w:col w:w="4281" w:space="8869"/>
            <w:col w:w="111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149"/>
        <w:gridCol w:w="2463"/>
        <w:gridCol w:w="2801"/>
        <w:gridCol w:w="2801"/>
        <w:gridCol w:w="2804"/>
      </w:tblGrid>
      <w:tr>
        <w:trPr>
          <w:trHeight w:val="403" w:hRule="exact"/>
        </w:trPr>
        <w:tc>
          <w:tcPr>
            <w:tcW w:w="31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108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149" w:type="dxa"/>
            <w:vMerge/>
            <w:tcBorders>
              <w:left w:val="single" w:sz="4" w:space="0" w:color="000000"/>
              <w:bottom w:val="single" w:sz="4" w:space="0" w:color="000000"/>
              <w:right w:val="single" w:sz="4" w:space="0" w:color="000000"/>
            </w:tcBorders>
            <w:shd w:val="clear" w:color="auto" w:fill="D2D2D2"/>
          </w:tcPr>
          <w:p>
            <w:pP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吉林省吉诚电气有限公司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2,978,384.00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2,978,384.00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公司注销</w:t>
            </w:r>
          </w:p>
        </w:tc>
      </w:tr>
      <w:tr>
        <w:trPr>
          <w:trHeight w:val="40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2,148,449.01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1,718,759.21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催款困难，全部收回的可能性很小</w:t>
            </w:r>
          </w:p>
        </w:tc>
      </w:tr>
      <w:tr>
        <w:trPr>
          <w:trHeight w:val="40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沈阳火星电气装备有限公司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1,348,254.00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539,301.60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催款困难，全部收回的可能性小</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38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49"/>
        <w:gridCol w:w="2463"/>
        <w:gridCol w:w="2801"/>
        <w:gridCol w:w="2801"/>
        <w:gridCol w:w="2804"/>
      </w:tblGrid>
      <w:tr>
        <w:trPr>
          <w:trHeight w:val="418" w:hRule="exact"/>
        </w:trPr>
        <w:tc>
          <w:tcPr>
            <w:tcW w:w="31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贵州电网有限责任公司六盘水供电局</w:t>
            </w:r>
          </w:p>
        </w:tc>
        <w:tc>
          <w:tcPr>
            <w:tcW w:w="24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1,252,493.00</w:t>
            </w:r>
          </w:p>
        </w:tc>
        <w:tc>
          <w:tcPr>
            <w:tcW w:w="28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500,997.20</w:t>
            </w:r>
          </w:p>
        </w:tc>
        <w:tc>
          <w:tcPr>
            <w:tcW w:w="28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w:t>
            </w:r>
          </w:p>
        </w:tc>
        <w:tc>
          <w:tcPr>
            <w:tcW w:w="28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催款困难，全部收回的可能性小</w:t>
            </w:r>
          </w:p>
        </w:tc>
      </w:tr>
      <w:tr>
        <w:trPr>
          <w:trHeight w:val="40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贵阳供电局</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1,212,624.00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485,049.60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催款困难，全部收回的可能性小</w:t>
            </w:r>
          </w:p>
        </w:tc>
      </w:tr>
      <w:tr>
        <w:trPr>
          <w:trHeight w:val="403" w:hRule="exact"/>
        </w:trPr>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8,940,204.01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6,222,491.61</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1186" w:top="1060" w:bottom="1380" w:left="1300" w:right="1280"/>
        </w:sectPr>
      </w:pPr>
    </w:p>
    <w:p>
      <w:pPr>
        <w:pStyle w:val="BodyText"/>
        <w:spacing w:line="240" w:lineRule="auto" w:before="49"/>
        <w:ind w:left="140" w:right="-20"/>
        <w:jc w:val="left"/>
      </w:pPr>
      <w:r>
        <w:rPr/>
        <w:t>组合中，按账龄分析法计提坏账准备的应收账款：</w:t>
      </w:r>
    </w:p>
    <w:p>
      <w:pPr>
        <w:pStyle w:val="BodyText"/>
        <w:spacing w:line="240" w:lineRule="auto" w:before="115"/>
        <w:ind w:left="140"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380" w:left="1300" w:right="1280"/>
          <w:cols w:num="2" w:equalWidth="0">
            <w:col w:w="4101" w:space="9049"/>
            <w:col w:w="111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654"/>
        <w:gridCol w:w="3360"/>
        <w:gridCol w:w="3502"/>
        <w:gridCol w:w="3502"/>
      </w:tblGrid>
      <w:tr>
        <w:trPr>
          <w:trHeight w:val="401" w:hRule="exact"/>
        </w:trPr>
        <w:tc>
          <w:tcPr>
            <w:tcW w:w="3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3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654" w:type="dxa"/>
            <w:vMerge/>
            <w:tcBorders>
              <w:left w:val="single" w:sz="4" w:space="0" w:color="000000"/>
              <w:bottom w:val="single" w:sz="4" w:space="0" w:color="000000"/>
              <w:right w:val="single" w:sz="4" w:space="0" w:color="000000"/>
            </w:tcBorders>
            <w:shd w:val="clear" w:color="auto" w:fill="D2D2D2"/>
          </w:tcPr>
          <w:p>
            <w:pPr/>
          </w:p>
        </w:tc>
        <w:tc>
          <w:tcPr>
            <w:tcW w:w="3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140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60,522,945.13</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3,027,647.26</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5.00%</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60,552,945.13</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3,027,647.26</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19,612,933.64</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1,961,293.36</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10.00%</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15,776,217.60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3,155,243.52</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20.00%</w:t>
            </w:r>
          </w:p>
        </w:tc>
      </w:tr>
      <w:tr>
        <w:trPr>
          <w:trHeight w:val="404"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12,128,332.05</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7,152,325.16</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58.97%</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6,028,641.58</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1,808,592.47</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1,259,929.63</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503,971.85</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40.00%</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4,839,760.84</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4,839,760.84</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100.00%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108,070,428.42</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15,296,509.30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sz w:val="18"/>
              </w:rPr>
              <w:t>/</w:t>
            </w:r>
          </w:p>
        </w:tc>
      </w:tr>
    </w:tbl>
    <w:p>
      <w:pPr>
        <w:pStyle w:val="BodyText"/>
        <w:spacing w:line="357" w:lineRule="auto" w:before="49"/>
        <w:ind w:left="140" w:right="9778"/>
        <w:jc w:val="left"/>
      </w:pPr>
      <w:r>
        <w:rPr/>
        <w:t>确定该组合依据的说明：无。 组合中，采用余额百分比法计提坏账准备的应收账款：</w:t>
      </w:r>
    </w:p>
    <w:p>
      <w:pPr>
        <w:pStyle w:val="BodyText"/>
        <w:spacing w:line="360" w:lineRule="auto" w:before="29"/>
        <w:ind w:left="140" w:right="9778"/>
        <w:jc w:val="left"/>
      </w:pPr>
      <w:r>
        <w:rPr/>
        <w:t>□ 适用 √</w:t>
      </w:r>
      <w:r>
        <w:rPr>
          <w:spacing w:val="3"/>
        </w:rPr>
        <w:t> </w:t>
      </w:r>
      <w:r>
        <w:rPr/>
        <w:t>不适用</w:t>
      </w:r>
      <w:r>
        <w:rPr/>
        <w:t> 组合中，采用其他方法计提坏账准备的应收账款：无。</w:t>
      </w:r>
    </w:p>
    <w:p>
      <w:pPr>
        <w:spacing w:after="0" w:line="360" w:lineRule="auto"/>
        <w:jc w:val="left"/>
        <w:sectPr>
          <w:type w:val="continuous"/>
          <w:pgSz w:w="16840" w:h="11910" w:orient="landscape"/>
          <w:pgMar w:top="1060" w:bottom="1380" w:left="1300" w:right="1280"/>
        </w:sectPr>
      </w:pPr>
    </w:p>
    <w:p>
      <w:pPr>
        <w:pStyle w:val="BodyText"/>
        <w:spacing w:line="240" w:lineRule="auto" w:before="23"/>
        <w:ind w:left="5741"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本期计提坏账准备金额</w:t>
      </w:r>
      <w:r>
        <w:rPr>
          <w:spacing w:val="-46"/>
        </w:rPr>
        <w:t> </w:t>
      </w:r>
      <w:r>
        <w:rPr>
          <w:rFonts w:ascii="宋体" w:hAnsi="宋体" w:cs="宋体" w:eastAsia="宋体" w:hint="default"/>
        </w:rPr>
        <w:t>8,317,729.59</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3</w:t>
      </w:r>
      <w:r>
        <w:rPr/>
        <w:t>）本期实际核销的应收账款情况：无。</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616"/>
        <w:gridCol w:w="2453"/>
        <w:gridCol w:w="2290"/>
        <w:gridCol w:w="2300"/>
      </w:tblGrid>
      <w:tr>
        <w:trPr>
          <w:trHeight w:val="341"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0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8"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55" w:hRule="exact"/>
        </w:trPr>
        <w:tc>
          <w:tcPr>
            <w:tcW w:w="2616"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65" w:right="458" w:firstLine="225"/>
              <w:jc w:val="left"/>
              <w:rPr>
                <w:rFonts w:ascii="宋体" w:hAnsi="宋体" w:cs="宋体" w:eastAsia="宋体" w:hint="default"/>
                <w:sz w:val="18"/>
                <w:szCs w:val="18"/>
              </w:rPr>
            </w:pPr>
            <w:r>
              <w:rPr>
                <w:rFonts w:ascii="宋体" w:hAnsi="宋体" w:cs="宋体" w:eastAsia="宋体" w:hint="default"/>
                <w:sz w:val="18"/>
                <w:szCs w:val="18"/>
              </w:rPr>
              <w:t>占应收账款 合计数的比例</w:t>
            </w:r>
            <w:r>
              <w:rPr>
                <w:rFonts w:ascii="宋体" w:hAnsi="宋体" w:cs="宋体" w:eastAsia="宋体" w:hint="default"/>
                <w:sz w:val="18"/>
                <w:szCs w:val="18"/>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11,201,087.54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8.97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560,054.38</w:t>
            </w:r>
          </w:p>
        </w:tc>
      </w:tr>
      <w:tr>
        <w:trPr>
          <w:trHeight w:val="34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9,276,780.24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7.43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531,729.74</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8,186,484.45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6.55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409,324.22</w:t>
            </w:r>
          </w:p>
        </w:tc>
      </w:tr>
      <w:tr>
        <w:trPr>
          <w:trHeight w:val="34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5,715,259.18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4.57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735,094.49</w:t>
            </w:r>
          </w:p>
        </w:tc>
      </w:tr>
      <w:tr>
        <w:trPr>
          <w:trHeight w:val="34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4,021,794.42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3.22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650,153.03</w:t>
            </w:r>
          </w:p>
        </w:tc>
      </w:tr>
      <w:tr>
        <w:trPr>
          <w:trHeight w:val="34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38,401,405.83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30.74</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2,886,355.86</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宋体" w:hAnsi="宋体" w:cs="宋体" w:eastAsia="宋体" w:hint="default"/>
        </w:rPr>
        <w:t>5</w:t>
      </w:r>
      <w:r>
        <w:rPr/>
        <w:t>）因金融资产转移而终止确认的应收账款：无。</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6</w:t>
      </w:r>
      <w:r>
        <w:rPr/>
        <w:t>）转移应收账款且继续涉入形成的资产、负债金额：无。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ind w:left="2601" w:right="2601"/>
        <w:jc w:val="center"/>
        <w:rPr>
          <w:rFonts w:ascii="Times New Roman" w:hAnsi="Times New Roman" w:cs="Times New Roman" w:eastAsia="Times New Roman" w:hint="default"/>
        </w:rPr>
      </w:pPr>
      <w:r>
        <w:rPr>
          <w:rFonts w:ascii="Times New Roman"/>
        </w:rPr>
        <w:t>170</w:t>
      </w:r>
    </w:p>
    <w:p>
      <w:pPr>
        <w:spacing w:after="0" w:line="240" w:lineRule="auto"/>
        <w:jc w:val="center"/>
        <w:rPr>
          <w:rFonts w:ascii="Times New Roman" w:hAnsi="Times New Roman" w:cs="Times New Roman" w:eastAsia="Times New Roman" w:hint="default"/>
        </w:rPr>
        <w:sectPr>
          <w:headerReference w:type="default" r:id="rId57"/>
          <w:footerReference w:type="default" r:id="rId58"/>
          <w:pgSz w:w="11910" w:h="16840"/>
          <w:pgMar w:header="0" w:footer="0" w:top="78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47"/>
        <w:jc w:val="left"/>
        <w:rPr>
          <w:b w:val="0"/>
          <w:bCs w:val="0"/>
        </w:rPr>
      </w:pP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40" w:right="147"/>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289"/>
        <w:gridCol w:w="1317"/>
        <w:gridCol w:w="1022"/>
        <w:gridCol w:w="1138"/>
        <w:gridCol w:w="1025"/>
        <w:gridCol w:w="1318"/>
        <w:gridCol w:w="1226"/>
        <w:gridCol w:w="1025"/>
        <w:gridCol w:w="1138"/>
        <w:gridCol w:w="1236"/>
        <w:gridCol w:w="1272"/>
      </w:tblGrid>
      <w:tr>
        <w:trPr>
          <w:trHeight w:val="403" w:hRule="exact"/>
        </w:trPr>
        <w:tc>
          <w:tcPr>
            <w:tcW w:w="2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5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2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23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89" w:type="dxa"/>
            <w:vMerge/>
            <w:tcBorders>
              <w:left w:val="single" w:sz="4" w:space="0" w:color="000000"/>
              <w:bottom w:val="nil" w:sz="6" w:space="0" w:color="auto"/>
              <w:right w:val="single" w:sz="4" w:space="0" w:color="000000"/>
            </w:tcBorders>
            <w:shd w:val="clear" w:color="auto" w:fill="D2D2D2"/>
          </w:tcPr>
          <w:p>
            <w:pPr/>
          </w:p>
        </w:tc>
        <w:tc>
          <w:tcPr>
            <w:tcW w:w="2339" w:type="dxa"/>
            <w:gridSpan w:val="2"/>
            <w:vMerge/>
            <w:tcBorders>
              <w:left w:val="single" w:sz="4" w:space="0" w:color="000000"/>
              <w:bottom w:val="single" w:sz="4" w:space="0" w:color="000000"/>
              <w:right w:val="single" w:sz="4" w:space="0" w:color="000000"/>
            </w:tcBorders>
            <w:shd w:val="clear" w:color="auto" w:fill="D2D2D2"/>
          </w:tcPr>
          <w:p>
            <w:pPr/>
          </w:p>
        </w:tc>
        <w:tc>
          <w:tcPr>
            <w:tcW w:w="2163" w:type="dxa"/>
            <w:gridSpan w:val="2"/>
            <w:vMerge/>
            <w:tcBorders>
              <w:left w:val="single" w:sz="4" w:space="0" w:color="000000"/>
              <w:bottom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2" w:type="dxa"/>
            <w:gridSpan w:val="2"/>
            <w:vMerge/>
            <w:tcBorders>
              <w:left w:val="single" w:sz="4" w:space="0" w:color="000000"/>
              <w:bottom w:val="single" w:sz="4" w:space="0" w:color="000000"/>
              <w:right w:val="single" w:sz="4" w:space="0" w:color="000000"/>
            </w:tcBorders>
            <w:shd w:val="clear" w:color="auto" w:fill="D2D2D2"/>
          </w:tcPr>
          <w:p>
            <w:pPr/>
          </w:p>
        </w:tc>
        <w:tc>
          <w:tcPr>
            <w:tcW w:w="2374" w:type="dxa"/>
            <w:gridSpan w:val="2"/>
            <w:vMerge/>
            <w:tcBorders>
              <w:left w:val="single" w:sz="4" w:space="0" w:color="000000"/>
              <w:bottom w:val="single" w:sz="4" w:space="0" w:color="000000"/>
              <w:right w:val="single" w:sz="4" w:space="0" w:color="000000"/>
            </w:tcBorders>
            <w:shd w:val="clear" w:color="auto" w:fill="D2D2D2"/>
          </w:tcPr>
          <w:p>
            <w:pPr/>
          </w:p>
        </w:tc>
        <w:tc>
          <w:tcPr>
            <w:tcW w:w="12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289" w:type="dxa"/>
            <w:vMerge w:val="restart"/>
            <w:tcBorders>
              <w:top w:val="nil" w:sz="6" w:space="0" w:color="auto"/>
              <w:left w:val="single" w:sz="4" w:space="0" w:color="000000"/>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8" w:type="dxa"/>
            <w:vMerge/>
            <w:tcBorders>
              <w:left w:val="single" w:sz="4" w:space="0" w:color="000000"/>
              <w:bottom w:val="nil" w:sz="6" w:space="0" w:color="auto"/>
              <w:right w:val="single" w:sz="4" w:space="0" w:color="000000"/>
            </w:tcBorders>
            <w:shd w:val="clear" w:color="auto" w:fill="D2D2D2"/>
          </w:tcPr>
          <w:p>
            <w:pP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2"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289"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5"/>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331,180.00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331,180.00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5"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5"/>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445,462,637.39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2,084,466.58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443,378,170.81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22,258,205.60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98.53%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5,800,396.04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16,457,809.56</w:t>
            </w:r>
          </w:p>
        </w:tc>
      </w:tr>
      <w:tr>
        <w:trPr>
          <w:trHeight w:val="401"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445,462,637.39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2,084,466.58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443,378,170.81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22,589,385.60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6,131,576.04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16,457,809.56</w:t>
            </w:r>
          </w:p>
        </w:tc>
      </w:tr>
    </w:tbl>
    <w:p>
      <w:pPr>
        <w:spacing w:after="0" w:line="240" w:lineRule="auto"/>
        <w:jc w:val="right"/>
        <w:rPr>
          <w:rFonts w:ascii="宋体" w:hAnsi="宋体" w:cs="宋体" w:eastAsia="宋体" w:hint="default"/>
          <w:sz w:val="18"/>
          <w:szCs w:val="18"/>
        </w:rPr>
        <w:sectPr>
          <w:headerReference w:type="default" r:id="rId59"/>
          <w:footerReference w:type="default" r:id="rId60"/>
          <w:pgSz w:w="16840" w:h="11910" w:orient="landscape"/>
          <w:pgMar w:header="867" w:footer="1186" w:top="1060" w:bottom="1380" w:left="1300" w:right="1280"/>
          <w:pgNumType w:start="171"/>
        </w:sectPr>
      </w:pPr>
    </w:p>
    <w:p>
      <w:pPr>
        <w:pStyle w:val="BodyText"/>
        <w:spacing w:line="240" w:lineRule="auto" w:before="49"/>
        <w:ind w:left="140" w:right="-20"/>
        <w:jc w:val="left"/>
      </w:pPr>
      <w:r>
        <w:rPr/>
        <w:t>期末单项金额重大并单项计提坏账准备的其他应收款：</w:t>
      </w:r>
    </w:p>
    <w:p>
      <w:pPr>
        <w:pStyle w:val="BodyText"/>
        <w:spacing w:line="357" w:lineRule="auto" w:before="117"/>
        <w:ind w:left="140" w:right="160"/>
        <w:jc w:val="left"/>
      </w:pPr>
      <w:r>
        <w:rPr/>
        <w:t>□ 适用 √</w:t>
      </w:r>
      <w:r>
        <w:rPr>
          <w:spacing w:val="3"/>
        </w:rPr>
        <w:t> </w:t>
      </w:r>
      <w:r>
        <w:rPr/>
        <w:t>不适用</w:t>
      </w:r>
      <w:r>
        <w:rPr/>
        <w:t> 组合中，按账龄分析法计提坏账准备的其他应收款：</w:t>
      </w:r>
    </w:p>
    <w:p>
      <w:pPr>
        <w:pStyle w:val="BodyText"/>
        <w:spacing w:line="240" w:lineRule="auto" w:before="29"/>
        <w:ind w:left="140"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380" w:left="1300" w:right="1280"/>
          <w:cols w:num="2" w:equalWidth="0">
            <w:col w:w="4461" w:space="8689"/>
            <w:col w:w="1110"/>
          </w:cols>
        </w:sectPr>
      </w:pP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654"/>
        <w:gridCol w:w="3360"/>
        <w:gridCol w:w="3502"/>
        <w:gridCol w:w="3502"/>
      </w:tblGrid>
      <w:tr>
        <w:trPr>
          <w:trHeight w:val="402" w:hRule="exact"/>
        </w:trPr>
        <w:tc>
          <w:tcPr>
            <w:tcW w:w="3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3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654" w:type="dxa"/>
            <w:vMerge/>
            <w:tcBorders>
              <w:left w:val="single" w:sz="4" w:space="0" w:color="000000"/>
              <w:bottom w:val="single" w:sz="4" w:space="0" w:color="000000"/>
              <w:right w:val="single" w:sz="4" w:space="0" w:color="000000"/>
            </w:tcBorders>
            <w:shd w:val="clear" w:color="auto" w:fill="D2D2D2"/>
          </w:tcPr>
          <w:p>
            <w:pPr/>
          </w:p>
        </w:tc>
        <w:tc>
          <w:tcPr>
            <w:tcW w:w="3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140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5,763,441.79</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288,172.09</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5,763,441.79</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288,172.09</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2,070,180.53</w:t>
            </w:r>
            <w:r>
              <w:rPr>
                <w:rFonts w:ascii="宋体"/>
                <w:sz w:val="18"/>
              </w:rPr>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207,018.05</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300,854.00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60,170.80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20.00%</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38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54"/>
        <w:gridCol w:w="3360"/>
        <w:gridCol w:w="3502"/>
        <w:gridCol w:w="3502"/>
      </w:tblGrid>
      <w:tr>
        <w:trPr>
          <w:trHeight w:val="418" w:hRule="exact"/>
        </w:trPr>
        <w:tc>
          <w:tcPr>
            <w:tcW w:w="3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3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556,242.45</w:t>
            </w:r>
          </w:p>
        </w:tc>
        <w:tc>
          <w:tcPr>
            <w:tcW w:w="35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297,510.00</w:t>
            </w:r>
          </w:p>
        </w:tc>
        <w:tc>
          <w:tcPr>
            <w:tcW w:w="35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53.49%</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114,050.00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34,215.00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298,162.41</w:t>
            </w:r>
            <w:r>
              <w:rPr>
                <w:rFonts w:ascii="宋体"/>
                <w:sz w:val="18"/>
              </w:rPr>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119,265.00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40.00%</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144,030.00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144,030.00</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100.00%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8,690,718.73</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852,870.94</w:t>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9.81%</w:t>
            </w:r>
          </w:p>
        </w:tc>
      </w:tr>
    </w:tbl>
    <w:p>
      <w:pPr>
        <w:pStyle w:val="BodyText"/>
        <w:spacing w:line="357" w:lineRule="auto" w:before="49"/>
        <w:ind w:left="140" w:right="9598"/>
        <w:jc w:val="left"/>
      </w:pPr>
      <w:r>
        <w:rPr/>
        <w:t>确定该组合依据的说明：无。 组合中，采用余额百分比法计提坏账准备的其他应收款：</w:t>
      </w:r>
    </w:p>
    <w:p>
      <w:pPr>
        <w:pStyle w:val="BodyText"/>
        <w:spacing w:line="360" w:lineRule="auto" w:before="29"/>
        <w:ind w:left="140" w:right="9958"/>
        <w:jc w:val="left"/>
      </w:pPr>
      <w:r>
        <w:rPr/>
        <w:t>□ 适用 √</w:t>
      </w:r>
      <w:r>
        <w:rPr>
          <w:spacing w:val="3"/>
        </w:rPr>
        <w:t> </w:t>
      </w:r>
      <w:r>
        <w:rPr/>
        <w:t>不适用</w:t>
      </w:r>
      <w:r>
        <w:rPr/>
        <w:t> 组合中，采用其他方法计提坏账准备的其他应收款：</w:t>
      </w:r>
    </w:p>
    <w:p>
      <w:pPr>
        <w:pStyle w:val="BodyText"/>
        <w:spacing w:line="240" w:lineRule="auto" w:before="25"/>
        <w:ind w:left="140" w:right="147"/>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266"/>
        <w:gridCol w:w="3555"/>
        <w:gridCol w:w="3082"/>
        <w:gridCol w:w="3077"/>
      </w:tblGrid>
      <w:tr>
        <w:trPr>
          <w:trHeight w:val="343" w:hRule="exact"/>
        </w:trPr>
        <w:tc>
          <w:tcPr>
            <w:tcW w:w="4266"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97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1" w:hRule="exact"/>
        </w:trPr>
        <w:tc>
          <w:tcPr>
            <w:tcW w:w="4266" w:type="dxa"/>
            <w:vMerge/>
            <w:tcBorders>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4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22" w:hRule="exact"/>
        </w:trPr>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435,540,323.02</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宋体" w:hAnsi="宋体" w:cs="宋体" w:eastAsia="宋体" w:hint="default"/>
                <w:sz w:val="18"/>
                <w:szCs w:val="18"/>
              </w:rPr>
            </w:pPr>
            <w:r>
              <w:rPr>
                <w:rFonts w:ascii="宋体"/>
                <w:sz w:val="18"/>
              </w:rPr>
              <w:t>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0.00</w:t>
            </w:r>
          </w:p>
        </w:tc>
      </w:tr>
      <w:tr>
        <w:trPr>
          <w:trHeight w:val="341" w:hRule="exact"/>
        </w:trPr>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1,231,595.64</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1,231,595.64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r>
      <w:tr>
        <w:trPr>
          <w:trHeight w:val="422" w:hRule="exact"/>
        </w:trPr>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436,771,918.66</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1,231,595.64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0.00</w:t>
            </w:r>
          </w:p>
        </w:tc>
      </w:tr>
    </w:tbl>
    <w:p>
      <w:pPr>
        <w:pStyle w:val="BodyText"/>
        <w:spacing w:line="240" w:lineRule="auto" w:before="49"/>
        <w:ind w:left="500" w:right="147"/>
        <w:jc w:val="left"/>
      </w:pPr>
      <w:r>
        <w:rPr/>
        <w:t>业务费组合为已形成费用，发票未到的其他应收款。</w:t>
      </w:r>
    </w:p>
    <w:p>
      <w:pPr>
        <w:spacing w:after="0" w:line="240" w:lineRule="auto"/>
        <w:jc w:val="left"/>
        <w:sectPr>
          <w:pgSz w:w="16840" w:h="11910" w:orient="landscape"/>
          <w:pgMar w:header="867" w:footer="1186" w:top="1060" w:bottom="1380" w:left="1300" w:right="12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2760"/>
        <w:jc w:val="left"/>
      </w:pPr>
      <w:r>
        <w:rPr/>
        <w:t>本期计提坏账准备金额</w:t>
      </w:r>
      <w:r>
        <w:rPr>
          <w:spacing w:val="-47"/>
        </w:rPr>
        <w:t> </w:t>
      </w:r>
      <w:r>
        <w:rPr>
          <w:rFonts w:ascii="宋体" w:hAnsi="宋体" w:cs="宋体" w:eastAsia="宋体" w:hint="default"/>
        </w:rPr>
        <w:t>476,373.28</w:t>
      </w:r>
      <w:r>
        <w:rPr>
          <w:rFonts w:ascii="宋体" w:hAnsi="宋体" w:cs="宋体" w:eastAsia="宋体" w:hint="default"/>
          <w:spacing w:val="-46"/>
        </w:rPr>
        <w:t> </w:t>
      </w:r>
      <w:r>
        <w:rPr/>
        <w:t>元；本期收回或转回坏账准备金额</w:t>
      </w:r>
      <w:r>
        <w:rPr>
          <w:spacing w:val="-47"/>
        </w:rPr>
        <w:t> </w:t>
      </w:r>
      <w:r>
        <w:rPr>
          <w:rFonts w:ascii="宋体" w:hAnsi="宋体" w:cs="宋体" w:eastAsia="宋体" w:hint="default"/>
        </w:rPr>
        <w:t>4,523,482.74</w:t>
      </w:r>
      <w:r>
        <w:rPr>
          <w:rFonts w:ascii="宋体" w:hAnsi="宋体" w:cs="宋体" w:eastAsia="宋体" w:hint="default"/>
          <w:spacing w:val="-46"/>
        </w:rPr>
        <w:t> </w:t>
      </w:r>
      <w:r>
        <w:rPr/>
        <w:t>元。 其中本期坏账准备转回或收回金额重要的：</w:t>
      </w:r>
    </w:p>
    <w:tbl>
      <w:tblPr>
        <w:tblW w:w="0" w:type="auto"/>
        <w:jc w:val="left"/>
        <w:tblInd w:w="138" w:type="dxa"/>
        <w:tblLayout w:type="fixed"/>
        <w:tblCellMar>
          <w:top w:w="0" w:type="dxa"/>
          <w:left w:w="0" w:type="dxa"/>
          <w:bottom w:w="0" w:type="dxa"/>
          <w:right w:w="0" w:type="dxa"/>
        </w:tblCellMar>
        <w:tblLook w:val="01E0"/>
      </w:tblPr>
      <w:tblGrid>
        <w:gridCol w:w="1995"/>
        <w:gridCol w:w="1702"/>
        <w:gridCol w:w="2835"/>
        <w:gridCol w:w="1820"/>
        <w:gridCol w:w="1308"/>
      </w:tblGrid>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确定原坏账准备的依据及其合理性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暂未取得发票的业务费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4,523,482.74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已形成费用，暂未收到发票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收到发票后冲销款项</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收到发票</w:t>
            </w:r>
          </w:p>
        </w:tc>
      </w:tr>
      <w:tr>
        <w:trPr>
          <w:trHeight w:val="7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4,523,482.74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宋体" w:hAnsi="宋体" w:cs="宋体" w:eastAsia="宋体" w:hint="default"/>
        </w:rPr>
        <w:t>3</w:t>
      </w:r>
      <w:r>
        <w:rPr/>
        <w:t>）本期实际核销的其他应收款情况：无。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6,522,629.99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12,572,273.00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1,639,137.60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1,793,586.68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435,540,323.02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2,600,288.43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1,231,595.64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4,853,167.78</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员工个人借支</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528,951.14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516,380.65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253,689.06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445,462,637.39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22,589,385.60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364,765,080.71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69,220,148.00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974,840.18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48,742.01</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927,094.31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885,058.46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44,252.92</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436,772,221.66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92,994.93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6</w:t>
      </w:r>
      <w:r>
        <w:rPr/>
        <w:t>）涉及政府补助的应收款项：无。</w:t>
      </w:r>
      <w:r>
        <w:rPr>
          <w:b w:val="0"/>
          <w:bCs w:val="0"/>
        </w:rPr>
      </w:r>
    </w:p>
    <w:p>
      <w:pPr>
        <w:spacing w:after="0" w:line="240" w:lineRule="auto"/>
        <w:jc w:val="left"/>
        <w:sectPr>
          <w:headerReference w:type="default" r:id="rId61"/>
          <w:footerReference w:type="default" r:id="rId62"/>
          <w:pgSz w:w="11910" w:h="16840"/>
          <w:pgMar w:header="877" w:footer="1186" w:top="1100" w:bottom="1380" w:left="980" w:right="980"/>
          <w:pgNumType w:start="173"/>
        </w:sectPr>
      </w:pPr>
    </w:p>
    <w:p>
      <w:pPr>
        <w:spacing w:line="240" w:lineRule="auto" w:before="12"/>
        <w:rPr>
          <w:rFonts w:ascii="宋体" w:hAnsi="宋体" w:cs="宋体" w:eastAsia="宋体" w:hint="default"/>
          <w:b/>
          <w:bCs/>
          <w:sz w:val="20"/>
          <w:szCs w:val="20"/>
        </w:rPr>
      </w:pPr>
    </w:p>
    <w:p>
      <w:pPr>
        <w:pStyle w:val="Heading3"/>
        <w:spacing w:line="240" w:lineRule="auto" w:before="36"/>
        <w:ind w:right="153"/>
        <w:jc w:val="left"/>
        <w:rPr>
          <w:b w:val="0"/>
          <w:bCs w:val="0"/>
        </w:rPr>
      </w:pPr>
      <w:r>
        <w:rPr/>
        <w:t>（</w:t>
      </w:r>
      <w:r>
        <w:rPr>
          <w:rFonts w:ascii="宋体" w:hAnsi="宋体" w:cs="宋体" w:eastAsia="宋体" w:hint="default"/>
        </w:rPr>
        <w:t>7</w:t>
      </w:r>
      <w:r>
        <w:rPr/>
        <w:t>）因金融资产转移而终止确认的其他应收款：无。</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3654"/>
        <w:jc w:val="left"/>
        <w:rPr>
          <w:b w:val="0"/>
          <w:bCs w:val="0"/>
        </w:rPr>
      </w:pPr>
      <w:r>
        <w:rPr>
          <w:spacing w:val="-1"/>
        </w:rPr>
        <w:t>（</w:t>
      </w:r>
      <w:r>
        <w:rPr>
          <w:rFonts w:ascii="宋体" w:hAnsi="宋体" w:cs="宋体" w:eastAsia="宋体" w:hint="default"/>
          <w:spacing w:val="-1"/>
        </w:rPr>
        <w:t>8</w:t>
      </w:r>
      <w:r>
        <w:rPr>
          <w:spacing w:val="-1"/>
        </w:rPr>
        <w:t>）转移其他应收款且继续涉入形成的资产、负债金额：无。</w:t>
      </w:r>
      <w:r>
        <w:rPr>
          <w:spacing w:val="-80"/>
        </w:rPr>
        <w:t> </w:t>
      </w:r>
      <w:r>
        <w:rPr>
          <w:spacing w:val="-80"/>
        </w:rPr>
      </w:r>
      <w:r>
        <w:rPr>
          <w:rFonts w:ascii="宋体" w:hAnsi="宋体" w:cs="宋体" w:eastAsia="宋体" w:hint="default"/>
        </w:rPr>
        <w:t>3</w:t>
      </w:r>
      <w:r>
        <w:rPr/>
        <w:t>、长期股权投资</w:t>
      </w:r>
      <w:r>
        <w:rPr>
          <w:b w:val="0"/>
          <w:bCs w:val="0"/>
        </w:rPr>
      </w:r>
    </w:p>
    <w:p>
      <w:pPr>
        <w:pStyle w:val="BodyText"/>
        <w:spacing w:line="240" w:lineRule="auto" w:before="102"/>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5"/>
        <w:gridCol w:w="1418"/>
        <w:gridCol w:w="842"/>
        <w:gridCol w:w="1426"/>
        <w:gridCol w:w="1702"/>
        <w:gridCol w:w="973"/>
        <w:gridCol w:w="1368"/>
      </w:tblGrid>
      <w:tr>
        <w:trPr>
          <w:trHeight w:val="206" w:hRule="exact"/>
        </w:trPr>
        <w:tc>
          <w:tcPr>
            <w:tcW w:w="1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6" w:type="dxa"/>
            <w:gridSpan w:val="3"/>
            <w:vMerge/>
            <w:tcBorders>
              <w:left w:val="single" w:sz="4" w:space="0" w:color="000000"/>
              <w:bottom w:val="single" w:sz="4" w:space="0" w:color="000000"/>
              <w:right w:val="single" w:sz="4" w:space="0" w:color="000000"/>
            </w:tcBorders>
            <w:shd w:val="clear" w:color="auto" w:fill="D2D2D2"/>
          </w:tcPr>
          <w:p>
            <w:pPr/>
          </w:p>
        </w:tc>
        <w:tc>
          <w:tcPr>
            <w:tcW w:w="404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45"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426"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236,709,525.00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236,709,525.00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302,441,834.68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302,441,834.68</w:t>
            </w: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109,093.66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109,093.66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119,110.38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119,110.38</w:t>
            </w: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236,818,618.66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236,818,618.66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302,560,945.06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302,560,945.06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1,709,525.00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1,709,525.00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239,212,309.68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239,212,309.68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0.00</w:t>
            </w:r>
            <w:r>
              <w:rPr>
                <w:rFonts w:ascii="宋体"/>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47,520,000.00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302,441,834.68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286,732,309.68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236,709,525.00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1046"/>
        <w:gridCol w:w="547"/>
        <w:gridCol w:w="586"/>
        <w:gridCol w:w="1277"/>
        <w:gridCol w:w="850"/>
        <w:gridCol w:w="711"/>
        <w:gridCol w:w="991"/>
        <w:gridCol w:w="708"/>
        <w:gridCol w:w="569"/>
        <w:gridCol w:w="991"/>
        <w:gridCol w:w="499"/>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3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89"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8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金喜凯德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119,110.38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-10,016.72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宋体" w:hAnsi="宋体" w:cs="宋体" w:eastAsia="宋体" w:hint="default"/>
                <w:sz w:val="18"/>
                <w:szCs w:val="18"/>
              </w:rPr>
            </w:pPr>
            <w:r>
              <w:rPr>
                <w:rFonts w:ascii="宋体"/>
                <w:sz w:val="18"/>
              </w:rPr>
              <w:t>109,093.66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119,110.38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-10,016.72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宋体" w:hAnsi="宋体" w:cs="宋体" w:eastAsia="宋体" w:hint="default"/>
                <w:sz w:val="18"/>
                <w:szCs w:val="18"/>
              </w:rPr>
            </w:pPr>
            <w:r>
              <w:rPr>
                <w:rFonts w:ascii="宋体"/>
                <w:sz w:val="18"/>
              </w:rPr>
              <w:t>109,093.66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119,110.38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-10,016.72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宋体" w:hAnsi="宋体" w:cs="宋体" w:eastAsia="宋体" w:hint="default"/>
                <w:sz w:val="18"/>
                <w:szCs w:val="18"/>
              </w:rPr>
            </w:pPr>
            <w:r>
              <w:rPr>
                <w:rFonts w:ascii="宋体"/>
                <w:sz w:val="18"/>
              </w:rPr>
              <w:t>109,093.66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3"/>
        <w:spacing w:line="537" w:lineRule="auto" w:before="36"/>
        <w:ind w:right="7560"/>
        <w:jc w:val="left"/>
        <w:rPr>
          <w:b w:val="0"/>
          <w:bCs w:val="0"/>
        </w:rPr>
      </w:pPr>
      <w:r>
        <w:rPr/>
        <w:t>（</w:t>
      </w:r>
      <w:r>
        <w:rPr>
          <w:rFonts w:ascii="宋体" w:hAnsi="宋体" w:cs="宋体" w:eastAsia="宋体" w:hint="default"/>
        </w:rPr>
        <w:t>3</w:t>
      </w:r>
      <w:r>
        <w:rPr/>
        <w:t>）其他说明：无。</w:t>
      </w:r>
      <w:r>
        <w:rPr>
          <w:spacing w:val="-104"/>
        </w:rPr>
        <w:t> </w:t>
      </w:r>
      <w:r>
        <w:rPr>
          <w:spacing w:val="-104"/>
        </w:rPr>
      </w:r>
      <w:r>
        <w:rPr>
          <w:rFonts w:ascii="宋体" w:hAnsi="宋体" w:cs="宋体" w:eastAsia="宋体" w:hint="default"/>
        </w:rPr>
        <w:t>4</w:t>
      </w:r>
      <w:r>
        <w:rPr/>
        <w:t>、营业收入和营业成本</w:t>
      </w:r>
      <w:r>
        <w:rPr>
          <w:b w:val="0"/>
          <w:bCs w:val="0"/>
        </w:rPr>
      </w:r>
    </w:p>
    <w:p>
      <w:pPr>
        <w:pStyle w:val="BodyText"/>
        <w:spacing w:line="240" w:lineRule="auto" w:before="9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191,213,218.36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122,210,666.66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264,876,766.37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168,273,152.41</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3,792,823.49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1,353,140.35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2,847,386.68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9,093,009.80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195,006,041.85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123,563,807.01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267,724,153.05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177,366,162.21</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5</w:t>
      </w:r>
      <w:r>
        <w:rPr/>
        <w:t>、投资收益</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-10,016.72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-30,889.62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-3,999,424.92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3,086,665.68</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41,183,900.95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1,210,111.00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17,658,094.09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5,006,344.04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54,832,553.40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9,272,231.10</w:t>
            </w:r>
          </w:p>
        </w:tc>
      </w:tr>
    </w:tbl>
    <w:p>
      <w:pPr>
        <w:spacing w:line="240" w:lineRule="auto" w:before="3"/>
        <w:rPr>
          <w:rFonts w:ascii="宋体" w:hAnsi="宋体" w:cs="宋体" w:eastAsia="宋体" w:hint="default"/>
          <w:sz w:val="19"/>
          <w:szCs w:val="19"/>
        </w:rPr>
      </w:pPr>
    </w:p>
    <w:p>
      <w:pPr>
        <w:spacing w:line="501" w:lineRule="auto" w:before="36"/>
        <w:ind w:left="152" w:right="7151"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r>
        <w:rPr>
          <w:rFonts w:ascii="宋体" w:hAnsi="宋体" w:cs="宋体" w:eastAsia="宋体" w:hint="default"/>
          <w:b/>
          <w:bCs/>
          <w:sz w:val="24"/>
          <w:szCs w:val="24"/>
        </w:rPr>
        <w:t>十八、补充资料</w:t>
      </w:r>
      <w:r>
        <w:rPr>
          <w:rFonts w:ascii="宋体" w:hAnsi="宋体" w:cs="宋体" w:eastAsia="宋体" w:hint="default"/>
          <w:b/>
          <w:bCs/>
          <w:w w:val="99"/>
          <w:sz w:val="24"/>
          <w:szCs w:val="24"/>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、当期非经常性损益明细表</w:t>
      </w:r>
      <w:r>
        <w:rPr>
          <w:rFonts w:ascii="宋体" w:hAnsi="宋体" w:cs="宋体" w:eastAsia="宋体" w:hint="default"/>
          <w:spacing w:val="-1"/>
          <w:sz w:val="21"/>
          <w:szCs w:val="21"/>
        </w:rPr>
      </w:r>
    </w:p>
    <w:p>
      <w:pPr>
        <w:pStyle w:val="BodyText"/>
        <w:spacing w:line="240" w:lineRule="auto" w:before="129"/>
        <w:ind w:right="153"/>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49" w:right="0"/>
              <w:jc w:val="left"/>
              <w:rPr>
                <w:rFonts w:ascii="宋体" w:hAnsi="宋体" w:cs="宋体" w:eastAsia="宋体" w:hint="default"/>
                <w:sz w:val="18"/>
                <w:szCs w:val="18"/>
              </w:rPr>
            </w:pPr>
            <w:r>
              <w:rPr>
                <w:rFonts w:ascii="宋体"/>
                <w:sz w:val="18"/>
              </w:rPr>
              <w:t>60,144,474.29</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包含处置子公司江西先材与长春高琦股 权形成的投资收益</w:t>
            </w:r>
            <w:r>
              <w:rPr>
                <w:rFonts w:ascii="宋体" w:hAnsi="宋体" w:cs="宋体" w:eastAsia="宋体" w:hint="default"/>
                <w:spacing w:val="-47"/>
                <w:sz w:val="18"/>
                <w:szCs w:val="18"/>
              </w:rPr>
              <w:t> </w:t>
            </w:r>
            <w:r>
              <w:rPr>
                <w:rFonts w:ascii="宋体" w:hAnsi="宋体" w:cs="宋体" w:eastAsia="宋体" w:hint="default"/>
                <w:sz w:val="18"/>
                <w:szCs w:val="18"/>
              </w:rPr>
              <w:t>60,993,562.81</w:t>
            </w:r>
            <w:r>
              <w:rPr>
                <w:rFonts w:ascii="宋体" w:hAnsi="宋体" w:cs="宋体" w:eastAsia="宋体" w:hint="default"/>
                <w:spacing w:val="-46"/>
                <w:sz w:val="18"/>
                <w:szCs w:val="18"/>
              </w:rPr>
              <w:t> </w:t>
            </w:r>
            <w:r>
              <w:rPr>
                <w:rFonts w:ascii="宋体" w:hAnsi="宋体" w:cs="宋体" w:eastAsia="宋体" w:hint="default"/>
                <w:sz w:val="18"/>
                <w:szCs w:val="18"/>
              </w:rPr>
              <w:t>元及</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处置资产形成的净损失</w:t>
            </w:r>
            <w:r>
              <w:rPr>
                <w:rFonts w:ascii="宋体" w:hAnsi="宋体" w:cs="宋体" w:eastAsia="宋体" w:hint="default"/>
                <w:spacing w:val="-46"/>
                <w:sz w:val="18"/>
                <w:szCs w:val="18"/>
              </w:rPr>
              <w:t> </w:t>
            </w:r>
            <w:r>
              <w:rPr>
                <w:rFonts w:ascii="宋体" w:hAnsi="宋体" w:cs="宋体" w:eastAsia="宋体" w:hint="default"/>
                <w:sz w:val="18"/>
                <w:szCs w:val="18"/>
              </w:rPr>
              <w:t>849,088.52</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391"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vMerge/>
            <w:tcBorders>
              <w:left w:val="single" w:sz="9"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317"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0" w:type="dxa"/>
            <w:vMerge/>
            <w:tcBorders>
              <w:left w:val="single" w:sz="9"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7,621,921.92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r>
      <w:tr>
        <w:trPr>
          <w:trHeight w:val="67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41,183,900.95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母公司进行证券投资取得的收益</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98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49"/>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-269,248.40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6,211,269.30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846,703.17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101,623,076.29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9" w:lineRule="auto" w:before="76"/>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55"/>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844"/>
        <w:gridCol w:w="5742"/>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北京中汇联银、喀什中汇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联银证券、理财投资收益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81,608,046.86</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3"/>
                <w:sz w:val="18"/>
                <w:szCs w:val="18"/>
              </w:rPr>
              <w:t>北京中汇联银、喀什中汇联银作为公司设立的专门投资业务平台，主要从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事投资类业务，证券、理财投资系两家子公司经常性发生的业务，具有持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续性，不符合非经常性损益的与主营业务无关且偶发性特性</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惠程本部理财产品收益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17,658,094.09</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、公司报告期内新增投资业务作为主营业务之一；</w:t>
            </w:r>
            <w:r>
              <w:rPr>
                <w:rFonts w:ascii="宋体" w:hAnsi="宋体" w:cs="宋体" w:eastAsia="宋体" w:hint="default"/>
                <w:spacing w:val="-3"/>
                <w:sz w:val="18"/>
                <w:szCs w:val="18"/>
              </w:rPr>
              <w:t>2</w:t>
            </w:r>
            <w:r>
              <w:rPr>
                <w:rFonts w:ascii="宋体" w:hAnsi="宋体" w:cs="宋体" w:eastAsia="宋体" w:hint="default"/>
                <w:spacing w:val="-3"/>
                <w:sz w:val="18"/>
                <w:szCs w:val="18"/>
              </w:rPr>
              <w:t>、公司的理财业务属</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于经常性业务，未来将持续进行，且均投资于保本产品，收益可持续且稳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定；符合经常性损益与主营业务相关且持续稳定的特性</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2</w:t>
      </w:r>
      <w:r>
        <w:rPr/>
        <w:t>、净资产收益率及每股收益</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385"/>
        <w:gridCol w:w="1348"/>
        <w:gridCol w:w="1913"/>
        <w:gridCol w:w="1913"/>
      </w:tblGrid>
      <w:tr>
        <w:trPr>
          <w:trHeight w:val="206" w:hRule="exact"/>
        </w:trPr>
        <w:tc>
          <w:tcPr>
            <w:tcW w:w="4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97" w:right="39"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48"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4385" w:type="dxa"/>
            <w:vMerge/>
            <w:tcBorders>
              <w:left w:val="single" w:sz="4" w:space="0" w:color="000000"/>
              <w:bottom w:val="nil" w:sz="6" w:space="0" w:color="auto"/>
              <w:right w:val="single" w:sz="4" w:space="0" w:color="000000"/>
            </w:tcBorders>
            <w:shd w:val="clear" w:color="auto" w:fill="D2D2D2"/>
          </w:tcPr>
          <w:p>
            <w:pPr/>
          </w:p>
        </w:tc>
        <w:tc>
          <w:tcPr>
            <w:tcW w:w="1348"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4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48" w:type="dxa"/>
            <w:tcBorders>
              <w:top w:val="single" w:sz="18" w:space="0" w:color="D2D2D2"/>
              <w:left w:val="single" w:sz="10" w:space="0" w:color="D2D2D2"/>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18"/>
                <w:szCs w:val="18"/>
              </w:rPr>
            </w:pPr>
            <w:r>
              <w:rPr>
                <w:rFonts w:ascii="宋体"/>
                <w:spacing w:val="-1"/>
                <w:sz w:val="18"/>
              </w:rPr>
              <w:t>11.63%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r>
      <w:tr>
        <w:trPr>
          <w:trHeight w:val="401"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0.04</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宋体" w:hAnsi="宋体" w:cs="宋体" w:eastAsia="宋体" w:hint="default"/>
        </w:rPr>
        <w:t>3</w:t>
      </w:r>
      <w:r>
        <w:rPr/>
        <w:t>、境内外会计准则下会计数据差异</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73" w:lineRule="auto" w:before="120"/>
        <w:ind w:right="153"/>
        <w:jc w:val="left"/>
        <w:rPr>
          <w:b w:val="0"/>
          <w:bCs w:val="0"/>
        </w:rPr>
      </w:pPr>
      <w:r>
        <w:rPr/>
        <w:t>（</w:t>
      </w:r>
      <w:r>
        <w:rPr>
          <w:rFonts w:ascii="宋体" w:hAnsi="宋体" w:cs="宋体" w:eastAsia="宋体" w:hint="default"/>
        </w:rPr>
        <w:t>3</w:t>
      </w:r>
      <w:r>
        <w:rPr/>
        <w:t>）境内外会计准则下会计数据差异原因说明，对已经境外审计机构审计的数据进行差异调节的，应注</w:t>
      </w:r>
      <w:r>
        <w:rPr>
          <w:spacing w:val="-66"/>
        </w:rPr>
        <w:t> </w:t>
      </w:r>
      <w:r>
        <w:rPr>
          <w:spacing w:val="-66"/>
        </w:rPr>
      </w:r>
      <w:r>
        <w:rPr/>
        <w:t>明该境外机构的名称：无。</w:t>
      </w:r>
      <w:r>
        <w:rPr>
          <w:b w:val="0"/>
          <w:bCs w:val="0"/>
        </w:rPr>
      </w:r>
    </w:p>
    <w:p>
      <w:pPr>
        <w:spacing w:line="240" w:lineRule="auto" w:before="7"/>
        <w:rPr>
          <w:rFonts w:ascii="宋体" w:hAnsi="宋体" w:cs="宋体" w:eastAsia="宋体" w:hint="default"/>
          <w:b/>
          <w:bCs/>
          <w:sz w:val="23"/>
          <w:szCs w:val="23"/>
        </w:rPr>
      </w:pPr>
    </w:p>
    <w:p>
      <w:pPr>
        <w:pStyle w:val="Heading3"/>
        <w:spacing w:line="240" w:lineRule="auto"/>
        <w:ind w:right="153"/>
        <w:jc w:val="left"/>
        <w:rPr>
          <w:b w:val="0"/>
          <w:bCs w:val="0"/>
        </w:rPr>
      </w:pPr>
      <w:r>
        <w:rPr>
          <w:rFonts w:ascii="宋体" w:hAnsi="宋体" w:cs="宋体" w:eastAsia="宋体" w:hint="default"/>
        </w:rPr>
        <w:t>4</w:t>
      </w:r>
      <w:r>
        <w:rPr/>
        <w:t>、其他：无。</w:t>
      </w:r>
      <w:r>
        <w:rPr>
          <w:b w:val="0"/>
          <w:bCs w:val="0"/>
        </w:rPr>
      </w:r>
    </w:p>
    <w:p>
      <w:pPr>
        <w:spacing w:after="0" w:line="240" w:lineRule="auto"/>
        <w:jc w:val="left"/>
        <w:sectPr>
          <w:pgSz w:w="11910" w:h="16840"/>
          <w:pgMar w:header="877" w:footer="1186" w:top="1100" w:bottom="1380" w:left="980" w:right="9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285" w:right="15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53"/>
        <w:jc w:val="left"/>
      </w:pPr>
      <w:r>
        <w:rPr/>
        <w:t>（一）载有公司法定代表人、主管会计负责人、会计机构负责人签名并盖章的会计报表。</w:t>
      </w:r>
    </w:p>
    <w:p>
      <w:pPr>
        <w:pStyle w:val="BodyText"/>
        <w:spacing w:line="240" w:lineRule="auto" w:before="76"/>
        <w:ind w:right="153"/>
        <w:jc w:val="left"/>
      </w:pPr>
      <w:r>
        <w:rPr/>
        <w:t>（二）载有会计师事务所盖章、注册会计师签名并盖章的审计报告原件。</w:t>
      </w:r>
    </w:p>
    <w:p>
      <w:pPr>
        <w:pStyle w:val="BodyText"/>
        <w:spacing w:line="240" w:lineRule="auto" w:before="76"/>
        <w:ind w:right="153"/>
        <w:jc w:val="left"/>
      </w:pPr>
      <w:r>
        <w:rPr/>
        <w:t>（三）报告期内在中国证监会指定报纸上公开披露过的所有公司文件的正本及公告的原稿。</w:t>
      </w:r>
    </w:p>
    <w:p>
      <w:pPr>
        <w:pStyle w:val="BodyText"/>
        <w:spacing w:line="240" w:lineRule="auto" w:before="76"/>
        <w:ind w:right="153"/>
        <w:jc w:val="left"/>
      </w:pPr>
      <w:r>
        <w:rPr/>
        <w:t>（四）载有董事长纪晓文先生签名的</w:t>
      </w:r>
      <w:r>
        <w:rPr>
          <w:rFonts w:ascii="宋体" w:hAnsi="宋体" w:cs="宋体" w:eastAsia="宋体" w:hint="default"/>
        </w:rPr>
        <w:t>2015</w:t>
      </w:r>
      <w:r>
        <w:rPr/>
        <w:t>年年度报告全文。</w:t>
      </w:r>
    </w:p>
    <w:p>
      <w:pPr>
        <w:pStyle w:val="BodyText"/>
        <w:spacing w:line="240" w:lineRule="auto" w:before="76"/>
        <w:ind w:right="153"/>
        <w:jc w:val="left"/>
      </w:pPr>
      <w:r>
        <w:rPr/>
        <w:t>（五）以上备查文件的置放地点：公司董事会办公室。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6915" w:right="0"/>
        <w:jc w:val="left"/>
      </w:pPr>
      <w:r>
        <w:rPr/>
        <w:t>深圳市惠程电气股份有限公司董事会</w:t>
      </w:r>
    </w:p>
    <w:p>
      <w:pPr>
        <w:spacing w:line="240" w:lineRule="auto" w:before="0"/>
        <w:rPr>
          <w:rFonts w:ascii="宋体" w:hAnsi="宋体" w:cs="宋体" w:eastAsia="宋体" w:hint="default"/>
          <w:sz w:val="18"/>
          <w:szCs w:val="18"/>
        </w:rPr>
      </w:pPr>
    </w:p>
    <w:p>
      <w:pPr>
        <w:pStyle w:val="BodyText"/>
        <w:tabs>
          <w:tab w:pos="9815" w:val="left" w:leader="none"/>
        </w:tabs>
        <w:spacing w:line="316" w:lineRule="auto" w:before="153"/>
        <w:ind w:left="7445" w:right="111"/>
        <w:jc w:val="left"/>
      </w:pPr>
      <w:r>
        <w:rPr/>
        <w:t>董事长：纪晓文</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40"/>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r>
        <w:rPr>
          <w:rFonts w:ascii="Times New Roman" w:hAnsi="Times New Roman" w:cs="Times New Roman" w:eastAsia="Times New Roman" w:hint="default"/>
        </w:rPr>
        <w:t> </w:t>
      </w:r>
      <w:r>
        <w:rPr/>
        <w:t>二零一六年一月二十七日</w:t>
      </w:r>
    </w:p>
    <w:sectPr>
      <w:pgSz w:w="11910" w:h="16840"/>
      <w:pgMar w:header="877" w:footer="1186" w:top="110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69995pt;margin-top:785.197937pt;width:6.5pt;height:11pt;mso-position-horizontal-relative:page;mso-position-vertical-relative:page;z-index:-1061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1060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1.637939pt;width:15.7pt;height:11pt;mso-position-horizontal-relative:page;mso-position-vertical-relative:page;z-index:-10605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1060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37939pt;width:17.3pt;height:11pt;mso-position-horizontal-relative:page;mso-position-vertical-relative:page;z-index:-1060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37939pt;width:17.3pt;height:11pt;mso-position-horizontal-relative:page;mso-position-vertical-relative:page;z-index:-1060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37939pt;width:17.3pt;height:11pt;mso-position-horizontal-relative:page;mso-position-vertical-relative:page;z-index:-1060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1060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1060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1060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127</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1060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90002pt;margin-top:525.013916pt;width:17.7pt;height:11pt;mso-position-horizontal-relative:page;mso-position-vertical-relative:page;z-index:-1060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144</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1060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147</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90002pt;margin-top:525.013916pt;width:17.7pt;height:11pt;mso-position-horizontal-relative:page;mso-position-vertical-relative:page;z-index:-1060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153</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1060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155</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90002pt;margin-top:525.013916pt;width:17.7pt;height:11pt;mso-position-horizontal-relative:page;mso-position-vertical-relative:page;z-index:-1060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168</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90002pt;margin-top:525.013916pt;width:17.7pt;height:11pt;mso-position-horizontal-relative:page;mso-position-vertical-relative:page;z-index:-1060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5.013916pt;width:13.15pt;height:11pt;mso-position-horizontal-relative:page;mso-position-vertical-relative:page;z-index:-1060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1060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1060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1060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5.013916pt;width:13.15pt;height:11pt;mso-position-horizontal-relative:page;mso-position-vertical-relative:page;z-index:-1060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1060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5.013916pt;width:13.15pt;height:11pt;mso-position-horizontal-relative:page;mso-position-vertical-relative:page;z-index:-1060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061032"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6038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603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60312"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6026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60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60192"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6014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60096"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60960"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600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6002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609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60888"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60816"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60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6074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60696"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606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6062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9"/>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hifuture.com/" TargetMode="External"/><Relationship Id="rId10" Type="http://schemas.openxmlformats.org/officeDocument/2006/relationships/hyperlink" Target="mailto:info@hifuture.com" TargetMode="External"/><Relationship Id="rId11" Type="http://schemas.openxmlformats.org/officeDocument/2006/relationships/hyperlink" Target="mailto:fangli@hifuture.com" TargetMode="External"/><Relationship Id="rId12" Type="http://schemas.openxmlformats.org/officeDocument/2006/relationships/hyperlink" Target="mailto:wenqiuping@hifuture.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image" Target="media/image2.png"/><Relationship Id="rId26" Type="http://schemas.openxmlformats.org/officeDocument/2006/relationships/hyperlink" Target="http://www.cninfo.com/" TargetMode="External"/><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header" Target="header8.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eader" Target="header9.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header" Target="header10.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11.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12.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13.xml"/><Relationship Id="rId48" Type="http://schemas.openxmlformats.org/officeDocument/2006/relationships/footer" Target="footer23.xml"/><Relationship Id="rId49" Type="http://schemas.openxmlformats.org/officeDocument/2006/relationships/header" Target="header14.xml"/><Relationship Id="rId50" Type="http://schemas.openxmlformats.org/officeDocument/2006/relationships/footer" Target="footer24.xml"/><Relationship Id="rId51" Type="http://schemas.openxmlformats.org/officeDocument/2006/relationships/header" Target="header15.xml"/><Relationship Id="rId52" Type="http://schemas.openxmlformats.org/officeDocument/2006/relationships/footer" Target="footer25.xml"/><Relationship Id="rId53" Type="http://schemas.openxmlformats.org/officeDocument/2006/relationships/header" Target="header16.xml"/><Relationship Id="rId54" Type="http://schemas.openxmlformats.org/officeDocument/2006/relationships/footer" Target="footer26.xml"/><Relationship Id="rId55" Type="http://schemas.openxmlformats.org/officeDocument/2006/relationships/header" Target="header17.xml"/><Relationship Id="rId56" Type="http://schemas.openxmlformats.org/officeDocument/2006/relationships/footer" Target="footer27.xml"/><Relationship Id="rId57" Type="http://schemas.openxmlformats.org/officeDocument/2006/relationships/header" Target="header18.xml"/><Relationship Id="rId58" Type="http://schemas.openxmlformats.org/officeDocument/2006/relationships/footer" Target="footer28.xml"/><Relationship Id="rId59" Type="http://schemas.openxmlformats.org/officeDocument/2006/relationships/header" Target="header19.xml"/><Relationship Id="rId60" Type="http://schemas.openxmlformats.org/officeDocument/2006/relationships/footer" Target="footer29.xml"/><Relationship Id="rId61" Type="http://schemas.openxmlformats.org/officeDocument/2006/relationships/header" Target="header20.xml"/><Relationship Id="rId62"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深圳市惠程电气股份有限公司</dc:creator>
  <dc:title>深圳市惠程电气股份有限公司2015年年度报告全文</dc:title>
  <dcterms:created xsi:type="dcterms:W3CDTF">2020-05-04T12:38:13Z</dcterms:created>
  <dcterms:modified xsi:type="dcterms:W3CDTF">2020-05-04T12:38:13Z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2016-01-28T00:00:00Z</vt:filetime>
  </property>
  <property fmtid="{D5CDD505-2E9C-101B-9397-08002B2CF9AE}" pid="3" name="Creator">
    <vt:lpwstr>Microsoft® Word 2010</vt:lpwstr>
  </property>
  <property fmtid="{D5CDD505-2E9C-101B-9397-08002B2CF9AE}" pid="4" name="LastSaved">
    <vt:filetime>2020-05-04T00:00:00Z</vt:filetime>
  </property>
</Properties>
</file>